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68C6E6" w14:textId="77777777" w:rsidR="00ED5DD6" w:rsidRPr="000A5EE2" w:rsidRDefault="00ED5DD6" w:rsidP="00ED5DD6">
      <w:pPr>
        <w:autoSpaceDE w:val="0"/>
        <w:autoSpaceDN w:val="0"/>
        <w:adjustRightInd w:val="0"/>
        <w:spacing w:after="0" w:line="240" w:lineRule="auto"/>
        <w:ind w:firstLine="284"/>
        <w:jc w:val="center"/>
        <w:rPr>
          <w:rFonts w:ascii="Garamond" w:hAnsi="Garamond"/>
          <w:b/>
          <w:bCs/>
          <w:color w:val="000000"/>
          <w:szCs w:val="24"/>
        </w:rPr>
      </w:pPr>
      <w:r w:rsidRPr="000A5EE2">
        <w:rPr>
          <w:rFonts w:ascii="Garamond" w:hAnsi="Garamond"/>
          <w:b/>
          <w:bCs/>
          <w:color w:val="000000"/>
          <w:szCs w:val="24"/>
        </w:rPr>
        <w:t>VENDIM</w:t>
      </w:r>
    </w:p>
    <w:p w14:paraId="7AA3186E" w14:textId="7B67E1C2" w:rsidR="00ED5DD6" w:rsidRPr="000A5EE2" w:rsidRDefault="00ED5DD6" w:rsidP="00ED5DD6">
      <w:pPr>
        <w:autoSpaceDE w:val="0"/>
        <w:autoSpaceDN w:val="0"/>
        <w:adjustRightInd w:val="0"/>
        <w:spacing w:after="0" w:line="240" w:lineRule="auto"/>
        <w:ind w:firstLine="284"/>
        <w:jc w:val="center"/>
        <w:rPr>
          <w:rFonts w:ascii="Garamond" w:hAnsi="Garamond"/>
          <w:b/>
          <w:bCs/>
          <w:color w:val="000000"/>
          <w:szCs w:val="24"/>
        </w:rPr>
      </w:pPr>
      <w:r w:rsidRPr="000A5EE2">
        <w:rPr>
          <w:rFonts w:ascii="Garamond" w:hAnsi="Garamond"/>
          <w:b/>
          <w:bCs/>
          <w:color w:val="000000"/>
          <w:szCs w:val="24"/>
        </w:rPr>
        <w:t>Nr. 307, datë 21.11.2025</w:t>
      </w:r>
    </w:p>
    <w:p w14:paraId="6B0F2ECA" w14:textId="77777777" w:rsidR="00ED5DD6" w:rsidRPr="000A5EE2" w:rsidRDefault="00ED5DD6" w:rsidP="00ED5DD6">
      <w:pPr>
        <w:autoSpaceDE w:val="0"/>
        <w:autoSpaceDN w:val="0"/>
        <w:adjustRightInd w:val="0"/>
        <w:spacing w:after="0" w:line="240" w:lineRule="auto"/>
        <w:ind w:firstLine="284"/>
        <w:jc w:val="center"/>
        <w:rPr>
          <w:rFonts w:ascii="Garamond" w:hAnsi="Garamond"/>
          <w:b/>
          <w:bCs/>
          <w:color w:val="000000"/>
          <w:szCs w:val="24"/>
        </w:rPr>
      </w:pPr>
    </w:p>
    <w:p w14:paraId="6C22CD2D" w14:textId="5970ACEB" w:rsidR="00ED5DD6" w:rsidRPr="000A5EE2" w:rsidRDefault="00ED5DD6" w:rsidP="00ED5DD6">
      <w:pPr>
        <w:autoSpaceDE w:val="0"/>
        <w:autoSpaceDN w:val="0"/>
        <w:adjustRightInd w:val="0"/>
        <w:spacing w:after="0" w:line="240" w:lineRule="auto"/>
        <w:ind w:firstLine="284"/>
        <w:jc w:val="center"/>
        <w:rPr>
          <w:rFonts w:ascii="Garamond" w:hAnsi="Garamond"/>
          <w:b/>
          <w:bCs/>
          <w:color w:val="000000"/>
          <w:szCs w:val="24"/>
        </w:rPr>
      </w:pPr>
      <w:r w:rsidRPr="000A5EE2">
        <w:rPr>
          <w:rFonts w:ascii="Garamond" w:hAnsi="Garamond"/>
          <w:b/>
          <w:bCs/>
          <w:color w:val="000000"/>
          <w:szCs w:val="24"/>
        </w:rPr>
        <w:t>MBI SHQYRTIMIN E</w:t>
      </w:r>
      <w:r w:rsidR="000A5EE2">
        <w:rPr>
          <w:rFonts w:ascii="Garamond" w:hAnsi="Garamond"/>
          <w:b/>
          <w:bCs/>
          <w:color w:val="000000"/>
          <w:szCs w:val="24"/>
        </w:rPr>
        <w:t xml:space="preserve"> KËRKESËS SË SHOQËRISË ALPEX SHA</w:t>
      </w:r>
      <w:r w:rsidRPr="000A5EE2">
        <w:rPr>
          <w:rFonts w:ascii="Garamond" w:hAnsi="Garamond"/>
          <w:b/>
          <w:bCs/>
          <w:color w:val="000000"/>
          <w:szCs w:val="24"/>
        </w:rPr>
        <w:t xml:space="preserve"> PËR PËRCAKTIMIN E </w:t>
      </w:r>
      <w:r w:rsidR="000A5EE2">
        <w:rPr>
          <w:rFonts w:ascii="Garamond" w:hAnsi="Garamond"/>
          <w:b/>
          <w:bCs/>
          <w:color w:val="000000"/>
          <w:szCs w:val="24"/>
        </w:rPr>
        <w:t>TARIFAVE TË NEMO-s PËR VITET 2026–</w:t>
      </w:r>
      <w:r w:rsidRPr="000A5EE2">
        <w:rPr>
          <w:rFonts w:ascii="Garamond" w:hAnsi="Garamond"/>
          <w:b/>
          <w:bCs/>
          <w:color w:val="000000"/>
          <w:szCs w:val="24"/>
        </w:rPr>
        <w:t>2028</w:t>
      </w:r>
    </w:p>
    <w:p w14:paraId="0E2636E1" w14:textId="77777777" w:rsidR="00ED5DD6" w:rsidRPr="000A5EE2" w:rsidRDefault="00ED5DD6" w:rsidP="00ED5DD6">
      <w:pPr>
        <w:autoSpaceDE w:val="0"/>
        <w:autoSpaceDN w:val="0"/>
        <w:adjustRightInd w:val="0"/>
        <w:spacing w:after="0" w:line="240" w:lineRule="auto"/>
        <w:ind w:firstLine="284"/>
        <w:jc w:val="center"/>
        <w:rPr>
          <w:rFonts w:ascii="Garamond" w:hAnsi="Garamond"/>
          <w:b/>
          <w:bCs/>
          <w:color w:val="000000"/>
          <w:szCs w:val="24"/>
        </w:rPr>
      </w:pPr>
    </w:p>
    <w:p w14:paraId="6B140F35" w14:textId="77777777" w:rsidR="00ED5DD6" w:rsidRPr="000A5EE2" w:rsidRDefault="00ED5DD6" w:rsidP="00ED5DD6">
      <w:pPr>
        <w:autoSpaceDE w:val="0"/>
        <w:autoSpaceDN w:val="0"/>
        <w:adjustRightInd w:val="0"/>
        <w:spacing w:after="0" w:line="240" w:lineRule="auto"/>
        <w:ind w:firstLine="284"/>
        <w:rPr>
          <w:rFonts w:ascii="Garamond" w:hAnsi="Garamond"/>
          <w:b/>
          <w:bCs/>
          <w:color w:val="000000"/>
          <w:szCs w:val="24"/>
        </w:rPr>
      </w:pPr>
    </w:p>
    <w:p w14:paraId="7B984A4E" w14:textId="025E263E"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Në mbështetje të nenit 16, të ligjit nr. 43/2015, “</w:t>
      </w:r>
      <w:r w:rsidRPr="000A5EE2">
        <w:rPr>
          <w:rFonts w:ascii="Garamond" w:hAnsi="Garamond"/>
          <w:iCs/>
          <w:color w:val="000000"/>
          <w:szCs w:val="24"/>
        </w:rPr>
        <w:t>Për sektorin e energjisë elektrike</w:t>
      </w:r>
      <w:r w:rsidRPr="000A5EE2">
        <w:rPr>
          <w:rFonts w:ascii="Garamond" w:hAnsi="Garamond"/>
          <w:color w:val="000000"/>
          <w:szCs w:val="24"/>
        </w:rPr>
        <w:t xml:space="preserve">”, të ndryshuar; </w:t>
      </w:r>
      <w:r w:rsidR="000A5EE2" w:rsidRPr="000A5EE2">
        <w:rPr>
          <w:rFonts w:ascii="Garamond" w:hAnsi="Garamond"/>
          <w:color w:val="000000"/>
          <w:szCs w:val="24"/>
        </w:rPr>
        <w:t xml:space="preserve">të </w:t>
      </w:r>
      <w:r w:rsidRPr="000A5EE2">
        <w:rPr>
          <w:rFonts w:ascii="Garamond" w:hAnsi="Garamond"/>
          <w:color w:val="000000"/>
          <w:szCs w:val="24"/>
        </w:rPr>
        <w:t>“</w:t>
      </w:r>
      <w:r w:rsidRPr="000A5EE2">
        <w:rPr>
          <w:rFonts w:ascii="Garamond" w:hAnsi="Garamond"/>
          <w:iCs/>
          <w:color w:val="000000"/>
          <w:szCs w:val="24"/>
        </w:rPr>
        <w:t xml:space="preserve">Metodologjisë për </w:t>
      </w:r>
      <w:r w:rsidR="000A5EE2" w:rsidRPr="000A5EE2">
        <w:rPr>
          <w:rFonts w:ascii="Garamond" w:hAnsi="Garamond"/>
          <w:iCs/>
          <w:color w:val="000000"/>
          <w:szCs w:val="24"/>
        </w:rPr>
        <w:t>përcaktimin e tarifave</w:t>
      </w:r>
      <w:r w:rsidRPr="000A5EE2">
        <w:rPr>
          <w:rFonts w:ascii="Garamond" w:hAnsi="Garamond"/>
          <w:iCs/>
          <w:color w:val="000000"/>
          <w:szCs w:val="24"/>
        </w:rPr>
        <w:t xml:space="preserve"> të Operatorit të Emëruar të Tregut të Energjisë Elektrike (NEMO)</w:t>
      </w:r>
      <w:r w:rsidRPr="000A5EE2">
        <w:rPr>
          <w:rFonts w:ascii="Garamond" w:hAnsi="Garamond"/>
          <w:color w:val="000000"/>
          <w:szCs w:val="24"/>
        </w:rPr>
        <w:t xml:space="preserve">”, miratuar me vendimin e </w:t>
      </w:r>
      <w:r w:rsidR="000A5EE2" w:rsidRPr="000A5EE2">
        <w:rPr>
          <w:rFonts w:ascii="Garamond" w:hAnsi="Garamond"/>
          <w:color w:val="000000"/>
          <w:szCs w:val="24"/>
        </w:rPr>
        <w:t xml:space="preserve">Bordit </w:t>
      </w:r>
      <w:r w:rsidRPr="000A5EE2">
        <w:rPr>
          <w:rFonts w:ascii="Garamond" w:hAnsi="Garamond"/>
          <w:color w:val="000000"/>
          <w:szCs w:val="24"/>
        </w:rPr>
        <w:t>të Entit Rregullator të Energjisë (ERE) nr. 286, datë 20.12.2024; si dhe të neneve 15 dhe 19</w:t>
      </w:r>
      <w:r w:rsidR="000A5EE2">
        <w:rPr>
          <w:rFonts w:ascii="Garamond" w:hAnsi="Garamond"/>
          <w:color w:val="000000"/>
          <w:szCs w:val="24"/>
        </w:rPr>
        <w:t>,</w:t>
      </w:r>
      <w:r w:rsidRPr="000A5EE2">
        <w:rPr>
          <w:rFonts w:ascii="Garamond" w:hAnsi="Garamond"/>
          <w:color w:val="000000"/>
          <w:szCs w:val="24"/>
        </w:rPr>
        <w:t xml:space="preserve"> të “</w:t>
      </w:r>
      <w:r w:rsidRPr="000A5EE2">
        <w:rPr>
          <w:rFonts w:ascii="Garamond" w:hAnsi="Garamond"/>
          <w:iCs/>
          <w:color w:val="000000"/>
          <w:szCs w:val="24"/>
        </w:rPr>
        <w:t xml:space="preserve">Rregullores për </w:t>
      </w:r>
      <w:r w:rsidR="000A5EE2" w:rsidRPr="000A5EE2">
        <w:rPr>
          <w:rFonts w:ascii="Garamond" w:hAnsi="Garamond"/>
          <w:iCs/>
          <w:color w:val="000000"/>
          <w:szCs w:val="24"/>
        </w:rPr>
        <w:t>organizimin, funksionimin dhe pr</w:t>
      </w:r>
      <w:r w:rsidRPr="000A5EE2">
        <w:rPr>
          <w:rFonts w:ascii="Garamond" w:hAnsi="Garamond"/>
          <w:iCs/>
          <w:color w:val="000000"/>
          <w:szCs w:val="24"/>
        </w:rPr>
        <w:t>ocedurat e ERE-s</w:t>
      </w:r>
      <w:r w:rsidRPr="000A5EE2">
        <w:rPr>
          <w:rFonts w:ascii="Garamond" w:hAnsi="Garamond"/>
          <w:color w:val="000000"/>
          <w:szCs w:val="24"/>
        </w:rPr>
        <w:t xml:space="preserve">”, miratuar me vendimin e </w:t>
      </w:r>
      <w:r w:rsidR="000A5EE2" w:rsidRPr="000A5EE2">
        <w:rPr>
          <w:rFonts w:ascii="Garamond" w:hAnsi="Garamond"/>
          <w:color w:val="000000"/>
          <w:szCs w:val="24"/>
        </w:rPr>
        <w:t xml:space="preserve">Bordit </w:t>
      </w:r>
      <w:r w:rsidR="000A5EE2">
        <w:rPr>
          <w:rFonts w:ascii="Garamond" w:hAnsi="Garamond"/>
          <w:color w:val="000000"/>
          <w:szCs w:val="24"/>
        </w:rPr>
        <w:t>të ERE-s nr. 96, datë 17.</w:t>
      </w:r>
      <w:r w:rsidRPr="000A5EE2">
        <w:rPr>
          <w:rFonts w:ascii="Garamond" w:hAnsi="Garamond"/>
          <w:color w:val="000000"/>
          <w:szCs w:val="24"/>
        </w:rPr>
        <w:t>6.2016, Bordi i ERE-s, në mbledhjen e tij të datës 21.11.2025, pasi shqyrtoi relacionin e përgatitur nga Drejtoria e Tarifave dhe Çmimeve me nr. 2012/2 prot., datë 18.11.2025, “</w:t>
      </w:r>
      <w:r w:rsidRPr="000A5EE2">
        <w:rPr>
          <w:rFonts w:ascii="Garamond" w:hAnsi="Garamond"/>
          <w:iCs/>
          <w:color w:val="000000"/>
          <w:szCs w:val="24"/>
        </w:rPr>
        <w:t>Mbi pranimin pjes</w:t>
      </w:r>
      <w:r w:rsidRPr="000A5EE2">
        <w:rPr>
          <w:rFonts w:ascii="Garamond" w:hAnsi="Garamond"/>
          <w:color w:val="000000"/>
          <w:szCs w:val="24"/>
        </w:rPr>
        <w:t xml:space="preserve">ërisht </w:t>
      </w:r>
      <w:r w:rsidRPr="000A5EE2">
        <w:rPr>
          <w:rFonts w:ascii="Garamond" w:hAnsi="Garamond"/>
          <w:iCs/>
          <w:color w:val="000000"/>
          <w:szCs w:val="24"/>
        </w:rPr>
        <w:t>të kërkesës</w:t>
      </w:r>
      <w:r w:rsidRPr="000A5EE2">
        <w:rPr>
          <w:rFonts w:ascii="Garamond" w:hAnsi="Garamond"/>
          <w:color w:val="000000"/>
          <w:szCs w:val="24"/>
        </w:rPr>
        <w:t xml:space="preserve"> </w:t>
      </w:r>
      <w:r w:rsidRPr="000A5EE2">
        <w:rPr>
          <w:rFonts w:ascii="Garamond" w:hAnsi="Garamond"/>
          <w:iCs/>
          <w:color w:val="000000"/>
          <w:szCs w:val="24"/>
        </w:rPr>
        <w:t>së shoqërisë ALPEX (NEMO) për përcaktimin e tarifave të NEMO</w:t>
      </w:r>
      <w:r w:rsidR="000A5EE2">
        <w:rPr>
          <w:rFonts w:ascii="Garamond" w:hAnsi="Garamond"/>
          <w:iCs/>
          <w:color w:val="000000"/>
          <w:szCs w:val="24"/>
        </w:rPr>
        <w:t>-s</w:t>
      </w:r>
      <w:r w:rsidRPr="000A5EE2">
        <w:rPr>
          <w:rFonts w:ascii="Garamond" w:hAnsi="Garamond"/>
          <w:iCs/>
          <w:color w:val="000000"/>
          <w:szCs w:val="24"/>
        </w:rPr>
        <w:t xml:space="preserve"> për vit</w:t>
      </w:r>
      <w:r w:rsidR="000A5EE2">
        <w:rPr>
          <w:rFonts w:ascii="Garamond" w:hAnsi="Garamond"/>
          <w:iCs/>
          <w:color w:val="000000"/>
          <w:szCs w:val="24"/>
        </w:rPr>
        <w:t>et</w:t>
      </w:r>
      <w:r w:rsidRPr="000A5EE2">
        <w:rPr>
          <w:rFonts w:ascii="Garamond" w:hAnsi="Garamond"/>
          <w:iCs/>
          <w:color w:val="000000"/>
          <w:szCs w:val="24"/>
        </w:rPr>
        <w:t xml:space="preserve"> 2026, 2027, 2028</w:t>
      </w:r>
      <w:r w:rsidRPr="000A5EE2">
        <w:rPr>
          <w:rFonts w:ascii="Garamond" w:hAnsi="Garamond"/>
          <w:color w:val="000000"/>
          <w:szCs w:val="24"/>
        </w:rPr>
        <w:t>”,</w:t>
      </w:r>
    </w:p>
    <w:p w14:paraId="48F831B6" w14:textId="6E33881C" w:rsidR="00ED5DD6" w:rsidRPr="000A5EE2" w:rsidRDefault="000A5EE2" w:rsidP="00ED5DD6">
      <w:pPr>
        <w:autoSpaceDE w:val="0"/>
        <w:autoSpaceDN w:val="0"/>
        <w:adjustRightInd w:val="0"/>
        <w:spacing w:after="0" w:line="240" w:lineRule="auto"/>
        <w:ind w:firstLine="284"/>
        <w:rPr>
          <w:rFonts w:ascii="Garamond" w:hAnsi="Garamond"/>
          <w:bCs/>
          <w:color w:val="000000"/>
          <w:szCs w:val="24"/>
        </w:rPr>
      </w:pPr>
      <w:r>
        <w:rPr>
          <w:rFonts w:ascii="Garamond" w:hAnsi="Garamond"/>
          <w:bCs/>
          <w:color w:val="000000"/>
          <w:szCs w:val="24"/>
        </w:rPr>
        <w:t>k</w:t>
      </w:r>
      <w:r w:rsidR="00ED5DD6" w:rsidRPr="000A5EE2">
        <w:rPr>
          <w:rFonts w:ascii="Garamond" w:hAnsi="Garamond"/>
          <w:bCs/>
          <w:color w:val="000000"/>
          <w:szCs w:val="24"/>
        </w:rPr>
        <w:t>onstatoi se:</w:t>
      </w:r>
    </w:p>
    <w:p w14:paraId="7497F6C5" w14:textId="1EECEAC7" w:rsidR="00ED5DD6" w:rsidRPr="000A5EE2" w:rsidRDefault="000A5EE2" w:rsidP="00ED5DD6">
      <w:pPr>
        <w:autoSpaceDE w:val="0"/>
        <w:autoSpaceDN w:val="0"/>
        <w:adjustRightInd w:val="0"/>
        <w:spacing w:after="0" w:line="240" w:lineRule="auto"/>
        <w:ind w:firstLine="284"/>
        <w:rPr>
          <w:rFonts w:ascii="Garamond" w:hAnsi="Garamond"/>
          <w:bCs/>
          <w:color w:val="000000"/>
          <w:szCs w:val="24"/>
        </w:rPr>
      </w:pPr>
      <w:r>
        <w:rPr>
          <w:rFonts w:ascii="Garamond" w:hAnsi="Garamond"/>
          <w:bCs/>
          <w:color w:val="000000"/>
          <w:szCs w:val="24"/>
        </w:rPr>
        <w:t>I.</w:t>
      </w:r>
      <w:r w:rsidR="00ED5DD6" w:rsidRPr="000A5EE2">
        <w:rPr>
          <w:rFonts w:ascii="Garamond" w:hAnsi="Garamond"/>
          <w:bCs/>
          <w:color w:val="000000"/>
          <w:szCs w:val="24"/>
        </w:rPr>
        <w:t xml:space="preserve"> Aspektet </w:t>
      </w:r>
      <w:r w:rsidRPr="000A5EE2">
        <w:rPr>
          <w:rFonts w:ascii="Garamond" w:hAnsi="Garamond"/>
          <w:bCs/>
          <w:color w:val="000000"/>
          <w:szCs w:val="24"/>
        </w:rPr>
        <w:t>ligjore dhe procedurale</w:t>
      </w:r>
    </w:p>
    <w:p w14:paraId="04E2D3BD" w14:textId="1891004A"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xml:space="preserve">- Shoqëria </w:t>
      </w:r>
      <w:r w:rsidR="000A5EE2">
        <w:rPr>
          <w:rFonts w:ascii="Garamond" w:hAnsi="Garamond"/>
          <w:color w:val="000000"/>
          <w:szCs w:val="24"/>
        </w:rPr>
        <w:t>“</w:t>
      </w:r>
      <w:r w:rsidRPr="000A5EE2">
        <w:rPr>
          <w:rFonts w:ascii="Garamond" w:hAnsi="Garamond"/>
          <w:bCs/>
          <w:color w:val="000000"/>
          <w:szCs w:val="24"/>
        </w:rPr>
        <w:t>ALPEX</w:t>
      </w:r>
      <w:r w:rsidR="000A5EE2">
        <w:rPr>
          <w:rFonts w:ascii="Garamond" w:hAnsi="Garamond"/>
          <w:bCs/>
          <w:color w:val="000000"/>
          <w:szCs w:val="24"/>
        </w:rPr>
        <w:t>”</w:t>
      </w:r>
      <w:r w:rsidRPr="000A5EE2">
        <w:rPr>
          <w:rFonts w:ascii="Garamond" w:hAnsi="Garamond"/>
          <w:bCs/>
          <w:color w:val="000000"/>
          <w:szCs w:val="24"/>
        </w:rPr>
        <w:t xml:space="preserve"> sh.a.</w:t>
      </w:r>
      <w:r w:rsidRPr="000A5EE2">
        <w:rPr>
          <w:rFonts w:ascii="Garamond" w:hAnsi="Garamond"/>
          <w:color w:val="000000"/>
          <w:szCs w:val="24"/>
        </w:rPr>
        <w:t>, me shkresën nr. 413 prot., datë 20.10.2025, protokolluar në ERE me nr. 2704 prot., datë 22.10.2025, ka paraqitur kërkesën për përcaktimin e tarifave të Operatorit të Emëruar të Tregut (NEMO) për vitet 2026–2028. Në vijim, me shkresën nr. 413/1 prot., datë 14.11.2025, është paraqitur versioni i rishikuar i aplikimit.</w:t>
      </w:r>
    </w:p>
    <w:p w14:paraId="0CE1A9FE" w14:textId="7B8AEC33"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Kërkesa është depozituar në përputhje me nenin 16</w:t>
      </w:r>
      <w:r w:rsidR="000A5EE2">
        <w:rPr>
          <w:rFonts w:ascii="Garamond" w:hAnsi="Garamond"/>
          <w:color w:val="000000"/>
          <w:szCs w:val="24"/>
        </w:rPr>
        <w:t>,</w:t>
      </w:r>
      <w:r w:rsidRPr="000A5EE2">
        <w:rPr>
          <w:rFonts w:ascii="Garamond" w:hAnsi="Garamond"/>
          <w:color w:val="000000"/>
          <w:szCs w:val="24"/>
        </w:rPr>
        <w:t xml:space="preserve"> të ligjit nr. 43/2015</w:t>
      </w:r>
      <w:r w:rsidR="000A5EE2">
        <w:rPr>
          <w:rFonts w:ascii="Garamond" w:hAnsi="Garamond"/>
          <w:color w:val="000000"/>
          <w:szCs w:val="24"/>
        </w:rPr>
        <w:t>,</w:t>
      </w:r>
      <w:r w:rsidRPr="000A5EE2">
        <w:rPr>
          <w:rFonts w:ascii="Garamond" w:hAnsi="Garamond"/>
          <w:color w:val="000000"/>
          <w:szCs w:val="24"/>
        </w:rPr>
        <w:t xml:space="preserve"> “Për sektorin e energjisë elektrike”, të ndryshuar, si dhe me dispozitat e “Metodologjisë për </w:t>
      </w:r>
      <w:r w:rsidR="000A5EE2" w:rsidRPr="000A5EE2">
        <w:rPr>
          <w:rFonts w:ascii="Garamond" w:hAnsi="Garamond"/>
          <w:color w:val="000000"/>
          <w:szCs w:val="24"/>
        </w:rPr>
        <w:t xml:space="preserve">përcaktimin e tarifave </w:t>
      </w:r>
      <w:r w:rsidRPr="000A5EE2">
        <w:rPr>
          <w:rFonts w:ascii="Garamond" w:hAnsi="Garamond"/>
          <w:color w:val="000000"/>
          <w:szCs w:val="24"/>
        </w:rPr>
        <w:t xml:space="preserve">të Operatorit të Emëruar të Tregut të Energjisë Elektrike (NEMO)”, të miratuar me vendimin e </w:t>
      </w:r>
      <w:r w:rsidR="000A5EE2" w:rsidRPr="000A5EE2">
        <w:rPr>
          <w:rFonts w:ascii="Garamond" w:hAnsi="Garamond"/>
          <w:color w:val="000000"/>
          <w:szCs w:val="24"/>
        </w:rPr>
        <w:t xml:space="preserve">Bordit </w:t>
      </w:r>
      <w:r w:rsidRPr="000A5EE2">
        <w:rPr>
          <w:rFonts w:ascii="Garamond" w:hAnsi="Garamond"/>
          <w:color w:val="000000"/>
          <w:szCs w:val="24"/>
        </w:rPr>
        <w:t>të ERE</w:t>
      </w:r>
      <w:r w:rsidR="000A5EE2">
        <w:rPr>
          <w:rFonts w:ascii="Garamond" w:hAnsi="Garamond"/>
          <w:color w:val="000000"/>
          <w:szCs w:val="24"/>
        </w:rPr>
        <w:t>-s</w:t>
      </w:r>
      <w:r w:rsidRPr="000A5EE2">
        <w:rPr>
          <w:rFonts w:ascii="Garamond" w:hAnsi="Garamond"/>
          <w:color w:val="000000"/>
          <w:szCs w:val="24"/>
        </w:rPr>
        <w:t xml:space="preserve"> nr. 286, datë 20.12.2024. Procedura për shqyrtimin e aplikimit në zbatim të neneve 15 dhe 21</w:t>
      </w:r>
      <w:r w:rsidR="000A5EE2">
        <w:rPr>
          <w:rFonts w:ascii="Garamond" w:hAnsi="Garamond"/>
          <w:color w:val="000000"/>
          <w:szCs w:val="24"/>
        </w:rPr>
        <w:t>,</w:t>
      </w:r>
      <w:r w:rsidRPr="000A5EE2">
        <w:rPr>
          <w:rFonts w:ascii="Garamond" w:hAnsi="Garamond"/>
          <w:color w:val="000000"/>
          <w:szCs w:val="24"/>
        </w:rPr>
        <w:t xml:space="preserve"> të “Rregullores për </w:t>
      </w:r>
      <w:r w:rsidR="000A5EE2" w:rsidRPr="000A5EE2">
        <w:rPr>
          <w:rFonts w:ascii="Garamond" w:hAnsi="Garamond"/>
          <w:color w:val="000000"/>
          <w:szCs w:val="24"/>
        </w:rPr>
        <w:t xml:space="preserve">organizimin, funksionimin dhe procedurat </w:t>
      </w:r>
      <w:r w:rsidRPr="000A5EE2">
        <w:rPr>
          <w:rFonts w:ascii="Garamond" w:hAnsi="Garamond"/>
          <w:color w:val="000000"/>
          <w:szCs w:val="24"/>
        </w:rPr>
        <w:t xml:space="preserve">e ERE s”, miratuar me vendimin e </w:t>
      </w:r>
      <w:r w:rsidR="000A5EE2" w:rsidRPr="000A5EE2">
        <w:rPr>
          <w:rFonts w:ascii="Garamond" w:hAnsi="Garamond"/>
          <w:color w:val="000000"/>
          <w:szCs w:val="24"/>
        </w:rPr>
        <w:t xml:space="preserve">Bordit </w:t>
      </w:r>
      <w:r w:rsidR="000A5EE2">
        <w:rPr>
          <w:rFonts w:ascii="Garamond" w:hAnsi="Garamond"/>
          <w:color w:val="000000"/>
          <w:szCs w:val="24"/>
        </w:rPr>
        <w:t>nr. 96, datë 17.6.2016, e cila i njeh ERE-</w:t>
      </w:r>
      <w:r w:rsidRPr="000A5EE2">
        <w:rPr>
          <w:rFonts w:ascii="Garamond" w:hAnsi="Garamond"/>
          <w:color w:val="000000"/>
          <w:szCs w:val="24"/>
        </w:rPr>
        <w:t>s të drejtën për të kërkuar çdo informacion shtesë që konsiderohet i nevojshëm për vlerësimin e aplikimit.</w:t>
      </w:r>
    </w:p>
    <w:p w14:paraId="48432ED1" w14:textId="37E06136"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xml:space="preserve">- Me vendimin nr. 293, datë 13.11.2025, </w:t>
      </w:r>
      <w:r w:rsidR="000A5EE2" w:rsidRPr="000A5EE2">
        <w:rPr>
          <w:rFonts w:ascii="Garamond" w:hAnsi="Garamond"/>
          <w:color w:val="000000"/>
          <w:szCs w:val="24"/>
        </w:rPr>
        <w:t xml:space="preserve">Bordi </w:t>
      </w:r>
      <w:r w:rsidR="000A5EE2">
        <w:rPr>
          <w:rFonts w:ascii="Garamond" w:hAnsi="Garamond"/>
          <w:color w:val="000000"/>
          <w:szCs w:val="24"/>
        </w:rPr>
        <w:t>i ERE-</w:t>
      </w:r>
      <w:r w:rsidRPr="000A5EE2">
        <w:rPr>
          <w:rFonts w:ascii="Garamond" w:hAnsi="Garamond"/>
          <w:color w:val="000000"/>
          <w:szCs w:val="24"/>
        </w:rPr>
        <w:t xml:space="preserve">s ka përcaktuar hyrjen në fuqi të </w:t>
      </w:r>
      <w:r w:rsidR="000A5EE2" w:rsidRPr="000A5EE2">
        <w:rPr>
          <w:rFonts w:ascii="Garamond" w:hAnsi="Garamond"/>
          <w:color w:val="000000"/>
          <w:szCs w:val="24"/>
        </w:rPr>
        <w:t xml:space="preserve">rregullores </w:t>
      </w:r>
      <w:r w:rsidRPr="000A5EE2">
        <w:rPr>
          <w:rFonts w:ascii="Garamond" w:hAnsi="Garamond"/>
          <w:color w:val="000000"/>
          <w:szCs w:val="24"/>
        </w:rPr>
        <w:t xml:space="preserve">CACM deri më 1 korrik 2026, duke bërë që </w:t>
      </w:r>
      <w:r w:rsidR="000A5EE2">
        <w:rPr>
          <w:rFonts w:ascii="Garamond" w:hAnsi="Garamond"/>
          <w:color w:val="000000"/>
          <w:szCs w:val="24"/>
        </w:rPr>
        <w:t>“</w:t>
      </w:r>
      <w:r w:rsidRPr="000A5EE2">
        <w:rPr>
          <w:rFonts w:ascii="Garamond" w:hAnsi="Garamond"/>
          <w:color w:val="000000"/>
          <w:szCs w:val="24"/>
        </w:rPr>
        <w:t>ALPEX</w:t>
      </w:r>
      <w:r w:rsidR="000A5EE2">
        <w:rPr>
          <w:rFonts w:ascii="Garamond" w:hAnsi="Garamond"/>
          <w:color w:val="000000"/>
          <w:szCs w:val="24"/>
        </w:rPr>
        <w:t>”</w:t>
      </w:r>
      <w:r w:rsidRPr="000A5EE2">
        <w:rPr>
          <w:rFonts w:ascii="Garamond" w:hAnsi="Garamond"/>
          <w:color w:val="000000"/>
          <w:szCs w:val="24"/>
        </w:rPr>
        <w:t xml:space="preserve"> sh.a. të vijojë </w:t>
      </w:r>
      <w:r w:rsidR="000A5EE2">
        <w:rPr>
          <w:rFonts w:ascii="Garamond" w:hAnsi="Garamond"/>
          <w:color w:val="000000"/>
          <w:szCs w:val="24"/>
        </w:rPr>
        <w:t>ushtrimin e funksioneve të NEMO-</w:t>
      </w:r>
      <w:r w:rsidRPr="000A5EE2">
        <w:rPr>
          <w:rFonts w:ascii="Garamond" w:hAnsi="Garamond"/>
          <w:color w:val="000000"/>
          <w:szCs w:val="24"/>
        </w:rPr>
        <w:t>s për përgjatë vitit 2026 mbi kuadrin aktual rregullator. Për pasojë, vlerësimi i tarifave duhet të bazohet ekskluzivisht në metodologjinë nr. 286/2024.</w:t>
      </w:r>
    </w:p>
    <w:p w14:paraId="332CCCC5" w14:textId="33D2F205" w:rsidR="00ED5DD6" w:rsidRPr="000A5EE2" w:rsidRDefault="000A5EE2" w:rsidP="00ED5DD6">
      <w:pPr>
        <w:autoSpaceDE w:val="0"/>
        <w:autoSpaceDN w:val="0"/>
        <w:adjustRightInd w:val="0"/>
        <w:spacing w:after="0" w:line="240" w:lineRule="auto"/>
        <w:ind w:firstLine="284"/>
        <w:rPr>
          <w:rFonts w:ascii="Garamond" w:hAnsi="Garamond"/>
          <w:bCs/>
          <w:color w:val="000000"/>
          <w:szCs w:val="24"/>
        </w:rPr>
      </w:pPr>
      <w:r w:rsidRPr="000A5EE2">
        <w:rPr>
          <w:rFonts w:ascii="Garamond" w:hAnsi="Garamond"/>
          <w:bCs/>
          <w:color w:val="000000"/>
          <w:szCs w:val="24"/>
        </w:rPr>
        <w:t>II.</w:t>
      </w:r>
      <w:r w:rsidR="00ED5DD6" w:rsidRPr="000A5EE2">
        <w:rPr>
          <w:rFonts w:ascii="Garamond" w:hAnsi="Garamond"/>
          <w:bCs/>
          <w:color w:val="000000"/>
          <w:szCs w:val="24"/>
        </w:rPr>
        <w:t xml:space="preserve"> Vlerësimi ekonomik dhe teknik i kërkesës</w:t>
      </w:r>
    </w:p>
    <w:p w14:paraId="58B867C6" w14:textId="21C71075" w:rsidR="00ED5DD6" w:rsidRPr="000A5EE2" w:rsidRDefault="00ED5DD6" w:rsidP="00ED5DD6">
      <w:pPr>
        <w:autoSpaceDE w:val="0"/>
        <w:autoSpaceDN w:val="0"/>
        <w:adjustRightInd w:val="0"/>
        <w:spacing w:after="0" w:line="240" w:lineRule="auto"/>
        <w:ind w:firstLine="284"/>
        <w:rPr>
          <w:rFonts w:ascii="Garamond" w:hAnsi="Garamond"/>
          <w:b/>
          <w:bCs/>
          <w:color w:val="000000"/>
          <w:szCs w:val="24"/>
        </w:rPr>
      </w:pPr>
      <w:r w:rsidRPr="000A5EE2">
        <w:rPr>
          <w:rFonts w:ascii="Garamond" w:hAnsi="Garamond"/>
          <w:color w:val="000000"/>
          <w:szCs w:val="24"/>
        </w:rPr>
        <w:t xml:space="preserve">- Në aplikimin e paraqitur, </w:t>
      </w:r>
      <w:r w:rsidR="000A5EE2">
        <w:rPr>
          <w:rFonts w:ascii="Garamond" w:hAnsi="Garamond"/>
          <w:color w:val="000000"/>
          <w:szCs w:val="24"/>
        </w:rPr>
        <w:t>“</w:t>
      </w:r>
      <w:r w:rsidRPr="000A5EE2">
        <w:rPr>
          <w:rFonts w:ascii="Garamond" w:hAnsi="Garamond"/>
          <w:color w:val="000000"/>
          <w:szCs w:val="24"/>
        </w:rPr>
        <w:t>ALPEX</w:t>
      </w:r>
      <w:r w:rsidR="000A5EE2">
        <w:rPr>
          <w:rFonts w:ascii="Garamond" w:hAnsi="Garamond"/>
          <w:color w:val="000000"/>
          <w:szCs w:val="24"/>
        </w:rPr>
        <w:t>”</w:t>
      </w:r>
      <w:r w:rsidRPr="000A5EE2">
        <w:rPr>
          <w:rFonts w:ascii="Garamond" w:hAnsi="Garamond"/>
          <w:color w:val="000000"/>
          <w:szCs w:val="24"/>
        </w:rPr>
        <w:t xml:space="preserve"> sh.a. ka strukturuar dokumentacionin sipas kapitujve të relacionit shoqërues, ku në kapitullin III ka paraqitur transaksionet e energjisë të realizuara për vitin 2024 dhe për 9-mujorin e vitit 2025, duke përfshirë transaksionet në shitje dhe blerje në zonën e ofertimit të Shqipërisë, në zonën e ofertimit të Kosovës, si edhe transaksionet e bashkimit të tregjeve Shqipëri–Kosovë. </w:t>
      </w:r>
    </w:p>
    <w:p w14:paraId="3571F856" w14:textId="5FCEB98D" w:rsidR="00ED5DD6" w:rsidRPr="000A5EE2" w:rsidRDefault="00ED5DD6" w:rsidP="00ED5DD6">
      <w:pPr>
        <w:autoSpaceDE w:val="0"/>
        <w:autoSpaceDN w:val="0"/>
        <w:adjustRightInd w:val="0"/>
        <w:spacing w:after="0" w:line="240" w:lineRule="auto"/>
        <w:ind w:firstLine="284"/>
        <w:rPr>
          <w:rFonts w:ascii="Garamond" w:hAnsi="Garamond"/>
          <w:b/>
          <w:bCs/>
          <w:color w:val="000000"/>
          <w:szCs w:val="24"/>
        </w:rPr>
      </w:pPr>
      <w:r w:rsidRPr="000A5EE2">
        <w:rPr>
          <w:rFonts w:ascii="Garamond" w:hAnsi="Garamond"/>
          <w:color w:val="000000"/>
          <w:szCs w:val="24"/>
        </w:rPr>
        <w:t>- Këto të dhëna ofrojnë një pasqyrë të plotë të volumit, dinamikës dhe strukturës së aktivitetit tregtar të NEMO-s në tregun e org</w:t>
      </w:r>
      <w:r w:rsidR="000A5EE2">
        <w:rPr>
          <w:rFonts w:ascii="Garamond" w:hAnsi="Garamond"/>
          <w:color w:val="000000"/>
          <w:szCs w:val="24"/>
        </w:rPr>
        <w:t>anizuar të energjisë elektrike.</w:t>
      </w:r>
    </w:p>
    <w:p w14:paraId="7050DA2C" w14:textId="07E3469E" w:rsidR="00ED5DD6" w:rsidRPr="000A5EE2" w:rsidRDefault="00ED5DD6" w:rsidP="00ED5DD6">
      <w:pPr>
        <w:autoSpaceDE w:val="0"/>
        <w:autoSpaceDN w:val="0"/>
        <w:adjustRightInd w:val="0"/>
        <w:spacing w:after="0" w:line="240" w:lineRule="auto"/>
        <w:ind w:firstLine="284"/>
        <w:rPr>
          <w:rFonts w:ascii="Garamond" w:hAnsi="Garamond"/>
          <w:b/>
          <w:bCs/>
          <w:color w:val="000000"/>
          <w:szCs w:val="24"/>
        </w:rPr>
      </w:pPr>
      <w:r w:rsidRPr="000A5EE2">
        <w:rPr>
          <w:rFonts w:ascii="Garamond" w:hAnsi="Garamond"/>
          <w:color w:val="000000"/>
          <w:szCs w:val="24"/>
        </w:rPr>
        <w:t>- Në kapitullin IV, shoqëria ka paraqitur realizimet e të ardhurave dhe shpenzimeve për periudhën 2020–2024, pritshmëritë financiare për vitin 2025 dhe parashikimet për tr</w:t>
      </w:r>
      <w:r w:rsidR="000A5EE2">
        <w:rPr>
          <w:rFonts w:ascii="Garamond" w:hAnsi="Garamond"/>
          <w:color w:val="000000"/>
          <w:szCs w:val="24"/>
        </w:rPr>
        <w:t>i</w:t>
      </w:r>
      <w:r w:rsidRPr="000A5EE2">
        <w:rPr>
          <w:rFonts w:ascii="Garamond" w:hAnsi="Garamond"/>
          <w:color w:val="000000"/>
          <w:szCs w:val="24"/>
        </w:rPr>
        <w:t xml:space="preserve"> vitet e ardhshme, duke dhënë informacion të detajuar mbi pozicionin financiar të shoqërisë në të dy</w:t>
      </w:r>
      <w:r w:rsidR="000A5EE2">
        <w:rPr>
          <w:rFonts w:ascii="Garamond" w:hAnsi="Garamond"/>
          <w:color w:val="000000"/>
          <w:szCs w:val="24"/>
        </w:rPr>
        <w:t>ja</w:t>
      </w:r>
      <w:r w:rsidRPr="000A5EE2">
        <w:rPr>
          <w:rFonts w:ascii="Garamond" w:hAnsi="Garamond"/>
          <w:color w:val="000000"/>
          <w:szCs w:val="24"/>
        </w:rPr>
        <w:t xml:space="preserve"> zonat e ofertimit dhe duke krijuar bazën e vlerësimit të qëndrueshmërisë ekonomiko-financiare të aktivitetit. Ndërkohë, në kapitullin VI shoqëria ka dorëzuar llogaritjet e komponentëve tariforë</w:t>
      </w:r>
      <w:r w:rsidR="000A5EE2">
        <w:rPr>
          <w:rFonts w:ascii="Garamond" w:hAnsi="Garamond"/>
          <w:color w:val="000000"/>
          <w:szCs w:val="24"/>
        </w:rPr>
        <w:t>,</w:t>
      </w:r>
      <w:r w:rsidRPr="000A5EE2">
        <w:rPr>
          <w:rFonts w:ascii="Garamond" w:hAnsi="Garamond"/>
          <w:color w:val="000000"/>
          <w:szCs w:val="24"/>
        </w:rPr>
        <w:t xml:space="preserve"> në përputhje me </w:t>
      </w:r>
      <w:r w:rsidR="000A5EE2">
        <w:rPr>
          <w:rFonts w:ascii="Garamond" w:hAnsi="Garamond"/>
          <w:color w:val="000000"/>
          <w:szCs w:val="24"/>
        </w:rPr>
        <w:t>“</w:t>
      </w:r>
      <w:r w:rsidRPr="000A5EE2">
        <w:rPr>
          <w:rFonts w:ascii="Garamond" w:hAnsi="Garamond"/>
          <w:color w:val="000000"/>
          <w:szCs w:val="24"/>
        </w:rPr>
        <w:t xml:space="preserve">Metodologjinë për </w:t>
      </w:r>
      <w:r w:rsidR="000A5EE2" w:rsidRPr="000A5EE2">
        <w:rPr>
          <w:rFonts w:ascii="Garamond" w:hAnsi="Garamond"/>
          <w:color w:val="000000"/>
          <w:szCs w:val="24"/>
        </w:rPr>
        <w:t xml:space="preserve">përcaktimin e tarifave </w:t>
      </w:r>
      <w:r w:rsidRPr="000A5EE2">
        <w:rPr>
          <w:rFonts w:ascii="Garamond" w:hAnsi="Garamond"/>
          <w:color w:val="000000"/>
          <w:szCs w:val="24"/>
        </w:rPr>
        <w:t>të Operatorit të Emëruar të Tregut të Energjisë Elektrike (NEMO)</w:t>
      </w:r>
      <w:r w:rsidR="000A5EE2">
        <w:rPr>
          <w:rFonts w:ascii="Garamond" w:hAnsi="Garamond"/>
          <w:color w:val="000000"/>
          <w:szCs w:val="24"/>
        </w:rPr>
        <w:t>”</w:t>
      </w:r>
      <w:r w:rsidRPr="000A5EE2">
        <w:rPr>
          <w:rFonts w:ascii="Garamond" w:hAnsi="Garamond"/>
          <w:color w:val="000000"/>
          <w:szCs w:val="24"/>
        </w:rPr>
        <w:t xml:space="preserve">, përfshirë llogaritjen e </w:t>
      </w:r>
      <w:r w:rsidR="000A5EE2" w:rsidRPr="000A5EE2">
        <w:rPr>
          <w:rFonts w:ascii="Garamond" w:hAnsi="Garamond"/>
          <w:color w:val="000000"/>
          <w:szCs w:val="24"/>
        </w:rPr>
        <w:t xml:space="preserve">bazës së rregulluar të aseteve </w:t>
      </w:r>
      <w:r w:rsidRPr="000A5EE2">
        <w:rPr>
          <w:rFonts w:ascii="Garamond" w:hAnsi="Garamond"/>
          <w:color w:val="000000"/>
          <w:szCs w:val="24"/>
        </w:rPr>
        <w:t xml:space="preserve">(RAB), kostot e operimit dhe mirëmbajtjes </w:t>
      </w:r>
      <w:r w:rsidRPr="000A5EE2">
        <w:rPr>
          <w:rFonts w:ascii="Garamond" w:hAnsi="Garamond"/>
          <w:color w:val="000000"/>
          <w:szCs w:val="24"/>
        </w:rPr>
        <w:lastRenderedPageBreak/>
        <w:t>(OPMC), kostot e amortizimit, normën e lejuar të kapitalit të punës (WCLC) dhe kostot e licencës (LICC).</w:t>
      </w:r>
    </w:p>
    <w:p w14:paraId="68CECF81" w14:textId="25134DD5" w:rsidR="00ED5DD6" w:rsidRPr="000A5EE2" w:rsidRDefault="00ED5DD6" w:rsidP="00ED5DD6">
      <w:pPr>
        <w:autoSpaceDE w:val="0"/>
        <w:autoSpaceDN w:val="0"/>
        <w:adjustRightInd w:val="0"/>
        <w:spacing w:after="0" w:line="240" w:lineRule="auto"/>
        <w:ind w:firstLine="284"/>
        <w:rPr>
          <w:rFonts w:ascii="Garamond" w:hAnsi="Garamond"/>
          <w:b/>
          <w:bCs/>
          <w:color w:val="000000"/>
          <w:szCs w:val="24"/>
        </w:rPr>
      </w:pPr>
      <w:r w:rsidRPr="000A5EE2">
        <w:rPr>
          <w:rFonts w:ascii="Garamond" w:hAnsi="Garamond"/>
          <w:color w:val="000000"/>
          <w:szCs w:val="24"/>
        </w:rPr>
        <w:t>- Shoqëria deklaron se nuk parashikon të ardhura jotarifore, duke u mbështetur në performancën e deritanishme të aktivitetit. Në kapitullin VII paraqiten të ardhurat e parashikuara nga tarifat, ku vlerësohet se për vitin 2026 të ardhurat do të jenë rreth 155,859,075 lekë, ndërsa për vitet 2027–2028 parashikimet janë ndërtuar mbi tarifat ekzistuese dhe strukturën e të ardhurave sipas zonave të ofertimit.</w:t>
      </w:r>
    </w:p>
    <w:p w14:paraId="60FB7C13" w14:textId="1476F581"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Nga shqyrtimi paraprak rezulton se, pavarësisht nivelit të detajuar të treguesve financiarë dhe teknikë të paraqitur në kapitujt III, IV, VI dhe VII, shoqëria nuk ka dorëzuar një Plan Formal Investimesh, sikurse përcaktuar në pikën 7.5</w:t>
      </w:r>
      <w:r w:rsidR="000A5EE2">
        <w:rPr>
          <w:rFonts w:ascii="Garamond" w:hAnsi="Garamond"/>
          <w:color w:val="000000"/>
          <w:szCs w:val="24"/>
        </w:rPr>
        <w:t>,</w:t>
      </w:r>
      <w:r w:rsidRPr="000A5EE2">
        <w:rPr>
          <w:rFonts w:ascii="Garamond" w:hAnsi="Garamond"/>
          <w:color w:val="000000"/>
          <w:szCs w:val="24"/>
        </w:rPr>
        <w:t xml:space="preserve"> të </w:t>
      </w:r>
      <w:r w:rsidR="000A5EE2" w:rsidRPr="000A5EE2">
        <w:rPr>
          <w:rFonts w:ascii="Garamond" w:hAnsi="Garamond"/>
          <w:color w:val="000000"/>
          <w:szCs w:val="24"/>
        </w:rPr>
        <w:t xml:space="preserve">shtojcës </w:t>
      </w:r>
      <w:r w:rsidRPr="000A5EE2">
        <w:rPr>
          <w:rFonts w:ascii="Garamond" w:hAnsi="Garamond"/>
          <w:color w:val="000000"/>
          <w:szCs w:val="24"/>
        </w:rPr>
        <w:t xml:space="preserve">II të </w:t>
      </w:r>
      <w:r w:rsidR="000A5EE2">
        <w:rPr>
          <w:rFonts w:ascii="Garamond" w:hAnsi="Garamond"/>
          <w:color w:val="000000"/>
          <w:szCs w:val="24"/>
        </w:rPr>
        <w:t>“</w:t>
      </w:r>
      <w:r w:rsidRPr="000A5EE2">
        <w:rPr>
          <w:rFonts w:ascii="Garamond" w:hAnsi="Garamond"/>
          <w:color w:val="000000"/>
          <w:szCs w:val="24"/>
        </w:rPr>
        <w:t xml:space="preserve">Metodologjisë për </w:t>
      </w:r>
      <w:r w:rsidR="000A5EE2" w:rsidRPr="000A5EE2">
        <w:rPr>
          <w:rFonts w:ascii="Garamond" w:hAnsi="Garamond"/>
          <w:color w:val="000000"/>
          <w:szCs w:val="24"/>
        </w:rPr>
        <w:t>përcaktimin e tarifave</w:t>
      </w:r>
      <w:r w:rsidRPr="000A5EE2">
        <w:rPr>
          <w:rFonts w:ascii="Garamond" w:hAnsi="Garamond"/>
          <w:color w:val="000000"/>
          <w:szCs w:val="24"/>
        </w:rPr>
        <w:t xml:space="preserve"> të Operatorit të Emëruar të Tregut të Energjisë Elektrike (NEMO)</w:t>
      </w:r>
      <w:r w:rsidR="000A5EE2">
        <w:rPr>
          <w:rFonts w:ascii="Garamond" w:hAnsi="Garamond"/>
          <w:color w:val="000000"/>
          <w:szCs w:val="24"/>
        </w:rPr>
        <w:t>”</w:t>
      </w:r>
      <w:r w:rsidRPr="000A5EE2">
        <w:rPr>
          <w:rFonts w:ascii="Garamond" w:hAnsi="Garamond"/>
          <w:color w:val="000000"/>
          <w:szCs w:val="24"/>
        </w:rPr>
        <w:t>.</w:t>
      </w:r>
    </w:p>
    <w:p w14:paraId="2AD3DA8B" w14:textId="1ADD42A3"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xml:space="preserve">- Gjithashtu, shoqëria nuk ka paraqitur ndarjen kontabël të veprimtarisë së NEMO-s nga veprimtaritë e tjera të </w:t>
      </w:r>
      <w:r w:rsidR="000A5EE2">
        <w:rPr>
          <w:rFonts w:ascii="Garamond" w:hAnsi="Garamond"/>
          <w:color w:val="000000"/>
          <w:szCs w:val="24"/>
        </w:rPr>
        <w:t>“</w:t>
      </w:r>
      <w:r w:rsidRPr="000A5EE2">
        <w:rPr>
          <w:rFonts w:ascii="Garamond" w:hAnsi="Garamond"/>
          <w:color w:val="000000"/>
          <w:szCs w:val="24"/>
        </w:rPr>
        <w:t>ALPEX</w:t>
      </w:r>
      <w:r w:rsidR="000A5EE2">
        <w:rPr>
          <w:rFonts w:ascii="Garamond" w:hAnsi="Garamond"/>
          <w:color w:val="000000"/>
          <w:szCs w:val="24"/>
        </w:rPr>
        <w:t>”</w:t>
      </w:r>
      <w:r w:rsidRPr="000A5EE2">
        <w:rPr>
          <w:rFonts w:ascii="Garamond" w:hAnsi="Garamond"/>
          <w:color w:val="000000"/>
          <w:szCs w:val="24"/>
        </w:rPr>
        <w:t xml:space="preserve"> sh.a., siç kërkohet shprehimisht nga neni 6, pika 2, e </w:t>
      </w:r>
      <w:r w:rsidR="000A5EE2">
        <w:rPr>
          <w:rFonts w:ascii="Garamond" w:hAnsi="Garamond"/>
          <w:color w:val="000000"/>
          <w:szCs w:val="24"/>
        </w:rPr>
        <w:t>m</w:t>
      </w:r>
      <w:r w:rsidRPr="000A5EE2">
        <w:rPr>
          <w:rFonts w:ascii="Garamond" w:hAnsi="Garamond"/>
          <w:color w:val="000000"/>
          <w:szCs w:val="24"/>
        </w:rPr>
        <w:t>etodologjisë së miratuar me vendimin nr. 286, datë 20.12.2024, sipas së cilës kostot e lejuara të operimit dhe mirëmbajtjes duhet të përfshijnë vetëm ato kosto të arsyeshme që u atribuohen drejtpërdrejt funksioneve të NEMO-s. Mungesa e ndarjes së plotë kontabël e vështirëson vlerësimin e drejtë të kostove të aktivitetit të rregulluar.</w:t>
      </w:r>
    </w:p>
    <w:p w14:paraId="1C73C0B8" w14:textId="43E5C180"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xml:space="preserve">- Evidencat e paraqitura për </w:t>
      </w:r>
      <w:r w:rsidR="000A5EE2" w:rsidRPr="000A5EE2">
        <w:rPr>
          <w:rFonts w:ascii="Garamond" w:hAnsi="Garamond"/>
          <w:color w:val="000000"/>
          <w:szCs w:val="24"/>
        </w:rPr>
        <w:t xml:space="preserve">bazën e rregulluar të aseteve </w:t>
      </w:r>
      <w:r w:rsidRPr="000A5EE2">
        <w:rPr>
          <w:rFonts w:ascii="Garamond" w:hAnsi="Garamond"/>
          <w:color w:val="000000"/>
          <w:szCs w:val="24"/>
        </w:rPr>
        <w:t>(RAB) nuk diferencojnë asetet e përdorura ekskluzivisht për ofrimin e shërbimeve të NEMO-s nga asetet e përgjithshme të shoqërisë, ndonëse metodologjia parashikon qartë që në RAB duhet të përfshihen vetëm asetet e lidhura drejtpërdrejt me ushtrimin e funksioneve të Operatorit të Emëruar të Tregut.</w:t>
      </w:r>
    </w:p>
    <w:p w14:paraId="1FB50B7E" w14:textId="114F4FA4"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Për sa i përket të ardhurave jotarifore, shoqëria deklaron se nuk gjeneron të ardhura të tilla, duke u bazuar në performancën e deritanishme të aktivitetit, gjë që nënkupton se mbulimi i kostove dhe i investimeve të parashikuara do të varet tërësisht nga të ardhurat e gjeneruara nga tarifat e NEMO-s të paraqitura në kapitullin VII.</w:t>
      </w:r>
    </w:p>
    <w:p w14:paraId="6AC997B6" w14:textId="5AB52355" w:rsidR="00ED5DD6" w:rsidRPr="000A5EE2" w:rsidRDefault="00ED5DD6" w:rsidP="00ED5DD6">
      <w:pPr>
        <w:autoSpaceDE w:val="0"/>
        <w:autoSpaceDN w:val="0"/>
        <w:adjustRightInd w:val="0"/>
        <w:spacing w:after="0" w:line="240" w:lineRule="auto"/>
        <w:ind w:firstLine="284"/>
        <w:rPr>
          <w:rFonts w:ascii="Garamond" w:hAnsi="Garamond"/>
          <w:bCs/>
          <w:color w:val="000000"/>
          <w:szCs w:val="24"/>
        </w:rPr>
      </w:pPr>
      <w:r w:rsidRPr="000A5EE2">
        <w:rPr>
          <w:rFonts w:ascii="Garamond" w:hAnsi="Garamond"/>
          <w:bCs/>
          <w:color w:val="000000"/>
          <w:szCs w:val="24"/>
        </w:rPr>
        <w:t>III. Objekti, fushëveprim</w:t>
      </w:r>
      <w:r w:rsidR="000A5EE2">
        <w:rPr>
          <w:rFonts w:ascii="Garamond" w:hAnsi="Garamond"/>
          <w:bCs/>
          <w:color w:val="000000"/>
          <w:szCs w:val="24"/>
        </w:rPr>
        <w:t>i</w:t>
      </w:r>
      <w:r w:rsidRPr="000A5EE2">
        <w:rPr>
          <w:rFonts w:ascii="Garamond" w:hAnsi="Garamond"/>
          <w:bCs/>
          <w:color w:val="000000"/>
          <w:szCs w:val="24"/>
        </w:rPr>
        <w:t xml:space="preserve"> dhe përkufizime</w:t>
      </w:r>
    </w:p>
    <w:p w14:paraId="52CE0957" w14:textId="66BDD3E5"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xml:space="preserve">- Qëllimi i aplikimit të paraqitur nga shoqëria </w:t>
      </w:r>
      <w:r w:rsidR="000A5EE2">
        <w:rPr>
          <w:rFonts w:ascii="Garamond" w:hAnsi="Garamond"/>
          <w:color w:val="000000"/>
          <w:szCs w:val="24"/>
        </w:rPr>
        <w:t>“</w:t>
      </w:r>
      <w:r w:rsidRPr="000A5EE2">
        <w:rPr>
          <w:rFonts w:ascii="Garamond" w:hAnsi="Garamond"/>
          <w:color w:val="000000"/>
          <w:szCs w:val="24"/>
        </w:rPr>
        <w:t>ALPEX</w:t>
      </w:r>
      <w:r w:rsidR="000A5EE2">
        <w:rPr>
          <w:rFonts w:ascii="Garamond" w:hAnsi="Garamond"/>
          <w:color w:val="000000"/>
          <w:szCs w:val="24"/>
        </w:rPr>
        <w:t>”</w:t>
      </w:r>
      <w:r w:rsidRPr="000A5EE2">
        <w:rPr>
          <w:rFonts w:ascii="Garamond" w:hAnsi="Garamond"/>
          <w:color w:val="000000"/>
          <w:szCs w:val="24"/>
        </w:rPr>
        <w:t xml:space="preserve"> sh.a. është miratimi i Listës së Tarifave të Operatorit të Emëruar të Tregut të Energjisë Elektrike (NEMO) për periudhën trevjeçare 2026–2028, në përputhje me dispozitat e “Metodologjisë për </w:t>
      </w:r>
      <w:r w:rsidR="000A5EE2" w:rsidRPr="000A5EE2">
        <w:rPr>
          <w:rFonts w:ascii="Garamond" w:hAnsi="Garamond"/>
          <w:color w:val="000000"/>
          <w:szCs w:val="24"/>
        </w:rPr>
        <w:t xml:space="preserve">përcaktimin e tarifave </w:t>
      </w:r>
      <w:r w:rsidRPr="000A5EE2">
        <w:rPr>
          <w:rFonts w:ascii="Garamond" w:hAnsi="Garamond"/>
          <w:color w:val="000000"/>
          <w:szCs w:val="24"/>
        </w:rPr>
        <w:t>të Operatorit të Emëruar të Tregut të Energjisë Elektrike (NEMO)”, miratuar me vendimin e Bordit të ERE</w:t>
      </w:r>
      <w:r w:rsidR="000A5EE2">
        <w:rPr>
          <w:rFonts w:ascii="Garamond" w:hAnsi="Garamond"/>
          <w:color w:val="000000"/>
          <w:szCs w:val="24"/>
        </w:rPr>
        <w:t>-s</w:t>
      </w:r>
      <w:r w:rsidRPr="000A5EE2">
        <w:rPr>
          <w:rFonts w:ascii="Garamond" w:hAnsi="Garamond"/>
          <w:color w:val="000000"/>
          <w:szCs w:val="24"/>
        </w:rPr>
        <w:t xml:space="preserve"> nr. 286, datë 20.12.2024, dhe duke respektuar parimet rregullatore të kosto-reflektimit, transparencës, proporcionalitetit dhe parashikueshmërisë së tarifave për subjektet pjesëmarrëse në treg. Në këtë kuadër, aplikimi synon të përcaktojë strukturën tarifore, komponentët tariforë dhe mënyrën e llogaritjes së tyre për shërbimet që </w:t>
      </w:r>
      <w:r w:rsidR="000A5EE2">
        <w:rPr>
          <w:rFonts w:ascii="Garamond" w:hAnsi="Garamond"/>
          <w:color w:val="000000"/>
          <w:szCs w:val="24"/>
        </w:rPr>
        <w:t>“</w:t>
      </w:r>
      <w:r w:rsidRPr="000A5EE2">
        <w:rPr>
          <w:rFonts w:ascii="Garamond" w:hAnsi="Garamond"/>
          <w:color w:val="000000"/>
          <w:szCs w:val="24"/>
        </w:rPr>
        <w:t>ALPEX</w:t>
      </w:r>
      <w:r w:rsidR="000A5EE2">
        <w:rPr>
          <w:rFonts w:ascii="Garamond" w:hAnsi="Garamond"/>
          <w:color w:val="000000"/>
          <w:szCs w:val="24"/>
        </w:rPr>
        <w:t>”</w:t>
      </w:r>
      <w:r w:rsidRPr="000A5EE2">
        <w:rPr>
          <w:rFonts w:ascii="Garamond" w:hAnsi="Garamond"/>
          <w:color w:val="000000"/>
          <w:szCs w:val="24"/>
        </w:rPr>
        <w:t xml:space="preserve"> sh.a. ofron si NEMO në zonën e ofertimit të Shqipërisë dhe në zonën e ofertimit të Kosovës.</w:t>
      </w:r>
    </w:p>
    <w:p w14:paraId="454941EC" w14:textId="5699CB0E"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Tarifat e propozuara janë paraqitur të ndara sipas zonave të ofertimit dhe përfshijnë mënyrën e shlyerjes në monedhë vendase për rezidentët dhe në monedhë të huaj (</w:t>
      </w:r>
      <w:r w:rsidR="000A5EE2" w:rsidRPr="000A5EE2">
        <w:rPr>
          <w:rFonts w:ascii="Garamond" w:hAnsi="Garamond"/>
          <w:color w:val="000000"/>
          <w:szCs w:val="24"/>
        </w:rPr>
        <w:t>euro</w:t>
      </w:r>
      <w:r w:rsidRPr="000A5EE2">
        <w:rPr>
          <w:rFonts w:ascii="Garamond" w:hAnsi="Garamond"/>
          <w:color w:val="000000"/>
          <w:szCs w:val="24"/>
        </w:rPr>
        <w:t>) për jorezidentët, duke reflektuar</w:t>
      </w:r>
      <w:r w:rsidR="000A5EE2">
        <w:rPr>
          <w:rFonts w:ascii="Garamond" w:hAnsi="Garamond"/>
          <w:color w:val="000000"/>
          <w:szCs w:val="24"/>
        </w:rPr>
        <w:t>,</w:t>
      </w:r>
      <w:r w:rsidRPr="000A5EE2">
        <w:rPr>
          <w:rFonts w:ascii="Garamond" w:hAnsi="Garamond"/>
          <w:color w:val="000000"/>
          <w:szCs w:val="24"/>
        </w:rPr>
        <w:t xml:space="preserve"> gjithashtu</w:t>
      </w:r>
      <w:r w:rsidR="000A5EE2">
        <w:rPr>
          <w:rFonts w:ascii="Garamond" w:hAnsi="Garamond"/>
          <w:color w:val="000000"/>
          <w:szCs w:val="24"/>
        </w:rPr>
        <w:t>,</w:t>
      </w:r>
      <w:r w:rsidRPr="000A5EE2">
        <w:rPr>
          <w:rFonts w:ascii="Garamond" w:hAnsi="Garamond"/>
          <w:color w:val="000000"/>
          <w:szCs w:val="24"/>
        </w:rPr>
        <w:t xml:space="preserve"> detyrimin ligjor për aplikimin e TVSH-së sipas legjislacionit fiskal në fuqi. Struktura tarifore dhe parashikimi i të ardhurave janë ndërtuar mbi bazën e volumit të pritshëm të aktiviteteve të tregtimit, të dhënave historike dhe treguesve financiarë të paraqitur në aplikim.</w:t>
      </w:r>
    </w:p>
    <w:p w14:paraId="2672C31E" w14:textId="214DA4B7"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xml:space="preserve">- Megjithatë, vlerësimi përfundimtar i aplikimit kërkon paraqitjen e informacionit plotësues financiar, kontabël dhe teknik, i cili është i domosdoshëm për verifikimin e përputhshmërisë së kostove të deklaruara nga shoqëria me kërkesat e metodologjisë nr. 286/2024 dhe me standardet e kontabilitetit. </w:t>
      </w:r>
    </w:p>
    <w:p w14:paraId="1BB41B36" w14:textId="5E53B513"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Në këtë kuadër, pavarësisht se aplikimi përmbush kriteret formale për pranimin për shqyrtim, ai kërkon sqarime dhe dokumentacion shtesë që lidhen me: planin formal të investimeve të NEMO-s për vitin 2026; ndarjen</w:t>
      </w:r>
      <w:r w:rsidR="000A5EE2">
        <w:rPr>
          <w:rFonts w:ascii="Garamond" w:hAnsi="Garamond"/>
          <w:color w:val="000000"/>
          <w:szCs w:val="24"/>
        </w:rPr>
        <w:t xml:space="preserve"> e detajuar të kostove të atrib</w:t>
      </w:r>
      <w:r w:rsidRPr="000A5EE2">
        <w:rPr>
          <w:rFonts w:ascii="Garamond" w:hAnsi="Garamond"/>
          <w:color w:val="000000"/>
          <w:szCs w:val="24"/>
        </w:rPr>
        <w:t>ueshme</w:t>
      </w:r>
      <w:r w:rsidR="000A5EE2">
        <w:rPr>
          <w:rFonts w:ascii="Garamond" w:hAnsi="Garamond"/>
          <w:color w:val="000000"/>
          <w:szCs w:val="24"/>
        </w:rPr>
        <w:t>,</w:t>
      </w:r>
      <w:r w:rsidRPr="000A5EE2">
        <w:rPr>
          <w:rFonts w:ascii="Garamond" w:hAnsi="Garamond"/>
          <w:color w:val="000000"/>
          <w:szCs w:val="24"/>
        </w:rPr>
        <w:t xml:space="preserve"> posaçërisht aktivitetit të NEMO-s, të veçuara nga aktivitetet e tjera të </w:t>
      </w:r>
      <w:r w:rsidR="000A5EE2">
        <w:rPr>
          <w:rFonts w:ascii="Garamond" w:hAnsi="Garamond"/>
          <w:color w:val="000000"/>
          <w:szCs w:val="24"/>
        </w:rPr>
        <w:t>“</w:t>
      </w:r>
      <w:r w:rsidRPr="000A5EE2">
        <w:rPr>
          <w:rFonts w:ascii="Garamond" w:hAnsi="Garamond"/>
          <w:color w:val="000000"/>
          <w:szCs w:val="24"/>
        </w:rPr>
        <w:t>ALPEX</w:t>
      </w:r>
      <w:r w:rsidR="000A5EE2">
        <w:rPr>
          <w:rFonts w:ascii="Garamond" w:hAnsi="Garamond"/>
          <w:color w:val="000000"/>
          <w:szCs w:val="24"/>
        </w:rPr>
        <w:t>”</w:t>
      </w:r>
      <w:r w:rsidRPr="000A5EE2">
        <w:rPr>
          <w:rFonts w:ascii="Garamond" w:hAnsi="Garamond"/>
          <w:color w:val="000000"/>
          <w:szCs w:val="24"/>
        </w:rPr>
        <w:t xml:space="preserve"> sh.a.; identifikimin dhe justifikimin e aseteve të përfshira në </w:t>
      </w:r>
      <w:r w:rsidR="000A5EE2" w:rsidRPr="000A5EE2">
        <w:rPr>
          <w:rFonts w:ascii="Garamond" w:hAnsi="Garamond"/>
          <w:color w:val="000000"/>
          <w:szCs w:val="24"/>
        </w:rPr>
        <w:lastRenderedPageBreak/>
        <w:t xml:space="preserve">bazën e rregulluar të aseteve </w:t>
      </w:r>
      <w:r w:rsidRPr="000A5EE2">
        <w:rPr>
          <w:rFonts w:ascii="Garamond" w:hAnsi="Garamond"/>
          <w:color w:val="000000"/>
          <w:szCs w:val="24"/>
        </w:rPr>
        <w:t>(RAB)</w:t>
      </w:r>
      <w:r w:rsidR="000A5EE2">
        <w:rPr>
          <w:rFonts w:ascii="Garamond" w:hAnsi="Garamond"/>
          <w:color w:val="000000"/>
          <w:szCs w:val="24"/>
        </w:rPr>
        <w:t>,</w:t>
      </w:r>
      <w:r w:rsidRPr="000A5EE2">
        <w:rPr>
          <w:rFonts w:ascii="Garamond" w:hAnsi="Garamond"/>
          <w:color w:val="000000"/>
          <w:szCs w:val="24"/>
        </w:rPr>
        <w:t xml:space="preserve"> duke evidentuar vetëm asetet e lidhura drejtpërdrejt me ofrimin e shërbimeve të NEMO-s; si edhe çdo informacion tjetër mbështetës që do të kërkohet gjatë vijimit të procesit të shqyrtimit.</w:t>
      </w:r>
    </w:p>
    <w:p w14:paraId="67849AC4" w14:textId="2BDF6EFB"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xml:space="preserve">- Në zbatim të nenit 21, pika 4, të </w:t>
      </w:r>
      <w:r w:rsidR="000A5EE2">
        <w:rPr>
          <w:rFonts w:ascii="Garamond" w:hAnsi="Garamond"/>
          <w:color w:val="000000"/>
          <w:szCs w:val="24"/>
        </w:rPr>
        <w:t>r</w:t>
      </w:r>
      <w:r w:rsidRPr="000A5EE2">
        <w:rPr>
          <w:rFonts w:ascii="Garamond" w:hAnsi="Garamond"/>
          <w:color w:val="000000"/>
          <w:szCs w:val="24"/>
        </w:rPr>
        <w:t>regullores nr. 96/2016, ERE ruan të drejtën të kërkojë çdo informacion që konsiderohet i nevojshëm për vendimmarrje.</w:t>
      </w:r>
    </w:p>
    <w:p w14:paraId="5316FABC" w14:textId="400B5D3F"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xml:space="preserve">Për gjithë sa më sipër, </w:t>
      </w:r>
      <w:r w:rsidR="000A5EE2" w:rsidRPr="000A5EE2">
        <w:rPr>
          <w:rFonts w:ascii="Garamond" w:hAnsi="Garamond"/>
          <w:color w:val="000000"/>
          <w:szCs w:val="24"/>
        </w:rPr>
        <w:t xml:space="preserve">Bordi </w:t>
      </w:r>
      <w:r w:rsidR="000A5EE2">
        <w:rPr>
          <w:rFonts w:ascii="Garamond" w:hAnsi="Garamond"/>
          <w:color w:val="000000"/>
          <w:szCs w:val="24"/>
        </w:rPr>
        <w:t>i ERE-s</w:t>
      </w:r>
    </w:p>
    <w:p w14:paraId="1F732B93" w14:textId="77777777" w:rsidR="00ED5DD6" w:rsidRPr="000A5EE2" w:rsidRDefault="00ED5DD6" w:rsidP="00ED5DD6">
      <w:pPr>
        <w:autoSpaceDE w:val="0"/>
        <w:autoSpaceDN w:val="0"/>
        <w:adjustRightInd w:val="0"/>
        <w:spacing w:after="0" w:line="240" w:lineRule="auto"/>
        <w:ind w:firstLine="284"/>
        <w:rPr>
          <w:rFonts w:ascii="Garamond" w:hAnsi="Garamond"/>
          <w:color w:val="000000"/>
          <w:szCs w:val="24"/>
        </w:rPr>
      </w:pPr>
    </w:p>
    <w:p w14:paraId="339DCFE5" w14:textId="4210F452" w:rsidR="00ED5DD6" w:rsidRPr="000A5EE2" w:rsidRDefault="00ED5DD6" w:rsidP="00ED5DD6">
      <w:pPr>
        <w:autoSpaceDE w:val="0"/>
        <w:autoSpaceDN w:val="0"/>
        <w:adjustRightInd w:val="0"/>
        <w:spacing w:after="0" w:line="240" w:lineRule="auto"/>
        <w:ind w:firstLine="284"/>
        <w:jc w:val="center"/>
        <w:rPr>
          <w:rFonts w:ascii="Garamond" w:hAnsi="Garamond"/>
          <w:bCs/>
          <w:color w:val="000000"/>
          <w:szCs w:val="24"/>
        </w:rPr>
      </w:pPr>
      <w:r w:rsidRPr="000A5EE2">
        <w:rPr>
          <w:rFonts w:ascii="Garamond" w:hAnsi="Garamond"/>
          <w:bCs/>
          <w:color w:val="000000"/>
          <w:szCs w:val="24"/>
        </w:rPr>
        <w:t>VENDOSI:</w:t>
      </w:r>
    </w:p>
    <w:p w14:paraId="483D569D" w14:textId="77777777" w:rsidR="00ED5DD6" w:rsidRPr="000A5EE2" w:rsidRDefault="00ED5DD6" w:rsidP="00ED5DD6">
      <w:pPr>
        <w:autoSpaceDE w:val="0"/>
        <w:autoSpaceDN w:val="0"/>
        <w:adjustRightInd w:val="0"/>
        <w:spacing w:after="0" w:line="240" w:lineRule="auto"/>
        <w:ind w:firstLine="284"/>
        <w:jc w:val="center"/>
        <w:rPr>
          <w:rFonts w:ascii="Garamond" w:hAnsi="Garamond"/>
          <w:b/>
          <w:bCs/>
          <w:color w:val="000000"/>
          <w:szCs w:val="24"/>
        </w:rPr>
      </w:pPr>
    </w:p>
    <w:p w14:paraId="74309761" w14:textId="6AF7C811"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 xml:space="preserve">1. Fillimin e procedurës për shqyrtimin e kërkesës së shoqërisë </w:t>
      </w:r>
      <w:r w:rsidR="000A5EE2">
        <w:rPr>
          <w:rFonts w:ascii="Garamond" w:hAnsi="Garamond"/>
          <w:color w:val="000000"/>
          <w:szCs w:val="24"/>
        </w:rPr>
        <w:t>“</w:t>
      </w:r>
      <w:r w:rsidR="000A5EE2" w:rsidRPr="000A5EE2">
        <w:rPr>
          <w:rFonts w:ascii="Garamond" w:hAnsi="Garamond"/>
          <w:color w:val="000000"/>
          <w:szCs w:val="24"/>
        </w:rPr>
        <w:t>ALPEX</w:t>
      </w:r>
      <w:r w:rsidR="000A5EE2">
        <w:rPr>
          <w:rFonts w:ascii="Garamond" w:hAnsi="Garamond"/>
          <w:color w:val="000000"/>
          <w:szCs w:val="24"/>
        </w:rPr>
        <w:t>”</w:t>
      </w:r>
      <w:r w:rsidRPr="000A5EE2">
        <w:rPr>
          <w:rFonts w:ascii="Garamond" w:hAnsi="Garamond"/>
          <w:color w:val="000000"/>
          <w:szCs w:val="24"/>
        </w:rPr>
        <w:t xml:space="preserve"> sh.a. për përcaktimin e tarifave të NEMO-s për vitin 2026.</w:t>
      </w:r>
    </w:p>
    <w:p w14:paraId="4AEB4DD5" w14:textId="734F9558"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2. D</w:t>
      </w:r>
      <w:r w:rsidR="000A5EE2">
        <w:rPr>
          <w:rFonts w:ascii="Garamond" w:hAnsi="Garamond"/>
          <w:color w:val="000000"/>
          <w:szCs w:val="24"/>
        </w:rPr>
        <w:t>rejtoria e Tarifave dhe Çmimeve</w:t>
      </w:r>
      <w:r w:rsidRPr="000A5EE2">
        <w:rPr>
          <w:rFonts w:ascii="Garamond" w:hAnsi="Garamond"/>
          <w:color w:val="000000"/>
          <w:szCs w:val="24"/>
        </w:rPr>
        <w:t xml:space="preserve"> të njoftojë shoqërinë </w:t>
      </w:r>
      <w:r w:rsidR="000A5EE2">
        <w:rPr>
          <w:rFonts w:ascii="Garamond" w:hAnsi="Garamond"/>
          <w:color w:val="000000"/>
          <w:szCs w:val="24"/>
        </w:rPr>
        <w:t>“</w:t>
      </w:r>
      <w:r w:rsidRPr="000A5EE2">
        <w:rPr>
          <w:rFonts w:ascii="Garamond" w:hAnsi="Garamond"/>
          <w:color w:val="000000"/>
          <w:szCs w:val="24"/>
        </w:rPr>
        <w:t>ALPEX</w:t>
      </w:r>
      <w:r w:rsidR="000A5EE2">
        <w:rPr>
          <w:rFonts w:ascii="Garamond" w:hAnsi="Garamond"/>
          <w:color w:val="000000"/>
          <w:szCs w:val="24"/>
        </w:rPr>
        <w:t>”</w:t>
      </w:r>
      <w:r w:rsidRPr="000A5EE2">
        <w:rPr>
          <w:rFonts w:ascii="Garamond" w:hAnsi="Garamond"/>
          <w:color w:val="000000"/>
          <w:szCs w:val="24"/>
        </w:rPr>
        <w:t xml:space="preserve"> sh.a., Zyrën e Rregullatorit për Energji (ZRRE) të Kosovës</w:t>
      </w:r>
      <w:r w:rsidR="000A5EE2">
        <w:rPr>
          <w:rFonts w:ascii="Garamond" w:hAnsi="Garamond"/>
          <w:color w:val="000000"/>
          <w:szCs w:val="24"/>
        </w:rPr>
        <w:t>,</w:t>
      </w:r>
      <w:r w:rsidRPr="000A5EE2">
        <w:rPr>
          <w:rFonts w:ascii="Garamond" w:hAnsi="Garamond"/>
          <w:color w:val="000000"/>
          <w:szCs w:val="24"/>
        </w:rPr>
        <w:t xml:space="preserve"> si dhe palët e interesit për vendimin e </w:t>
      </w:r>
      <w:r w:rsidR="000A5EE2" w:rsidRPr="000A5EE2">
        <w:rPr>
          <w:rFonts w:ascii="Garamond" w:hAnsi="Garamond"/>
          <w:color w:val="000000"/>
          <w:szCs w:val="24"/>
        </w:rPr>
        <w:t xml:space="preserve">Bordit </w:t>
      </w:r>
      <w:r w:rsidRPr="000A5EE2">
        <w:rPr>
          <w:rFonts w:ascii="Garamond" w:hAnsi="Garamond"/>
          <w:color w:val="000000"/>
          <w:szCs w:val="24"/>
        </w:rPr>
        <w:t>të ERE-s.</w:t>
      </w:r>
    </w:p>
    <w:p w14:paraId="3DF20824" w14:textId="77777777"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Ky vendim hyn në fuqi menjëherë.</w:t>
      </w:r>
    </w:p>
    <w:p w14:paraId="092F2B6B" w14:textId="04D647F4"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Çdo palë e përfshirë në këtë procedurë mund</w:t>
      </w:r>
      <w:bookmarkStart w:id="0" w:name="_GoBack"/>
      <w:r w:rsidRPr="000A5EE2">
        <w:rPr>
          <w:rFonts w:ascii="Garamond" w:hAnsi="Garamond"/>
          <w:color w:val="000000"/>
          <w:szCs w:val="24"/>
        </w:rPr>
        <w:t xml:space="preserve"> t’</w:t>
      </w:r>
      <w:bookmarkEnd w:id="0"/>
      <w:r w:rsidRPr="000A5EE2">
        <w:rPr>
          <w:rFonts w:ascii="Garamond" w:hAnsi="Garamond"/>
          <w:color w:val="000000"/>
          <w:szCs w:val="24"/>
        </w:rPr>
        <w:t xml:space="preserve">i kërkojë ERE-s, brenda 7 ditëve kalendarike nga data e marrjes së vendimit, rishikimin e vendimit të </w:t>
      </w:r>
      <w:r w:rsidR="000A5EE2" w:rsidRPr="000A5EE2">
        <w:rPr>
          <w:rFonts w:ascii="Garamond" w:hAnsi="Garamond"/>
          <w:color w:val="000000"/>
          <w:szCs w:val="24"/>
        </w:rPr>
        <w:t xml:space="preserve">Bordit </w:t>
      </w:r>
      <w:r w:rsidRPr="000A5EE2">
        <w:rPr>
          <w:rFonts w:ascii="Garamond" w:hAnsi="Garamond"/>
          <w:color w:val="000000"/>
          <w:szCs w:val="24"/>
        </w:rPr>
        <w:t xml:space="preserve">në rast se ka siguruar prova të reja që mund ta çojnë </w:t>
      </w:r>
      <w:r w:rsidR="000A5EE2" w:rsidRPr="000A5EE2">
        <w:rPr>
          <w:rFonts w:ascii="Garamond" w:hAnsi="Garamond"/>
          <w:color w:val="000000"/>
          <w:szCs w:val="24"/>
        </w:rPr>
        <w:t xml:space="preserve">Bordin </w:t>
      </w:r>
      <w:r w:rsidRPr="000A5EE2">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71A14F48" w14:textId="77777777" w:rsidR="00ED5DD6" w:rsidRPr="000A5EE2" w:rsidRDefault="00ED5DD6" w:rsidP="00ED5DD6">
      <w:pPr>
        <w:autoSpaceDE w:val="0"/>
        <w:autoSpaceDN w:val="0"/>
        <w:adjustRightInd w:val="0"/>
        <w:spacing w:after="0" w:line="240" w:lineRule="auto"/>
        <w:ind w:firstLine="284"/>
        <w:rPr>
          <w:rFonts w:ascii="Garamond" w:hAnsi="Garamond"/>
          <w:color w:val="000000"/>
          <w:szCs w:val="24"/>
        </w:rPr>
      </w:pPr>
      <w:r w:rsidRPr="000A5EE2">
        <w:rPr>
          <w:rFonts w:ascii="Garamond" w:hAnsi="Garamond"/>
          <w:color w:val="000000"/>
          <w:szCs w:val="24"/>
        </w:rPr>
        <w:t>Ky vendim botohet në Fletoren Zyrtare.</w:t>
      </w:r>
    </w:p>
    <w:p w14:paraId="546B6BD3" w14:textId="77777777" w:rsidR="00ED5DD6" w:rsidRPr="000A5EE2" w:rsidRDefault="00ED5DD6" w:rsidP="00ED5DD6">
      <w:pPr>
        <w:autoSpaceDE w:val="0"/>
        <w:autoSpaceDN w:val="0"/>
        <w:adjustRightInd w:val="0"/>
        <w:spacing w:after="0" w:line="240" w:lineRule="auto"/>
        <w:ind w:firstLine="284"/>
        <w:rPr>
          <w:rFonts w:ascii="Garamond" w:hAnsi="Garamond"/>
          <w:color w:val="000000"/>
          <w:szCs w:val="24"/>
        </w:rPr>
      </w:pPr>
    </w:p>
    <w:p w14:paraId="3814626F" w14:textId="34247A53" w:rsidR="00ED5DD6" w:rsidRPr="000A5EE2" w:rsidRDefault="00ED5DD6" w:rsidP="00ED5DD6">
      <w:pPr>
        <w:autoSpaceDE w:val="0"/>
        <w:autoSpaceDN w:val="0"/>
        <w:adjustRightInd w:val="0"/>
        <w:spacing w:after="0" w:line="240" w:lineRule="auto"/>
        <w:ind w:firstLine="284"/>
        <w:jc w:val="right"/>
        <w:rPr>
          <w:rFonts w:ascii="Garamond" w:hAnsi="Garamond"/>
          <w:bCs/>
          <w:color w:val="000000"/>
          <w:szCs w:val="24"/>
        </w:rPr>
      </w:pPr>
      <w:r w:rsidRPr="000A5EE2">
        <w:rPr>
          <w:rFonts w:ascii="Garamond" w:hAnsi="Garamond"/>
          <w:bCs/>
          <w:color w:val="000000"/>
          <w:szCs w:val="24"/>
        </w:rPr>
        <w:t>KRYETAR</w:t>
      </w:r>
    </w:p>
    <w:p w14:paraId="0110FB91" w14:textId="54B64D20" w:rsidR="00ED5DD6" w:rsidRPr="000A5EE2" w:rsidRDefault="00ED5DD6" w:rsidP="00ED5DD6">
      <w:pPr>
        <w:autoSpaceDE w:val="0"/>
        <w:autoSpaceDN w:val="0"/>
        <w:adjustRightInd w:val="0"/>
        <w:spacing w:after="0" w:line="240" w:lineRule="auto"/>
        <w:ind w:firstLine="284"/>
        <w:jc w:val="right"/>
        <w:rPr>
          <w:rFonts w:ascii="Garamond" w:hAnsi="Garamond"/>
          <w:color w:val="000000"/>
          <w:szCs w:val="24"/>
        </w:rPr>
      </w:pPr>
      <w:r w:rsidRPr="000A5EE2">
        <w:rPr>
          <w:rFonts w:ascii="Garamond" w:hAnsi="Garamond"/>
          <w:b/>
          <w:bCs/>
          <w:color w:val="000000"/>
          <w:szCs w:val="24"/>
        </w:rPr>
        <w:t>Petrit Ahmeti</w:t>
      </w:r>
    </w:p>
    <w:p w14:paraId="2AD599B0" w14:textId="4A384341" w:rsidR="00713605" w:rsidRPr="000A5EE2" w:rsidRDefault="00713605" w:rsidP="00ED5DD6">
      <w:pPr>
        <w:spacing w:after="0" w:line="240" w:lineRule="auto"/>
        <w:ind w:firstLine="284"/>
        <w:rPr>
          <w:rFonts w:ascii="Garamond" w:hAnsi="Garamond"/>
        </w:rPr>
      </w:pPr>
    </w:p>
    <w:sectPr w:rsidR="00713605" w:rsidRPr="000A5EE2" w:rsidSect="000A5EE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72018" w14:textId="77777777" w:rsidR="000A5EE2" w:rsidRDefault="000A5EE2">
      <w:pPr>
        <w:spacing w:after="0" w:line="240" w:lineRule="auto"/>
      </w:pPr>
      <w:r>
        <w:separator/>
      </w:r>
    </w:p>
  </w:endnote>
  <w:endnote w:type="continuationSeparator" w:id="0">
    <w:p w14:paraId="1979CDD2" w14:textId="77777777" w:rsidR="000A5EE2" w:rsidRDefault="000A5EE2">
      <w:pPr>
        <w:spacing w:after="0" w:line="240" w:lineRule="auto"/>
      </w:pPr>
      <w:r>
        <w:continuationSeparator/>
      </w:r>
    </w:p>
  </w:endnote>
  <w:endnote w:type="continuationNotice" w:id="1">
    <w:p w14:paraId="2DD31AA0" w14:textId="77777777" w:rsidR="00E0277F" w:rsidRDefault="00E027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85EFE" w14:textId="77777777" w:rsidR="000A5EE2" w:rsidRDefault="000A5EE2">
      <w:pPr>
        <w:spacing w:after="0" w:line="240" w:lineRule="auto"/>
      </w:pPr>
      <w:r>
        <w:separator/>
      </w:r>
    </w:p>
  </w:footnote>
  <w:footnote w:type="continuationSeparator" w:id="0">
    <w:p w14:paraId="7BADC87C" w14:textId="77777777" w:rsidR="000A5EE2" w:rsidRDefault="000A5EE2">
      <w:pPr>
        <w:spacing w:after="0" w:line="240" w:lineRule="auto"/>
      </w:pPr>
      <w:r>
        <w:continuationSeparator/>
      </w:r>
    </w:p>
  </w:footnote>
  <w:footnote w:type="continuationNotice" w:id="1">
    <w:p w14:paraId="28F06074" w14:textId="77777777" w:rsidR="00E0277F" w:rsidRDefault="00E0277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BEDC84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000002"/>
    <w:multiLevelType w:val="hybridMultilevel"/>
    <w:tmpl w:val="68A2A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6B08B48E"/>
    <w:lvl w:ilvl="0" w:tplc="8BF8439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0000004"/>
    <w:multiLevelType w:val="hybridMultilevel"/>
    <w:tmpl w:val="5F86F3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00000005"/>
    <w:multiLevelType w:val="hybridMultilevel"/>
    <w:tmpl w:val="75B0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7EEC86AC"/>
    <w:lvl w:ilvl="0" w:tplc="0409000D">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6" w15:restartNumberingAfterBreak="0">
    <w:nsid w:val="00000007"/>
    <w:multiLevelType w:val="hybridMultilevel"/>
    <w:tmpl w:val="6F9C3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ED14C6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0000009"/>
    <w:multiLevelType w:val="hybridMultilevel"/>
    <w:tmpl w:val="BEF8CB94"/>
    <w:lvl w:ilvl="0" w:tplc="79BE0744">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000000A"/>
    <w:multiLevelType w:val="hybridMultilevel"/>
    <w:tmpl w:val="22A435CA"/>
    <w:lvl w:ilvl="0" w:tplc="57E0A49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C7BAB064"/>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0000000C"/>
    <w:multiLevelType w:val="hybridMultilevel"/>
    <w:tmpl w:val="7EEC86AC"/>
    <w:lvl w:ilvl="0" w:tplc="0409000D">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2" w15:restartNumberingAfterBreak="0">
    <w:nsid w:val="0000000D"/>
    <w:multiLevelType w:val="hybridMultilevel"/>
    <w:tmpl w:val="6FEC1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5434BB7A"/>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0000010"/>
    <w:multiLevelType w:val="hybridMultilevel"/>
    <w:tmpl w:val="D1C4E5B0"/>
    <w:lvl w:ilvl="0" w:tplc="57E0A49C">
      <w:start w:val="1"/>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6" w15:restartNumberingAfterBreak="0">
    <w:nsid w:val="00000011"/>
    <w:multiLevelType w:val="hybridMultilevel"/>
    <w:tmpl w:val="8352618C"/>
    <w:lvl w:ilvl="0" w:tplc="CD18B9D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0000012"/>
    <w:multiLevelType w:val="multilevel"/>
    <w:tmpl w:val="9A009C8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00000013"/>
    <w:multiLevelType w:val="hybridMultilevel"/>
    <w:tmpl w:val="20303760"/>
    <w:lvl w:ilvl="0" w:tplc="57E0A49C">
      <w:start w:val="1"/>
      <w:numFmt w:val="bullet"/>
      <w:lvlText w:val="-"/>
      <w:lvlJc w:val="left"/>
      <w:pPr>
        <w:ind w:left="1440" w:hanging="360"/>
      </w:pPr>
      <w:rPr>
        <w:rFonts w:ascii="Times New Roman" w:eastAsia="Calibri"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9" w15:restartNumberingAfterBreak="0">
    <w:nsid w:val="00000014"/>
    <w:multiLevelType w:val="hybridMultilevel"/>
    <w:tmpl w:val="62667560"/>
    <w:lvl w:ilvl="0" w:tplc="57E0A49C">
      <w:start w:val="1"/>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8B140EC6"/>
    <w:lvl w:ilvl="0" w:tplc="57E0A49C">
      <w:start w:val="1"/>
      <w:numFmt w:val="bullet"/>
      <w:lvlText w:val="-"/>
      <w:lvlJc w:val="left"/>
      <w:pPr>
        <w:ind w:left="720" w:hanging="360"/>
      </w:pPr>
      <w:rPr>
        <w:rFonts w:ascii="Times New Roman" w:eastAsia="Calibr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67441144"/>
    <w:lvl w:ilvl="0" w:tplc="AE90770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0000017"/>
    <w:multiLevelType w:val="hybridMultilevel"/>
    <w:tmpl w:val="98FCA982"/>
    <w:lvl w:ilvl="0" w:tplc="57E0A49C">
      <w:start w:val="1"/>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D8748DD4"/>
    <w:lvl w:ilvl="0" w:tplc="8BF8439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573E6078"/>
    <w:lvl w:ilvl="0" w:tplc="DFC89276">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0000001A"/>
    <w:multiLevelType w:val="hybridMultilevel"/>
    <w:tmpl w:val="3626B9E0"/>
    <w:lvl w:ilvl="0" w:tplc="B8D8B84E">
      <w:start w:val="4"/>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000001B"/>
    <w:multiLevelType w:val="hybridMultilevel"/>
    <w:tmpl w:val="94BC7290"/>
    <w:lvl w:ilvl="0" w:tplc="8B94501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0000001C"/>
    <w:multiLevelType w:val="hybridMultilevel"/>
    <w:tmpl w:val="547ED330"/>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000001D"/>
    <w:multiLevelType w:val="hybridMultilevel"/>
    <w:tmpl w:val="5F96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BF54AB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F05460E"/>
    <w:multiLevelType w:val="hybridMultilevel"/>
    <w:tmpl w:val="EB14EFC2"/>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5"/>
  </w:num>
  <w:num w:numId="2">
    <w:abstractNumId w:val="21"/>
  </w:num>
  <w:num w:numId="3">
    <w:abstractNumId w:val="16"/>
  </w:num>
  <w:num w:numId="4">
    <w:abstractNumId w:val="15"/>
  </w:num>
  <w:num w:numId="5">
    <w:abstractNumId w:val="8"/>
  </w:num>
  <w:num w:numId="6">
    <w:abstractNumId w:val="6"/>
  </w:num>
  <w:num w:numId="7">
    <w:abstractNumId w:val="4"/>
  </w:num>
  <w:num w:numId="8">
    <w:abstractNumId w:val="2"/>
  </w:num>
  <w:num w:numId="9">
    <w:abstractNumId w:val="3"/>
  </w:num>
  <w:num w:numId="10">
    <w:abstractNumId w:val="1"/>
  </w:num>
  <w:num w:numId="11">
    <w:abstractNumId w:val="23"/>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30"/>
  </w:num>
  <w:num w:numId="15">
    <w:abstractNumId w:val="5"/>
  </w:num>
  <w:num w:numId="16">
    <w:abstractNumId w:val="11"/>
  </w:num>
  <w:num w:numId="17">
    <w:abstractNumId w:val="7"/>
  </w:num>
  <w:num w:numId="18">
    <w:abstractNumId w:val="0"/>
  </w:num>
  <w:num w:numId="19">
    <w:abstractNumId w:val="9"/>
  </w:num>
  <w:num w:numId="20">
    <w:abstractNumId w:val="12"/>
  </w:num>
  <w:num w:numId="21">
    <w:abstractNumId w:val="10"/>
  </w:num>
  <w:num w:numId="22">
    <w:abstractNumId w:val="13"/>
  </w:num>
  <w:num w:numId="23">
    <w:abstractNumId w:val="17"/>
  </w:num>
  <w:num w:numId="24">
    <w:abstractNumId w:val="14"/>
  </w:num>
  <w:num w:numId="25">
    <w:abstractNumId w:val="19"/>
  </w:num>
  <w:num w:numId="26">
    <w:abstractNumId w:val="18"/>
  </w:num>
  <w:num w:numId="27">
    <w:abstractNumId w:val="20"/>
  </w:num>
  <w:num w:numId="28">
    <w:abstractNumId w:val="22"/>
  </w:num>
  <w:num w:numId="29">
    <w:abstractNumId w:val="26"/>
  </w:num>
  <w:num w:numId="30">
    <w:abstractNumId w:val="24"/>
  </w:num>
  <w:num w:numId="31">
    <w:abstractNumId w:val="28"/>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605"/>
    <w:rsid w:val="000A5EE2"/>
    <w:rsid w:val="00361615"/>
    <w:rsid w:val="00507126"/>
    <w:rsid w:val="006B2582"/>
    <w:rsid w:val="00713605"/>
    <w:rsid w:val="00956939"/>
    <w:rsid w:val="00972E2A"/>
    <w:rsid w:val="00A90EEB"/>
    <w:rsid w:val="00AA289D"/>
    <w:rsid w:val="00BC527C"/>
    <w:rsid w:val="00E0277F"/>
    <w:rsid w:val="00E534EB"/>
    <w:rsid w:val="00ED5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CC1B2"/>
  <w15:docId w15:val="{C8C56700-4253-457A-90AE-084A1869C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4"/>
        <w:szCs w:val="22"/>
        <w:lang w:val="en-GB"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13"/>
        <w:tab w:val="right" w:pos="9026"/>
      </w:tabs>
      <w:spacing w:after="0" w:line="240" w:lineRule="auto"/>
      <w:jc w:val="left"/>
    </w:pPr>
    <w:rPr>
      <w:rFonts w:ascii="Calibri" w:hAnsi="Calibri" w:cs="SimSun"/>
      <w:sz w:val="22"/>
    </w:rPr>
  </w:style>
  <w:style w:type="character" w:customStyle="1" w:styleId="FooterChar">
    <w:name w:val="Footer Char"/>
    <w:basedOn w:val="DefaultParagraphFont"/>
    <w:link w:val="Footer"/>
    <w:rPr>
      <w:rFonts w:ascii="Calibri" w:hAnsi="Calibri" w:cs="SimSun"/>
      <w:sz w:val="22"/>
      <w:lang w:val="sq-AL"/>
    </w:rPr>
  </w:style>
  <w:style w:type="character" w:styleId="Hyperlink">
    <w:name w:val="Hyperlink"/>
    <w:uiPriority w:val="99"/>
    <w:rPr>
      <w:color w:val="0563C1"/>
      <w:u w:val="single"/>
    </w:rPr>
  </w:style>
  <w:style w:type="paragraph" w:styleId="ListParagraph">
    <w:name w:val="List Paragraph"/>
    <w:basedOn w:val="Normal"/>
    <w:uiPriority w:val="34"/>
    <w:qFormat/>
    <w:pPr>
      <w:spacing w:after="0" w:line="240" w:lineRule="auto"/>
      <w:ind w:left="720"/>
      <w:contextualSpacing/>
      <w:jc w:val="left"/>
    </w:pPr>
    <w:rPr>
      <w:rFonts w:eastAsia="Times New Roman"/>
      <w:szCs w:val="24"/>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NormalWeb">
    <w:name w:val="Normal (Web)"/>
    <w:basedOn w:val="Normal"/>
    <w:uiPriority w:val="99"/>
    <w:pPr>
      <w:spacing w:before="100" w:beforeAutospacing="1" w:after="100" w:afterAutospacing="1" w:line="240" w:lineRule="auto"/>
      <w:jc w:val="left"/>
    </w:pPr>
    <w:rPr>
      <w:rFonts w:eastAsia="Times New Roman"/>
      <w:szCs w:val="24"/>
      <w:lang w:val="en-US"/>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tyles" Target="styles.xml"/><Relationship Id="rId3" Type="http://schemas.openxmlformats.org/officeDocument/2006/relationships/customXml" Target="../customXml/item3.xml"/><Relationship Id="rId21" Type="http://schemas.openxmlformats.org/officeDocument/2006/relationships/footnotes" Target="foot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webSettings" Target="web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307</Nr_x002e__x0020_akti>
    <Data_x0020_e_x0020_Krijimit xmlns="0e656187-b300-4fb0-8bf4-3a50f872073c">2025-12-15T15:18:17Z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2025-12-15T00:00:00Z</Date_x0020_protokolli>
    <Titulli xmlns="0e656187-b300-4fb0-8bf4-3a50f872073c">Mbi shqyrtimin e kërkesës së shoqërisë ALPEX sh.a. për përcaktimin e tarifave të NEMO për vitet 2026 - 2028</Titulli>
    <Modifikuesi xmlns="0e656187-b300-4fb0-8bf4-3a50f872073c">keisina.zace</Modifikuesi>
    <Nr_x002e__x0020_prot_x0020_QBZ xmlns="0e656187-b300-4fb0-8bf4-3a50f872073c">2099/1</Nr_x002e__x0020_prot_x0020_QBZ>
    <Data_x0020_e_x0020_Modifikimit xmlns="0e656187-b300-4fb0-8bf4-3a50f872073c">2025-12-16T09:42:13Z</Data_x0020_e_x0020_Modifikimit>
    <Dekretuar xmlns="0e656187-b300-4fb0-8bf4-3a50f872073c">false</Dekretuar>
    <Data xmlns="0e656187-b300-4fb0-8bf4-3a50f872073c">2025-11-21T00:00:00Z</Data>
    <Nr_x002e__x0020_protokolli_x0020_i_x0020_aktit xmlns="0e656187-b300-4fb0-8bf4-3a50f872073c">3035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ct:contentTypeSchema xmlns:ct="http://schemas.microsoft.com/office/2006/metadata/contentType" xmlns:ma="http://schemas.microsoft.com/office/2006/metadata/properties/metaAttributes" ct:_="" ma:_="" ma:contentTypeName="Akt ligjor" ma:contentTypeID="0x010100F043F929CD8948F3AB96E78A66F738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5.xml><?xml version="1.0" encoding="utf-8"?>
<?mso-contentType ?>
<FormTemplates xmlns="http://schemas.microsoft.com/sharepoint/v3/contenttype/forms">
  <Display>DocumentLibraryForm</Display>
  <Edit>DocumentLibraryForm</Edit>
  <New>DocumentLibraryForm</New>
</FormTemplates>
</file>

<file path=customXml/item16.xml><?xml version="1.0" encoding="utf-8"?>
<ct:contentTypeSchema xmlns:ct="http://schemas.microsoft.com/office/2006/metadata/contentType" xmlns:ma="http://schemas.microsoft.com/office/2006/metadata/properties/metaAttributes" ct:_="" ma:_="" ma:contentTypeName="Akt ligjor" ma:contentTypeID="0x010100F043F929CD8948F3AB96E78A66F738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A7AEF77-FD83-485E-BAB3-DD5198C37279}">
  <ds:schemaRefs>
    <ds:schemaRef ds:uri="http://www.wps.cn/android/officeDocument/2013/mofficeCustomData"/>
  </ds:schemaRefs>
</ds:datastoreItem>
</file>

<file path=customXml/itemProps2.xml><?xml version="1.0" encoding="utf-8"?>
<ds:datastoreItem xmlns:ds="http://schemas.openxmlformats.org/officeDocument/2006/customXml" ds:itemID="{DBE3ED45-2084-40C4-A9ED-E696953D77F3}">
  <ds:schemaRefs>
    <ds:schemaRef ds:uri="http://www.wps.cn/android/officeDocument/2013/mofficeCustomData"/>
  </ds:schemaRefs>
</ds:datastoreItem>
</file>

<file path=customXml/itemProps3.xml><?xml version="1.0" encoding="utf-8"?>
<ds:datastoreItem xmlns:ds="http://schemas.openxmlformats.org/officeDocument/2006/customXml" ds:itemID="{26C3C92C-39AD-40C2-BB16-944BD53B8A0A}">
  <ds:schemaRefs>
    <ds:schemaRef ds:uri="http://www.wps.cn/android/officeDocument/2013/mofficeCustomData"/>
  </ds:schemaRefs>
</ds:datastoreItem>
</file>

<file path=customXml/itemProps4.xml><?xml version="1.0" encoding="utf-8"?>
<ds:datastoreItem xmlns:ds="http://schemas.openxmlformats.org/officeDocument/2006/customXml" ds:itemID="{A05616E8-727D-41C2-AF83-9BF4521F1CA2}">
  <ds:schemaRefs>
    <ds:schemaRef ds:uri="http://www.wps.cn/android/officeDocument/2013/mofficeCustomData"/>
  </ds:schemaRefs>
</ds:datastoreItem>
</file>

<file path=customXml/itemProps5.xml><?xml version="1.0" encoding="utf-8"?>
<ds:datastoreItem xmlns:ds="http://schemas.openxmlformats.org/officeDocument/2006/customXml" ds:itemID="{36DBC573-2F88-4FC9-A301-27DBA1513F57}">
  <ds:schemaRefs>
    <ds:schemaRef ds:uri="http://www.wps.cn/android/officeDocument/2013/mofficeCustomData"/>
  </ds:schemaRefs>
</ds:datastoreItem>
</file>

<file path=customXml/itemProps6.xml><?xml version="1.0" encoding="utf-8"?>
<ds:datastoreItem xmlns:ds="http://schemas.openxmlformats.org/officeDocument/2006/customXml" ds:itemID="{339A70D5-ED4D-48AC-BA63-9C9B43136EF2}">
  <ds:schemaRefs>
    <ds:schemaRef ds:uri="http://purl.org/dc/elements/1.1/"/>
    <ds:schemaRef ds:uri="http://purl.org/dc/terms/"/>
    <ds:schemaRef ds:uri="http://purl.org/dc/dcmitype/"/>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7.xml><?xml version="1.0" encoding="utf-8"?>
<ds:datastoreItem xmlns:ds="http://schemas.openxmlformats.org/officeDocument/2006/customXml" ds:itemID="{F2B2CDDF-0914-4008-A84A-BA3B748BC09E}">
  <ds:schemaRefs>
    <ds:schemaRef ds:uri="http://www.wps.cn/android/officeDocument/2013/mofficeCustomData"/>
  </ds:schemaRefs>
</ds:datastoreItem>
</file>

<file path=customXml/itemProps8.xml><?xml version="1.0" encoding="utf-8"?>
<ds:datastoreItem xmlns:ds="http://schemas.openxmlformats.org/officeDocument/2006/customXml" ds:itemID="{E0D2E1D9-6917-416A-A978-C2C5110BC151}">
  <ds:schemaRefs>
    <ds:schemaRef ds:uri="http://www.wps.cn/android/officeDocument/2013/mofficeCustomData"/>
  </ds:schemaRefs>
</ds:datastoreItem>
</file>

<file path=customXml/itemProps9.xml><?xml version="1.0" encoding="utf-8"?>
<ds:datastoreItem xmlns:ds="http://schemas.openxmlformats.org/officeDocument/2006/customXml" ds:itemID="{58A44D40-9827-43EE-82E3-0A8FA326AC2E}">
  <ds:schemaRefs>
    <ds:schemaRef ds:uri="http://www.wps.cn/android/officeDocument/2013/mofficeCustomData"/>
  </ds:schemaRefs>
</ds:datastoreItem>
</file>

<file path=customXml/itemProps10.xml><?xml version="1.0" encoding="utf-8"?>
<ds:datastoreItem xmlns:ds="http://schemas.openxmlformats.org/officeDocument/2006/customXml" ds:itemID="{B3E872BC-C2F2-4D02-AC4F-9AE084D3AC36}">
  <ds:schemaRefs>
    <ds:schemaRef ds:uri="http://schemas.microsoft.com/sharepoint/v3/contenttype/forms"/>
  </ds:schemaRefs>
</ds:datastoreItem>
</file>

<file path=customXml/itemProps11.xml><?xml version="1.0" encoding="utf-8"?>
<ds:datastoreItem xmlns:ds="http://schemas.openxmlformats.org/officeDocument/2006/customXml" ds:itemID="{E92BEEE1-98BB-418B-A54C-7E3FB45C68EF}">
  <ds:schemaRefs>
    <ds:schemaRef ds:uri="http://www.wps.cn/android/officeDocument/2013/mofficeCustomData"/>
  </ds:schemaRefs>
</ds:datastoreItem>
</file>

<file path=customXml/itemProps12.xml><?xml version="1.0" encoding="utf-8"?>
<ds:datastoreItem xmlns:ds="http://schemas.openxmlformats.org/officeDocument/2006/customXml" ds:itemID="{D7A27B64-EF66-47AE-BBE1-1B640EB30A59}">
  <ds:schemaRefs>
    <ds:schemaRef ds:uri="http://www.wps.cn/android/officeDocument/2013/mofficeCustomData"/>
  </ds:schemaRefs>
</ds:datastoreItem>
</file>

<file path=customXml/itemProps13.xml><?xml version="1.0" encoding="utf-8"?>
<ds:datastoreItem xmlns:ds="http://schemas.openxmlformats.org/officeDocument/2006/customXml" ds:itemID="{48E5A9A2-CE12-4B86-8854-D6D49ABFF7B6}">
  <ds:schemaRefs>
    <ds:schemaRef ds:uri="http://www.wps.cn/android/officeDocument/2013/mofficeCustomData"/>
  </ds:schemaRefs>
</ds:datastoreItem>
</file>

<file path=customXml/itemProps14.xml><?xml version="1.0" encoding="utf-8"?>
<ds:datastoreItem xmlns:ds="http://schemas.openxmlformats.org/officeDocument/2006/customXml" ds:itemID="{1E6206CC-1628-4D4F-8F96-0E34EC9E7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5.xml><?xml version="1.0" encoding="utf-8"?>
<ds:datastoreItem xmlns:ds="http://schemas.openxmlformats.org/officeDocument/2006/customXml" ds:itemID="{88C01084-5B12-4A98-A34B-2AD99CB9709B}">
  <ds:schemaRefs>
    <ds:schemaRef ds:uri="http://schemas.microsoft.com/sharepoint/v3/contenttype/forms"/>
  </ds:schemaRefs>
</ds:datastoreItem>
</file>

<file path=customXml/itemProps16.xml><?xml version="1.0" encoding="utf-8"?>
<ds:datastoreItem xmlns:ds="http://schemas.openxmlformats.org/officeDocument/2006/customXml" ds:itemID="{DFDBD5B1-8EEC-467F-B988-9987E2A35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1348</Words>
  <Characters>7688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dc:creator>
  <cp:lastModifiedBy>Fjora Cahani</cp:lastModifiedBy>
  <cp:revision>5</cp:revision>
  <cp:lastPrinted>2025-11-18T10:22:00Z</cp:lastPrinted>
  <dcterms:created xsi:type="dcterms:W3CDTF">2025-12-03T14:33:00Z</dcterms:created>
  <dcterms:modified xsi:type="dcterms:W3CDTF">2025-12-16T10:45:00Z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08d9953a3fa94e14bd34f093b64cf5ab</vt:lpwstr>
  </property>
</Properties>
</file>