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326AF" w14:textId="77777777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>VENDIM</w:t>
      </w:r>
    </w:p>
    <w:p w14:paraId="3E10011C" w14:textId="146999E6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>Nr. 343, datë 23.12.2025</w:t>
      </w:r>
    </w:p>
    <w:p w14:paraId="196D1F5A" w14:textId="77777777" w:rsidR="00B62C49" w:rsidRPr="00BC4867" w:rsidRDefault="00B62C49" w:rsidP="00B62C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402C8298" w14:textId="25A22050" w:rsidR="00B62C49" w:rsidRPr="00BC4867" w:rsidRDefault="00B62C49" w:rsidP="00B62C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 xml:space="preserve">MBI PLANIN E </w:t>
      </w:r>
      <w:r w:rsidR="00BC4867">
        <w:rPr>
          <w:rFonts w:ascii="Garamond" w:hAnsi="Garamond"/>
          <w:b/>
          <w:bCs/>
          <w:color w:val="000000"/>
          <w:szCs w:val="24"/>
        </w:rPr>
        <w:t>INVESTIMEVE TË SHOQËRISË OST SHA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</w:p>
    <w:p w14:paraId="069ACC3A" w14:textId="751F965E" w:rsidR="00B62C49" w:rsidRPr="00BC4867" w:rsidRDefault="00BC4867" w:rsidP="00B62C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>
        <w:rPr>
          <w:rFonts w:ascii="Garamond" w:hAnsi="Garamond"/>
          <w:b/>
          <w:bCs/>
          <w:color w:val="000000"/>
          <w:szCs w:val="24"/>
        </w:rPr>
        <w:t>PËR PERIUDHËN RREGULLATORE 2025–</w:t>
      </w:r>
      <w:r w:rsidR="00B62C49" w:rsidRPr="00BC4867">
        <w:rPr>
          <w:rFonts w:ascii="Garamond" w:hAnsi="Garamond"/>
          <w:b/>
          <w:bCs/>
          <w:color w:val="000000"/>
          <w:szCs w:val="24"/>
        </w:rPr>
        <w:t>2027</w:t>
      </w:r>
    </w:p>
    <w:p w14:paraId="7B9979B9" w14:textId="77777777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</w:rPr>
      </w:pPr>
    </w:p>
    <w:p w14:paraId="49DFB84D" w14:textId="27F6BFBB" w:rsidR="00B62C49" w:rsidRPr="00BC4867" w:rsidRDefault="00B62C49" w:rsidP="00BC486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 xml:space="preserve">Në mbështetje të neneve 16 dhe 20, </w:t>
      </w:r>
      <w:r w:rsidR="00BC4867" w:rsidRPr="00BC4867">
        <w:rPr>
          <w:rFonts w:ascii="Garamond" w:hAnsi="Garamond"/>
          <w:color w:val="000000"/>
          <w:szCs w:val="24"/>
        </w:rPr>
        <w:t>germa</w:t>
      </w:r>
      <w:r w:rsidRPr="00BC4867">
        <w:rPr>
          <w:rFonts w:ascii="Garamond" w:hAnsi="Garamond"/>
          <w:color w:val="000000"/>
          <w:szCs w:val="24"/>
        </w:rPr>
        <w:t xml:space="preserve"> “e”, të ligjit nr. 43/2015, “</w:t>
      </w:r>
      <w:r w:rsidRPr="00BC4867">
        <w:rPr>
          <w:rFonts w:ascii="Garamond" w:hAnsi="Garamond"/>
          <w:iCs/>
          <w:color w:val="000000"/>
          <w:szCs w:val="24"/>
        </w:rPr>
        <w:t>Për sektorin e energjisë elektrike</w:t>
      </w:r>
      <w:r w:rsidRPr="00BC4867">
        <w:rPr>
          <w:rFonts w:ascii="Garamond" w:hAnsi="Garamond"/>
          <w:color w:val="000000"/>
          <w:szCs w:val="24"/>
        </w:rPr>
        <w:t xml:space="preserve">”, </w:t>
      </w:r>
      <w:r w:rsidR="00BC4867">
        <w:rPr>
          <w:rFonts w:ascii="Garamond" w:hAnsi="Garamond"/>
          <w:color w:val="000000"/>
          <w:szCs w:val="24"/>
        </w:rPr>
        <w:t>të</w:t>
      </w:r>
      <w:r w:rsidRPr="00BC4867">
        <w:rPr>
          <w:rFonts w:ascii="Garamond" w:hAnsi="Garamond"/>
          <w:color w:val="000000"/>
          <w:szCs w:val="24"/>
        </w:rPr>
        <w:t xml:space="preserve"> ndryshuar; </w:t>
      </w:r>
      <w:r w:rsidR="00BC4867">
        <w:rPr>
          <w:rFonts w:ascii="Garamond" w:hAnsi="Garamond"/>
          <w:color w:val="000000"/>
          <w:szCs w:val="24"/>
        </w:rPr>
        <w:t xml:space="preserve">të </w:t>
      </w:r>
      <w:r w:rsidRPr="00BC4867">
        <w:rPr>
          <w:rFonts w:ascii="Garamond" w:hAnsi="Garamond"/>
          <w:color w:val="000000"/>
          <w:szCs w:val="24"/>
        </w:rPr>
        <w:t>nenit 90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të ligjit nr. 44/2015, “</w:t>
      </w:r>
      <w:r w:rsidRPr="00BC4867">
        <w:rPr>
          <w:rFonts w:ascii="Garamond" w:hAnsi="Garamond"/>
          <w:iCs/>
          <w:color w:val="000000"/>
          <w:szCs w:val="24"/>
        </w:rPr>
        <w:t>Kodi i Procedur</w:t>
      </w:r>
      <w:r w:rsidR="00BC4867">
        <w:rPr>
          <w:rFonts w:ascii="Garamond" w:hAnsi="Garamond"/>
          <w:iCs/>
          <w:color w:val="000000"/>
          <w:szCs w:val="24"/>
        </w:rPr>
        <w:t>ës</w:t>
      </w:r>
      <w:r w:rsidRPr="00BC4867">
        <w:rPr>
          <w:rFonts w:ascii="Garamond" w:hAnsi="Garamond"/>
          <w:iCs/>
          <w:color w:val="000000"/>
          <w:szCs w:val="24"/>
        </w:rPr>
        <w:t xml:space="preserve"> Administrative </w:t>
      </w:r>
      <w:r w:rsidR="00BC4867">
        <w:rPr>
          <w:rFonts w:ascii="Garamond" w:hAnsi="Garamond"/>
          <w:iCs/>
          <w:color w:val="000000"/>
          <w:szCs w:val="24"/>
        </w:rPr>
        <w:t>të</w:t>
      </w:r>
      <w:r w:rsidRPr="00BC4867">
        <w:rPr>
          <w:rFonts w:ascii="Garamond" w:hAnsi="Garamond"/>
          <w:iCs/>
          <w:color w:val="000000"/>
          <w:szCs w:val="24"/>
        </w:rPr>
        <w:t xml:space="preserve"> Republikës së Shqipërisë</w:t>
      </w:r>
      <w:r w:rsidRPr="00BC4867">
        <w:rPr>
          <w:rFonts w:ascii="Garamond" w:hAnsi="Garamond"/>
          <w:color w:val="000000"/>
          <w:szCs w:val="24"/>
        </w:rPr>
        <w:t>”; si dhe nenit 15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të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BC4867">
        <w:rPr>
          <w:rFonts w:ascii="Garamond" w:hAnsi="Garamond"/>
          <w:iCs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, miratuar me vendimin e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Pr="00BC4867">
        <w:rPr>
          <w:rFonts w:ascii="Garamond" w:hAnsi="Garamond"/>
          <w:color w:val="000000"/>
          <w:szCs w:val="24"/>
        </w:rPr>
        <w:t>të Entit Rregullator të E</w:t>
      </w:r>
      <w:r w:rsidR="00BC4867">
        <w:rPr>
          <w:rFonts w:ascii="Garamond" w:hAnsi="Garamond"/>
          <w:color w:val="000000"/>
          <w:szCs w:val="24"/>
        </w:rPr>
        <w:t>nergjisë (ERE) nr. 96, datë 17.</w:t>
      </w:r>
      <w:r w:rsidRPr="00BC4867">
        <w:rPr>
          <w:rFonts w:ascii="Garamond" w:hAnsi="Garamond"/>
          <w:color w:val="000000"/>
          <w:szCs w:val="24"/>
        </w:rPr>
        <w:t>6.2016; Bordi i ERE-s, në mbledhjen e tij të datës 23.12.2025, pasi shqyrtoi relacionin e përgatitur nga Grupi i Punës me nr. 3103 prot., datë 19.12.2025, “</w:t>
      </w:r>
      <w:r w:rsidRPr="00BC4867">
        <w:rPr>
          <w:rFonts w:ascii="Garamond" w:hAnsi="Garamond"/>
          <w:iCs/>
          <w:color w:val="000000"/>
          <w:szCs w:val="24"/>
        </w:rPr>
        <w:t xml:space="preserve">Mbi mbylljen e procedurës për shqyrtimin e </w:t>
      </w:r>
      <w:r w:rsidR="00BC4867" w:rsidRPr="00BC4867">
        <w:rPr>
          <w:rFonts w:ascii="Garamond" w:hAnsi="Garamond"/>
          <w:iCs/>
          <w:color w:val="000000"/>
          <w:szCs w:val="24"/>
        </w:rPr>
        <w:t xml:space="preserve">planit të investimeve </w:t>
      </w:r>
      <w:r w:rsidRPr="00BC4867">
        <w:rPr>
          <w:rFonts w:ascii="Garamond" w:hAnsi="Garamond"/>
          <w:iCs/>
          <w:color w:val="000000"/>
          <w:szCs w:val="24"/>
        </w:rPr>
        <w:t xml:space="preserve">të shoqërisë </w:t>
      </w:r>
      <w:r w:rsidR="00BC4867">
        <w:rPr>
          <w:rFonts w:ascii="Garamond" w:hAnsi="Garamond"/>
          <w:iCs/>
          <w:color w:val="000000"/>
          <w:szCs w:val="24"/>
        </w:rPr>
        <w:t>‘</w:t>
      </w:r>
      <w:r w:rsidRPr="00BC4867">
        <w:rPr>
          <w:rFonts w:ascii="Garamond" w:hAnsi="Garamond"/>
          <w:iCs/>
          <w:color w:val="000000"/>
          <w:szCs w:val="24"/>
        </w:rPr>
        <w:t>OST</w:t>
      </w:r>
      <w:r w:rsidR="00BC4867">
        <w:rPr>
          <w:rFonts w:ascii="Garamond" w:hAnsi="Garamond"/>
          <w:iCs/>
          <w:color w:val="000000"/>
          <w:szCs w:val="24"/>
        </w:rPr>
        <w:t>’</w:t>
      </w:r>
      <w:r w:rsidRPr="00BC4867">
        <w:rPr>
          <w:rFonts w:ascii="Garamond" w:hAnsi="Garamond"/>
          <w:iCs/>
          <w:color w:val="000000"/>
          <w:szCs w:val="24"/>
        </w:rPr>
        <w:t xml:space="preserve"> sh.a. për periudhën rregullatore 2025–2027</w:t>
      </w:r>
      <w:r w:rsidRPr="00BC4867">
        <w:rPr>
          <w:rFonts w:ascii="Garamond" w:hAnsi="Garamond"/>
          <w:color w:val="000000"/>
          <w:szCs w:val="24"/>
        </w:rPr>
        <w:t>”,</w:t>
      </w:r>
    </w:p>
    <w:p w14:paraId="03E07BC2" w14:textId="5324DE30" w:rsidR="00B62C49" w:rsidRPr="00BC4867" w:rsidRDefault="00BC4867" w:rsidP="00B62C49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k</w:t>
      </w:r>
      <w:r w:rsidR="00B62C49" w:rsidRPr="00BC4867">
        <w:rPr>
          <w:rFonts w:ascii="Garamond" w:hAnsi="Garamond"/>
          <w:bCs/>
          <w:color w:val="000000"/>
          <w:szCs w:val="24"/>
        </w:rPr>
        <w:t>onstatoi se:</w:t>
      </w:r>
    </w:p>
    <w:p w14:paraId="55F8704E" w14:textId="4D92C772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>Shoqëria “OST” sh.a., me shkresën nr. 6943 prot., datë 10.10.2024 (protokolluar në ERE me nr. 2098 prot., datë 11.10.2024), ka depozituar kërkesën për shqyrtimin dhe miratimin e “Planit të investimeve për periudhën rregullatore 2025–2027”, në kuadër të aplikimit për miratimin e tarifës së shërbimit të transmetimit të energjisë elektrike për të njëjtën periudhë.</w:t>
      </w:r>
    </w:p>
    <w:p w14:paraId="36F94E55" w14:textId="07CCAFB8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Bordi i ERE-s, me vendimin nr. 247, datë 18.11.2024, vendosi fillimin e procedurës administrative për shqyrtimin e </w:t>
      </w:r>
      <w:r w:rsidR="00BC4867" w:rsidRPr="00BC4867">
        <w:rPr>
          <w:rFonts w:ascii="Garamond" w:hAnsi="Garamond"/>
          <w:color w:val="000000"/>
          <w:szCs w:val="24"/>
        </w:rPr>
        <w:t xml:space="preserve">planit të investimeve </w:t>
      </w:r>
      <w:r w:rsidRPr="00BC4867">
        <w:rPr>
          <w:rFonts w:ascii="Garamond" w:hAnsi="Garamond"/>
          <w:color w:val="000000"/>
          <w:szCs w:val="24"/>
        </w:rPr>
        <w:t xml:space="preserve">të shoqërisë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për periudhën rregullatore 2025–2027 dhe i kërkoi shoqërisë depozitimin e dokumentacionit të plotë, në përputhje me kërkesat e përcaktuara në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Rregulloren për procedurat e paraqitjes dhe miratimit të planit të investimeve për operatorët e transmetimit dhe të shpërndarjes së energjisë elektrike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, miratuar me vendimin e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="00BC4867">
        <w:rPr>
          <w:rFonts w:ascii="Garamond" w:hAnsi="Garamond"/>
          <w:color w:val="000000"/>
          <w:szCs w:val="24"/>
        </w:rPr>
        <w:t>të ERE-s nr. 135, datë 6.</w:t>
      </w:r>
      <w:r w:rsidRPr="00BC4867">
        <w:rPr>
          <w:rFonts w:ascii="Garamond" w:hAnsi="Garamond"/>
          <w:color w:val="000000"/>
          <w:szCs w:val="24"/>
        </w:rPr>
        <w:t>9.2017.</w:t>
      </w:r>
    </w:p>
    <w:p w14:paraId="153EDF3C" w14:textId="69C2E476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 xml:space="preserve">- </w:t>
      </w:r>
      <w:r w:rsidRPr="00BC4867">
        <w:rPr>
          <w:rFonts w:ascii="Garamond" w:hAnsi="Garamond"/>
          <w:color w:val="000000"/>
          <w:szCs w:val="24"/>
        </w:rPr>
        <w:t xml:space="preserve">Me shkresën nr. 2098/5 prot., datë 20.11.2024, ERE ka njoftuar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për vendimin nr. 247/2024 dhe ka kërkuar plotësime, duke evidentuar si mangësi: mungesën e analizave të detajuara mbi efektivitetin dhe koston e ulët të investimeve (paraqitur deklarime të përgjithshme); mospërfshirjen e sqarimeve/provave që demonstrojnë lidhjen e drejtpërdrejtë të projekteve/zërave me sigurinë dhe qëndrueshmërinë e sistemit elektroenergjetik; mosplotësimin e detyrimit për publikim dhe konsultim publik të planit, sipas nenit 6, </w:t>
      </w:r>
      <w:r w:rsidR="00BC4867" w:rsidRPr="00BC4867">
        <w:rPr>
          <w:rFonts w:ascii="Garamond" w:hAnsi="Garamond"/>
          <w:color w:val="000000"/>
          <w:szCs w:val="24"/>
        </w:rPr>
        <w:t>germa</w:t>
      </w:r>
      <w:r w:rsidRPr="00BC4867">
        <w:rPr>
          <w:rFonts w:ascii="Garamond" w:hAnsi="Garamond"/>
          <w:color w:val="000000"/>
          <w:szCs w:val="24"/>
        </w:rPr>
        <w:t xml:space="preserve"> “f”, të </w:t>
      </w:r>
      <w:r w:rsidR="00BC4867">
        <w:rPr>
          <w:rFonts w:ascii="Garamond" w:hAnsi="Garamond"/>
          <w:color w:val="000000"/>
          <w:szCs w:val="24"/>
        </w:rPr>
        <w:t>r</w:t>
      </w:r>
      <w:r w:rsidRPr="00BC4867">
        <w:rPr>
          <w:rFonts w:ascii="Garamond" w:hAnsi="Garamond"/>
          <w:color w:val="000000"/>
          <w:szCs w:val="24"/>
        </w:rPr>
        <w:t>regullores nr. 135/2017; mungesën e analizave kosto–përfitim (përfitime vetëm deklarative), si dhe mosdorëzimin e studimeve të fizibilitetit, studimeve të impaktit në mjedis dhe dokumentacionit mbi të drejtat pronësore/të shfrytëzimit, ndonëse ishte paraqitur tablo kohore e komisionimit.</w:t>
      </w:r>
    </w:p>
    <w:p w14:paraId="2806B7CC" w14:textId="55738054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 xml:space="preserve">- </w:t>
      </w:r>
      <w:r w:rsidRPr="00BC4867">
        <w:rPr>
          <w:rFonts w:ascii="Garamond" w:hAnsi="Garamond"/>
          <w:color w:val="000000"/>
          <w:szCs w:val="24"/>
        </w:rPr>
        <w:t>OST sh.a., me korrespondencën nr.</w:t>
      </w:r>
      <w:r w:rsidR="00BC4867">
        <w:rPr>
          <w:rFonts w:ascii="Garamond" w:hAnsi="Garamond"/>
          <w:color w:val="000000"/>
          <w:szCs w:val="24"/>
        </w:rPr>
        <w:t xml:space="preserve"> 6943/2 prot., datë </w:t>
      </w:r>
      <w:r w:rsidRPr="00BC4867">
        <w:rPr>
          <w:rFonts w:ascii="Garamond" w:hAnsi="Garamond"/>
          <w:color w:val="000000"/>
          <w:szCs w:val="24"/>
        </w:rPr>
        <w:t>5.12.2024 (protokolluar në ERE me nr. 2098/7 prot., datë 10.12.2024), ka depozituar përgjigje, pas shqyrtimit të së cilës ERE konstatoi se një pjesë e kërkesave vijonin të mbeteshin të paplotësuara.</w:t>
      </w:r>
    </w:p>
    <w:p w14:paraId="24C5CD06" w14:textId="200C7A8B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 xml:space="preserve">- </w:t>
      </w:r>
      <w:r w:rsidRPr="00BC4867">
        <w:rPr>
          <w:rFonts w:ascii="Garamond" w:hAnsi="Garamond"/>
          <w:color w:val="000000"/>
          <w:szCs w:val="24"/>
        </w:rPr>
        <w:t>Me</w:t>
      </w:r>
      <w:r w:rsidR="00BC4867">
        <w:rPr>
          <w:rFonts w:ascii="Garamond" w:hAnsi="Garamond"/>
          <w:color w:val="000000"/>
          <w:szCs w:val="24"/>
        </w:rPr>
        <w:t xml:space="preserve"> shkresën nr. 1952 prot., datë 3.</w:t>
      </w:r>
      <w:r w:rsidRPr="00BC4867">
        <w:rPr>
          <w:rFonts w:ascii="Garamond" w:hAnsi="Garamond"/>
          <w:color w:val="000000"/>
          <w:szCs w:val="24"/>
        </w:rPr>
        <w:t xml:space="preserve">4.2025 (protokolluar </w:t>
      </w:r>
      <w:r w:rsidR="00BC4867">
        <w:rPr>
          <w:rFonts w:ascii="Garamond" w:hAnsi="Garamond"/>
          <w:color w:val="000000"/>
          <w:szCs w:val="24"/>
        </w:rPr>
        <w:t>në ERE me nr. 1470 prot., datë 7.</w:t>
      </w:r>
      <w:r w:rsidRPr="00BC4867">
        <w:rPr>
          <w:rFonts w:ascii="Garamond" w:hAnsi="Garamond"/>
          <w:color w:val="000000"/>
          <w:szCs w:val="24"/>
        </w:rPr>
        <w:t>4.2025), shoqëria OST sh.a. ka paraqitur një kërkesë të re për miratimin e “Planit të investimeve për vitin 2025 dhe periudhën 2026–2028”, duke sqaruar më pas se kjo kërkesë kishte për qëllim përditësimin e planit të investimeve për periudhën 2025–2027, për shkak të ndryshimeve të projekteve të planifikuara.</w:t>
      </w:r>
    </w:p>
    <w:p w14:paraId="535736B2" w14:textId="6B2509BA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Referuar nenit 75, pika 4, të ligjit nr. 43/2015, si dhe nenit 7, pika 1 dhe nenit 11, pika 1, të </w:t>
      </w:r>
      <w:r w:rsidR="00BC4867">
        <w:rPr>
          <w:rFonts w:ascii="Garamond" w:hAnsi="Garamond"/>
          <w:color w:val="000000"/>
          <w:szCs w:val="24"/>
        </w:rPr>
        <w:t>r</w:t>
      </w:r>
      <w:r w:rsidRPr="00BC4867">
        <w:rPr>
          <w:rFonts w:ascii="Garamond" w:hAnsi="Garamond"/>
          <w:color w:val="000000"/>
          <w:szCs w:val="24"/>
        </w:rPr>
        <w:t>regullores nr. 135/2017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“</w:t>
      </w:r>
      <w:r w:rsidRPr="00BC4867">
        <w:rPr>
          <w:rFonts w:ascii="Garamond" w:hAnsi="Garamond"/>
          <w:iCs/>
          <w:color w:val="000000"/>
          <w:szCs w:val="24"/>
        </w:rPr>
        <w:t>Rregullores së procedurave të paraqitjes dhe miratimit të planit të investimeve nga operatorët e transmetimit dhe shpërndarjes së energjisë elektrike</w:t>
      </w:r>
      <w:r w:rsidRPr="00BC4867">
        <w:rPr>
          <w:rFonts w:ascii="Garamond" w:hAnsi="Garamond"/>
          <w:color w:val="000000"/>
          <w:szCs w:val="24"/>
        </w:rPr>
        <w:t xml:space="preserve">”,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duhet të përgatisë planet e investimeve sipas periudhave të rregullimit dhe për çdo vit pasardhës në të njëjtën kohë me aplikimin për tarifë; në këtë kuadër, ERE me shkr</w:t>
      </w:r>
      <w:r w:rsidR="00BC4867">
        <w:rPr>
          <w:rFonts w:ascii="Garamond" w:hAnsi="Garamond"/>
          <w:color w:val="000000"/>
          <w:szCs w:val="24"/>
        </w:rPr>
        <w:t>esën nr. 1470/1 prot., datë 16.</w:t>
      </w:r>
      <w:r w:rsidRPr="00BC4867">
        <w:rPr>
          <w:rFonts w:ascii="Garamond" w:hAnsi="Garamond"/>
          <w:color w:val="000000"/>
          <w:szCs w:val="24"/>
        </w:rPr>
        <w:t>6.2025, i ka kërkuar shoqërisë sqarime për bazën ligjore të kërkesës së re dhe informacion shtesë për çështjet e mbetura të paplotësuara.</w:t>
      </w:r>
    </w:p>
    <w:p w14:paraId="53DA2A7F" w14:textId="1602E2AA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lastRenderedPageBreak/>
        <w:t xml:space="preserve">- </w:t>
      </w:r>
      <w:r w:rsidR="00BC4867" w:rsidRPr="00BC4867">
        <w:rPr>
          <w:rFonts w:ascii="Garamond" w:hAnsi="Garamond"/>
          <w:bCs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me shkresën n</w:t>
      </w:r>
      <w:r w:rsidR="00BC4867">
        <w:rPr>
          <w:rFonts w:ascii="Garamond" w:hAnsi="Garamond"/>
          <w:color w:val="000000"/>
          <w:szCs w:val="24"/>
        </w:rPr>
        <w:t>r. 1952/2 prot., datë 30.</w:t>
      </w:r>
      <w:r w:rsidRPr="00BC4867">
        <w:rPr>
          <w:rFonts w:ascii="Garamond" w:hAnsi="Garamond"/>
          <w:color w:val="000000"/>
          <w:szCs w:val="24"/>
        </w:rPr>
        <w:t>6.2025, ka sqaruar se plani 2025 dhe 2026–2028 është në funksion të përditësimit të “Planit 2025–2027”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për shkak të ndryshimeve të projekteve; megjithatë, ERE konstatoi se: analizat kosto–përfitim vijuan të mos paraqiteshin (përfitime vetëm deklarative); detyrimi sipas nenit 6, </w:t>
      </w:r>
      <w:r w:rsidR="00BC4867" w:rsidRPr="00BC4867">
        <w:rPr>
          <w:rFonts w:ascii="Garamond" w:hAnsi="Garamond"/>
          <w:color w:val="000000"/>
          <w:szCs w:val="24"/>
        </w:rPr>
        <w:t>germa</w:t>
      </w:r>
      <w:r w:rsidRPr="00BC4867">
        <w:rPr>
          <w:rFonts w:ascii="Garamond" w:hAnsi="Garamond"/>
          <w:color w:val="000000"/>
          <w:szCs w:val="24"/>
        </w:rPr>
        <w:t xml:space="preserve"> “f”, i </w:t>
      </w:r>
      <w:r w:rsidR="00BC4867">
        <w:rPr>
          <w:rFonts w:ascii="Garamond" w:hAnsi="Garamond"/>
          <w:color w:val="000000"/>
          <w:szCs w:val="24"/>
        </w:rPr>
        <w:t>r</w:t>
      </w:r>
      <w:r w:rsidRPr="00BC4867">
        <w:rPr>
          <w:rFonts w:ascii="Garamond" w:hAnsi="Garamond"/>
          <w:color w:val="000000"/>
          <w:szCs w:val="24"/>
        </w:rPr>
        <w:t>regullores nr. 135/2017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mbeti pjesërisht i paplotësuar, pasi nga verifikimi në faqen elektronike të shoqërisë u konstatua se plani i investimeve nuk ishte i publikuar; të dhënat/analizat e detajuara mbi efektivitetin dhe koston e ulët të investimeve vijuan të mungonin, pasi shoqëria u shpreh në formë deklarative duke cituar dokumentet/objektivat, pa paraqitur analiza teknike.</w:t>
      </w:r>
    </w:p>
    <w:p w14:paraId="739D3030" w14:textId="5D3EBCFA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ERE ia adresoi sërish shoqërisë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kërkesat e konsideruara të paplotësuara ose pjesërisht të plotësuara me shkr</w:t>
      </w:r>
      <w:r w:rsidR="00BC4867">
        <w:rPr>
          <w:rFonts w:ascii="Garamond" w:hAnsi="Garamond"/>
          <w:color w:val="000000"/>
          <w:szCs w:val="24"/>
        </w:rPr>
        <w:t>esën nr. 1470/2 prot., datë 16.</w:t>
      </w:r>
      <w:r w:rsidRPr="00BC4867">
        <w:rPr>
          <w:rFonts w:ascii="Garamond" w:hAnsi="Garamond"/>
          <w:color w:val="000000"/>
          <w:szCs w:val="24"/>
        </w:rPr>
        <w:t xml:space="preserve">9.2025 dhe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me shkr</w:t>
      </w:r>
      <w:r w:rsidR="00BC4867">
        <w:rPr>
          <w:rFonts w:ascii="Garamond" w:hAnsi="Garamond"/>
          <w:color w:val="000000"/>
          <w:szCs w:val="24"/>
        </w:rPr>
        <w:t>esën nr. 1952/4 prot., datë 23.</w:t>
      </w:r>
      <w:r w:rsidRPr="00BC4867">
        <w:rPr>
          <w:rFonts w:ascii="Garamond" w:hAnsi="Garamond"/>
          <w:color w:val="000000"/>
          <w:szCs w:val="24"/>
        </w:rPr>
        <w:t>9.2025 (protokolluar në ER</w:t>
      </w:r>
      <w:r w:rsidR="00BC4867">
        <w:rPr>
          <w:rFonts w:ascii="Garamond" w:hAnsi="Garamond"/>
          <w:color w:val="000000"/>
          <w:szCs w:val="24"/>
        </w:rPr>
        <w:t>E me nr. 1470/3 prot., datë 25.</w:t>
      </w:r>
      <w:r w:rsidRPr="00BC4867">
        <w:rPr>
          <w:rFonts w:ascii="Garamond" w:hAnsi="Garamond"/>
          <w:color w:val="000000"/>
          <w:szCs w:val="24"/>
        </w:rPr>
        <w:t>9.2025), ka sqaruar se për kërkesat e ERE</w:t>
      </w:r>
      <w:r w:rsidR="00BC4867">
        <w:rPr>
          <w:rFonts w:ascii="Garamond" w:hAnsi="Garamond"/>
          <w:color w:val="000000"/>
          <w:szCs w:val="24"/>
        </w:rPr>
        <w:t>-s</w:t>
      </w:r>
      <w:r w:rsidRPr="00BC4867">
        <w:rPr>
          <w:rFonts w:ascii="Garamond" w:hAnsi="Garamond"/>
          <w:color w:val="000000"/>
          <w:szCs w:val="24"/>
        </w:rPr>
        <w:t xml:space="preserve"> ishte përgjigjur me korresponde</w:t>
      </w:r>
      <w:r w:rsidR="00BC4867">
        <w:rPr>
          <w:rFonts w:ascii="Garamond" w:hAnsi="Garamond"/>
          <w:color w:val="000000"/>
          <w:szCs w:val="24"/>
        </w:rPr>
        <w:t>ncën nr. 1952/2 prot., datë 30.</w:t>
      </w:r>
      <w:r w:rsidRPr="00BC4867">
        <w:rPr>
          <w:rFonts w:ascii="Garamond" w:hAnsi="Garamond"/>
          <w:color w:val="000000"/>
          <w:szCs w:val="24"/>
        </w:rPr>
        <w:t>6.2025.</w:t>
      </w:r>
    </w:p>
    <w:p w14:paraId="704E8A69" w14:textId="405D42F9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Sipas nenit 12, pika 1, të </w:t>
      </w:r>
      <w:r w:rsidR="00BC4867">
        <w:rPr>
          <w:rFonts w:ascii="Garamond" w:hAnsi="Garamond"/>
          <w:color w:val="000000"/>
          <w:szCs w:val="24"/>
        </w:rPr>
        <w:t>r</w:t>
      </w:r>
      <w:r w:rsidRPr="00BC4867">
        <w:rPr>
          <w:rFonts w:ascii="Garamond" w:hAnsi="Garamond"/>
          <w:color w:val="000000"/>
          <w:szCs w:val="24"/>
        </w:rPr>
        <w:t>regullores nr. 135/2017, informacioni i paraqitur në planin e investimeve përdoret nga ERE për përcaktimin e Bazës së Rregulluar të Aseteve (RAB); në kushtet kur procedura e miratimit të planit 2025–2027 ishte ende në proces, u konsiderua që në RAB për periudhën 2025–2027 të pranohen vlerat e paraqitura në dokumentacionin e depozituar, duke pasur parasysh se, sipas pikës 4.2.6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të nenit 7 të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Metodologjisë së llogaritjes së tarifave të transmetimit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(vendimi i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="00BC4867">
        <w:rPr>
          <w:rFonts w:ascii="Garamond" w:hAnsi="Garamond"/>
          <w:color w:val="000000"/>
          <w:szCs w:val="24"/>
        </w:rPr>
        <w:t xml:space="preserve">nr. 180, datë </w:t>
      </w:r>
      <w:r w:rsidRPr="00BC4867">
        <w:rPr>
          <w:rFonts w:ascii="Garamond" w:hAnsi="Garamond"/>
          <w:color w:val="000000"/>
          <w:szCs w:val="24"/>
        </w:rPr>
        <w:t>8.11.2017), në RAB përfshihen vetëm investime në nivele të aprovuara nga ERE; për rrjedhojë, nëse projektet e marra në konsideratë në tarifën e transmetimit të miratuar me vendimin nr. 279, datë 16.12.2024, ndryshojnë nga sa propozuar, ERE do të rishikojë CAPEX-in në periudhën pasardhëse dhe do të aplikojë korrektimet rregullatore bazuar në realizimin faktik të investimeve dhe njohjen e aseteve të futura në operim për çdo vit, sipas praktikës së mëparshme rregullatore.</w:t>
      </w:r>
    </w:p>
    <w:p w14:paraId="1020CA6B" w14:textId="4959A105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Neni 8 i </w:t>
      </w:r>
      <w:r w:rsidR="00BC4867">
        <w:rPr>
          <w:rFonts w:ascii="Garamond" w:hAnsi="Garamond"/>
          <w:color w:val="000000"/>
          <w:szCs w:val="24"/>
        </w:rPr>
        <w:t>r</w:t>
      </w:r>
      <w:r w:rsidRPr="00BC4867">
        <w:rPr>
          <w:rFonts w:ascii="Garamond" w:hAnsi="Garamond"/>
          <w:color w:val="000000"/>
          <w:szCs w:val="24"/>
        </w:rPr>
        <w:t>regullores nr. 135/2017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përcakton kërkesa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lidhur me përputhshmërinë e planit të investimeve me planin 10-vjeçar të zhvillimit të rrjetit të transmetimit. Bordi i ERE-s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me vendimin nr. 212, datë 28.12.2017, ka miratuar plan</w:t>
      </w:r>
      <w:r w:rsidR="00BC4867">
        <w:rPr>
          <w:rFonts w:ascii="Garamond" w:hAnsi="Garamond"/>
          <w:color w:val="000000"/>
          <w:szCs w:val="24"/>
        </w:rPr>
        <w:t>in dhjetë</w:t>
      </w:r>
      <w:r w:rsidRPr="00BC4867">
        <w:rPr>
          <w:rFonts w:ascii="Garamond" w:hAnsi="Garamond"/>
          <w:color w:val="000000"/>
          <w:szCs w:val="24"/>
        </w:rPr>
        <w:t xml:space="preserve">vjeçar 2015–2025 të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të përditësuar me vendimet nr. 228/2019 dhe nr. 125/2021, dhe viti 2025 përkon me përfundimin e këtij plani.</w:t>
      </w:r>
    </w:p>
    <w:p w14:paraId="5502307B" w14:textId="70B9EED9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 xml:space="preserve">- </w:t>
      </w:r>
      <w:r w:rsidRPr="00BC4867">
        <w:rPr>
          <w:rFonts w:ascii="Garamond" w:hAnsi="Garamond"/>
          <w:color w:val="000000"/>
          <w:szCs w:val="24"/>
        </w:rPr>
        <w:t>ERE, me sh</w:t>
      </w:r>
      <w:r w:rsidR="00BC4867">
        <w:rPr>
          <w:rFonts w:ascii="Garamond" w:hAnsi="Garamond"/>
          <w:color w:val="000000"/>
          <w:szCs w:val="24"/>
        </w:rPr>
        <w:t>kresat nr. 1907 prot., datë 19.</w:t>
      </w:r>
      <w:r w:rsidRPr="00BC4867">
        <w:rPr>
          <w:rFonts w:ascii="Garamond" w:hAnsi="Garamond"/>
          <w:color w:val="000000"/>
          <w:szCs w:val="24"/>
        </w:rPr>
        <w:t>6.2025</w:t>
      </w:r>
      <w:r w:rsidR="00BC4867">
        <w:rPr>
          <w:rFonts w:ascii="Garamond" w:hAnsi="Garamond"/>
          <w:color w:val="000000"/>
          <w:szCs w:val="24"/>
        </w:rPr>
        <w:t xml:space="preserve"> dhe nr. 1907/1 prot., datë 15.</w:t>
      </w:r>
      <w:r w:rsidRPr="00BC4867">
        <w:rPr>
          <w:rFonts w:ascii="Garamond" w:hAnsi="Garamond"/>
          <w:color w:val="000000"/>
          <w:szCs w:val="24"/>
        </w:rPr>
        <w:t xml:space="preserve">9.2025, i ka kërkuar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depozitimin pa vonesë të Planit të Zhvillimit të Rrjetit të Transmetimit për periudhën 2026–2035, ku përfshihen edhe investimet e planifikuara për vitet 2026 dhe 2027.</w:t>
      </w:r>
    </w:p>
    <w:p w14:paraId="500AAEB5" w14:textId="26E3EBA2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>Bordi i ERE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me vendimin nr. 279, datë 16.12.2024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vendosi mbi miratimin e tarifës së shërbimit të transmetimit të energjisë elektrike për periudhën rregullatore 1 </w:t>
      </w:r>
      <w:r w:rsidR="00BC4867">
        <w:rPr>
          <w:rFonts w:ascii="Garamond" w:hAnsi="Garamond"/>
          <w:color w:val="000000"/>
          <w:szCs w:val="24"/>
        </w:rPr>
        <w:t>janar 2025–</w:t>
      </w:r>
      <w:r w:rsidRPr="00BC4867">
        <w:rPr>
          <w:rFonts w:ascii="Garamond" w:hAnsi="Garamond"/>
          <w:color w:val="000000"/>
          <w:szCs w:val="24"/>
        </w:rPr>
        <w:t xml:space="preserve">31 </w:t>
      </w:r>
      <w:r w:rsidR="00BC4867" w:rsidRPr="00BC4867">
        <w:rPr>
          <w:rFonts w:ascii="Garamond" w:hAnsi="Garamond"/>
          <w:color w:val="000000"/>
          <w:szCs w:val="24"/>
        </w:rPr>
        <w:t xml:space="preserve">dhjetor </w:t>
      </w:r>
      <w:r w:rsidRPr="00BC4867">
        <w:rPr>
          <w:rFonts w:ascii="Garamond" w:hAnsi="Garamond"/>
          <w:color w:val="000000"/>
          <w:szCs w:val="24"/>
        </w:rPr>
        <w:t>2027, prej 0.85 lekë/</w:t>
      </w:r>
      <w:r w:rsidR="00BC4867" w:rsidRPr="00BC4867">
        <w:rPr>
          <w:rFonts w:ascii="Garamond" w:hAnsi="Garamond"/>
          <w:color w:val="000000"/>
          <w:szCs w:val="24"/>
        </w:rPr>
        <w:t>kwh</w:t>
      </w:r>
      <w:r w:rsidRPr="00BC4867">
        <w:rPr>
          <w:rFonts w:ascii="Garamond" w:hAnsi="Garamond"/>
          <w:color w:val="000000"/>
          <w:szCs w:val="24"/>
        </w:rPr>
        <w:t>.</w:t>
      </w:r>
    </w:p>
    <w:p w14:paraId="44DD2F4B" w14:textId="748659B9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Në rast se projektet e planifikuara nga </w:t>
      </w:r>
      <w:r w:rsidR="00BC4867">
        <w:rPr>
          <w:rFonts w:ascii="Garamond" w:hAnsi="Garamond"/>
          <w:color w:val="000000"/>
          <w:szCs w:val="24"/>
        </w:rPr>
        <w:t>“</w:t>
      </w:r>
      <w:r w:rsidR="00BC4867"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="00BC4867" w:rsidRPr="00BC4867">
        <w:rPr>
          <w:rFonts w:ascii="Garamond" w:hAnsi="Garamond"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 xml:space="preserve">sh.a., </w:t>
      </w:r>
      <w:r w:rsidR="00BC4867">
        <w:rPr>
          <w:rFonts w:ascii="Garamond" w:hAnsi="Garamond"/>
          <w:color w:val="000000"/>
          <w:szCs w:val="24"/>
        </w:rPr>
        <w:t>për periudhën rregullatore 2025–</w:t>
      </w:r>
      <w:r w:rsidRPr="00BC4867">
        <w:rPr>
          <w:rFonts w:ascii="Garamond" w:hAnsi="Garamond"/>
          <w:color w:val="000000"/>
          <w:szCs w:val="24"/>
        </w:rPr>
        <w:t xml:space="preserve">2027, të marra në konsideratë nga ERE në përcaktimin e tarifës së transmetimit, të miratuar me vendimin e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Pr="00BC4867">
        <w:rPr>
          <w:rFonts w:ascii="Garamond" w:hAnsi="Garamond"/>
          <w:color w:val="000000"/>
          <w:szCs w:val="24"/>
        </w:rPr>
        <w:t xml:space="preserve">nr. 279, datë 16.12.2024, do të kenë ndryshime nga sa propozuar nga shoqëria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ERE do të konsiderojë rishikimin e CAPEX</w:t>
      </w:r>
      <w:r w:rsidR="00BC4867">
        <w:rPr>
          <w:rFonts w:ascii="Garamond" w:hAnsi="Garamond"/>
          <w:color w:val="000000"/>
          <w:szCs w:val="24"/>
        </w:rPr>
        <w:t>-it,</w:t>
      </w:r>
      <w:r w:rsidRPr="00BC4867">
        <w:rPr>
          <w:rFonts w:ascii="Garamond" w:hAnsi="Garamond"/>
          <w:color w:val="000000"/>
          <w:szCs w:val="24"/>
        </w:rPr>
        <w:t xml:space="preserve"> lidhur me inve</w:t>
      </w:r>
      <w:r w:rsidR="00BC4867">
        <w:rPr>
          <w:rFonts w:ascii="Garamond" w:hAnsi="Garamond"/>
          <w:color w:val="000000"/>
          <w:szCs w:val="24"/>
        </w:rPr>
        <w:t>s</w:t>
      </w:r>
      <w:r w:rsidRPr="00BC4867">
        <w:rPr>
          <w:rFonts w:ascii="Garamond" w:hAnsi="Garamond"/>
          <w:color w:val="000000"/>
          <w:szCs w:val="24"/>
        </w:rPr>
        <w:t xml:space="preserve">timet që priten të realizohen nga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në periudhën pasardhëse. </w:t>
      </w:r>
    </w:p>
    <w:p w14:paraId="746C2C68" w14:textId="0D30AC44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/>
          <w:bCs/>
          <w:color w:val="000000"/>
          <w:szCs w:val="24"/>
        </w:rPr>
        <w:t xml:space="preserve">- </w:t>
      </w:r>
      <w:r w:rsidRPr="00BC4867">
        <w:rPr>
          <w:rFonts w:ascii="Garamond" w:hAnsi="Garamond"/>
          <w:color w:val="000000"/>
          <w:szCs w:val="24"/>
        </w:rPr>
        <w:t>Duke qenë se viti 2025 shënon dhe fundin e Planit të Zhvilli</w:t>
      </w:r>
      <w:r w:rsidR="00BC4867">
        <w:rPr>
          <w:rFonts w:ascii="Garamond" w:hAnsi="Garamond"/>
          <w:color w:val="000000"/>
          <w:szCs w:val="24"/>
        </w:rPr>
        <w:t xml:space="preserve">mit të Rrjetit të Transmetimit </w:t>
      </w:r>
      <w:bookmarkStart w:id="0" w:name="_GoBack"/>
      <w:bookmarkEnd w:id="0"/>
      <w:r w:rsidRPr="00BC4867">
        <w:rPr>
          <w:rFonts w:ascii="Garamond" w:hAnsi="Garamond"/>
          <w:color w:val="000000"/>
          <w:szCs w:val="24"/>
        </w:rPr>
        <w:t>për periudhën 2015</w:t>
      </w:r>
      <w:r w:rsidR="00BC4867">
        <w:rPr>
          <w:rFonts w:ascii="Garamond" w:hAnsi="Garamond"/>
          <w:color w:val="000000"/>
          <w:szCs w:val="24"/>
        </w:rPr>
        <w:t>–</w:t>
      </w:r>
      <w:r w:rsidRPr="00BC4867">
        <w:rPr>
          <w:rFonts w:ascii="Garamond" w:hAnsi="Garamond"/>
          <w:color w:val="000000"/>
          <w:szCs w:val="24"/>
        </w:rPr>
        <w:t xml:space="preserve">2025, </w:t>
      </w:r>
      <w:r w:rsidR="00BC4867" w:rsidRPr="00BC4867">
        <w:rPr>
          <w:rFonts w:ascii="Garamond" w:hAnsi="Garamond"/>
          <w:color w:val="000000"/>
          <w:szCs w:val="24"/>
        </w:rPr>
        <w:t>vlerësohet</w:t>
      </w:r>
      <w:r w:rsidRPr="00BC4867">
        <w:rPr>
          <w:rFonts w:ascii="Garamond" w:hAnsi="Garamond"/>
          <w:color w:val="000000"/>
          <w:szCs w:val="24"/>
        </w:rPr>
        <w:t xml:space="preserve"> se shoqëria duhet të paraqesë në ERE një raport mbi realizimin faktik të investimeve të parashikuara për këtë periudhë 10-vjeçare, në të cilin të përfshihen dhe sqarimet përkatëse mbi projektet e shtyra ose të parealizuara, në rast se ka të tilla</w:t>
      </w:r>
      <w:r w:rsidR="00BC4867">
        <w:rPr>
          <w:rFonts w:ascii="Garamond" w:hAnsi="Garamond"/>
          <w:color w:val="000000"/>
          <w:szCs w:val="24"/>
        </w:rPr>
        <w:t>.</w:t>
      </w:r>
    </w:p>
    <w:p w14:paraId="74F07BA7" w14:textId="696B9ADF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="00BC4867">
        <w:rPr>
          <w:rFonts w:ascii="Garamond" w:hAnsi="Garamond"/>
          <w:color w:val="000000"/>
          <w:szCs w:val="24"/>
        </w:rPr>
        <w:t>Në këto rrethana</w:t>
      </w:r>
      <w:r w:rsidRPr="00BC4867">
        <w:rPr>
          <w:rFonts w:ascii="Garamond" w:hAnsi="Garamond"/>
          <w:color w:val="000000"/>
          <w:szCs w:val="24"/>
        </w:rPr>
        <w:t xml:space="preserve"> dhe në zbatim të kuadrit ligjor e rregullator në fuqi, vlerësohet se procedura administrative e nisur me vendimin nr. 247, datë 18.11.2024, duhet të përfundojë, ndërsa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duhet të vijojë me përgatitjen dhe paraqitjen pranë ERE-s të Planit të Zhvillimit të Rrjetit të Transmetimit për periudhën 2026–2035, në përputhje të plotë me ligjin nr. 43/2015 dhe </w:t>
      </w:r>
      <w:r w:rsidR="00BC4867" w:rsidRPr="00BC4867">
        <w:rPr>
          <w:rFonts w:ascii="Garamond" w:hAnsi="Garamond"/>
          <w:color w:val="000000"/>
          <w:szCs w:val="24"/>
        </w:rPr>
        <w:t xml:space="preserve">rregulloren </w:t>
      </w:r>
      <w:r w:rsidRPr="00BC4867">
        <w:rPr>
          <w:rFonts w:ascii="Garamond" w:hAnsi="Garamond"/>
          <w:color w:val="000000"/>
          <w:szCs w:val="24"/>
        </w:rPr>
        <w:t>nr. 135/2017.</w:t>
      </w:r>
    </w:p>
    <w:p w14:paraId="48C4A8D5" w14:textId="20587B5B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lastRenderedPageBreak/>
        <w:t>-</w:t>
      </w:r>
      <w:r w:rsidRPr="00BC4867">
        <w:rPr>
          <w:rFonts w:ascii="Garamond" w:hAnsi="Garamond"/>
          <w:b/>
          <w:bCs/>
          <w:color w:val="000000"/>
          <w:szCs w:val="24"/>
        </w:rPr>
        <w:t xml:space="preserve"> </w:t>
      </w:r>
      <w:r w:rsidRPr="00BC4867">
        <w:rPr>
          <w:rFonts w:ascii="Garamond" w:hAnsi="Garamond"/>
          <w:color w:val="000000"/>
          <w:szCs w:val="24"/>
        </w:rPr>
        <w:t>Në përputhje me nenin 90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të ligjit nr. 44/2015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“Kodi i Procedur</w:t>
      </w:r>
      <w:r w:rsidR="00BC4867">
        <w:rPr>
          <w:rFonts w:ascii="Garamond" w:hAnsi="Garamond"/>
          <w:color w:val="000000"/>
          <w:szCs w:val="24"/>
        </w:rPr>
        <w:t>ës</w:t>
      </w:r>
      <w:r w:rsidRPr="00BC4867">
        <w:rPr>
          <w:rFonts w:ascii="Garamond" w:hAnsi="Garamond"/>
          <w:color w:val="000000"/>
          <w:szCs w:val="24"/>
        </w:rPr>
        <w:t xml:space="preserve"> Administrative </w:t>
      </w:r>
      <w:r w:rsidR="00BC4867">
        <w:rPr>
          <w:rFonts w:ascii="Garamond" w:hAnsi="Garamond"/>
          <w:color w:val="000000"/>
          <w:szCs w:val="24"/>
        </w:rPr>
        <w:t>të</w:t>
      </w:r>
      <w:r w:rsidRPr="00BC4867">
        <w:rPr>
          <w:rFonts w:ascii="Garamond" w:hAnsi="Garamond"/>
          <w:color w:val="000000"/>
          <w:szCs w:val="24"/>
        </w:rPr>
        <w:t xml:space="preserve"> Republikës së Shqipërisë”, organi publik deklaron të përfunduar procedurën administrative pa marrë një vendim përfundimtar mbi themelin e çështjes, kur objekti për të cilin është nisur procedura apo qëllimi i saj është bërë i pamundur. Në këto rrethana, vlerësohet se janë përmbushur kushtet ligjore për përfundimin e procedurës.</w:t>
      </w:r>
    </w:p>
    <w:p w14:paraId="3B8DD443" w14:textId="3D08123D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 xml:space="preserve">Për gjithë sa më sipër, </w:t>
      </w:r>
      <w:r w:rsidR="00BC4867" w:rsidRPr="00BC4867">
        <w:rPr>
          <w:rFonts w:ascii="Garamond" w:hAnsi="Garamond"/>
          <w:color w:val="000000"/>
          <w:szCs w:val="24"/>
        </w:rPr>
        <w:t xml:space="preserve">Bordi </w:t>
      </w:r>
      <w:r w:rsidR="00BC4867">
        <w:rPr>
          <w:rFonts w:ascii="Garamond" w:hAnsi="Garamond"/>
          <w:color w:val="000000"/>
          <w:szCs w:val="24"/>
        </w:rPr>
        <w:t>i ERE-s</w:t>
      </w:r>
    </w:p>
    <w:p w14:paraId="5C83B82B" w14:textId="77777777" w:rsidR="00AE0003" w:rsidRPr="00BC4867" w:rsidRDefault="00AE0003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4B14E2DC" w14:textId="7A608232" w:rsidR="00B62C49" w:rsidRPr="00BC4867" w:rsidRDefault="00AE0003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BC4867">
        <w:rPr>
          <w:rFonts w:ascii="Garamond" w:hAnsi="Garamond"/>
          <w:bCs/>
          <w:color w:val="000000"/>
          <w:szCs w:val="24"/>
        </w:rPr>
        <w:t>VENDOSI:</w:t>
      </w:r>
    </w:p>
    <w:p w14:paraId="7B4FE790" w14:textId="77777777" w:rsidR="00B62C49" w:rsidRPr="00BC4867" w:rsidRDefault="00B62C49" w:rsidP="00B62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437370C1" w14:textId="3762E625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>1. Përfundimin e procedurave për shqyrtimin e Planit të Investimeve të shoqërisë “OST</w:t>
      </w:r>
      <w:r w:rsidR="00BC4867">
        <w:rPr>
          <w:rFonts w:ascii="Garamond" w:hAnsi="Garamond"/>
          <w:color w:val="000000"/>
          <w:szCs w:val="24"/>
        </w:rPr>
        <w:t>” sh.a., për vitin 2025–</w:t>
      </w:r>
      <w:r w:rsidRPr="00BC4867">
        <w:rPr>
          <w:rFonts w:ascii="Garamond" w:hAnsi="Garamond"/>
          <w:color w:val="000000"/>
          <w:szCs w:val="24"/>
        </w:rPr>
        <w:t>2027.</w:t>
      </w:r>
    </w:p>
    <w:p w14:paraId="6BFA62CB" w14:textId="2FE92809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 xml:space="preserve">2. Shoqëria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 duhet të depozitojë në ERE jo më vonë se muaji dhjetor 2026 Planin e Zhvillimit të Rrjetit të Tr</w:t>
      </w:r>
      <w:r w:rsidR="00BC4867">
        <w:rPr>
          <w:rFonts w:ascii="Garamond" w:hAnsi="Garamond"/>
          <w:color w:val="000000"/>
          <w:szCs w:val="24"/>
        </w:rPr>
        <w:t>ansmetimit për Periudhën 2026–</w:t>
      </w:r>
      <w:r w:rsidRPr="00BC4867">
        <w:rPr>
          <w:rFonts w:ascii="Garamond" w:hAnsi="Garamond"/>
          <w:color w:val="000000"/>
          <w:szCs w:val="24"/>
        </w:rPr>
        <w:t xml:space="preserve">2035. </w:t>
      </w:r>
    </w:p>
    <w:p w14:paraId="29406A41" w14:textId="6FD4F6E6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>3. D</w:t>
      </w:r>
      <w:r w:rsidR="00BC4867">
        <w:rPr>
          <w:rFonts w:ascii="Garamond" w:hAnsi="Garamond"/>
          <w:color w:val="000000"/>
          <w:szCs w:val="24"/>
        </w:rPr>
        <w:t>rejtoria e Tarifave dhe Çmimeve</w:t>
      </w:r>
      <w:r w:rsidRPr="00BC4867">
        <w:rPr>
          <w:rFonts w:ascii="Garamond" w:hAnsi="Garamond"/>
          <w:color w:val="000000"/>
          <w:szCs w:val="24"/>
        </w:rPr>
        <w:t xml:space="preserve"> të njoftojë shoqërinë </w:t>
      </w:r>
      <w:r w:rsidR="00BC4867">
        <w:rPr>
          <w:rFonts w:ascii="Garamond" w:hAnsi="Garamond"/>
          <w:color w:val="000000"/>
          <w:szCs w:val="24"/>
        </w:rPr>
        <w:t>“</w:t>
      </w:r>
      <w:r w:rsidRPr="00BC4867">
        <w:rPr>
          <w:rFonts w:ascii="Garamond" w:hAnsi="Garamond"/>
          <w:color w:val="000000"/>
          <w:szCs w:val="24"/>
        </w:rPr>
        <w:t>OST</w:t>
      </w:r>
      <w:r w:rsidR="00BC4867">
        <w:rPr>
          <w:rFonts w:ascii="Garamond" w:hAnsi="Garamond"/>
          <w:color w:val="000000"/>
          <w:szCs w:val="24"/>
        </w:rPr>
        <w:t>”</w:t>
      </w:r>
      <w:r w:rsidRPr="00BC4867">
        <w:rPr>
          <w:rFonts w:ascii="Garamond" w:hAnsi="Garamond"/>
          <w:color w:val="000000"/>
          <w:szCs w:val="24"/>
        </w:rPr>
        <w:t xml:space="preserve"> sh.a., Ministrinë e Infrastrukturës dhe Energjisë</w:t>
      </w:r>
      <w:r w:rsidR="00BC4867">
        <w:rPr>
          <w:rFonts w:ascii="Garamond" w:hAnsi="Garamond"/>
          <w:color w:val="000000"/>
          <w:szCs w:val="24"/>
        </w:rPr>
        <w:t>,</w:t>
      </w:r>
      <w:r w:rsidRPr="00BC4867">
        <w:rPr>
          <w:rFonts w:ascii="Garamond" w:hAnsi="Garamond"/>
          <w:color w:val="000000"/>
          <w:szCs w:val="24"/>
        </w:rPr>
        <w:t xml:space="preserve"> dhe palët e interesit për vendimin e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Pr="00BC4867">
        <w:rPr>
          <w:rFonts w:ascii="Garamond" w:hAnsi="Garamond"/>
          <w:color w:val="000000"/>
          <w:szCs w:val="24"/>
        </w:rPr>
        <w:t>të ERE-s.</w:t>
      </w:r>
    </w:p>
    <w:p w14:paraId="5167AD48" w14:textId="77777777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>Ky vendim hyn në fuqi menjëherë.</w:t>
      </w:r>
    </w:p>
    <w:p w14:paraId="116F87CA" w14:textId="39BE980A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C4867" w:rsidRPr="00BC4867">
        <w:rPr>
          <w:rFonts w:ascii="Garamond" w:hAnsi="Garamond"/>
          <w:color w:val="000000"/>
          <w:szCs w:val="24"/>
        </w:rPr>
        <w:t xml:space="preserve">Bordit </w:t>
      </w:r>
      <w:r w:rsidRPr="00BC4867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BC4867" w:rsidRPr="00BC4867">
        <w:rPr>
          <w:rFonts w:ascii="Garamond" w:hAnsi="Garamond"/>
          <w:color w:val="000000"/>
          <w:szCs w:val="24"/>
        </w:rPr>
        <w:t xml:space="preserve">Bordin </w:t>
      </w:r>
      <w:r w:rsidRPr="00BC4867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EB901AF" w14:textId="77777777" w:rsidR="00B62C49" w:rsidRPr="00BC4867" w:rsidRDefault="00B62C49" w:rsidP="00AE00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C4867">
        <w:rPr>
          <w:rFonts w:ascii="Garamond" w:hAnsi="Garamond"/>
          <w:color w:val="000000"/>
          <w:szCs w:val="24"/>
        </w:rPr>
        <w:t>Ky vendim botohet në Fletoren Zyrtare.</w:t>
      </w:r>
    </w:p>
    <w:p w14:paraId="798AE2EB" w14:textId="5ABD9D50" w:rsidR="00884189" w:rsidRPr="00BC4867" w:rsidRDefault="00884189" w:rsidP="00B62C49">
      <w:pPr>
        <w:spacing w:after="0" w:line="240" w:lineRule="auto"/>
        <w:ind w:firstLine="284"/>
        <w:rPr>
          <w:rFonts w:ascii="Garamond" w:eastAsia="Batang" w:hAnsi="Garamond"/>
          <w:szCs w:val="24"/>
        </w:rPr>
      </w:pPr>
    </w:p>
    <w:p w14:paraId="04B0B0D7" w14:textId="77777777" w:rsidR="00B62C49" w:rsidRPr="00BC4867" w:rsidRDefault="00B62C49" w:rsidP="00B62C49">
      <w:pPr>
        <w:spacing w:after="0" w:line="240" w:lineRule="auto"/>
        <w:ind w:firstLine="284"/>
        <w:jc w:val="right"/>
        <w:rPr>
          <w:rFonts w:ascii="Garamond" w:hAnsi="Garamond"/>
        </w:rPr>
      </w:pPr>
      <w:r w:rsidRPr="00BC4867">
        <w:rPr>
          <w:rFonts w:ascii="Garamond" w:hAnsi="Garamond"/>
        </w:rPr>
        <w:t>KRYETAR</w:t>
      </w:r>
    </w:p>
    <w:p w14:paraId="097CD9B6" w14:textId="77777777" w:rsidR="00B62C49" w:rsidRPr="00BC4867" w:rsidRDefault="00B62C49" w:rsidP="00B62C49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BC4867">
        <w:rPr>
          <w:rFonts w:ascii="Garamond" w:hAnsi="Garamond"/>
          <w:b/>
        </w:rPr>
        <w:t>Petrit Ahmeti</w:t>
      </w:r>
    </w:p>
    <w:p w14:paraId="3748F375" w14:textId="77777777" w:rsidR="00B62C49" w:rsidRPr="00BC4867" w:rsidRDefault="00B62C49" w:rsidP="00B62C49">
      <w:pPr>
        <w:spacing w:after="0" w:line="240" w:lineRule="auto"/>
        <w:ind w:firstLine="284"/>
        <w:rPr>
          <w:rFonts w:ascii="Garamond" w:eastAsia="Batang" w:hAnsi="Garamond"/>
          <w:szCs w:val="24"/>
        </w:rPr>
      </w:pPr>
    </w:p>
    <w:sectPr w:rsidR="00B62C49" w:rsidRPr="00BC4867">
      <w:footerReference w:type="default" r:id="rId23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FD143" w14:textId="77777777" w:rsidR="00BC4867" w:rsidRDefault="00BC4867">
      <w:pPr>
        <w:spacing w:after="0" w:line="240" w:lineRule="auto"/>
      </w:pPr>
      <w:r>
        <w:separator/>
      </w:r>
    </w:p>
  </w:endnote>
  <w:endnote w:type="continuationSeparator" w:id="0">
    <w:p w14:paraId="5540E175" w14:textId="77777777" w:rsidR="00BC4867" w:rsidRDefault="00BC4867">
      <w:pPr>
        <w:spacing w:after="0" w:line="240" w:lineRule="auto"/>
      </w:pPr>
      <w:r>
        <w:continuationSeparator/>
      </w:r>
    </w:p>
  </w:endnote>
  <w:endnote w:type="continuationNotice" w:id="1">
    <w:p w14:paraId="2FE7E02C" w14:textId="77777777" w:rsidR="00BC4867" w:rsidRDefault="00BC48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0FC1D" w14:textId="7EACA2F5" w:rsidR="00BC4867" w:rsidRPr="005532C3" w:rsidRDefault="00BC4867" w:rsidP="00305488">
    <w:pPr>
      <w:tabs>
        <w:tab w:val="center" w:pos="4680"/>
        <w:tab w:val="right" w:pos="9360"/>
      </w:tabs>
      <w:spacing w:after="0" w:line="240" w:lineRule="auto"/>
      <w:jc w:val="center"/>
      <w:rPr>
        <w:szCs w:val="24"/>
        <w:lang w:val="it-IT"/>
      </w:rPr>
    </w:pPr>
    <w:r w:rsidRPr="005532C3">
      <w:rPr>
        <w:szCs w:val="24"/>
        <w:lang w:val="en-US"/>
      </w:rPr>
      <w:fldChar w:fldCharType="begin"/>
    </w:r>
    <w:r w:rsidRPr="005532C3">
      <w:rPr>
        <w:szCs w:val="24"/>
        <w:lang w:val="en-US"/>
      </w:rPr>
      <w:instrText>PAGE   \* MERGEFORMAT</w:instrText>
    </w:r>
    <w:r w:rsidRPr="005532C3">
      <w:rPr>
        <w:szCs w:val="24"/>
        <w:lang w:val="en-US"/>
      </w:rPr>
      <w:fldChar w:fldCharType="separate"/>
    </w:r>
    <w:r w:rsidR="002D2856">
      <w:rPr>
        <w:noProof/>
        <w:szCs w:val="24"/>
        <w:lang w:val="en-US"/>
      </w:rPr>
      <w:t>3</w:t>
    </w:r>
    <w:r w:rsidRPr="005532C3">
      <w:rPr>
        <w:szCs w:val="24"/>
        <w:lang w:val="en-US"/>
      </w:rPr>
      <w:fldChar w:fldCharType="end"/>
    </w:r>
  </w:p>
  <w:p w14:paraId="178D8012" w14:textId="77777777" w:rsidR="00BC4867" w:rsidRPr="00305488" w:rsidRDefault="00BC4867" w:rsidP="00305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68FAE" w14:textId="77777777" w:rsidR="00BC4867" w:rsidRDefault="00BC4867">
      <w:pPr>
        <w:spacing w:after="0" w:line="240" w:lineRule="auto"/>
      </w:pPr>
      <w:r>
        <w:separator/>
      </w:r>
    </w:p>
  </w:footnote>
  <w:footnote w:type="continuationSeparator" w:id="0">
    <w:p w14:paraId="53FE2448" w14:textId="77777777" w:rsidR="00BC4867" w:rsidRDefault="00BC4867">
      <w:pPr>
        <w:spacing w:after="0" w:line="240" w:lineRule="auto"/>
      </w:pPr>
      <w:r>
        <w:continuationSeparator/>
      </w:r>
    </w:p>
  </w:footnote>
  <w:footnote w:type="continuationNotice" w:id="1">
    <w:p w14:paraId="6469FFAF" w14:textId="77777777" w:rsidR="00BC4867" w:rsidRDefault="00BC48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573E6078"/>
    <w:lvl w:ilvl="0" w:tplc="DFC8927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3626B9E0"/>
    <w:lvl w:ilvl="0" w:tplc="B8D8B84E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94BC7290"/>
    <w:lvl w:ilvl="0" w:tplc="8B9450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5F967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BF54A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1E85A1A"/>
    <w:multiLevelType w:val="hybridMultilevel"/>
    <w:tmpl w:val="F3E40716"/>
    <w:lvl w:ilvl="0" w:tplc="65CE2B3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BD962A1"/>
    <w:multiLevelType w:val="multilevel"/>
    <w:tmpl w:val="015A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05460E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270D05"/>
    <w:multiLevelType w:val="hybridMultilevel"/>
    <w:tmpl w:val="9D601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671F5"/>
    <w:multiLevelType w:val="multilevel"/>
    <w:tmpl w:val="3EEE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B03601"/>
    <w:multiLevelType w:val="multilevel"/>
    <w:tmpl w:val="195E8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1"/>
  </w:num>
  <w:num w:numId="3">
    <w:abstractNumId w:val="16"/>
  </w:num>
  <w:num w:numId="4">
    <w:abstractNumId w:val="15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 w:numId="10">
    <w:abstractNumId w:val="1"/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32"/>
  </w:num>
  <w:num w:numId="15">
    <w:abstractNumId w:val="5"/>
  </w:num>
  <w:num w:numId="16">
    <w:abstractNumId w:val="11"/>
  </w:num>
  <w:num w:numId="17">
    <w:abstractNumId w:val="7"/>
  </w:num>
  <w:num w:numId="18">
    <w:abstractNumId w:val="0"/>
  </w:num>
  <w:num w:numId="19">
    <w:abstractNumId w:val="9"/>
  </w:num>
  <w:num w:numId="20">
    <w:abstractNumId w:val="12"/>
  </w:num>
  <w:num w:numId="21">
    <w:abstractNumId w:val="10"/>
  </w:num>
  <w:num w:numId="22">
    <w:abstractNumId w:val="13"/>
  </w:num>
  <w:num w:numId="23">
    <w:abstractNumId w:val="17"/>
  </w:num>
  <w:num w:numId="24">
    <w:abstractNumId w:val="14"/>
  </w:num>
  <w:num w:numId="25">
    <w:abstractNumId w:val="19"/>
  </w:num>
  <w:num w:numId="26">
    <w:abstractNumId w:val="18"/>
  </w:num>
  <w:num w:numId="27">
    <w:abstractNumId w:val="20"/>
  </w:num>
  <w:num w:numId="28">
    <w:abstractNumId w:val="22"/>
  </w:num>
  <w:num w:numId="29">
    <w:abstractNumId w:val="26"/>
  </w:num>
  <w:num w:numId="30">
    <w:abstractNumId w:val="24"/>
  </w:num>
  <w:num w:numId="31">
    <w:abstractNumId w:val="28"/>
  </w:num>
  <w:num w:numId="32">
    <w:abstractNumId w:val="29"/>
  </w:num>
  <w:num w:numId="33">
    <w:abstractNumId w:val="30"/>
  </w:num>
  <w:num w:numId="34">
    <w:abstractNumId w:val="33"/>
  </w:num>
  <w:num w:numId="35">
    <w:abstractNumId w:val="34"/>
  </w:num>
  <w:num w:numId="36">
    <w:abstractNumId w:val="3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605"/>
    <w:rsid w:val="0007227E"/>
    <w:rsid w:val="0016032E"/>
    <w:rsid w:val="002B7F00"/>
    <w:rsid w:val="002D18D3"/>
    <w:rsid w:val="002D2856"/>
    <w:rsid w:val="00305488"/>
    <w:rsid w:val="00361615"/>
    <w:rsid w:val="003C0C73"/>
    <w:rsid w:val="003C6EA9"/>
    <w:rsid w:val="00456FC4"/>
    <w:rsid w:val="005052BA"/>
    <w:rsid w:val="00541463"/>
    <w:rsid w:val="00563643"/>
    <w:rsid w:val="005C6C5E"/>
    <w:rsid w:val="005D496B"/>
    <w:rsid w:val="006C3755"/>
    <w:rsid w:val="00713605"/>
    <w:rsid w:val="007142B5"/>
    <w:rsid w:val="007E188A"/>
    <w:rsid w:val="007F7786"/>
    <w:rsid w:val="008538C0"/>
    <w:rsid w:val="00884189"/>
    <w:rsid w:val="008E3379"/>
    <w:rsid w:val="009900F1"/>
    <w:rsid w:val="00AE0003"/>
    <w:rsid w:val="00B04658"/>
    <w:rsid w:val="00B62C49"/>
    <w:rsid w:val="00BC4867"/>
    <w:rsid w:val="00BC527C"/>
    <w:rsid w:val="00BF4CB4"/>
    <w:rsid w:val="00C86F36"/>
    <w:rsid w:val="00C957CB"/>
    <w:rsid w:val="00CB3BEB"/>
    <w:rsid w:val="00CC5531"/>
    <w:rsid w:val="00E02901"/>
    <w:rsid w:val="00E52789"/>
    <w:rsid w:val="00E534EB"/>
    <w:rsid w:val="00EB34C6"/>
    <w:rsid w:val="00EE159C"/>
    <w:rsid w:val="00EE793D"/>
    <w:rsid w:val="00EF4E92"/>
    <w:rsid w:val="00FD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C1B2"/>
  <w15:docId w15:val="{C8C56700-4253-457A-90AE-084A1869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List Paragraph1,Bullet1,Forth level,Normal 1,List Paragraph 1,Bullets,Colorful List - Accent 11,Citation List,Graphic,List Paragraph Char Char,Table of contents numbered,Resume Title,Ha,lp1,List Paragraph11,Figure_name"/>
    <w:basedOn w:val="Normal"/>
    <w:link w:val="ListParagraphChar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,Citation List Char,Graphic Char,List Paragraph Char Char Char,Resume Title Char"/>
    <w:link w:val="ListParagraph"/>
    <w:uiPriority w:val="34"/>
    <w:qFormat/>
    <w:locked/>
    <w:rsid w:val="008538C0"/>
    <w:rPr>
      <w:rFonts w:eastAsia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1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2026-01-07T12:13:37Z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2026-01-06T00:00:00Z</Date_x0020_protokolli>
    <Titulli xmlns="0e656187-b300-4fb0-8bf4-3a50f872073c">Mbi planin e investimeve të shoqërisë OST sh.a. për periudhën rregullatore 2025 - 2027</Titulli>
    <Modifikuesi xmlns="0e656187-b300-4fb0-8bf4-3a50f872073c">ermira.bukaci</Modifikuesi>
    <Nr_x002e__x0020_prot_x0020_QBZ xmlns="0e656187-b300-4fb0-8bf4-3a50f872073c">8/6</Nr_x002e__x0020_prot_x0020_QBZ>
    <Data_x0020_e_x0020_Modifikimit xmlns="0e656187-b300-4fb0-8bf4-3a50f872073c">2026-01-08T10:26:09Z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3170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D524D21B0A4622A0590B93EEDA6D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D524D21B0A4622A0590B93EEDA6D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7AEF77-FD83-485E-BAB3-DD5198C3727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36DBC573-2F88-4FC9-A301-27DBA1513F5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761747E-BE93-4D82-95B0-E72163C8FEF4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DBE3ED45-2084-40C4-A9ED-E696953D77F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4539C05-F659-47AE-99C1-39018736C4E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E5A9A2-CE12-4B86-8854-D6D49ABFF7B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F6D1483-5C12-41E5-B512-49B608505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F2B2CDDF-0914-4008-A84A-BA3B748BC09E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3425949D-4BDF-4B51-A3F6-2FE3B8337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680E883F-B1D4-460A-A402-358E50DE9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planin e investimeve të shoqërisë OST sh.a. për periudhën rregullatore 2025 - 2027</vt:lpstr>
    </vt:vector>
  </TitlesOfParts>
  <Company>Hewlett-Packard Company</Company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planin e investimeve të shoqërisë OST sh.a. për periudhën rregullatore 2025 - 2027</dc:title>
  <dc:creator>Eni</dc:creator>
  <cp:lastModifiedBy>Fjora Cahani</cp:lastModifiedBy>
  <cp:revision>6</cp:revision>
  <cp:lastPrinted>2025-11-18T10:22:00Z</cp:lastPrinted>
  <dcterms:created xsi:type="dcterms:W3CDTF">2026-01-07T11:20:00Z</dcterms:created>
  <dcterms:modified xsi:type="dcterms:W3CDTF">2026-01-08T13:25:00Z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08d9953a3fa94e14bd34f093b64cf5ab</vt:lpwstr>
  </property>
</Properties>
</file>