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AC6D3" w14:textId="6D571BB0" w:rsidR="00725035" w:rsidRPr="004F3FFB" w:rsidRDefault="00725035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F8605EB" w14:textId="287098E0" w:rsidR="00725035" w:rsidRPr="004F3FFB" w:rsidRDefault="00C3316A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  <w:r w:rsidRPr="004F3FFB">
        <w:rPr>
          <w:rFonts w:ascii="Garamond" w:hAnsi="Garamond" w:cs="Times New Roman"/>
          <w:b/>
          <w:sz w:val="24"/>
          <w:szCs w:val="24"/>
          <w:lang w:eastAsia="en-GB"/>
        </w:rPr>
        <w:t>VENDIM</w:t>
      </w:r>
    </w:p>
    <w:p w14:paraId="718D97A1" w14:textId="60CC836F" w:rsidR="00725035" w:rsidRPr="004F3FFB" w:rsidRDefault="00C3316A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  <w:r w:rsidRPr="004F3FFB">
        <w:rPr>
          <w:rFonts w:ascii="Garamond" w:hAnsi="Garamond" w:cs="Times New Roman"/>
          <w:b/>
          <w:sz w:val="24"/>
          <w:szCs w:val="24"/>
          <w:lang w:eastAsia="en-GB"/>
        </w:rPr>
        <w:t xml:space="preserve">Nr. 346, </w:t>
      </w:r>
      <w:r w:rsidR="00E31325" w:rsidRPr="004F3FFB">
        <w:rPr>
          <w:rFonts w:ascii="Garamond" w:hAnsi="Garamond" w:cs="Times New Roman"/>
          <w:b/>
          <w:sz w:val="24"/>
          <w:szCs w:val="24"/>
          <w:lang w:eastAsia="en-GB"/>
        </w:rPr>
        <w:t xml:space="preserve">datë </w:t>
      </w:r>
      <w:r w:rsidRPr="004F3FFB">
        <w:rPr>
          <w:rFonts w:ascii="Garamond" w:hAnsi="Garamond" w:cs="Times New Roman"/>
          <w:b/>
          <w:sz w:val="24"/>
          <w:szCs w:val="24"/>
          <w:lang w:eastAsia="en-GB"/>
        </w:rPr>
        <w:t>29.12.2025</w:t>
      </w:r>
    </w:p>
    <w:p w14:paraId="5FFF014F" w14:textId="77777777" w:rsidR="00725035" w:rsidRPr="004F3FFB" w:rsidRDefault="00725035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</w:p>
    <w:p w14:paraId="7D95C10B" w14:textId="0E5C1090" w:rsidR="00725035" w:rsidRDefault="00C3316A" w:rsidP="00E3132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Hlk46135562"/>
      <w:r w:rsidRPr="004F3FFB">
        <w:rPr>
          <w:rFonts w:ascii="Garamond" w:hAnsi="Garamond" w:cs="Times New Roman"/>
          <w:b/>
          <w:sz w:val="24"/>
          <w:szCs w:val="24"/>
        </w:rPr>
        <w:t>MBI</w:t>
      </w:r>
      <w:r w:rsidR="004F3FFB" w:rsidRPr="004F3FFB">
        <w:rPr>
          <w:rFonts w:ascii="Garamond" w:hAnsi="Garamond" w:cs="Times New Roman"/>
          <w:b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b/>
          <w:sz w:val="24"/>
          <w:szCs w:val="24"/>
        </w:rPr>
        <w:t xml:space="preserve">FILLIMIN E PROCEDURËS PËR DISA NDRYSHIME NË </w:t>
      </w:r>
      <w:r w:rsidRPr="004F3FFB">
        <w:rPr>
          <w:rFonts w:ascii="Garamond" w:hAnsi="Garamond" w:cs="Times New Roman"/>
          <w:b/>
          <w:bCs/>
          <w:sz w:val="24"/>
          <w:szCs w:val="24"/>
        </w:rPr>
        <w:t>TREGUESIT E KRITEREVE STANDARDE TË CILËSISË SË SHËRBIMIT NË SISTEMIN E SHPËRNDARJES SË ENERGJISË ELEKTRIKE</w:t>
      </w:r>
    </w:p>
    <w:p w14:paraId="7CF41B28" w14:textId="77777777" w:rsidR="00E31325" w:rsidRPr="004F3FFB" w:rsidRDefault="00E31325" w:rsidP="00E3132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bookmarkEnd w:id="0"/>
    <w:p w14:paraId="52F3A99F" w14:textId="2C3CF559" w:rsidR="004F3FFB" w:rsidRPr="00E31325" w:rsidRDefault="004F3FFB" w:rsidP="00E3132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E31325">
        <w:rPr>
          <w:rFonts w:ascii="Garamond" w:hAnsi="Garamond"/>
          <w:sz w:val="24"/>
          <w:szCs w:val="24"/>
        </w:rPr>
        <w:t xml:space="preserve">Në mbështetje të neneve 7, pika 1; 16; 19, </w:t>
      </w:r>
      <w:r w:rsidR="00E31325" w:rsidRPr="00E31325">
        <w:rPr>
          <w:rFonts w:ascii="Garamond" w:hAnsi="Garamond"/>
          <w:sz w:val="24"/>
          <w:szCs w:val="24"/>
        </w:rPr>
        <w:t>germat</w:t>
      </w:r>
      <w:r w:rsidRPr="00E31325">
        <w:rPr>
          <w:rFonts w:ascii="Garamond" w:hAnsi="Garamond"/>
          <w:sz w:val="24"/>
          <w:szCs w:val="24"/>
        </w:rPr>
        <w:t xml:space="preserve"> “h” dhe “j”, dhe nenit 20, </w:t>
      </w:r>
      <w:r w:rsidR="00E31325" w:rsidRPr="00E31325">
        <w:rPr>
          <w:rFonts w:ascii="Garamond" w:hAnsi="Garamond"/>
          <w:sz w:val="24"/>
          <w:szCs w:val="24"/>
        </w:rPr>
        <w:t>germa</w:t>
      </w:r>
      <w:r w:rsidRPr="00E31325">
        <w:rPr>
          <w:rFonts w:ascii="Garamond" w:hAnsi="Garamond"/>
          <w:sz w:val="24"/>
          <w:szCs w:val="24"/>
        </w:rPr>
        <w:t xml:space="preserve"> “a”</w:t>
      </w:r>
      <w:r w:rsidR="00E31325" w:rsidRPr="00E31325">
        <w:rPr>
          <w:rFonts w:ascii="Garamond" w:hAnsi="Garamond"/>
          <w:sz w:val="24"/>
          <w:szCs w:val="24"/>
        </w:rPr>
        <w:t>,</w:t>
      </w:r>
      <w:r w:rsidRPr="00E31325">
        <w:rPr>
          <w:rFonts w:ascii="Garamond" w:hAnsi="Garamond"/>
          <w:sz w:val="24"/>
          <w:szCs w:val="24"/>
        </w:rPr>
        <w:t xml:space="preserve"> të </w:t>
      </w:r>
      <w:r w:rsidR="00E31325" w:rsidRPr="00E31325">
        <w:rPr>
          <w:rFonts w:ascii="Garamond" w:hAnsi="Garamond"/>
          <w:sz w:val="24"/>
          <w:szCs w:val="24"/>
        </w:rPr>
        <w:t xml:space="preserve">ligjit </w:t>
      </w:r>
      <w:r w:rsidRPr="00E31325">
        <w:rPr>
          <w:rFonts w:ascii="Garamond" w:hAnsi="Garamond"/>
          <w:sz w:val="24"/>
          <w:szCs w:val="24"/>
        </w:rPr>
        <w:t>nr. 43/2015</w:t>
      </w:r>
      <w:r w:rsidR="00E31325" w:rsidRPr="00E31325">
        <w:rPr>
          <w:rFonts w:ascii="Garamond" w:hAnsi="Garamond"/>
          <w:sz w:val="24"/>
          <w:szCs w:val="24"/>
        </w:rPr>
        <w:t>,</w:t>
      </w:r>
      <w:r w:rsidRPr="00E31325">
        <w:rPr>
          <w:rFonts w:ascii="Garamond" w:hAnsi="Garamond"/>
          <w:sz w:val="24"/>
          <w:szCs w:val="24"/>
        </w:rPr>
        <w:t xml:space="preserve"> “Për sektorin e energjisë elektrike”</w:t>
      </w:r>
      <w:r w:rsidR="00E31325" w:rsidRPr="00E31325">
        <w:rPr>
          <w:rFonts w:ascii="Garamond" w:hAnsi="Garamond"/>
          <w:sz w:val="24"/>
          <w:szCs w:val="24"/>
        </w:rPr>
        <w:t>,</w:t>
      </w:r>
      <w:r w:rsidRPr="00E31325">
        <w:rPr>
          <w:rFonts w:ascii="Garamond" w:hAnsi="Garamond"/>
          <w:sz w:val="24"/>
          <w:szCs w:val="24"/>
        </w:rPr>
        <w:t xml:space="preserve"> të ndryshuar</w:t>
      </w:r>
      <w:r w:rsidR="00E31325" w:rsidRPr="00E31325">
        <w:rPr>
          <w:rFonts w:ascii="Garamond" w:hAnsi="Garamond"/>
          <w:sz w:val="24"/>
          <w:szCs w:val="24"/>
        </w:rPr>
        <w:t>; të</w:t>
      </w:r>
      <w:r w:rsidRPr="00E31325">
        <w:rPr>
          <w:rFonts w:ascii="Garamond" w:hAnsi="Garamond"/>
          <w:sz w:val="24"/>
          <w:szCs w:val="24"/>
        </w:rPr>
        <w:t xml:space="preserve"> neneve 19, </w:t>
      </w:r>
      <w:r w:rsidR="00E31325" w:rsidRPr="00E31325">
        <w:rPr>
          <w:rFonts w:ascii="Garamond" w:hAnsi="Garamond"/>
          <w:sz w:val="24"/>
          <w:szCs w:val="24"/>
        </w:rPr>
        <w:t>germa</w:t>
      </w:r>
      <w:r w:rsidRPr="00E31325">
        <w:rPr>
          <w:rFonts w:ascii="Garamond" w:hAnsi="Garamond"/>
          <w:sz w:val="24"/>
          <w:szCs w:val="24"/>
        </w:rPr>
        <w:t xml:space="preserve"> “f” dhe 26 të </w:t>
      </w:r>
      <w:r w:rsidR="00E31325" w:rsidRPr="00E31325">
        <w:rPr>
          <w:rFonts w:ascii="Garamond" w:hAnsi="Garamond"/>
          <w:sz w:val="24"/>
          <w:szCs w:val="24"/>
        </w:rPr>
        <w:t>“</w:t>
      </w:r>
      <w:r w:rsidRPr="00E31325">
        <w:rPr>
          <w:rFonts w:ascii="Garamond" w:hAnsi="Garamond"/>
          <w:sz w:val="24"/>
          <w:szCs w:val="24"/>
        </w:rPr>
        <w:t>Rregullores për organizimin, funksionimit dhe procedurat e ERE-s</w:t>
      </w:r>
      <w:r w:rsidR="00E31325" w:rsidRPr="00E31325">
        <w:rPr>
          <w:rFonts w:ascii="Garamond" w:hAnsi="Garamond"/>
          <w:sz w:val="24"/>
          <w:szCs w:val="24"/>
        </w:rPr>
        <w:t>”,</w:t>
      </w:r>
      <w:r w:rsidRPr="00E31325">
        <w:rPr>
          <w:rFonts w:ascii="Garamond" w:hAnsi="Garamond"/>
          <w:sz w:val="24"/>
          <w:szCs w:val="24"/>
        </w:rPr>
        <w:t xml:space="preserve"> miratuar me vendimin e </w:t>
      </w:r>
      <w:r w:rsidR="00E31325" w:rsidRPr="00E31325">
        <w:rPr>
          <w:rFonts w:ascii="Garamond" w:hAnsi="Garamond"/>
          <w:sz w:val="24"/>
          <w:szCs w:val="24"/>
        </w:rPr>
        <w:t xml:space="preserve">Bordit </w:t>
      </w:r>
      <w:r w:rsidRPr="00E31325">
        <w:rPr>
          <w:rFonts w:ascii="Garamond" w:hAnsi="Garamond"/>
          <w:sz w:val="24"/>
          <w:szCs w:val="24"/>
        </w:rPr>
        <w:t>të Entit Rregullator të E</w:t>
      </w:r>
      <w:r w:rsidR="00E31325" w:rsidRPr="00E31325">
        <w:rPr>
          <w:rFonts w:ascii="Garamond" w:hAnsi="Garamond"/>
          <w:sz w:val="24"/>
          <w:szCs w:val="24"/>
        </w:rPr>
        <w:t>nergjisë (ERE) nr. 96, datë 17.</w:t>
      </w:r>
      <w:r w:rsidRPr="00E31325">
        <w:rPr>
          <w:rFonts w:ascii="Garamond" w:hAnsi="Garamond"/>
          <w:sz w:val="24"/>
          <w:szCs w:val="24"/>
        </w:rPr>
        <w:t xml:space="preserve">6.2016; </w:t>
      </w:r>
      <w:r w:rsidR="00E31325" w:rsidRPr="00E31325">
        <w:rPr>
          <w:rFonts w:ascii="Garamond" w:hAnsi="Garamond"/>
          <w:sz w:val="24"/>
          <w:szCs w:val="24"/>
        </w:rPr>
        <w:t xml:space="preserve">Bordi </w:t>
      </w:r>
      <w:r w:rsidRPr="00E31325">
        <w:rPr>
          <w:rFonts w:ascii="Garamond" w:hAnsi="Garamond"/>
          <w:sz w:val="24"/>
          <w:szCs w:val="24"/>
        </w:rPr>
        <w:t>i ERE</w:t>
      </w:r>
      <w:r w:rsidR="00E31325" w:rsidRPr="00E31325">
        <w:rPr>
          <w:rFonts w:ascii="Garamond" w:hAnsi="Garamond"/>
          <w:sz w:val="24"/>
          <w:szCs w:val="24"/>
        </w:rPr>
        <w:t>-s</w:t>
      </w:r>
      <w:r w:rsidRPr="00E31325">
        <w:rPr>
          <w:rFonts w:ascii="Garamond" w:hAnsi="Garamond"/>
          <w:sz w:val="24"/>
          <w:szCs w:val="24"/>
        </w:rPr>
        <w:t xml:space="preserve">, në mbledhjen e tij të datës 29.12.2025, pasi shqyrtoi relacionin e përgatitur nga Drejtoria e Çështjeve Konsumatore dhe Drejtoria e </w:t>
      </w:r>
      <w:r w:rsidR="00E31325" w:rsidRPr="00E31325">
        <w:rPr>
          <w:rFonts w:ascii="Garamond" w:hAnsi="Garamond"/>
          <w:sz w:val="24"/>
          <w:szCs w:val="24"/>
        </w:rPr>
        <w:t xml:space="preserve">Monitorimit </w:t>
      </w:r>
      <w:r w:rsidRPr="00E31325">
        <w:rPr>
          <w:rFonts w:ascii="Garamond" w:hAnsi="Garamond"/>
          <w:sz w:val="24"/>
          <w:szCs w:val="24"/>
        </w:rPr>
        <w:t>të Tregut dhe Mbikëqyrjes së të Licencuarve, me nr. 3147 prot., datë 24.12.2025, “Mbi fillimin e procedurës për disa ndryshime në treguesit e kritereve standarde të cilësisë së shërbimit në sistemin e shpërndarjes së energjisë elektrike”,</w:t>
      </w:r>
      <w:r w:rsidR="00E31325">
        <w:rPr>
          <w:rFonts w:ascii="Garamond" w:hAnsi="Garamond"/>
          <w:sz w:val="24"/>
          <w:szCs w:val="24"/>
        </w:rPr>
        <w:t xml:space="preserve"> </w:t>
      </w:r>
    </w:p>
    <w:p w14:paraId="089AA8B2" w14:textId="5B1F1F8B" w:rsidR="004F3FFB" w:rsidRPr="00E31325" w:rsidRDefault="00E31325" w:rsidP="00E3132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4F3FFB" w:rsidRPr="00E31325">
        <w:rPr>
          <w:rFonts w:ascii="Garamond" w:hAnsi="Garamond"/>
          <w:sz w:val="24"/>
          <w:szCs w:val="24"/>
        </w:rPr>
        <w:t xml:space="preserve">onstatoi se: </w:t>
      </w:r>
    </w:p>
    <w:p w14:paraId="30465AE1" w14:textId="1E876A61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31325">
        <w:rPr>
          <w:rFonts w:ascii="Garamond" w:hAnsi="Garamond" w:cs="Times New Roman"/>
          <w:bCs/>
          <w:color w:val="000000"/>
          <w:sz w:val="24"/>
          <w:szCs w:val="24"/>
        </w:rPr>
        <w:t>-</w:t>
      </w:r>
      <w:r w:rsidRPr="004F3F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bCs/>
          <w:color w:val="000000"/>
          <w:sz w:val="24"/>
          <w:szCs w:val="24"/>
        </w:rPr>
        <w:t>Kuvendi i Shqipërisë</w:t>
      </w:r>
      <w:r w:rsidRPr="004F3F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>në Rezolutën për vlerësimin e veprimtarisë së Entit Rregullator të Energjisë për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vitin 2024, miratuar në datën </w:t>
      </w:r>
      <w:r w:rsidRPr="004F3FFB">
        <w:rPr>
          <w:rFonts w:ascii="Garamond" w:hAnsi="Garamond" w:cs="Times New Roman"/>
          <w:color w:val="000000"/>
          <w:sz w:val="24"/>
          <w:szCs w:val="24"/>
        </w:rPr>
        <w:t>9.10.2025, ka rekomanduar marrjen e masave për rishikimin e rregullave dhe standardeve të cilësisë së shërbimit të ofruar nga operatorët e rrjetit, në kuadër të rritjes dhe përmirësimit të cilësisë për konsumatorët e energjisë elektrike.</w:t>
      </w:r>
    </w:p>
    <w:p w14:paraId="161935A5" w14:textId="5B551A9C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- Bordi i ERE-s, me vendimin nr. 181, datë 10.11.2017, ka miratuar “Rregulloren për kriteret standar</w:t>
      </w:r>
      <w:r w:rsidR="00E31325">
        <w:rPr>
          <w:rFonts w:ascii="Garamond" w:hAnsi="Garamond" w:cs="Times New Roman"/>
          <w:color w:val="000000"/>
          <w:sz w:val="24"/>
          <w:szCs w:val="24"/>
        </w:rPr>
        <w:t>d</w:t>
      </w:r>
      <w:r w:rsidRPr="004F3FFB">
        <w:rPr>
          <w:rFonts w:ascii="Garamond" w:hAnsi="Garamond" w:cs="Times New Roman"/>
          <w:color w:val="000000"/>
          <w:sz w:val="24"/>
          <w:szCs w:val="24"/>
        </w:rPr>
        <w:t>e të cilësisë së shërbimit të furnizimit dhe performancës së sigurisë së rrjetit të shpërndarjes së energjisë elektrike”, e cila përcakton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>ndër të tjera treguesit e cilësisë së furnizimit me energji elektrike dhe performancën</w:t>
      </w:r>
      <w:r w:rsidR="00E31325">
        <w:rPr>
          <w:rFonts w:ascii="Garamond" w:hAnsi="Garamond" w:cs="Times New Roman"/>
          <w:color w:val="000000"/>
          <w:sz w:val="24"/>
          <w:szCs w:val="24"/>
        </w:rPr>
        <w:t>,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 në lidhje me sigurinë e rrjetit për Operatorin e Sistemit të Shpërndarjes së energjisë elektrike (OSSH) sh.a.</w:t>
      </w:r>
    </w:p>
    <w:p w14:paraId="602BAE7E" w14:textId="685D303A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- Bordi i E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RE-s, me vendimin nr. 97, datë </w:t>
      </w:r>
      <w:r w:rsidRPr="004F3FFB">
        <w:rPr>
          <w:rFonts w:ascii="Garamond" w:hAnsi="Garamond" w:cs="Times New Roman"/>
          <w:color w:val="000000"/>
          <w:sz w:val="24"/>
          <w:szCs w:val="24"/>
        </w:rPr>
        <w:t>7.4.2021, ka miratuar treguesit për kriteret standarde të cilësisë së shërbimit të furnizimit dhe performancës së sigurisë së rrjetit të shpërndarjes së energjisë elektrike për vitin 2021.</w:t>
      </w:r>
    </w:p>
    <w:p w14:paraId="06D1F06B" w14:textId="03B2DD3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- Në zbatim të detyrimit për raportim, </w:t>
      </w:r>
      <w:r w:rsidR="00E31325">
        <w:rPr>
          <w:rFonts w:ascii="Garamond" w:hAnsi="Garamond" w:cs="Times New Roman"/>
          <w:color w:val="000000"/>
          <w:sz w:val="24"/>
          <w:szCs w:val="24"/>
        </w:rPr>
        <w:t>“</w:t>
      </w:r>
      <w:r w:rsidRPr="004F3FFB">
        <w:rPr>
          <w:rFonts w:ascii="Garamond" w:hAnsi="Garamond" w:cs="Times New Roman"/>
          <w:color w:val="000000"/>
          <w:sz w:val="24"/>
          <w:szCs w:val="24"/>
        </w:rPr>
        <w:t>OSSH</w:t>
      </w:r>
      <w:r w:rsidR="00E31325">
        <w:rPr>
          <w:rFonts w:ascii="Garamond" w:hAnsi="Garamond" w:cs="Times New Roman"/>
          <w:color w:val="000000"/>
          <w:sz w:val="24"/>
          <w:szCs w:val="24"/>
        </w:rPr>
        <w:t>”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 sh.a. ka përcjellë periodikisht raportimet mbi standardet e arritura të cilësisë së shërbimit të furnizimit dhe performancës së sigurisë së rrjetit të shpërndarjes, ndërsa nga të dhënat e raportuara për 9-mujorin (janar–shtator) 2025 rezultojnë tendenca për përmirësim të treguesve kryesorë të cilësisë së shërbimit, përfshirë energjinë e pafurnizuar (ENS) dhe treguesit SAIDI dhe SAIFI.</w:t>
      </w:r>
    </w:p>
    <w:p w14:paraId="3F00E7C7" w14:textId="15A68C22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- Në vijim të komunikimit, </w:t>
      </w:r>
      <w:r w:rsidR="00561DBE">
        <w:rPr>
          <w:rFonts w:ascii="Garamond" w:hAnsi="Garamond" w:cs="Times New Roman"/>
          <w:color w:val="000000"/>
          <w:sz w:val="24"/>
          <w:szCs w:val="24"/>
        </w:rPr>
        <w:t>“</w:t>
      </w:r>
      <w:r w:rsidRPr="004F3FFB">
        <w:rPr>
          <w:rFonts w:ascii="Garamond" w:hAnsi="Garamond" w:cs="Times New Roman"/>
          <w:color w:val="000000"/>
          <w:sz w:val="24"/>
          <w:szCs w:val="24"/>
        </w:rPr>
        <w:t>OSSH</w:t>
      </w:r>
      <w:r w:rsidR="00561DBE">
        <w:rPr>
          <w:rFonts w:ascii="Garamond" w:hAnsi="Garamond" w:cs="Times New Roman"/>
          <w:color w:val="000000"/>
          <w:sz w:val="24"/>
          <w:szCs w:val="24"/>
        </w:rPr>
        <w:t>”</w:t>
      </w:r>
      <w:bookmarkStart w:id="1" w:name="_GoBack"/>
      <w:bookmarkEnd w:id="1"/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 sh.a., me shkresën nr. 2717/2 prot., datë 12.11.2025, ka bërë me dije arsyet që lidhen me përmirësimin e treguesve të cilësisë së shërbimit, si dhe pritshmëritë për vijimin e trendit përmirësues për vitin 2025 dhe vitet pasardhëse, ndërkohë që ka bërë me dije edhe procesin e hartimit të Kodit të Shpërndarjes.</w:t>
      </w:r>
    </w:p>
    <w:p w14:paraId="20C88BE5" w14:textId="3D301E68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- Duke pasur parasysh realizimet e deritanishme dhe pritshmëritë afatmesme pozitive, si dhe faktin se miratimi i një Kodi të ri Shpërndarjeje mund të kërkojë kohë, ERE, bazuar në nenin 13 të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Pr="004F3FFB">
        <w:rPr>
          <w:rFonts w:ascii="Garamond" w:hAnsi="Garamond" w:cs="Times New Roman"/>
          <w:color w:val="000000"/>
          <w:sz w:val="24"/>
          <w:szCs w:val="24"/>
        </w:rPr>
        <w:t>së miratuar me vendimin nr. 181, datë 10.11.2017, me iniciativën e saj, vlerëson se është në rrethanat që mund të procedojë me fillimin e procedurës për ndryshimin e treguesve të kritereve standar</w:t>
      </w:r>
      <w:r w:rsidR="00E31325">
        <w:rPr>
          <w:rFonts w:ascii="Garamond" w:hAnsi="Garamond" w:cs="Times New Roman"/>
          <w:color w:val="000000"/>
          <w:sz w:val="24"/>
          <w:szCs w:val="24"/>
        </w:rPr>
        <w:t>d</w:t>
      </w:r>
      <w:r w:rsidRPr="004F3FFB">
        <w:rPr>
          <w:rFonts w:ascii="Garamond" w:hAnsi="Garamond" w:cs="Times New Roman"/>
          <w:color w:val="000000"/>
          <w:sz w:val="24"/>
          <w:szCs w:val="24"/>
        </w:rPr>
        <w:t>e të cilësisë së shërbimit në sistemin e shpërndarjes së energjisë elektrike, si dhe rishikimin e disa dispozitave të kësaj rregulloreje që, për shkak të implementimit ndër vite apo humbjes së aktualitetit, rezultojnë të nevojshme për t’u rivlerësuar.</w:t>
      </w:r>
    </w:p>
    <w:p w14:paraId="48AB986C" w14:textId="5D029D45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- Në vijim të rishikimit të </w:t>
      </w:r>
      <w:r w:rsidR="00E31325">
        <w:rPr>
          <w:rFonts w:ascii="Garamond" w:hAnsi="Garamond" w:cs="Times New Roman"/>
          <w:color w:val="000000"/>
          <w:sz w:val="24"/>
          <w:szCs w:val="24"/>
        </w:rPr>
        <w:t>“</w:t>
      </w:r>
      <w:r w:rsidRPr="004F3FFB">
        <w:rPr>
          <w:rFonts w:ascii="Garamond" w:hAnsi="Garamond" w:cs="Times New Roman"/>
          <w:color w:val="000000"/>
          <w:sz w:val="24"/>
          <w:szCs w:val="24"/>
        </w:rPr>
        <w:t>Rregullores për kriteret standarde të cilësisë së shërbimit</w:t>
      </w:r>
      <w:r w:rsidR="00E31325">
        <w:rPr>
          <w:rFonts w:ascii="Garamond" w:hAnsi="Garamond" w:cs="Times New Roman"/>
          <w:color w:val="000000"/>
          <w:sz w:val="24"/>
          <w:szCs w:val="24"/>
        </w:rPr>
        <w:t>”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, konstatohet se kompensimi i klientëve fundor, në rast të mosrespektimit të këtyre kritereve, realizohet përmes marrëdhënies kontraktuale ndërmjet Operatorit të Sistemit të Shpërndarjes dhe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>furnizuesit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, e rregulluar nga “Marrëveshja për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>sigurimin e shërbimit të shpërndarjes së energjisë elektrike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”, e miratuar nga Bordi i ERE-s; për këtë arsye, </w:t>
      </w:r>
      <w:r w:rsidRPr="00E31325">
        <w:rPr>
          <w:rFonts w:ascii="Garamond" w:hAnsi="Garamond" w:cs="Times New Roman"/>
          <w:bCs/>
          <w:color w:val="000000"/>
          <w:sz w:val="24"/>
          <w:szCs w:val="24"/>
        </w:rPr>
        <w:t>pika 10.2</w:t>
      </w:r>
      <w:r w:rsidR="00E31325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bCs/>
          <w:color w:val="000000"/>
          <w:sz w:val="24"/>
          <w:szCs w:val="24"/>
        </w:rPr>
        <w:t xml:space="preserve"> e nenit 10 të kësaj </w:t>
      </w:r>
      <w:r w:rsidR="00E31325" w:rsidRPr="00E31325">
        <w:rPr>
          <w:rFonts w:ascii="Garamond" w:hAnsi="Garamond" w:cs="Times New Roman"/>
          <w:bCs/>
          <w:color w:val="000000"/>
          <w:sz w:val="24"/>
          <w:szCs w:val="24"/>
        </w:rPr>
        <w:t xml:space="preserve">rregulloreje </w:t>
      </w:r>
      <w:r w:rsidRPr="00E31325">
        <w:rPr>
          <w:rFonts w:ascii="Garamond" w:hAnsi="Garamond" w:cs="Times New Roman"/>
          <w:bCs/>
          <w:color w:val="000000"/>
          <w:sz w:val="24"/>
          <w:szCs w:val="24"/>
        </w:rPr>
        <w:t>harmonizohet me këtë akt kontraktual</w:t>
      </w:r>
      <w:r w:rsidRPr="00E31325">
        <w:rPr>
          <w:rFonts w:ascii="Garamond" w:hAnsi="Garamond" w:cs="Times New Roman"/>
          <w:color w:val="000000"/>
          <w:sz w:val="24"/>
          <w:szCs w:val="24"/>
        </w:rPr>
        <w:t>, me qëllim garantimin e qartësisë juridike dhe koherencës rregullatore në zbatimin e mekanizmit të kompensimit ndaj klientëve fundor.</w:t>
      </w:r>
    </w:p>
    <w:p w14:paraId="7A0344F7" w14:textId="7E97E995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3132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- Treguesit aktualë të standardeve teknike (p.sh. koha mesatare e ndërprerjes, energjia e pafurnizuar – ENS, indekset SAIDI/ SAIFI)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, të përcaktuar në vendimet e mëparshme të Bordit, kanë treguar ndryshime në performancë dhe tregojnë nevojën për përshtatje të vlerave objektive të standardeve për të reflektuar realitetin e tregut </w:t>
      </w:r>
      <w:r w:rsidR="00E31325">
        <w:rPr>
          <w:rFonts w:ascii="Garamond" w:hAnsi="Garamond" w:cs="Times New Roman"/>
          <w:color w:val="000000"/>
          <w:sz w:val="24"/>
          <w:szCs w:val="24"/>
        </w:rPr>
        <w:t>dhe performancën e operatorëve.</w:t>
      </w:r>
    </w:p>
    <w:p w14:paraId="6A79C0D9" w14:textId="1A447186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E31325">
        <w:rPr>
          <w:rFonts w:ascii="Garamond" w:hAnsi="Garamond" w:cs="Times New Roman"/>
          <w:bCs/>
          <w:color w:val="000000"/>
          <w:sz w:val="24"/>
          <w:szCs w:val="24"/>
        </w:rPr>
        <w:t>- Rregullorja aktuale përmban dispozita që kanë humbur aktualitetin ose janë bërë të papërshtatshme për situatën operacionale</w:t>
      </w:r>
      <w:r w:rsidRPr="00E31325">
        <w:rPr>
          <w:rFonts w:ascii="Garamond" w:hAnsi="Garamond" w:cs="Times New Roman"/>
          <w:color w:val="000000"/>
          <w:sz w:val="24"/>
          <w:szCs w:val="24"/>
        </w:rPr>
        <w:t>, përfshirë dispozita të caktuara që parashikojnë afate, raporte ose kërkesa që nuk korrespon</w:t>
      </w:r>
      <w:r w:rsidR="00E31325">
        <w:rPr>
          <w:rFonts w:ascii="Garamond" w:hAnsi="Garamond" w:cs="Times New Roman"/>
          <w:color w:val="000000"/>
          <w:sz w:val="24"/>
          <w:szCs w:val="24"/>
        </w:rPr>
        <w:t>dojnë me zhvillimet e sektorit.</w:t>
      </w:r>
    </w:p>
    <w:p w14:paraId="75436341" w14:textId="4B78A2F7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E31325" w:rsidRPr="00E3132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E31325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543A72E" w14:textId="7777777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F715F35" w14:textId="7777777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B5E69BE" w14:textId="7777777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0B70AC" w14:textId="6334537A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1. Fillimin e procedurës për disa ndryshime në “Rregulloren për kriteret standar</w:t>
      </w:r>
      <w:r w:rsidR="00E31325">
        <w:rPr>
          <w:rFonts w:ascii="Garamond" w:hAnsi="Garamond" w:cs="Times New Roman"/>
          <w:color w:val="000000"/>
          <w:sz w:val="24"/>
          <w:szCs w:val="24"/>
        </w:rPr>
        <w:t>d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e të cilësisë së shërbimit të furnizimit dhe performancës së sigurisë së rrjetit të shpërndarjes së energjisë elektrike”, miratuar me vendimin e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F3FFB">
        <w:rPr>
          <w:rFonts w:ascii="Garamond" w:hAnsi="Garamond" w:cs="Times New Roman"/>
          <w:color w:val="000000"/>
          <w:sz w:val="24"/>
          <w:szCs w:val="24"/>
        </w:rPr>
        <w:t>të ERE-s nr. 181, datë 10.11.2017, të ndryshuar.</w:t>
      </w:r>
    </w:p>
    <w:p w14:paraId="41EE375F" w14:textId="3B94A1CC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2.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>Fillimi i procedurës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përfshin shqyrtimin dhe vlerësimin e propozimeve për rishikimin e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rregullores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dhe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aneksit </w:t>
      </w:r>
      <w:r w:rsidRPr="004F3FFB">
        <w:rPr>
          <w:rFonts w:ascii="Garamond" w:hAnsi="Garamond" w:cs="Times New Roman"/>
          <w:color w:val="000000"/>
          <w:sz w:val="24"/>
          <w:szCs w:val="24"/>
        </w:rPr>
        <w:t>të “Rregullores për kriteret standar</w:t>
      </w:r>
      <w:r w:rsidR="00E31325">
        <w:rPr>
          <w:rFonts w:ascii="Garamond" w:hAnsi="Garamond" w:cs="Times New Roman"/>
          <w:color w:val="000000"/>
          <w:sz w:val="24"/>
          <w:szCs w:val="24"/>
        </w:rPr>
        <w:t>d</w:t>
      </w:r>
      <w:r w:rsidRPr="004F3FFB">
        <w:rPr>
          <w:rFonts w:ascii="Garamond" w:hAnsi="Garamond" w:cs="Times New Roman"/>
          <w:color w:val="000000"/>
          <w:sz w:val="24"/>
          <w:szCs w:val="24"/>
        </w:rPr>
        <w:t>e të cilësisë së shërbimit të furnizimit dhe performancës së sigurisë së rrjetit të shpërndarjes së energjisë elektrike”, në lidhje me parametrat e treguesve të cilësisë së shërbimit, sipas tabelës së standardeve të cilësisë, si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>më poshtë:</w:t>
      </w:r>
    </w:p>
    <w:p w14:paraId="6ACF1CE3" w14:textId="59058366" w:rsidR="004F3FFB" w:rsidRPr="004F3FFB" w:rsidRDefault="00E31325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A- Draftt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>r</w:t>
      </w:r>
      <w:r>
        <w:rPr>
          <w:rFonts w:ascii="Garamond" w:hAnsi="Garamond" w:cs="Times New Roman"/>
          <w:color w:val="000000"/>
          <w:sz w:val="24"/>
          <w:szCs w:val="24"/>
        </w:rPr>
        <w:t>eguesit e cilësisë së shërbimit për vitet 2026, 2027, 2028:</w:t>
      </w:r>
    </w:p>
    <w:p w14:paraId="3940A1DB" w14:textId="77777777" w:rsidR="00725035" w:rsidRDefault="00C3316A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q-AL"/>
        </w:rPr>
        <w:drawing>
          <wp:inline distT="0" distB="0" distL="0" distR="0" wp14:anchorId="738826D1" wp14:editId="047747FC">
            <wp:extent cx="4913630" cy="1798320"/>
            <wp:effectExtent l="0" t="0" r="1270" b="0"/>
            <wp:docPr id="1028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4913980" cy="17984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69B10" w14:textId="20E1FE5C" w:rsidR="004F3FFB" w:rsidRPr="004F3FFB" w:rsidRDefault="00E31325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 B- Në r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 xml:space="preserve">regulloren për kriteret standarde të cilësisë së shërbimit të furnizimit dhe performancës së sigurisë së rrjetit të shpërndarjes së energjisë elektrike, miratuar në vendimin e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>të ERE</w:t>
      </w:r>
      <w:r>
        <w:rPr>
          <w:rFonts w:ascii="Garamond" w:hAnsi="Garamond" w:cs="Times New Roman"/>
          <w:color w:val="000000"/>
          <w:sz w:val="24"/>
          <w:szCs w:val="24"/>
        </w:rPr>
        <w:t>-s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 xml:space="preserve"> nr. 181, datë 10.11.2017,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 xml:space="preserve">të ndryshuar fillojnë procedurat </w:t>
      </w:r>
      <w:r w:rsidRPr="004F3FFB">
        <w:rPr>
          <w:rFonts w:ascii="Garamond" w:hAnsi="Garamond" w:cs="Times New Roman"/>
          <w:color w:val="000000"/>
          <w:sz w:val="24"/>
          <w:szCs w:val="24"/>
        </w:rPr>
        <w:t>për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 xml:space="preserve"> ndryshimet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 xml:space="preserve"> si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3FFB" w:rsidRPr="004F3FFB">
        <w:rPr>
          <w:rFonts w:ascii="Garamond" w:hAnsi="Garamond" w:cs="Times New Roman"/>
          <w:color w:val="000000"/>
          <w:sz w:val="24"/>
          <w:szCs w:val="24"/>
        </w:rPr>
        <w:t>vijon:</w:t>
      </w:r>
    </w:p>
    <w:p w14:paraId="76B7B935" w14:textId="35493292" w:rsidR="004F3FFB" w:rsidRPr="00561DBE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- B-1</w:t>
      </w:r>
      <w:r w:rsidRPr="004F3FF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Neni </w:t>
      </w:r>
      <w:r w:rsidRPr="00561DBE">
        <w:rPr>
          <w:rFonts w:ascii="Garamond" w:hAnsi="Garamond" w:cs="Times New Roman"/>
          <w:color w:val="000000"/>
          <w:sz w:val="24"/>
          <w:szCs w:val="24"/>
        </w:rPr>
        <w:t xml:space="preserve">6 </w:t>
      </w:r>
      <w:r w:rsidRPr="00561DBE">
        <w:rPr>
          <w:rFonts w:ascii="Garamond" w:hAnsi="Garamond" w:cs="Times New Roman"/>
          <w:iCs/>
          <w:color w:val="000000"/>
          <w:sz w:val="24"/>
          <w:szCs w:val="24"/>
        </w:rPr>
        <w:t>të</w:t>
      </w:r>
      <w:r w:rsidRPr="00561DB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561DBE">
        <w:rPr>
          <w:rFonts w:ascii="Garamond" w:hAnsi="Garamond" w:cs="Times New Roman"/>
          <w:iCs/>
          <w:color w:val="000000"/>
          <w:sz w:val="24"/>
          <w:szCs w:val="24"/>
        </w:rPr>
        <w:t>shfuqizohet;</w:t>
      </w:r>
    </w:p>
    <w:p w14:paraId="014924F6" w14:textId="0A7A6FC6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E31325">
        <w:rPr>
          <w:rFonts w:ascii="Garamond" w:hAnsi="Garamond" w:cs="Times New Roman"/>
          <w:sz w:val="24"/>
          <w:szCs w:val="24"/>
        </w:rPr>
        <w:t>B-</w:t>
      </w:r>
      <w:r w:rsidRPr="004F3FFB">
        <w:rPr>
          <w:rFonts w:ascii="Garamond" w:hAnsi="Garamond" w:cs="Times New Roman"/>
          <w:sz w:val="24"/>
          <w:szCs w:val="24"/>
        </w:rPr>
        <w:t>2 Paragrafi i fundit</w:t>
      </w:r>
      <w:r w:rsidR="00E31325">
        <w:rPr>
          <w:rFonts w:ascii="Garamond" w:hAnsi="Garamond" w:cs="Times New Roman"/>
          <w:sz w:val="24"/>
          <w:szCs w:val="24"/>
        </w:rPr>
        <w:t>,</w:t>
      </w:r>
      <w:r w:rsidRPr="004F3FFB">
        <w:rPr>
          <w:rFonts w:ascii="Garamond" w:hAnsi="Garamond" w:cs="Times New Roman"/>
          <w:sz w:val="24"/>
          <w:szCs w:val="24"/>
        </w:rPr>
        <w:t xml:space="preserve"> i </w:t>
      </w:r>
      <w:r w:rsidR="00E31325" w:rsidRPr="004F3FFB">
        <w:rPr>
          <w:rFonts w:ascii="Garamond" w:hAnsi="Garamond" w:cs="Times New Roman"/>
          <w:sz w:val="24"/>
          <w:szCs w:val="24"/>
        </w:rPr>
        <w:t xml:space="preserve">pikës </w:t>
      </w:r>
      <w:r w:rsidRPr="004F3FFB">
        <w:rPr>
          <w:rFonts w:ascii="Garamond" w:hAnsi="Garamond" w:cs="Times New Roman"/>
          <w:sz w:val="24"/>
          <w:szCs w:val="24"/>
        </w:rPr>
        <w:t>7.1</w:t>
      </w:r>
      <w:r w:rsidR="00E31325">
        <w:rPr>
          <w:rFonts w:ascii="Garamond" w:hAnsi="Garamond" w:cs="Times New Roman"/>
          <w:sz w:val="24"/>
          <w:szCs w:val="24"/>
        </w:rPr>
        <w:t>,</w:t>
      </w:r>
      <w:r w:rsidRPr="004F3FFB">
        <w:rPr>
          <w:rFonts w:ascii="Garamond" w:hAnsi="Garamond" w:cs="Times New Roman"/>
          <w:sz w:val="24"/>
          <w:szCs w:val="24"/>
        </w:rPr>
        <w:t xml:space="preserve"> të nenit 7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të ndryshojë dhe të bëhet</w:t>
      </w:r>
      <w:r w:rsidRPr="00E31325">
        <w:rPr>
          <w:rFonts w:ascii="Garamond" w:hAnsi="Garamond" w:cs="Times New Roman"/>
          <w:color w:val="000000"/>
          <w:sz w:val="24"/>
          <w:szCs w:val="24"/>
        </w:rPr>
        <w:t>: “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 xml:space="preserve">Nivelet e pritshme të performancës, siç miratuar nga ERE, do të vihen në zbatim </w:t>
      </w:r>
      <w:r w:rsidR="00E31325" w:rsidRPr="00E31325">
        <w:rPr>
          <w:rFonts w:ascii="Garamond" w:hAnsi="Garamond" w:cs="Times New Roman"/>
          <w:iCs/>
          <w:color w:val="000000"/>
          <w:sz w:val="24"/>
          <w:szCs w:val="24"/>
        </w:rPr>
        <w:t>menjëherë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 xml:space="preserve"> dhe do të mbeten në fuqi, deri në rivlerësimin e këtyre standardeve nga ERE në funksion të p</w:t>
      </w:r>
      <w:r w:rsidR="00E31325">
        <w:rPr>
          <w:rFonts w:ascii="Garamond" w:hAnsi="Garamond" w:cs="Times New Roman"/>
          <w:iCs/>
          <w:color w:val="000000"/>
          <w:sz w:val="24"/>
          <w:szCs w:val="24"/>
        </w:rPr>
        <w:t>e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rformancës së matur dhe të raportuar.”;</w:t>
      </w:r>
    </w:p>
    <w:p w14:paraId="6E1BAAD6" w14:textId="161EC79D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E31325">
        <w:rPr>
          <w:rFonts w:ascii="Garamond" w:hAnsi="Garamond" w:cs="Times New Roman"/>
          <w:sz w:val="24"/>
          <w:szCs w:val="24"/>
        </w:rPr>
        <w:t>B-</w:t>
      </w:r>
      <w:r w:rsidRPr="00E31325">
        <w:rPr>
          <w:rFonts w:ascii="Garamond" w:hAnsi="Garamond" w:cs="Times New Roman"/>
          <w:sz w:val="24"/>
          <w:szCs w:val="24"/>
        </w:rPr>
        <w:t>3 Pika 7.2</w:t>
      </w:r>
      <w:r w:rsidR="00E31325">
        <w:rPr>
          <w:rFonts w:ascii="Garamond" w:hAnsi="Garamond" w:cs="Times New Roman"/>
          <w:sz w:val="24"/>
          <w:szCs w:val="24"/>
        </w:rPr>
        <w:t>,</w:t>
      </w:r>
      <w:r w:rsidRPr="00E31325">
        <w:rPr>
          <w:rFonts w:ascii="Garamond" w:hAnsi="Garamond" w:cs="Times New Roman"/>
          <w:sz w:val="24"/>
          <w:szCs w:val="24"/>
        </w:rPr>
        <w:t xml:space="preserve"> e nenit 7 </w:t>
      </w:r>
      <w:r w:rsidRPr="00E31325">
        <w:rPr>
          <w:rFonts w:ascii="Garamond" w:hAnsi="Garamond" w:cs="Times New Roman"/>
          <w:iCs/>
          <w:sz w:val="24"/>
          <w:szCs w:val="24"/>
        </w:rPr>
        <w:t>t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ë shfuqizohet;</w:t>
      </w:r>
    </w:p>
    <w:p w14:paraId="3675B9CC" w14:textId="0E71C020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31325">
        <w:rPr>
          <w:rFonts w:ascii="Garamond" w:hAnsi="Garamond" w:cs="Times New Roman"/>
          <w:sz w:val="24"/>
          <w:szCs w:val="24"/>
        </w:rPr>
        <w:t>- B-4 Pika 7</w:t>
      </w:r>
      <w:r w:rsidRPr="00E31325">
        <w:rPr>
          <w:rFonts w:ascii="Garamond" w:hAnsi="Garamond" w:cs="Times New Roman"/>
          <w:color w:val="000000"/>
          <w:sz w:val="24"/>
          <w:szCs w:val="24"/>
        </w:rPr>
        <w:t>.3</w:t>
      </w:r>
      <w:r w:rsidR="00E31325">
        <w:rPr>
          <w:rFonts w:ascii="Garamond" w:hAnsi="Garamond" w:cs="Times New Roman"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 e nenit 7,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të ndryshojë dhe të bëhet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E31325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OSSH</w:t>
      </w:r>
      <w:r w:rsidR="00E31325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 xml:space="preserve"> sh.a. ose ERE</w:t>
      </w:r>
      <w:r w:rsidR="00E3132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 xml:space="preserve"> me iniciativën e saj</w:t>
      </w:r>
      <w:r w:rsidR="00E31325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 xml:space="preserve"> do të propozojë dhe ERE do të miratojë nivelin e lejuar të rishikuar të kritereve standarde të cilësisë së shërbimit në funksion të performancës së matur dhe të raportuar.”;</w:t>
      </w:r>
    </w:p>
    <w:p w14:paraId="5D659542" w14:textId="1DB13EF6" w:rsidR="004F3FFB" w:rsidRPr="00E31325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31325">
        <w:rPr>
          <w:rFonts w:ascii="Garamond" w:hAnsi="Garamond" w:cs="Times New Roman"/>
          <w:sz w:val="24"/>
          <w:szCs w:val="24"/>
        </w:rPr>
        <w:t>B-5 Pika 7</w:t>
      </w:r>
      <w:r w:rsidRPr="00E31325">
        <w:rPr>
          <w:rFonts w:ascii="Garamond" w:hAnsi="Garamond" w:cs="Times New Roman"/>
          <w:color w:val="000000"/>
          <w:sz w:val="24"/>
          <w:szCs w:val="24"/>
        </w:rPr>
        <w:t>.4</w:t>
      </w:r>
      <w:r w:rsidR="00E31325">
        <w:rPr>
          <w:rFonts w:ascii="Garamond" w:hAnsi="Garamond" w:cs="Times New Roman"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 e nenit 7,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të ndryshojë dhe të bëhet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“Jo më vonë se njëherë në 3 vjet ERE do të rishqyrtojë performancën e arritur gjatë kësaj periudhe, do të rivlerësojë nivelet e pritshme të performancës dhe do të miratojë nivelin e lejuar të kritereve standarde të cilësisë së furnizimit dhe performancës së sigurisë së rrjetit në sistemin e shpërndarjes.”;</w:t>
      </w:r>
    </w:p>
    <w:p w14:paraId="1D1BF020" w14:textId="46F691B0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E31325">
        <w:rPr>
          <w:rFonts w:ascii="Garamond" w:hAnsi="Garamond" w:cs="Times New Roman"/>
          <w:sz w:val="24"/>
          <w:szCs w:val="24"/>
        </w:rPr>
        <w:t>Pika 10</w:t>
      </w:r>
      <w:r w:rsidRPr="00E31325">
        <w:rPr>
          <w:rFonts w:ascii="Garamond" w:hAnsi="Garamond" w:cs="Times New Roman"/>
          <w:color w:val="000000"/>
          <w:sz w:val="24"/>
          <w:szCs w:val="24"/>
        </w:rPr>
        <w:t>.2</w:t>
      </w:r>
      <w:r w:rsidR="00E31325">
        <w:rPr>
          <w:rFonts w:ascii="Garamond" w:hAnsi="Garamond" w:cs="Times New Roman"/>
          <w:color w:val="000000"/>
          <w:sz w:val="24"/>
          <w:szCs w:val="24"/>
        </w:rPr>
        <w:t>,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 e nenit 10,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31325">
        <w:rPr>
          <w:rFonts w:ascii="Garamond" w:hAnsi="Garamond" w:cs="Times New Roman"/>
          <w:iCs/>
          <w:color w:val="000000"/>
          <w:sz w:val="24"/>
          <w:szCs w:val="24"/>
        </w:rPr>
        <w:t>të ndryshojë dhe të bëhet</w:t>
      </w:r>
      <w:r w:rsidRPr="00E31325">
        <w:rPr>
          <w:rFonts w:ascii="Garamond" w:hAnsi="Garamond" w:cs="Times New Roman"/>
          <w:color w:val="000000"/>
          <w:sz w:val="24"/>
          <w:szCs w:val="24"/>
        </w:rPr>
        <w:t xml:space="preserve">: </w:t>
      </w:r>
      <w:r w:rsidRPr="00E31325">
        <w:rPr>
          <w:rFonts w:ascii="Garamond" w:hAnsi="Garamond" w:cs="Times New Roman"/>
          <w:iCs/>
          <w:sz w:val="24"/>
          <w:szCs w:val="24"/>
        </w:rPr>
        <w:t>“Kompensimi i klientëve fundor të lidhur në rrjetin e shpërndarjes, në rast të mosrespektimit të kritereve standarde të cilësisë së shërbimit të energjisë elektrike</w:t>
      </w:r>
      <w:r w:rsidR="00E31325">
        <w:rPr>
          <w:rFonts w:ascii="Garamond" w:hAnsi="Garamond" w:cs="Times New Roman"/>
          <w:iCs/>
          <w:sz w:val="24"/>
          <w:szCs w:val="24"/>
        </w:rPr>
        <w:t>,</w:t>
      </w:r>
      <w:r w:rsidRPr="00E31325">
        <w:rPr>
          <w:rFonts w:ascii="Garamond" w:hAnsi="Garamond" w:cs="Times New Roman"/>
          <w:iCs/>
          <w:sz w:val="24"/>
          <w:szCs w:val="24"/>
        </w:rPr>
        <w:t xml:space="preserve"> sipas përcaktimeve të kësaj </w:t>
      </w:r>
      <w:r w:rsidR="00E31325">
        <w:rPr>
          <w:rFonts w:ascii="Garamond" w:hAnsi="Garamond" w:cs="Times New Roman"/>
          <w:iCs/>
          <w:sz w:val="24"/>
          <w:szCs w:val="24"/>
        </w:rPr>
        <w:t>r</w:t>
      </w:r>
      <w:r w:rsidRPr="00E31325">
        <w:rPr>
          <w:rFonts w:ascii="Garamond" w:hAnsi="Garamond" w:cs="Times New Roman"/>
          <w:iCs/>
          <w:sz w:val="24"/>
          <w:szCs w:val="24"/>
        </w:rPr>
        <w:t xml:space="preserve">regulloreje, do të bëhet bazuar në përcaktimet e “Marrëveshjes për </w:t>
      </w:r>
      <w:r w:rsidR="00E31325" w:rsidRPr="00E31325">
        <w:rPr>
          <w:rFonts w:ascii="Garamond" w:hAnsi="Garamond" w:cs="Times New Roman"/>
          <w:iCs/>
          <w:sz w:val="24"/>
          <w:szCs w:val="24"/>
        </w:rPr>
        <w:t xml:space="preserve">sigurimin e shërbimit të shpërndarjes së energjisë elektrike ndërmjet </w:t>
      </w:r>
      <w:r w:rsidRPr="00E31325">
        <w:rPr>
          <w:rFonts w:ascii="Garamond" w:hAnsi="Garamond" w:cs="Times New Roman"/>
          <w:iCs/>
          <w:sz w:val="24"/>
          <w:szCs w:val="24"/>
        </w:rPr>
        <w:t>Operatorit të Sistemit të Shpërndarjes dhe Furnizuesit”, të miratuar nga Bordi i ERE</w:t>
      </w:r>
      <w:r w:rsidR="00E31325">
        <w:rPr>
          <w:rFonts w:ascii="Garamond" w:hAnsi="Garamond" w:cs="Times New Roman"/>
          <w:iCs/>
          <w:sz w:val="24"/>
          <w:szCs w:val="24"/>
        </w:rPr>
        <w:t>-s</w:t>
      </w:r>
      <w:r w:rsidRPr="00E31325">
        <w:rPr>
          <w:rFonts w:ascii="Garamond" w:hAnsi="Garamond" w:cs="Times New Roman"/>
          <w:iCs/>
          <w:sz w:val="24"/>
          <w:szCs w:val="24"/>
        </w:rPr>
        <w:t>.”.</w:t>
      </w:r>
    </w:p>
    <w:p w14:paraId="18AF58B8" w14:textId="0582F134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lastRenderedPageBreak/>
        <w:t>3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. Drejtoria </w:t>
      </w:r>
      <w:r w:rsidR="00E31325">
        <w:rPr>
          <w:rFonts w:ascii="Garamond" w:hAnsi="Garamond" w:cs="Times New Roman"/>
          <w:color w:val="000000"/>
          <w:sz w:val="24"/>
          <w:szCs w:val="24"/>
        </w:rPr>
        <w:t xml:space="preserve">e Çështjeve Konsumatore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të njoftojë shoqërinë </w:t>
      </w:r>
      <w:r w:rsidR="00E31325">
        <w:rPr>
          <w:rFonts w:ascii="Garamond" w:hAnsi="Garamond" w:cs="Times New Roman"/>
          <w:color w:val="000000"/>
          <w:sz w:val="24"/>
          <w:szCs w:val="24"/>
        </w:rPr>
        <w:t>“</w:t>
      </w:r>
      <w:r w:rsidRPr="004F3FFB">
        <w:rPr>
          <w:rFonts w:ascii="Garamond" w:hAnsi="Garamond" w:cs="Times New Roman"/>
          <w:color w:val="000000"/>
          <w:sz w:val="24"/>
          <w:szCs w:val="24"/>
        </w:rPr>
        <w:t>OSSH</w:t>
      </w:r>
      <w:r w:rsidR="00E31325">
        <w:rPr>
          <w:rFonts w:ascii="Garamond" w:hAnsi="Garamond" w:cs="Times New Roman"/>
          <w:color w:val="000000"/>
          <w:sz w:val="24"/>
          <w:szCs w:val="24"/>
        </w:rPr>
        <w:t>”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 sh.a. dhe palët e interesit për vendimin e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F3FFB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1F1F17E2" w14:textId="7777777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06E3FE6A" w14:textId="0B1DF563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F3FFB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E31325" w:rsidRPr="004F3FF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4F3FFB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3A3DCA8" w14:textId="011AF900" w:rsid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F3FF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02CF3704" w14:textId="77777777" w:rsidR="004F3FFB" w:rsidRPr="004F3FFB" w:rsidRDefault="004F3FFB" w:rsidP="004F3FF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15C0FB6" w14:textId="77777777" w:rsidR="004F3FFB" w:rsidRDefault="004F3FFB" w:rsidP="004F3FFB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color w:val="000000"/>
        </w:rPr>
      </w:pPr>
      <w:r>
        <w:rPr>
          <w:rFonts w:ascii="Garamond" w:hAnsi="Garamond" w:cs="Noto Serif CJK SC"/>
          <w:color w:val="000000"/>
        </w:rPr>
        <w:t>KRYETAR</w:t>
      </w:r>
    </w:p>
    <w:p w14:paraId="33D388D8" w14:textId="77777777" w:rsidR="004F3FFB" w:rsidRDefault="004F3FFB" w:rsidP="004F3FFB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Noto Serif CJK SC"/>
          <w:b/>
          <w:bCs/>
          <w:color w:val="000000"/>
        </w:rPr>
      </w:pPr>
      <w:r>
        <w:rPr>
          <w:rFonts w:ascii="Garamond" w:hAnsi="Garamond" w:cs="Noto Serif CJK SC"/>
          <w:b/>
          <w:bCs/>
          <w:color w:val="000000"/>
        </w:rPr>
        <w:t>Petrit Ahmeti</w:t>
      </w:r>
    </w:p>
    <w:sectPr w:rsidR="004F3FFB">
      <w:pgSz w:w="12240" w:h="15840"/>
      <w:pgMar w:top="1260" w:right="1260" w:bottom="900" w:left="1710" w:header="720" w:footer="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75FD3" w14:textId="77777777" w:rsidR="00E31325" w:rsidRDefault="00E31325">
      <w:pPr>
        <w:spacing w:after="0" w:line="240" w:lineRule="auto"/>
      </w:pPr>
      <w:r>
        <w:separator/>
      </w:r>
    </w:p>
  </w:endnote>
  <w:endnote w:type="continuationSeparator" w:id="0">
    <w:p w14:paraId="5BC63FC9" w14:textId="77777777" w:rsidR="00E31325" w:rsidRDefault="00E31325">
      <w:pPr>
        <w:spacing w:after="0" w:line="240" w:lineRule="auto"/>
      </w:pPr>
      <w:r>
        <w:continuationSeparator/>
      </w:r>
    </w:p>
  </w:endnote>
  <w:endnote w:type="continuationNotice" w:id="1">
    <w:p w14:paraId="47E98B67" w14:textId="77777777" w:rsidR="00E31325" w:rsidRDefault="00E31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erif CJK S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0A4F5" w14:textId="77777777" w:rsidR="00E31325" w:rsidRDefault="00E31325">
      <w:pPr>
        <w:spacing w:after="0" w:line="240" w:lineRule="auto"/>
      </w:pPr>
      <w:r>
        <w:separator/>
      </w:r>
    </w:p>
  </w:footnote>
  <w:footnote w:type="continuationSeparator" w:id="0">
    <w:p w14:paraId="5E35D324" w14:textId="77777777" w:rsidR="00E31325" w:rsidRDefault="00E31325">
      <w:pPr>
        <w:spacing w:after="0" w:line="240" w:lineRule="auto"/>
      </w:pPr>
      <w:r>
        <w:continuationSeparator/>
      </w:r>
    </w:p>
  </w:footnote>
  <w:footnote w:type="continuationNotice" w:id="1">
    <w:p w14:paraId="4AA35C4C" w14:textId="77777777" w:rsidR="00E31325" w:rsidRDefault="00E313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5B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6166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BF221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B6E621A0"/>
    <w:lvl w:ilvl="0" w:tplc="440CEEC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5F8D43C"/>
    <w:lvl w:ilvl="0" w:tplc="EBE8A7C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B97C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A028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4866664"/>
    <w:lvl w:ilvl="0" w:tplc="7354E98E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653E6FF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00000013"/>
    <w:multiLevelType w:val="hybridMultilevel"/>
    <w:tmpl w:val="BBA4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multilevel"/>
    <w:tmpl w:val="6CAEAB50"/>
    <w:lvl w:ilvl="0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9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690" w:hanging="1800"/>
      </w:pPr>
      <w:rPr>
        <w:rFonts w:hint="default"/>
        <w:color w:val="auto"/>
      </w:rPr>
    </w:lvl>
  </w:abstractNum>
  <w:abstractNum w:abstractNumId="21" w15:restartNumberingAfterBreak="0">
    <w:nsid w:val="0000001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0000001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0276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BBA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9B3A65BE"/>
    <w:lvl w:ilvl="0" w:tplc="B2A626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3EEE722"/>
    <w:lvl w:ilvl="0" w:tplc="E6C0FC6C">
      <w:start w:val="8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FBD4B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0832BB82"/>
    <w:lvl w:ilvl="0" w:tplc="D7CADA2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E85211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AB0CCF6">
      <w:start w:val="1"/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88A6E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BBA6733A"/>
    <w:lvl w:ilvl="0" w:tplc="ED14A5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ABBAA74C"/>
    <w:lvl w:ilvl="0" w:tplc="8F006D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00000026"/>
    <w:multiLevelType w:val="hybridMultilevel"/>
    <w:tmpl w:val="29724812"/>
    <w:lvl w:ilvl="0" w:tplc="FED60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635761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31"/>
  </w:num>
  <w:num w:numId="2">
    <w:abstractNumId w:val="3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13"/>
  </w:num>
  <w:num w:numId="4">
    <w:abstractNumId w:val="38"/>
  </w:num>
  <w:num w:numId="5">
    <w:abstractNumId w:val="32"/>
  </w:num>
  <w:num w:numId="6">
    <w:abstractNumId w:val="2"/>
  </w:num>
  <w:num w:numId="7">
    <w:abstractNumId w:val="4"/>
  </w:num>
  <w:num w:numId="8">
    <w:abstractNumId w:val="29"/>
  </w:num>
  <w:num w:numId="9">
    <w:abstractNumId w:val="14"/>
  </w:num>
  <w:num w:numId="10">
    <w:abstractNumId w:val="22"/>
  </w:num>
  <w:num w:numId="11">
    <w:abstractNumId w:val="21"/>
  </w:num>
  <w:num w:numId="12">
    <w:abstractNumId w:val="12"/>
  </w:num>
  <w:num w:numId="13">
    <w:abstractNumId w:val="5"/>
  </w:num>
  <w:num w:numId="14">
    <w:abstractNumId w:val="9"/>
  </w:num>
  <w:num w:numId="15">
    <w:abstractNumId w:val="19"/>
  </w:num>
  <w:num w:numId="16">
    <w:abstractNumId w:val="8"/>
  </w:num>
  <w:num w:numId="17">
    <w:abstractNumId w:val="3"/>
  </w:num>
  <w:num w:numId="18">
    <w:abstractNumId w:val="16"/>
  </w:num>
  <w:num w:numId="19">
    <w:abstractNumId w:val="25"/>
  </w:num>
  <w:num w:numId="20">
    <w:abstractNumId w:val="24"/>
  </w:num>
  <w:num w:numId="21">
    <w:abstractNumId w:val="15"/>
  </w:num>
  <w:num w:numId="22">
    <w:abstractNumId w:val="33"/>
  </w:num>
  <w:num w:numId="23">
    <w:abstractNumId w:val="0"/>
  </w:num>
  <w:num w:numId="24">
    <w:abstractNumId w:val="6"/>
  </w:num>
  <w:num w:numId="25">
    <w:abstractNumId w:val="1"/>
  </w:num>
  <w:num w:numId="26">
    <w:abstractNumId w:val="30"/>
  </w:num>
  <w:num w:numId="27">
    <w:abstractNumId w:val="26"/>
  </w:num>
  <w:num w:numId="28">
    <w:abstractNumId w:val="18"/>
  </w:num>
  <w:num w:numId="29">
    <w:abstractNumId w:val="35"/>
  </w:num>
  <w:num w:numId="30">
    <w:abstractNumId w:val="34"/>
  </w:num>
  <w:num w:numId="31">
    <w:abstractNumId w:val="11"/>
  </w:num>
  <w:num w:numId="32">
    <w:abstractNumId w:val="37"/>
  </w:num>
  <w:num w:numId="33">
    <w:abstractNumId w:val="17"/>
  </w:num>
  <w:num w:numId="34">
    <w:abstractNumId w:val="27"/>
  </w:num>
  <w:num w:numId="35">
    <w:abstractNumId w:val="20"/>
  </w:num>
  <w:num w:numId="36">
    <w:abstractNumId w:val="28"/>
  </w:num>
  <w:num w:numId="37">
    <w:abstractNumId w:val="36"/>
  </w:num>
  <w:num w:numId="38">
    <w:abstractNumId w:val="7"/>
  </w:num>
  <w:num w:numId="39">
    <w:abstractNumId w:val="23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035"/>
    <w:rsid w:val="0015214C"/>
    <w:rsid w:val="0016610F"/>
    <w:rsid w:val="001C2BCD"/>
    <w:rsid w:val="00354D4E"/>
    <w:rsid w:val="00456E79"/>
    <w:rsid w:val="004F3FFB"/>
    <w:rsid w:val="00561DBE"/>
    <w:rsid w:val="00597D26"/>
    <w:rsid w:val="006F5A1B"/>
    <w:rsid w:val="00715B15"/>
    <w:rsid w:val="00725035"/>
    <w:rsid w:val="007C5F72"/>
    <w:rsid w:val="00815EB0"/>
    <w:rsid w:val="008D1EF3"/>
    <w:rsid w:val="008E459A"/>
    <w:rsid w:val="009F6305"/>
    <w:rsid w:val="00BE4943"/>
    <w:rsid w:val="00C3316A"/>
    <w:rsid w:val="00C92920"/>
    <w:rsid w:val="00DF2D42"/>
    <w:rsid w:val="00E31325"/>
    <w:rsid w:val="00EF6D6D"/>
    <w:rsid w:val="00F4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B68"/>
  <w15:docId w15:val="{CB948BE7-090A-4FC7-B984-8103D0B7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 Light" w:eastAsia="SimSun" w:hAnsi="Calibri Light" w:cs="SimSun"/>
      <w:color w:val="2E74B5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ourier New" w:hAnsi="Courier New"/>
      <w:sz w:val="24"/>
    </w:rPr>
  </w:style>
  <w:style w:type="character" w:customStyle="1" w:styleId="ListParagraphChar">
    <w:name w:val="List Paragraph Char"/>
    <w:link w:val="ListParagraph"/>
    <w:uiPriority w:val="34"/>
    <w:qFormat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fontstyle01">
    <w:name w:val="fontstyle01"/>
    <w:rPr>
      <w:rFonts w:ascii="Courier" w:hAnsi="Courie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s-1">
    <w:name w:val="ms-1"/>
    <w:basedOn w:val="DefaultParagraphFont"/>
  </w:style>
  <w:style w:type="character" w:customStyle="1" w:styleId="max-w-15ch">
    <w:name w:val="max-w-[15ch]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image" Target="media/image1.emf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2026-01-15T14:33:04Z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2026-01-15T00:00:00Z</Date_x0020_protokolli>
    <Titulli xmlns="0e656187-b300-4fb0-8bf4-3a50f872073c">Mbi fillimin e procedurës për disa ndryshime në treguesit e kritereve standarde të cilësisë së shërbimit në sistemin e shpërndarjes së energjisë elektrike</Titulli>
    <Modifikuesi xmlns="0e656187-b300-4fb0-8bf4-3a50f872073c">elnejda.cokalli</Modifikuesi>
    <Nr_x002e__x0020_prot_x0020_QBZ xmlns="0e656187-b300-4fb0-8bf4-3a50f872073c">81/2</Nr_x002e__x0020_prot_x0020_QBZ>
    <Data_x0020_e_x0020_Modifikimit xmlns="0e656187-b300-4fb0-8bf4-3a50f872073c">2026-01-16T10:11:25Z</Data_x0020_e_x0020_Modifikimit>
    <Dekretuar xmlns="0e656187-b300-4fb0-8bf4-3a50f872073c">false</Dekretuar>
    <Data xmlns="0e656187-b300-4fb0-8bf4-3a50f872073c">2025-12-29T00:00:00Z</Data>
    <Nr_x002e__x0020_protokolli_x0020_i_x0020_aktit xmlns="0e656187-b300-4fb0-8bf4-3a50f872073c">172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B8F6876BD5403E8BA74CD7BF7D1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B8F6876BD5403E8BA74CD7BF7D1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8BC12-04A4-4E38-976B-C6269A001E4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B64B326-EAF6-40A6-9D62-C71F3F2C4A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5F0F788-138F-45A0-B3E5-13B44EBF35C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8A120DF-D2F5-4CA3-B33E-06B4406D4B4E}">
  <ds:schemaRefs>
    <ds:schemaRef ds:uri="http://purl.org/dc/terms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1111D1FC-87D3-4150-B390-0C34DD29D78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2EB31B1-A8A0-4AED-B3A6-C15BE9E31618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7FC76A0-9B7F-4FEA-A3A6-22E19CD35D6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95652AA-4C5B-4A5F-883C-E0CE7DD640F3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7E2D9812-523E-4091-9143-AB46E095C76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3333B3A0-E258-412F-8723-CF6B8534D75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EC14E453-2AB3-46A2-9A83-70FA136FF2D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282A4C99-C28F-4478-9D18-A613C77A55FB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026F3842-DD4A-425A-9713-C7E974AFD8F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50A296D6-4E3B-4EDE-89EA-399D4733A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8C17D67E-B9EB-4AD0-B7BC-6D9A4361CA31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6FEBA182-B5FB-4EAD-88A3-8956E542AC86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926BBF75-78BD-4A25-BEAD-9612035FABE1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C3570672-3454-4E32-82F8-F9A4B394FF1A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4B499443-3300-4059-9C6D-9D7360BEDECC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F4BAD387-9CD5-4037-82D6-AD6FF383F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6271D09A-C92F-4700-97CC-505B3B951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disa ndryshime në treguesit e kritereve standarde të cilësisë së shërbimit në sistemin e shpërndarjes së energjisë elektrike</vt:lpstr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disa ndryshime në treguesit e kritereve standarde të cilësisë së shërbimit në sistemin e shpërndarjes së energjisë elektrike</dc:title>
  <dc:creator>Usrt</dc:creator>
  <cp:lastModifiedBy>Fjora Cahani</cp:lastModifiedBy>
  <cp:revision>6</cp:revision>
  <cp:lastPrinted>2019-07-29T08:19:00Z</cp:lastPrinted>
  <dcterms:created xsi:type="dcterms:W3CDTF">2026-01-15T13:38:00Z</dcterms:created>
  <dcterms:modified xsi:type="dcterms:W3CDTF">2026-01-16T10:59:00Z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466646733b034f7b8158515f9a7d9cbf</vt:lpwstr>
  </property>
</Properties>
</file>