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1ACD61" w14:textId="77777777"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280F">
        <w:rPr>
          <w:rFonts w:ascii="Garamond" w:eastAsiaTheme="minorHAnsi" w:hAnsi="Garamond" w:cs="Times New Roman"/>
          <w:b/>
          <w:bCs/>
          <w:color w:val="000000"/>
          <w:sz w:val="24"/>
          <w:szCs w:val="24"/>
        </w:rPr>
        <w:t>VENDIM</w:t>
      </w:r>
    </w:p>
    <w:p w14:paraId="28937DD4" w14:textId="75EA5705"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280F">
        <w:rPr>
          <w:rFonts w:ascii="Garamond" w:eastAsiaTheme="minorHAnsi" w:hAnsi="Garamond" w:cs="Times New Roman"/>
          <w:b/>
          <w:bCs/>
          <w:color w:val="000000"/>
          <w:sz w:val="24"/>
          <w:szCs w:val="24"/>
        </w:rPr>
        <w:t>Nr. 63, datë 26.2.2026</w:t>
      </w:r>
    </w:p>
    <w:p w14:paraId="7EC4FE2F" w14:textId="77777777"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767A9413" w14:textId="68AE204B"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280F">
        <w:rPr>
          <w:rFonts w:ascii="Garamond" w:eastAsiaTheme="minorHAnsi" w:hAnsi="Garamond" w:cs="Times New Roman"/>
          <w:b/>
          <w:bCs/>
          <w:color w:val="000000"/>
          <w:sz w:val="24"/>
          <w:szCs w:val="24"/>
        </w:rPr>
        <w:t>MBI LLOGARITJEN E PAGESAVE RREGULLATORE PËR VITIN 2026</w:t>
      </w:r>
    </w:p>
    <w:p w14:paraId="196F0AF2" w14:textId="691EC457"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78F80EE" w14:textId="271DAE81"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Në mbështetje të nenit 17, pika 4, nenit 20,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 “d”, nenit 35, pika 1, neneve 45 dhe 46, nenit 51, pika 2,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 “dh”, të </w:t>
      </w:r>
      <w:r w:rsidR="00C5437F" w:rsidRPr="00F7280F">
        <w:rPr>
          <w:rFonts w:ascii="Garamond" w:eastAsiaTheme="minorHAnsi" w:hAnsi="Garamond" w:cs="Times New Roman"/>
          <w:color w:val="000000"/>
          <w:sz w:val="24"/>
          <w:szCs w:val="24"/>
        </w:rPr>
        <w:t xml:space="preserve">ligjit </w:t>
      </w:r>
      <w:r w:rsidRPr="00F7280F">
        <w:rPr>
          <w:rFonts w:ascii="Garamond" w:eastAsiaTheme="minorHAnsi" w:hAnsi="Garamond" w:cs="Times New Roman"/>
          <w:color w:val="000000"/>
          <w:sz w:val="24"/>
          <w:szCs w:val="24"/>
        </w:rPr>
        <w:t xml:space="preserve">nr. 43/2015, “Për sektorin e energjisë elektrike”, </w:t>
      </w:r>
      <w:r w:rsidR="00C5437F">
        <w:rPr>
          <w:rFonts w:ascii="Garamond" w:eastAsiaTheme="minorHAnsi" w:hAnsi="Garamond" w:cs="Times New Roman"/>
          <w:color w:val="000000"/>
          <w:sz w:val="24"/>
          <w:szCs w:val="24"/>
        </w:rPr>
        <w:t xml:space="preserve">të </w:t>
      </w:r>
      <w:r w:rsidRPr="00F7280F">
        <w:rPr>
          <w:rFonts w:ascii="Garamond" w:eastAsiaTheme="minorHAnsi" w:hAnsi="Garamond" w:cs="Times New Roman"/>
          <w:color w:val="000000"/>
          <w:sz w:val="24"/>
          <w:szCs w:val="24"/>
        </w:rPr>
        <w:t xml:space="preserve">ndryshuar; neneve 14 dhe 30, pika 3, nenit 31, pika 1, të </w:t>
      </w:r>
      <w:r w:rsidR="00C5437F" w:rsidRPr="00F7280F">
        <w:rPr>
          <w:rFonts w:ascii="Garamond" w:eastAsiaTheme="minorHAnsi" w:hAnsi="Garamond" w:cs="Times New Roman"/>
          <w:color w:val="000000"/>
          <w:sz w:val="24"/>
          <w:szCs w:val="24"/>
        </w:rPr>
        <w:t xml:space="preserve">ligjit </w:t>
      </w:r>
      <w:r w:rsidRPr="00F7280F">
        <w:rPr>
          <w:rFonts w:ascii="Garamond" w:eastAsiaTheme="minorHAnsi" w:hAnsi="Garamond" w:cs="Times New Roman"/>
          <w:color w:val="000000"/>
          <w:sz w:val="24"/>
          <w:szCs w:val="24"/>
        </w:rPr>
        <w:t xml:space="preserve">nr. 102/2015, “Për sektorin e gazit natyror”, </w:t>
      </w:r>
      <w:r w:rsidR="00C5437F">
        <w:rPr>
          <w:rFonts w:ascii="Garamond" w:eastAsiaTheme="minorHAnsi" w:hAnsi="Garamond" w:cs="Times New Roman"/>
          <w:color w:val="000000"/>
          <w:sz w:val="24"/>
          <w:szCs w:val="24"/>
        </w:rPr>
        <w:t>të</w:t>
      </w:r>
      <w:r w:rsidRPr="00F7280F">
        <w:rPr>
          <w:rFonts w:ascii="Garamond" w:eastAsiaTheme="minorHAnsi" w:hAnsi="Garamond" w:cs="Times New Roman"/>
          <w:color w:val="000000"/>
          <w:sz w:val="24"/>
          <w:szCs w:val="24"/>
        </w:rPr>
        <w:t xml:space="preserve"> ndryshuar; nenit 5, pikat 5.2, 5.3 dhe 5.4, nenit 6, pikat 6.1, 6.1.1,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t “a”, “b” dhe “c”, 6.2, 6.3 dhe 6.4, të </w:t>
      </w:r>
      <w:r w:rsidR="00C5437F" w:rsidRPr="00F7280F">
        <w:rPr>
          <w:rFonts w:ascii="Garamond" w:eastAsiaTheme="minorHAnsi" w:hAnsi="Garamond" w:cs="Times New Roman"/>
          <w:color w:val="000000"/>
          <w:sz w:val="24"/>
          <w:szCs w:val="24"/>
        </w:rPr>
        <w:t xml:space="preserve">rregullores </w:t>
      </w:r>
      <w:r w:rsidR="00C5437F">
        <w:rPr>
          <w:rFonts w:ascii="Garamond" w:eastAsiaTheme="minorHAnsi" w:hAnsi="Garamond" w:cs="Times New Roman"/>
          <w:color w:val="000000"/>
          <w:sz w:val="24"/>
          <w:szCs w:val="24"/>
        </w:rPr>
        <w:t>“</w:t>
      </w:r>
      <w:r w:rsidR="00C5437F" w:rsidRPr="00F7280F">
        <w:rPr>
          <w:rFonts w:ascii="Garamond" w:eastAsiaTheme="minorHAnsi" w:hAnsi="Garamond" w:cs="Times New Roman"/>
          <w:color w:val="000000"/>
          <w:sz w:val="24"/>
          <w:szCs w:val="24"/>
        </w:rPr>
        <w:t xml:space="preserve">Mbi </w:t>
      </w:r>
      <w:r w:rsidRPr="00F7280F">
        <w:rPr>
          <w:rFonts w:ascii="Garamond" w:eastAsiaTheme="minorHAnsi" w:hAnsi="Garamond" w:cs="Times New Roman"/>
          <w:color w:val="000000"/>
          <w:sz w:val="24"/>
          <w:szCs w:val="24"/>
        </w:rPr>
        <w:t>përcaktimin e pagesave rregullatore</w:t>
      </w:r>
      <w:r w:rsidR="00C5437F">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miratuar me vendimin e </w:t>
      </w:r>
      <w:r w:rsidR="00C5437F" w:rsidRPr="00F7280F">
        <w:rPr>
          <w:rFonts w:ascii="Garamond" w:eastAsiaTheme="minorHAnsi" w:hAnsi="Garamond" w:cs="Times New Roman"/>
          <w:color w:val="000000"/>
          <w:sz w:val="24"/>
          <w:szCs w:val="24"/>
        </w:rPr>
        <w:t xml:space="preserve">Bordit </w:t>
      </w:r>
      <w:r w:rsidRPr="00F7280F">
        <w:rPr>
          <w:rFonts w:ascii="Garamond" w:eastAsiaTheme="minorHAnsi" w:hAnsi="Garamond" w:cs="Times New Roman"/>
          <w:color w:val="000000"/>
          <w:sz w:val="24"/>
          <w:szCs w:val="24"/>
        </w:rPr>
        <w:t xml:space="preserve">të Entit Rregullator të Energjisë (ERE) nr. 190, datë 23.11.2017, </w:t>
      </w:r>
      <w:r w:rsidR="00C5437F">
        <w:rPr>
          <w:rFonts w:ascii="Garamond" w:eastAsiaTheme="minorHAnsi" w:hAnsi="Garamond" w:cs="Times New Roman"/>
          <w:color w:val="000000"/>
          <w:sz w:val="24"/>
          <w:szCs w:val="24"/>
        </w:rPr>
        <w:t>të</w:t>
      </w:r>
      <w:r w:rsidRPr="00F7280F">
        <w:rPr>
          <w:rFonts w:ascii="Garamond" w:eastAsiaTheme="minorHAnsi" w:hAnsi="Garamond" w:cs="Times New Roman"/>
          <w:color w:val="000000"/>
          <w:sz w:val="24"/>
          <w:szCs w:val="24"/>
        </w:rPr>
        <w:t xml:space="preserve"> ndryshuar; neneve 15, 16 dhe 17 të </w:t>
      </w:r>
      <w:r w:rsidR="00C5437F" w:rsidRPr="00F7280F">
        <w:rPr>
          <w:rFonts w:ascii="Garamond" w:eastAsiaTheme="minorHAnsi" w:hAnsi="Garamond" w:cs="Times New Roman"/>
          <w:color w:val="000000"/>
          <w:sz w:val="24"/>
          <w:szCs w:val="24"/>
        </w:rPr>
        <w:t xml:space="preserve">rregullores </w:t>
      </w:r>
      <w:r w:rsidR="00C5437F">
        <w:rPr>
          <w:rFonts w:ascii="Garamond" w:eastAsiaTheme="minorHAnsi" w:hAnsi="Garamond" w:cs="Times New Roman"/>
          <w:color w:val="000000"/>
          <w:sz w:val="24"/>
          <w:szCs w:val="24"/>
        </w:rPr>
        <w:t>“</w:t>
      </w:r>
      <w:r w:rsidR="00C5437F" w:rsidRPr="00F7280F">
        <w:rPr>
          <w:rFonts w:ascii="Garamond" w:eastAsiaTheme="minorHAnsi" w:hAnsi="Garamond" w:cs="Times New Roman"/>
          <w:color w:val="000000"/>
          <w:sz w:val="24"/>
          <w:szCs w:val="24"/>
        </w:rPr>
        <w:t xml:space="preserve">Për </w:t>
      </w:r>
      <w:r w:rsidRPr="00F7280F">
        <w:rPr>
          <w:rFonts w:ascii="Garamond" w:eastAsiaTheme="minorHAnsi" w:hAnsi="Garamond" w:cs="Times New Roman"/>
          <w:color w:val="000000"/>
          <w:sz w:val="24"/>
          <w:szCs w:val="24"/>
        </w:rPr>
        <w:t>organizimin, funksionimin dhe procedurat e ERE-s</w:t>
      </w:r>
      <w:r w:rsidR="00C5437F">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miratuar me vendimin e Bordit të ERE-s nr. 96, datë 17.6.2016, </w:t>
      </w:r>
      <w:r w:rsidR="00C5437F">
        <w:rPr>
          <w:rFonts w:ascii="Garamond" w:eastAsiaTheme="minorHAnsi" w:hAnsi="Garamond" w:cs="Times New Roman"/>
          <w:color w:val="000000"/>
          <w:sz w:val="24"/>
          <w:szCs w:val="24"/>
        </w:rPr>
        <w:t>të</w:t>
      </w:r>
      <w:r w:rsidRPr="00F7280F">
        <w:rPr>
          <w:rFonts w:ascii="Garamond" w:eastAsiaTheme="minorHAnsi" w:hAnsi="Garamond" w:cs="Times New Roman"/>
          <w:color w:val="000000"/>
          <w:sz w:val="24"/>
          <w:szCs w:val="24"/>
        </w:rPr>
        <w:t xml:space="preserve"> ndryshuar; si dhe pikës 2 të vendimit nr. 112, datë 23.5.2025, të Bordit të ERE-s</w:t>
      </w:r>
      <w:r w:rsidR="00C5437F">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“Mbi llogaritjen e pagesave rregullatore për vitin 2025”;</w:t>
      </w:r>
    </w:p>
    <w:p w14:paraId="54039318" w14:textId="38BC64DA"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Bordi i ERE-s, në mbledhjen e tij të datës 26.2.2026, pasi shqyrtoi relacionin nr. 721 prot., datë 24.2.2026, të përgatitur nga Drejtoria e Tarifave dhe Çmimeve, “Mbi llogaritjen e pagesave rregullatore për vitin 2026”,</w:t>
      </w:r>
    </w:p>
    <w:p w14:paraId="282EEDDD" w14:textId="168A97A3" w:rsidR="0060475F" w:rsidRPr="00F7280F" w:rsidRDefault="00F7280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konstatoi se:</w:t>
      </w:r>
    </w:p>
    <w:p w14:paraId="162A02C8" w14:textId="602FC60C"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ERE përcakton dhe miraton pagesën rregullatore që paguhet prej të licencuarve në sektorin e energjisë elektrike dhe të gazit natyror, në përputhje me dispozitat ligjore dhe rregulloren përkatëse.</w:t>
      </w:r>
    </w:p>
    <w:p w14:paraId="64B96C33" w14:textId="145C012B"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 Pagesat rregullatore për vitin 2026 janë përllogaritur në zbatim të nenit 6 të </w:t>
      </w:r>
      <w:r w:rsidR="007C1C68" w:rsidRPr="00F7280F">
        <w:rPr>
          <w:rFonts w:ascii="Garamond" w:eastAsiaTheme="minorHAnsi" w:hAnsi="Garamond" w:cs="Times New Roman"/>
          <w:color w:val="000000"/>
          <w:sz w:val="24"/>
          <w:szCs w:val="24"/>
        </w:rPr>
        <w:t xml:space="preserve">rregullores </w:t>
      </w:r>
      <w:r w:rsidR="007C1C68" w:rsidRPr="00F7280F">
        <w:rPr>
          <w:rFonts w:ascii="Garamond" w:eastAsiaTheme="minorHAnsi" w:hAnsi="Garamond" w:cs="Times New Roman"/>
          <w:color w:val="000000"/>
          <w:sz w:val="24"/>
          <w:szCs w:val="24"/>
        </w:rPr>
        <w:t>“</w:t>
      </w:r>
      <w:r w:rsidR="007C1C68" w:rsidRPr="00F7280F">
        <w:rPr>
          <w:rFonts w:ascii="Garamond" w:eastAsiaTheme="minorHAnsi" w:hAnsi="Garamond" w:cs="Times New Roman"/>
          <w:color w:val="000000"/>
          <w:sz w:val="24"/>
          <w:szCs w:val="24"/>
        </w:rPr>
        <w:t xml:space="preserve">Për </w:t>
      </w:r>
      <w:r w:rsidRPr="00F7280F">
        <w:rPr>
          <w:rFonts w:ascii="Garamond" w:eastAsiaTheme="minorHAnsi" w:hAnsi="Garamond" w:cs="Times New Roman"/>
          <w:color w:val="000000"/>
          <w:sz w:val="24"/>
          <w:szCs w:val="24"/>
        </w:rPr>
        <w:t>përcaktimin dhe miratimin e pagesave rregullatore”, mbi bazën e pagesës rregullatore specifike për secilin të licencuar, ku</w:t>
      </w:r>
      <w:r w:rsidR="00A57352">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sipas pikës 6.1</w:t>
      </w:r>
      <w:r w:rsidR="00A57352">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llogaritja është kryer duke përcaktuar peshën specifike të të ardhurave të realizuara nga aktiviteti i licencuar gjatë vitit 2025</w:t>
      </w:r>
      <w:r w:rsidR="00A57352">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ndaj totalit të të ardhurave të sektorit të energjisë elektrike dhe gazit natyror për të njëjtën periudhë (të ardhurat sipas pikës 6.1.1), dhe më tej, në zbatim të pikës 6.2, pagesa rregullatore për secilin të licencuar është përllogaritur si produkt i kësaj peshe specifike me vlerën për t’u shpërndarë në buxhetin e ERE-s, pasi janë zbritur pagesat fikse të parashikuara nga rregullorja.</w:t>
      </w:r>
    </w:p>
    <w:p w14:paraId="3878CD8C" w14:textId="5D6E2601"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Vlera totale për efekt të llogaritjes së pagesës rregullatore për vitin 2026 është përcaktuar bazuar në vendimin nr. 352, datë 29.12.2025</w:t>
      </w:r>
      <w:r w:rsidR="00A57352">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të </w:t>
      </w:r>
      <w:r w:rsidR="00A57352" w:rsidRPr="00F7280F">
        <w:rPr>
          <w:rFonts w:ascii="Garamond" w:eastAsiaTheme="minorHAnsi" w:hAnsi="Garamond" w:cs="Times New Roman"/>
          <w:color w:val="000000"/>
          <w:sz w:val="24"/>
          <w:szCs w:val="24"/>
        </w:rPr>
        <w:t xml:space="preserve">Bordit </w:t>
      </w:r>
      <w:r w:rsidRPr="00F7280F">
        <w:rPr>
          <w:rFonts w:ascii="Garamond" w:eastAsiaTheme="minorHAnsi" w:hAnsi="Garamond" w:cs="Times New Roman"/>
          <w:color w:val="000000"/>
          <w:sz w:val="24"/>
          <w:szCs w:val="24"/>
        </w:rPr>
        <w:t>të ERE-s</w:t>
      </w:r>
      <w:r w:rsidR="00A57352">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“Mbi miratimin e Programit Buxhetor Afatmesëm 2026–2028 dhe buxhetit të ERE-s për vitin 2026”, si dhe dokumentin informues të relatuar në mbledhjen e </w:t>
      </w:r>
      <w:r w:rsidR="00A57352" w:rsidRPr="00F7280F">
        <w:rPr>
          <w:rFonts w:ascii="Garamond" w:eastAsiaTheme="minorHAnsi" w:hAnsi="Garamond" w:cs="Times New Roman"/>
          <w:color w:val="000000"/>
          <w:sz w:val="24"/>
          <w:szCs w:val="24"/>
        </w:rPr>
        <w:t xml:space="preserve">Bordit </w:t>
      </w:r>
      <w:r w:rsidRPr="00F7280F">
        <w:rPr>
          <w:rFonts w:ascii="Garamond" w:eastAsiaTheme="minorHAnsi" w:hAnsi="Garamond" w:cs="Times New Roman"/>
          <w:color w:val="000000"/>
          <w:sz w:val="24"/>
          <w:szCs w:val="24"/>
        </w:rPr>
        <w:t>të ERE-s nr. 3, datë 26.1.2026.</w:t>
      </w:r>
    </w:p>
    <w:p w14:paraId="0D7258B7" w14:textId="292D9C39"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Me qëllim mbledhjen e të dhënave për përllogaritjen e pagesave rregullatore për vitin 2026, ERE, me shkresat e protokolluara gjatë muajit dhjetor 2025, iu rikujtoi subjekteve të licencuara detyrimin për depozitimin e pasqyrave financiare dhe formularëve të deklarimit të të ardhurave për vitin 2025, duke mbajtur në konsideratë ndarjen në llogari të veçanta për secilën veprimtari të licencuar dhe për çdo aktivitet tjetër jashtë sektorit.</w:t>
      </w:r>
    </w:p>
    <w:p w14:paraId="76C22AAF" w14:textId="7F0ED254"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subjektet që kanë depozituar në ERE pasqyrat financiare dhe formularin e deklarimit të të ardhurave për vitin 2025, janë konsideruar të ardhurat e realizuara nga aktiviteti i licencuar, në zbatim të dispozitave të rregullores përkatëse.</w:t>
      </w:r>
    </w:p>
    <w:p w14:paraId="11EC8359" w14:textId="1F879A10"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shoqëritë e licencuara të cilat në vitin paraardhës nuk kanë pasur aktivitet, në përputhje me pikën 6.3 të rregullores, pagesa rregullatore është llogaritur në shumën fikse prej 100,000 (njëqind mijë) lekësh.</w:t>
      </w:r>
    </w:p>
    <w:p w14:paraId="3977A5E7" w14:textId="7179A74B"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Duke qenë se disa shoqëri nuk kanë përcjellë pasqyrat financiare për vitin 2025, për efekt të përllogaritjes së pagesës rregullatore për vitin 2026 është konsideruar e ardhura e realizuar gjatë vitit 2024.</w:t>
      </w:r>
    </w:p>
    <w:p w14:paraId="3E246E14" w14:textId="4F2CC571"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Në zbatim të pikës 2 të vendimit nr. 112, datë 23.5.2025</w:t>
      </w:r>
      <w:r w:rsidR="003B7B55">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të </w:t>
      </w:r>
      <w:r w:rsidR="003B7B55" w:rsidRPr="00F7280F">
        <w:rPr>
          <w:rFonts w:ascii="Garamond" w:eastAsiaTheme="minorHAnsi" w:hAnsi="Garamond" w:cs="Times New Roman"/>
          <w:color w:val="000000"/>
          <w:sz w:val="24"/>
          <w:szCs w:val="24"/>
        </w:rPr>
        <w:t xml:space="preserve">Bordit </w:t>
      </w:r>
      <w:r w:rsidRPr="00F7280F">
        <w:rPr>
          <w:rFonts w:ascii="Garamond" w:eastAsiaTheme="minorHAnsi" w:hAnsi="Garamond" w:cs="Times New Roman"/>
          <w:color w:val="000000"/>
          <w:sz w:val="24"/>
          <w:szCs w:val="24"/>
        </w:rPr>
        <w:t>të ERE-s</w:t>
      </w:r>
      <w:r w:rsidR="003B7B55">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“Mbi llogaritjen e pagesave rregullatore për vitin 2025”, diferencat që rezultojnë nga pasqyrat financiare të certifikuara për vitin 2025 do të konsiderohen në llogaritjen e pagesave të rregullimit të periudhës pasardhëse.</w:t>
      </w:r>
    </w:p>
    <w:p w14:paraId="169FC2F8" w14:textId="039F600A"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lastRenderedPageBreak/>
        <w:t>- Pas korrigjimeve të kryera për pagesat rregullatore të vitit 2025, të miratuara me vendimin nr. 112, datë 23.5.2025, është vijuar me evidentimin e të licencuarve që kanë përcjellë në ERE pasqyrat financiare për vitin 2025, vlera e të cilave do të alokohet ndaj pagesave rregullatore rezultuese për vitin 2026.</w:t>
      </w:r>
    </w:p>
    <w:p w14:paraId="0A07656F" w14:textId="1EF321B2"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Mbështetur në regjistrin e licencave të shkarkuar nga faqja zyrtare e ERE-s, rezultojnë gjithsej 419 të licencuar deri më 31.12.2025, të cilët janë subjekt i pagesave rregullatore, sipas klasifikimit përkatës në prodhim, shpërndarje, transmetim, furnizim, operim tregu dhe tregtim.</w:t>
      </w:r>
    </w:p>
    <w:p w14:paraId="58CB15C9" w14:textId="3BC820EA"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Përllogaritja e pagesave rregullatore për vitin 2026 është kryer duke u bazuar në informacionin e përftuar në përputhje me dispozitat e legjislacionit në fuqi, sipas pikës 5.4 të rregullores, të licencuarit depozitojnë në ERE deri më 31 janar të vitit pasardhës pasqyrat financiare të plota për vitin e mëparshëm ushtrimor dhe deri më 30 qershor kopje të audituar të pasqyrave financiare, nga ku rezulton informacioni mbi të ardhurat e realizuara nga aktiviteti i licencuar që përdoren në llogaritjen e pagesave rregullatore.</w:t>
      </w:r>
    </w:p>
    <w:p w14:paraId="020F9E49" w14:textId="4F859C2D"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të licencuarit që nuk paraqitën dokumentacionin financiar sipas kërkesave, informacioni për përllogaritjen e pagesave rregullatore është përfituar nga raportimet e OSHEE sh.a. lidhur me prodhimin e energjisë elektrike, raportimet e OST sh.a. mbi transaksionet e pjesëmarrësve të tregut, si dhe nga Qendra Kombëtare e Biznesit (QKB).</w:t>
      </w:r>
    </w:p>
    <w:p w14:paraId="2C37F6F7" w14:textId="5323281B"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subjektet e licencuara në prodhimin e energjisë elektrike që nuk kanë përcjellë pasqyrat financiare, të ardhurat nga aktiviteti ushtrimor janë përllogaritur bazuar në sasinë e energjisë elektrike të prodhuar gjatë vitit 2025, shumëzuar me çmimin vjetor të blerjes së energjisë elektrike për prodhuesit ekzistues me përparësi, të miratuar me vendimin nr. 273, datë 13.12.2024, në masën 10 lekë/</w:t>
      </w:r>
      <w:r w:rsidR="00E1609B" w:rsidRPr="00F7280F">
        <w:rPr>
          <w:rFonts w:ascii="Garamond" w:eastAsiaTheme="minorHAnsi" w:hAnsi="Garamond" w:cs="Times New Roman"/>
          <w:color w:val="000000"/>
          <w:sz w:val="24"/>
          <w:szCs w:val="24"/>
        </w:rPr>
        <w:t>kwh</w:t>
      </w:r>
      <w:r w:rsidRPr="00F7280F">
        <w:rPr>
          <w:rFonts w:ascii="Garamond" w:eastAsiaTheme="minorHAnsi" w:hAnsi="Garamond" w:cs="Times New Roman"/>
          <w:color w:val="000000"/>
          <w:sz w:val="24"/>
          <w:szCs w:val="24"/>
        </w:rPr>
        <w:t>.</w:t>
      </w:r>
    </w:p>
    <w:p w14:paraId="7A0A2E28" w14:textId="4974DBB3"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subjektet e licencuara në veprimtarinë e tregtimit dhe furnizimit që nuk paraqitën të dhënat financiare dhe për të cilat nuk ishte i mundur aksesimi i informacionit nga burime të tjera zyrtare, është vlerësuar që të merret e ardhura e realizuar në vitin 2024, ndërsa korrigjimet përkatëse do të aplikohen në pagesën rregullatore të vitit pasardhës, pasi të depozitohen pasqyrat financiare të audituara për vitin 2025, në zbatim të nenit 7 të rregullores.</w:t>
      </w:r>
    </w:p>
    <w:p w14:paraId="7399AFDC" w14:textId="32F34C4E"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Në momentin e depozitimit në ERE të të dhënave mbi aktivitetin e licencuar, do të kryhen korrigjimet përkatëse, sikurse është vepruar në çdo periudhë të mëparshme të përllogaritjes së pagesave rregullatore.</w:t>
      </w:r>
    </w:p>
    <w:p w14:paraId="69FC8A86" w14:textId="6A65EBFC"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Është konstatuar se shoqëritë që kanë zhvilluar dy ose më shumë aktivitete të licencuara nuk kanë paraqitur ndarjen e llogarive sipas aktiviteteve, siç përcaktohet në dispozitat ligjore në fuqi.</w:t>
      </w:r>
    </w:p>
    <w:p w14:paraId="185B1D69" w14:textId="49DCD15E"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Nga analiza e të dhënave të pasqyrave financiare dhe raportimeve të OSSH sh.a. për prodhuesit me përparësi, vërehet se në disa raste të ardhurat e deklaruara për vitin 2025 nuk përputhen me të ardhurat që rezultojnë nga sasia e energjisë elektrike të shitur, bazuar në çmimin vjetor 10 lekë/</w:t>
      </w:r>
      <w:r w:rsidR="00D46443" w:rsidRPr="00F7280F">
        <w:rPr>
          <w:rFonts w:ascii="Garamond" w:eastAsiaTheme="minorHAnsi" w:hAnsi="Garamond" w:cs="Times New Roman"/>
          <w:color w:val="000000"/>
          <w:sz w:val="24"/>
          <w:szCs w:val="24"/>
        </w:rPr>
        <w:t xml:space="preserve">kwh </w:t>
      </w:r>
      <w:r w:rsidRPr="00F7280F">
        <w:rPr>
          <w:rFonts w:ascii="Garamond" w:eastAsiaTheme="minorHAnsi" w:hAnsi="Garamond" w:cs="Times New Roman"/>
          <w:color w:val="000000"/>
          <w:sz w:val="24"/>
          <w:szCs w:val="24"/>
        </w:rPr>
        <w:t>të miratuar me vendimin nr. 273, datë 13.12.2024; kjo dukuri rregullohet në periudhën pasardhëse për shkak të regjistrimit të faturave të shitjes së energjisë ndaj FTL</w:t>
      </w:r>
      <w:r w:rsidR="00D46443">
        <w:rPr>
          <w:rFonts w:ascii="Garamond" w:eastAsiaTheme="minorHAnsi" w:hAnsi="Garamond" w:cs="Times New Roman"/>
          <w:color w:val="000000"/>
          <w:sz w:val="24"/>
          <w:szCs w:val="24"/>
        </w:rPr>
        <w:t>-së</w:t>
      </w:r>
      <w:r w:rsidRPr="00F7280F">
        <w:rPr>
          <w:rFonts w:ascii="Garamond" w:eastAsiaTheme="minorHAnsi" w:hAnsi="Garamond" w:cs="Times New Roman"/>
          <w:color w:val="000000"/>
          <w:sz w:val="24"/>
          <w:szCs w:val="24"/>
        </w:rPr>
        <w:t xml:space="preserve"> për muajin dhjetor 2025, në muajin janar 2026.</w:t>
      </w:r>
    </w:p>
    <w:p w14:paraId="7A83F9BE" w14:textId="68811EC4"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të licencuarit që nuk kanë zhvilluar aktivitet ose që nuk e kanë filluar aktivitetin për të cilin janë licencuar, pagesa rregullatore është llogaritur në shumën fikse prej 100,000 lekësh, në zbatim të pikave 5.2 dhe 6.3 të rregullores.</w:t>
      </w:r>
    </w:p>
    <w:p w14:paraId="3410DB7F" w14:textId="4D6C36F7"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E njëjta shumë fikse është zbatuar edhe për shoqëritë që kanë më shumë se një licencë dhe nuk kanë paraqitur pasqyrat financiare të ndara sipas aktiviteteve të licencuara; në rastet kur llogaritë janë paraqitur të konsoliduara, vetëm njërit prej aktiviteteve i është llogaritur pagesa rregullatore nëpërmjet peshës specifike, ndërsa për aktivitetet e tjera është zbatuar tarifa fikse prej 100,000 lekë</w:t>
      </w:r>
      <w:r w:rsidR="00BE1E98">
        <w:rPr>
          <w:rFonts w:ascii="Garamond" w:eastAsiaTheme="minorHAnsi" w:hAnsi="Garamond" w:cs="Times New Roman"/>
          <w:color w:val="000000"/>
          <w:sz w:val="24"/>
          <w:szCs w:val="24"/>
        </w:rPr>
        <w:t>sh</w:t>
      </w:r>
      <w:r w:rsidRPr="00F7280F">
        <w:rPr>
          <w:rFonts w:ascii="Garamond" w:eastAsiaTheme="minorHAnsi" w:hAnsi="Garamond" w:cs="Times New Roman"/>
          <w:color w:val="000000"/>
          <w:sz w:val="24"/>
          <w:szCs w:val="24"/>
        </w:rPr>
        <w:t>.</w:t>
      </w:r>
    </w:p>
    <w:p w14:paraId="05C15927" w14:textId="56A21F9D"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Në përllogaritjen e pagesave rregullatore për vitin 2026 janë aplikuar diferencat/korrigjimet që kanë rezultuar nga pasqyrat financiare të certifikuara për vitin 2024, në zbatim të pikës 2 të vendimit nr. 112, datë 23.5.2025</w:t>
      </w:r>
      <w:r w:rsidR="008B6AA3">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të </w:t>
      </w:r>
      <w:r w:rsidR="008B6AA3" w:rsidRPr="00F7280F">
        <w:rPr>
          <w:rFonts w:ascii="Garamond" w:eastAsiaTheme="minorHAnsi" w:hAnsi="Garamond" w:cs="Times New Roman"/>
          <w:color w:val="000000"/>
          <w:sz w:val="24"/>
          <w:szCs w:val="24"/>
        </w:rPr>
        <w:t xml:space="preserve">Bordit </w:t>
      </w:r>
      <w:r w:rsidRPr="00F7280F">
        <w:rPr>
          <w:rFonts w:ascii="Garamond" w:eastAsiaTheme="minorHAnsi" w:hAnsi="Garamond" w:cs="Times New Roman"/>
          <w:color w:val="000000"/>
          <w:sz w:val="24"/>
          <w:szCs w:val="24"/>
        </w:rPr>
        <w:t>të ERE-s, duke sjellë korrigjime përkatëse në pagesat rregullatore rezultuese për vitin 2026, bazuar në të ardhurat e konstatuara në pasqyrat financiare të depozituara në ERE dhe/ose të shkarkuara në QKB.</w:t>
      </w:r>
    </w:p>
    <w:p w14:paraId="6585E19E" w14:textId="12F85056"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lastRenderedPageBreak/>
        <w:t>- Për një numër subjektesh të licencuara, pagesa rregullatore për vitin 2026 nuk është aplikuar (është pezulluar), për shkak se këto subjekte janë licencuar me kusht operimi, ose rezultojnë me status “pezulluar” apo janë në proces likuidimi, duke e bërë objektivisht të pamundur ushtrimin e veprimtarisë së licencuar dhe/ose vjeljen e pagesës; në rast të ndryshimit të rrethanave, trajtimi i tyre do të rishikohet.</w:t>
      </w:r>
    </w:p>
    <w:p w14:paraId="5C2D49EE" w14:textId="4F6009C8"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të licencuarit që nuk kanë paraqitur pasqyrat financiare ose formularin e deklarimit të të ardhurave për vitin 2025 (siç paraqiten në relacion), për efekt të përllogaritjes së pagesës rregullatore për vitin 2026 është marrë në konsideratë e ardhura e realizuar në vitin 2024, si referenca më e afërt zyrtare, e administruar nga ERE ose e gjeneruar nga QKB</w:t>
      </w:r>
      <w:r w:rsidR="008B6AA3">
        <w:rPr>
          <w:rFonts w:ascii="Garamond" w:eastAsiaTheme="minorHAnsi" w:hAnsi="Garamond" w:cs="Times New Roman"/>
          <w:color w:val="000000"/>
          <w:sz w:val="24"/>
          <w:szCs w:val="24"/>
        </w:rPr>
        <w:t>-ja</w:t>
      </w:r>
      <w:r w:rsidRPr="00F7280F">
        <w:rPr>
          <w:rFonts w:ascii="Garamond" w:eastAsiaTheme="minorHAnsi" w:hAnsi="Garamond" w:cs="Times New Roman"/>
          <w:color w:val="000000"/>
          <w:sz w:val="24"/>
          <w:szCs w:val="24"/>
        </w:rPr>
        <w:t>.</w:t>
      </w:r>
    </w:p>
    <w:p w14:paraId="507A2001" w14:textId="437B1779"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Për shoqëritë “</w:t>
      </w:r>
      <w:r w:rsidR="00A37FC8" w:rsidRPr="00F7280F">
        <w:rPr>
          <w:rFonts w:ascii="Garamond" w:eastAsiaTheme="minorHAnsi" w:hAnsi="Garamond" w:cs="Times New Roman"/>
          <w:color w:val="000000"/>
          <w:sz w:val="24"/>
          <w:szCs w:val="24"/>
        </w:rPr>
        <w:t>Nova Solar System</w:t>
      </w:r>
      <w:r w:rsidRPr="00F7280F">
        <w:rPr>
          <w:rFonts w:ascii="Garamond" w:eastAsiaTheme="minorHAnsi" w:hAnsi="Garamond" w:cs="Times New Roman"/>
          <w:color w:val="000000"/>
          <w:sz w:val="24"/>
          <w:szCs w:val="24"/>
        </w:rPr>
        <w:t>” sh.p.k. dhe “GreeNNat Solar Park Ballsh” sh.p.k., duke qenë se të ardhurat e vitit 2024 nuk përfaqësojnë një vit të plotë ushtrimor dhe mungojnë të ardhurat e vitit 2025, pagesa rregullatore për vitin 2026 është vlerësuar mbi bazën e sasisë totale të energjisë elektrike të prodhuar gjatë vitit 2025, shumëzuar me çmimin mesatar vjetor të tregut të energjisë në ALPEX për vitin 2025, ndërsa në periudhën pasardhëse do të kryhen korrigjimet sipas pasqyrave financiare të certifikuara të vitit përkatës.</w:t>
      </w:r>
    </w:p>
    <w:p w14:paraId="782A9975" w14:textId="5828711E"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Është konstatuar luhatje e vlerës së pagesës rregullatore për vitin 2026 krahasuar me vitin 2025</w:t>
      </w:r>
      <w:r w:rsidR="00C90ED4">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për disa të licencuar, e cila lidhet me administrimin e të dhënave financiare më të plota</w:t>
      </w:r>
      <w:r w:rsidR="00C90ED4">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p.sh. gjenerimi nga QKB</w:t>
      </w:r>
      <w:r w:rsidR="00C90ED4">
        <w:rPr>
          <w:rFonts w:ascii="Garamond" w:eastAsiaTheme="minorHAnsi" w:hAnsi="Garamond" w:cs="Times New Roman"/>
          <w:color w:val="000000"/>
          <w:sz w:val="24"/>
          <w:szCs w:val="24"/>
        </w:rPr>
        <w:t>-ja</w:t>
      </w:r>
      <w:r w:rsidRPr="00F7280F">
        <w:rPr>
          <w:rFonts w:ascii="Garamond" w:eastAsiaTheme="minorHAnsi" w:hAnsi="Garamond" w:cs="Times New Roman"/>
          <w:color w:val="000000"/>
          <w:sz w:val="24"/>
          <w:szCs w:val="24"/>
        </w:rPr>
        <w:t xml:space="preserve"> i bilancit të vitit 2024 dhe/ose me faktin që disa subjekte kanë filluar aktivitet ose kanë ushtruar aktivitet të plotë gjatë vitit 2025, ndryshe nga viti 2024.</w:t>
      </w:r>
    </w:p>
    <w:p w14:paraId="154E0834" w14:textId="228866B7"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Në zbatim të vendimit nr. 130, datë 27.6.2025, pagesa rregullatore prej 100,000 lekësh për vitin 2025 për shoqërinë “Energia Gas and Power Albania” sh.p.k. është pasqyruar në përllogaritjen e pagesave rregullatore për vitin 2026 dhe janë reflektuar diferencat nga ky korrigjim.</w:t>
      </w:r>
    </w:p>
    <w:p w14:paraId="6D9D7F8A" w14:textId="34F80E01" w:rsidR="0060475F" w:rsidRPr="00F7280F" w:rsidRDefault="0060475F" w:rsidP="0060475F">
      <w:pPr>
        <w:tabs>
          <w:tab w:val="left" w:pos="3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 Për </w:t>
      </w:r>
      <w:r w:rsidR="00C90ED4" w:rsidRPr="00F7280F">
        <w:rPr>
          <w:rFonts w:ascii="Garamond" w:eastAsiaTheme="minorHAnsi" w:hAnsi="Garamond" w:cs="Times New Roman"/>
          <w:color w:val="000000"/>
          <w:sz w:val="24"/>
          <w:szCs w:val="24"/>
        </w:rPr>
        <w:t xml:space="preserve">Shoqërinë </w:t>
      </w:r>
      <w:r w:rsidRPr="00F7280F">
        <w:rPr>
          <w:rFonts w:ascii="Garamond" w:eastAsiaTheme="minorHAnsi" w:hAnsi="Garamond" w:cs="Times New Roman"/>
          <w:color w:val="000000"/>
          <w:sz w:val="24"/>
          <w:szCs w:val="24"/>
        </w:rPr>
        <w:t>Ujësjellës</w:t>
      </w:r>
      <w:r w:rsidR="00C90ED4">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Kanalizime Korçë sh.a., duke qenë se ka rezultuar me status “çregjistruar” në QKB dhe </w:t>
      </w:r>
      <w:r w:rsidR="00287FF9" w:rsidRPr="00F7280F">
        <w:rPr>
          <w:rFonts w:ascii="Garamond" w:eastAsiaTheme="minorHAnsi" w:hAnsi="Garamond" w:cs="Times New Roman"/>
          <w:color w:val="000000"/>
          <w:sz w:val="24"/>
          <w:szCs w:val="24"/>
        </w:rPr>
        <w:t>Bordi</w:t>
      </w:r>
      <w:r w:rsidR="00287FF9">
        <w:rPr>
          <w:rFonts w:ascii="Garamond" w:eastAsiaTheme="minorHAnsi" w:hAnsi="Garamond" w:cs="Times New Roman"/>
          <w:color w:val="000000"/>
          <w:sz w:val="24"/>
          <w:szCs w:val="24"/>
        </w:rPr>
        <w:t>,</w:t>
      </w:r>
      <w:r w:rsidR="00287FF9" w:rsidRPr="00F7280F">
        <w:rPr>
          <w:rFonts w:ascii="Garamond" w:eastAsiaTheme="minorHAnsi" w:hAnsi="Garamond" w:cs="Times New Roman"/>
          <w:color w:val="000000"/>
          <w:sz w:val="24"/>
          <w:szCs w:val="24"/>
        </w:rPr>
        <w:t xml:space="preserve"> </w:t>
      </w:r>
      <w:r w:rsidRPr="00F7280F">
        <w:rPr>
          <w:rFonts w:ascii="Garamond" w:eastAsiaTheme="minorHAnsi" w:hAnsi="Garamond" w:cs="Times New Roman"/>
          <w:color w:val="000000"/>
          <w:sz w:val="24"/>
          <w:szCs w:val="24"/>
        </w:rPr>
        <w:t>me vendimin nr. 186, datë 7.8.2025</w:t>
      </w:r>
      <w:r w:rsidR="00287FF9">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vendosi anulimin e pagesës rregullatore për vitin 2025, janë kryer korrigjimet përkatëse në përllogaritjen e pagesave rregullatore për vitin 2026 për subjektet e prekura nga ky korrigjim.</w:t>
      </w:r>
    </w:p>
    <w:p w14:paraId="06D53498" w14:textId="6AE2DB8E"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Për gjithë sa më sipër, </w:t>
      </w:r>
      <w:r w:rsidR="00287FF9" w:rsidRPr="00F7280F">
        <w:rPr>
          <w:rFonts w:ascii="Garamond" w:eastAsiaTheme="minorHAnsi" w:hAnsi="Garamond" w:cs="Times New Roman"/>
          <w:color w:val="000000"/>
          <w:sz w:val="24"/>
          <w:szCs w:val="24"/>
        </w:rPr>
        <w:t xml:space="preserve">Bordi </w:t>
      </w:r>
      <w:r w:rsidRPr="00F7280F">
        <w:rPr>
          <w:rFonts w:ascii="Garamond" w:eastAsiaTheme="minorHAnsi" w:hAnsi="Garamond" w:cs="Times New Roman"/>
          <w:color w:val="000000"/>
          <w:sz w:val="24"/>
          <w:szCs w:val="24"/>
        </w:rPr>
        <w:t>i ERE-s</w:t>
      </w:r>
    </w:p>
    <w:p w14:paraId="344BAF02" w14:textId="77777777"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DE2AF4F" w14:textId="61C85162"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F7280F">
        <w:rPr>
          <w:rFonts w:ascii="Garamond" w:eastAsiaTheme="minorHAnsi" w:hAnsi="Garamond" w:cs="Times New Roman"/>
          <w:bCs/>
          <w:color w:val="000000"/>
          <w:sz w:val="24"/>
          <w:szCs w:val="24"/>
        </w:rPr>
        <w:t>VENDOSI</w:t>
      </w:r>
      <w:r w:rsidRPr="00F7280F">
        <w:rPr>
          <w:rFonts w:ascii="Garamond" w:eastAsiaTheme="minorHAnsi" w:hAnsi="Garamond" w:cs="Times New Roman"/>
          <w:b/>
          <w:bCs/>
          <w:color w:val="000000"/>
          <w:sz w:val="24"/>
          <w:szCs w:val="24"/>
        </w:rPr>
        <w:t>:</w:t>
      </w:r>
    </w:p>
    <w:p w14:paraId="4C6C3334" w14:textId="77777777" w:rsidR="0060475F" w:rsidRPr="00F7280F" w:rsidRDefault="0060475F" w:rsidP="0060475F">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6DF532FF" w14:textId="6E0B7000"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1. Miratimin e pagesave rregullatore për vitin 2026</w:t>
      </w:r>
      <w:r w:rsidR="00BB4CD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sipas tabelës bashkëlidhur.</w:t>
      </w:r>
    </w:p>
    <w:p w14:paraId="3CD0112B" w14:textId="706D9610"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2. Diferencat që rezultojnë nga </w:t>
      </w:r>
      <w:r w:rsidR="00BB4CD6" w:rsidRPr="00F7280F">
        <w:rPr>
          <w:rFonts w:ascii="Garamond" w:eastAsiaTheme="minorHAnsi" w:hAnsi="Garamond" w:cs="Times New Roman"/>
          <w:color w:val="000000"/>
          <w:sz w:val="24"/>
          <w:szCs w:val="24"/>
        </w:rPr>
        <w:t xml:space="preserve">pasqyrat financiare </w:t>
      </w:r>
      <w:r w:rsidRPr="00F7280F">
        <w:rPr>
          <w:rFonts w:ascii="Garamond" w:eastAsiaTheme="minorHAnsi" w:hAnsi="Garamond" w:cs="Times New Roman"/>
          <w:color w:val="000000"/>
          <w:sz w:val="24"/>
          <w:szCs w:val="24"/>
        </w:rPr>
        <w:t>të audituara për vitin 2025, të konsiderohen në llogaritjen e pagesave rregullatore të periudhës pasardhëse.</w:t>
      </w:r>
    </w:p>
    <w:p w14:paraId="583023EB" w14:textId="3AA04845" w:rsidR="0060475F" w:rsidRPr="004B7936"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3. Të licencuarit subjekt i këtij vendimi (sipas tabelës bashkëlidhur)</w:t>
      </w:r>
      <w:r w:rsidR="00BB4CD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duhet të kryejnë pagesat rregullatore ndaj ERE-s, jo më vonë se 30 ditë nga botimi në Fletoren Zyrtare i këtij </w:t>
      </w:r>
      <w:r w:rsidR="00BB4CD6" w:rsidRPr="00F7280F">
        <w:rPr>
          <w:rFonts w:ascii="Garamond" w:eastAsiaTheme="minorHAnsi" w:hAnsi="Garamond" w:cs="Times New Roman"/>
          <w:color w:val="000000"/>
          <w:sz w:val="24"/>
          <w:szCs w:val="24"/>
        </w:rPr>
        <w:t>vendimi</w:t>
      </w:r>
      <w:r w:rsidRPr="00F7280F">
        <w:rPr>
          <w:rFonts w:ascii="Garamond" w:eastAsiaTheme="minorHAnsi" w:hAnsi="Garamond" w:cs="Times New Roman"/>
          <w:color w:val="000000"/>
          <w:sz w:val="24"/>
          <w:szCs w:val="24"/>
        </w:rPr>
        <w:t xml:space="preserve">, në të kundërt do të jenë subjekt i aplikimit të masave administrative të parashikuara në nenin 42, pika 1,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 </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ç</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pika 2,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 </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b</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dhe nenit 107 të ligjit nr. 43/2015</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“Për </w:t>
      </w:r>
      <w:r w:rsidR="004B7936" w:rsidRPr="00F7280F">
        <w:rPr>
          <w:rFonts w:ascii="Garamond" w:eastAsiaTheme="minorHAnsi" w:hAnsi="Garamond" w:cs="Times New Roman"/>
          <w:color w:val="000000"/>
          <w:sz w:val="24"/>
          <w:szCs w:val="24"/>
        </w:rPr>
        <w:t>sektorin e energjisë elektrike</w:t>
      </w:r>
      <w:r w:rsidRPr="00F7280F">
        <w:rPr>
          <w:rFonts w:ascii="Garamond" w:eastAsiaTheme="minorHAnsi" w:hAnsi="Garamond" w:cs="Times New Roman"/>
          <w:color w:val="000000"/>
          <w:sz w:val="24"/>
          <w:szCs w:val="24"/>
        </w:rPr>
        <w:t>”</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w:t>
      </w:r>
      <w:r w:rsidR="004B7936">
        <w:rPr>
          <w:rFonts w:ascii="Garamond" w:eastAsiaTheme="minorHAnsi" w:hAnsi="Garamond" w:cs="Times New Roman"/>
          <w:color w:val="000000"/>
          <w:sz w:val="24"/>
          <w:szCs w:val="24"/>
        </w:rPr>
        <w:t>të</w:t>
      </w:r>
      <w:r w:rsidRPr="00F7280F">
        <w:rPr>
          <w:rFonts w:ascii="Garamond" w:eastAsiaTheme="minorHAnsi" w:hAnsi="Garamond" w:cs="Times New Roman"/>
          <w:color w:val="000000"/>
          <w:sz w:val="24"/>
          <w:szCs w:val="24"/>
        </w:rPr>
        <w:t xml:space="preserve"> ndryshuar</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nenit 27, pika 1,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 “ç” dhe nenit 106, </w:t>
      </w:r>
      <w:r w:rsidR="00F7280F">
        <w:rPr>
          <w:rFonts w:ascii="Garamond" w:eastAsiaTheme="minorHAnsi" w:hAnsi="Garamond" w:cs="Times New Roman"/>
          <w:color w:val="000000"/>
          <w:sz w:val="24"/>
          <w:szCs w:val="24"/>
        </w:rPr>
        <w:t>germa</w:t>
      </w:r>
      <w:r w:rsidRPr="00F7280F">
        <w:rPr>
          <w:rFonts w:ascii="Garamond" w:eastAsiaTheme="minorHAnsi" w:hAnsi="Garamond" w:cs="Times New Roman"/>
          <w:color w:val="000000"/>
          <w:sz w:val="24"/>
          <w:szCs w:val="24"/>
        </w:rPr>
        <w:t xml:space="preserve"> “a” (xi) </w:t>
      </w:r>
      <w:r w:rsidR="004B7936">
        <w:rPr>
          <w:rFonts w:ascii="Garamond" w:eastAsiaTheme="minorHAnsi" w:hAnsi="Garamond" w:cs="Times New Roman"/>
          <w:color w:val="000000"/>
          <w:sz w:val="24"/>
          <w:szCs w:val="24"/>
        </w:rPr>
        <w:t>të</w:t>
      </w:r>
      <w:r w:rsidRPr="00F7280F">
        <w:rPr>
          <w:rFonts w:ascii="Garamond" w:eastAsiaTheme="minorHAnsi" w:hAnsi="Garamond" w:cs="Times New Roman"/>
          <w:color w:val="000000"/>
          <w:sz w:val="24"/>
          <w:szCs w:val="24"/>
        </w:rPr>
        <w:t xml:space="preserve"> </w:t>
      </w:r>
      <w:r w:rsidR="004B7936" w:rsidRPr="00F7280F">
        <w:rPr>
          <w:rFonts w:ascii="Garamond" w:eastAsiaTheme="minorHAnsi" w:hAnsi="Garamond" w:cs="Times New Roman"/>
          <w:color w:val="000000"/>
          <w:sz w:val="24"/>
          <w:szCs w:val="24"/>
        </w:rPr>
        <w:t xml:space="preserve">ligjit </w:t>
      </w:r>
      <w:r w:rsidRPr="00F7280F">
        <w:rPr>
          <w:rFonts w:ascii="Garamond" w:eastAsiaTheme="minorHAnsi" w:hAnsi="Garamond" w:cs="Times New Roman"/>
          <w:color w:val="000000"/>
          <w:sz w:val="24"/>
          <w:szCs w:val="24"/>
        </w:rPr>
        <w:t>nr. 102/2015</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“Për Sektorin e Gazit Natyror”, </w:t>
      </w:r>
      <w:r w:rsidR="004B7936">
        <w:rPr>
          <w:rFonts w:ascii="Garamond" w:eastAsiaTheme="minorHAnsi" w:hAnsi="Garamond" w:cs="Times New Roman"/>
          <w:color w:val="000000"/>
          <w:sz w:val="24"/>
          <w:szCs w:val="24"/>
        </w:rPr>
        <w:t>të</w:t>
      </w:r>
      <w:r w:rsidRPr="00F7280F">
        <w:rPr>
          <w:rFonts w:ascii="Garamond" w:eastAsiaTheme="minorHAnsi" w:hAnsi="Garamond" w:cs="Times New Roman"/>
          <w:color w:val="000000"/>
          <w:sz w:val="24"/>
          <w:szCs w:val="24"/>
        </w:rPr>
        <w:t xml:space="preserve"> ndryshuar</w:t>
      </w:r>
      <w:r w:rsidR="004B7936">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dhe </w:t>
      </w:r>
      <w:r w:rsidR="004B7936">
        <w:rPr>
          <w:rFonts w:ascii="Garamond" w:eastAsiaTheme="minorHAnsi" w:hAnsi="Garamond" w:cs="Times New Roman"/>
          <w:color w:val="000000"/>
          <w:sz w:val="24"/>
          <w:szCs w:val="24"/>
        </w:rPr>
        <w:t xml:space="preserve">të </w:t>
      </w:r>
      <w:r w:rsidRPr="00F7280F">
        <w:rPr>
          <w:rFonts w:ascii="Garamond" w:eastAsiaTheme="minorHAnsi" w:hAnsi="Garamond" w:cs="Times New Roman"/>
          <w:color w:val="000000"/>
          <w:sz w:val="24"/>
          <w:szCs w:val="24"/>
        </w:rPr>
        <w:t xml:space="preserve">nenit 5, pika 1, të </w:t>
      </w:r>
      <w:r w:rsidR="004B7936" w:rsidRPr="004B7936">
        <w:rPr>
          <w:rFonts w:ascii="Garamond" w:eastAsiaTheme="minorHAnsi" w:hAnsi="Garamond" w:cs="Times New Roman"/>
          <w:color w:val="000000"/>
          <w:sz w:val="24"/>
          <w:szCs w:val="24"/>
        </w:rPr>
        <w:t xml:space="preserve">rregullores </w:t>
      </w:r>
      <w:r w:rsidR="004B7936" w:rsidRPr="004B7936">
        <w:rPr>
          <w:rFonts w:ascii="Garamond" w:eastAsiaTheme="minorHAnsi" w:hAnsi="Garamond" w:cs="Times New Roman"/>
          <w:color w:val="000000"/>
          <w:sz w:val="24"/>
          <w:szCs w:val="24"/>
        </w:rPr>
        <w:t>“</w:t>
      </w:r>
      <w:r w:rsidR="004B7936" w:rsidRPr="004B7936">
        <w:rPr>
          <w:rFonts w:ascii="Garamond" w:eastAsiaTheme="minorHAnsi" w:hAnsi="Garamond" w:cs="Times New Roman"/>
          <w:color w:val="000000"/>
          <w:sz w:val="24"/>
          <w:szCs w:val="24"/>
        </w:rPr>
        <w:t xml:space="preserve">Për </w:t>
      </w:r>
      <w:r w:rsidRPr="004B7936">
        <w:rPr>
          <w:rFonts w:ascii="Garamond" w:eastAsiaTheme="minorHAnsi" w:hAnsi="Garamond" w:cs="Times New Roman"/>
          <w:color w:val="000000"/>
          <w:sz w:val="24"/>
          <w:szCs w:val="24"/>
        </w:rPr>
        <w:t>procedurat e vendosjes dhe reduktimit të gjobave”</w:t>
      </w:r>
      <w:r w:rsidR="004B7936">
        <w:rPr>
          <w:rFonts w:ascii="Garamond" w:eastAsiaTheme="minorHAnsi" w:hAnsi="Garamond" w:cs="Times New Roman"/>
          <w:color w:val="000000"/>
          <w:sz w:val="24"/>
          <w:szCs w:val="24"/>
        </w:rPr>
        <w:t>,</w:t>
      </w:r>
      <w:r w:rsidRPr="004B7936">
        <w:rPr>
          <w:rFonts w:ascii="Garamond" w:eastAsiaTheme="minorHAnsi" w:hAnsi="Garamond" w:cs="Times New Roman"/>
          <w:color w:val="000000"/>
          <w:sz w:val="24"/>
          <w:szCs w:val="24"/>
        </w:rPr>
        <w:t xml:space="preserve"> miratuar me vendimin nr. 125, datë 29.7.2016, të </w:t>
      </w:r>
      <w:r w:rsidR="004B7936" w:rsidRPr="004B7936">
        <w:rPr>
          <w:rFonts w:ascii="Garamond" w:eastAsiaTheme="minorHAnsi" w:hAnsi="Garamond" w:cs="Times New Roman"/>
          <w:color w:val="000000"/>
          <w:sz w:val="24"/>
          <w:szCs w:val="24"/>
        </w:rPr>
        <w:t xml:space="preserve">Bordit </w:t>
      </w:r>
      <w:r w:rsidRPr="004B7936">
        <w:rPr>
          <w:rFonts w:ascii="Garamond" w:eastAsiaTheme="minorHAnsi" w:hAnsi="Garamond" w:cs="Times New Roman"/>
          <w:color w:val="000000"/>
          <w:sz w:val="24"/>
          <w:szCs w:val="24"/>
        </w:rPr>
        <w:t>të ERE-s</w:t>
      </w:r>
      <w:r w:rsidR="004B7936">
        <w:rPr>
          <w:rFonts w:ascii="Garamond" w:eastAsiaTheme="minorHAnsi" w:hAnsi="Garamond" w:cs="Times New Roman"/>
          <w:color w:val="000000"/>
          <w:sz w:val="24"/>
          <w:szCs w:val="24"/>
        </w:rPr>
        <w:t>;</w:t>
      </w:r>
      <w:r w:rsidRPr="004B7936">
        <w:rPr>
          <w:rFonts w:ascii="Garamond" w:eastAsiaTheme="minorHAnsi" w:hAnsi="Garamond" w:cs="Times New Roman"/>
          <w:color w:val="000000"/>
          <w:sz w:val="24"/>
          <w:szCs w:val="24"/>
        </w:rPr>
        <w:t xml:space="preserve"> si dhe nenit 5, </w:t>
      </w:r>
      <w:r w:rsidR="00F7280F" w:rsidRPr="004B7936">
        <w:rPr>
          <w:rFonts w:ascii="Garamond" w:eastAsiaTheme="minorHAnsi" w:hAnsi="Garamond" w:cs="Times New Roman"/>
          <w:color w:val="000000"/>
          <w:sz w:val="24"/>
          <w:szCs w:val="24"/>
        </w:rPr>
        <w:t>germa</w:t>
      </w:r>
      <w:r w:rsidRPr="004B7936">
        <w:rPr>
          <w:rFonts w:ascii="Garamond" w:eastAsiaTheme="minorHAnsi" w:hAnsi="Garamond" w:cs="Times New Roman"/>
          <w:color w:val="000000"/>
          <w:sz w:val="24"/>
          <w:szCs w:val="24"/>
        </w:rPr>
        <w:t xml:space="preserve"> “ç”</w:t>
      </w:r>
      <w:r w:rsidR="004B7936">
        <w:rPr>
          <w:rFonts w:ascii="Garamond" w:eastAsiaTheme="minorHAnsi" w:hAnsi="Garamond" w:cs="Times New Roman"/>
          <w:color w:val="000000"/>
          <w:sz w:val="24"/>
          <w:szCs w:val="24"/>
        </w:rPr>
        <w:t>,</w:t>
      </w:r>
      <w:r w:rsidRPr="004B7936">
        <w:rPr>
          <w:rFonts w:ascii="Garamond" w:eastAsiaTheme="minorHAnsi" w:hAnsi="Garamond" w:cs="Times New Roman"/>
          <w:color w:val="000000"/>
          <w:sz w:val="24"/>
          <w:szCs w:val="24"/>
        </w:rPr>
        <w:t xml:space="preserve"> të </w:t>
      </w:r>
      <w:r w:rsidR="004B7936" w:rsidRPr="004B7936">
        <w:rPr>
          <w:rFonts w:ascii="Garamond" w:eastAsiaTheme="minorHAnsi" w:hAnsi="Garamond" w:cs="Times New Roman"/>
          <w:color w:val="000000"/>
          <w:sz w:val="24"/>
          <w:szCs w:val="24"/>
        </w:rPr>
        <w:t xml:space="preserve">rregullores </w:t>
      </w:r>
      <w:r w:rsidR="004B7936" w:rsidRPr="004B7936">
        <w:rPr>
          <w:rFonts w:ascii="Garamond" w:eastAsiaTheme="minorHAnsi" w:hAnsi="Garamond" w:cs="Times New Roman"/>
          <w:color w:val="000000"/>
          <w:sz w:val="24"/>
          <w:szCs w:val="24"/>
        </w:rPr>
        <w:t>“</w:t>
      </w:r>
      <w:r w:rsidR="004B7936" w:rsidRPr="004B7936">
        <w:rPr>
          <w:rFonts w:ascii="Garamond" w:eastAsiaTheme="minorHAnsi" w:hAnsi="Garamond" w:cs="Times New Roman"/>
          <w:color w:val="000000"/>
          <w:sz w:val="24"/>
          <w:szCs w:val="24"/>
        </w:rPr>
        <w:t xml:space="preserve">Për </w:t>
      </w:r>
      <w:r w:rsidRPr="004B7936">
        <w:rPr>
          <w:rFonts w:ascii="Garamond" w:eastAsiaTheme="minorHAnsi" w:hAnsi="Garamond" w:cs="Times New Roman"/>
          <w:color w:val="000000"/>
          <w:sz w:val="24"/>
          <w:szCs w:val="24"/>
        </w:rPr>
        <w:t>procedurat e heqjes së licencave në sektorin e energjisë elektrike dhe të gazit natyror”, miratuar me vendimin e Bordit të ERE-s nr. 58, datë 18.4.2017.</w:t>
      </w:r>
    </w:p>
    <w:p w14:paraId="053D3411" w14:textId="51ADB3DF"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4. Për të licencuarit, për të cilët pagesa rregullatore për vitin aktual është pezulluar, nëse do të ndryshojnë rrethanat ligjore, që çuan në pezullim, ky vendim do të jetë objekt rishikimi sa i përket përllogaritjes së pagesave rregullatore që do të rezultojnë. </w:t>
      </w:r>
    </w:p>
    <w:p w14:paraId="17832A36" w14:textId="00E33E4B"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Ky vendim hyn në fuqi menjëherë. </w:t>
      </w:r>
    </w:p>
    <w:p w14:paraId="2B8A0EB3" w14:textId="37928E70"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 xml:space="preserve">Çdo palë e përfshirë në këtë procedurë mund t’i kërkojë ERE-s, brenda 7 ditëve kalendarike nga data e marrjes së vendimit, rishikimin e vendimit të </w:t>
      </w:r>
      <w:r w:rsidR="002C2400" w:rsidRPr="00F7280F">
        <w:rPr>
          <w:rFonts w:ascii="Garamond" w:eastAsiaTheme="minorHAnsi" w:hAnsi="Garamond" w:cs="Times New Roman"/>
          <w:color w:val="000000"/>
          <w:sz w:val="24"/>
          <w:szCs w:val="24"/>
        </w:rPr>
        <w:t>Bordit</w:t>
      </w:r>
      <w:r w:rsidR="002C2400">
        <w:rPr>
          <w:rFonts w:ascii="Garamond" w:eastAsiaTheme="minorHAnsi" w:hAnsi="Garamond" w:cs="Times New Roman"/>
          <w:color w:val="000000"/>
          <w:sz w:val="24"/>
          <w:szCs w:val="24"/>
        </w:rPr>
        <w:t>,</w:t>
      </w:r>
      <w:r w:rsidR="002C2400" w:rsidRPr="00F7280F">
        <w:rPr>
          <w:rFonts w:ascii="Garamond" w:eastAsiaTheme="minorHAnsi" w:hAnsi="Garamond" w:cs="Times New Roman"/>
          <w:color w:val="000000"/>
          <w:sz w:val="24"/>
          <w:szCs w:val="24"/>
        </w:rPr>
        <w:t xml:space="preserve"> </w:t>
      </w:r>
      <w:r w:rsidRPr="00F7280F">
        <w:rPr>
          <w:rFonts w:ascii="Garamond" w:eastAsiaTheme="minorHAnsi" w:hAnsi="Garamond" w:cs="Times New Roman"/>
          <w:color w:val="000000"/>
          <w:sz w:val="24"/>
          <w:szCs w:val="24"/>
        </w:rPr>
        <w:t xml:space="preserve">në rast se ka siguruar prova të reja që mund ta çojnë </w:t>
      </w:r>
      <w:r w:rsidR="002C2400" w:rsidRPr="00F7280F">
        <w:rPr>
          <w:rFonts w:ascii="Garamond" w:eastAsiaTheme="minorHAnsi" w:hAnsi="Garamond" w:cs="Times New Roman"/>
          <w:color w:val="000000"/>
          <w:sz w:val="24"/>
          <w:szCs w:val="24"/>
        </w:rPr>
        <w:t xml:space="preserve">Bordin </w:t>
      </w:r>
      <w:r w:rsidRPr="00F7280F">
        <w:rPr>
          <w:rFonts w:ascii="Garamond" w:eastAsiaTheme="minorHAnsi" w:hAnsi="Garamond" w:cs="Times New Roman"/>
          <w:color w:val="000000"/>
          <w:sz w:val="24"/>
          <w:szCs w:val="24"/>
        </w:rPr>
        <w:t>në marrjen e një vendimi të ndryshëm nga i mëparshmi</w:t>
      </w:r>
      <w:r w:rsidR="002C2400">
        <w:rPr>
          <w:rFonts w:ascii="Garamond" w:eastAsiaTheme="minorHAnsi" w:hAnsi="Garamond" w:cs="Times New Roman"/>
          <w:color w:val="000000"/>
          <w:sz w:val="24"/>
          <w:szCs w:val="24"/>
        </w:rPr>
        <w:t>,</w:t>
      </w:r>
      <w:r w:rsidRPr="00F7280F">
        <w:rPr>
          <w:rFonts w:ascii="Garamond" w:eastAsiaTheme="minorHAnsi" w:hAnsi="Garamond" w:cs="Times New Roman"/>
          <w:color w:val="000000"/>
          <w:sz w:val="24"/>
          <w:szCs w:val="24"/>
        </w:rPr>
        <w:t xml:space="preserve"> apo për gabime materiale të </w:t>
      </w:r>
      <w:r w:rsidRPr="00F7280F">
        <w:rPr>
          <w:rFonts w:ascii="Garamond" w:eastAsiaTheme="minorHAnsi" w:hAnsi="Garamond" w:cs="Times New Roman"/>
          <w:color w:val="000000"/>
          <w:sz w:val="24"/>
          <w:szCs w:val="24"/>
        </w:rPr>
        <w:lastRenderedPageBreak/>
        <w:t>konstatuara. Për këtë vendim mund të bëhet ankim në Gjykatën Administrative Tiranë, brenda 30 ditëve kalendarike nga dita e publikimit në Fletoren Zyrtare.</w:t>
      </w:r>
    </w:p>
    <w:p w14:paraId="08554AD5" w14:textId="406AF734"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F7280F">
        <w:rPr>
          <w:rFonts w:ascii="Garamond" w:eastAsiaTheme="minorHAnsi" w:hAnsi="Garamond" w:cs="Times New Roman"/>
          <w:color w:val="000000"/>
          <w:sz w:val="24"/>
          <w:szCs w:val="24"/>
        </w:rPr>
        <w:t>Ky vendim botohet në Fletoren Zyrtare.</w:t>
      </w:r>
    </w:p>
    <w:p w14:paraId="629A6187" w14:textId="579C5780" w:rsidR="0060475F" w:rsidRPr="00F7280F" w:rsidRDefault="0060475F" w:rsidP="0060475F">
      <w:pPr>
        <w:autoSpaceDE w:val="0"/>
        <w:autoSpaceDN w:val="0"/>
        <w:adjustRightInd w:val="0"/>
        <w:spacing w:after="0" w:line="240" w:lineRule="auto"/>
        <w:ind w:firstLine="284"/>
        <w:jc w:val="both"/>
        <w:rPr>
          <w:rFonts w:ascii="Garamond" w:eastAsiaTheme="minorHAnsi" w:hAnsi="Garamond" w:cs="Times New Roman"/>
          <w:b/>
          <w:color w:val="000000"/>
          <w:sz w:val="24"/>
          <w:szCs w:val="24"/>
        </w:rPr>
      </w:pPr>
    </w:p>
    <w:p w14:paraId="7E2CC5DC" w14:textId="6DE1D352" w:rsidR="0060475F" w:rsidRPr="002C2400" w:rsidRDefault="0060475F" w:rsidP="0060475F">
      <w:pPr>
        <w:tabs>
          <w:tab w:val="left" w:pos="7220"/>
        </w:tabs>
        <w:autoSpaceDE w:val="0"/>
        <w:autoSpaceDN w:val="0"/>
        <w:adjustRightInd w:val="0"/>
        <w:spacing w:after="0" w:line="240" w:lineRule="auto"/>
        <w:ind w:firstLine="284"/>
        <w:jc w:val="right"/>
        <w:rPr>
          <w:rFonts w:ascii="Garamond" w:eastAsiaTheme="minorHAnsi" w:hAnsi="Garamond" w:cs="Times New Roman"/>
          <w:color w:val="000000"/>
          <w:sz w:val="24"/>
          <w:szCs w:val="24"/>
        </w:rPr>
      </w:pPr>
      <w:bookmarkStart w:id="0" w:name="_GoBack"/>
      <w:r w:rsidRPr="002C2400">
        <w:rPr>
          <w:rFonts w:ascii="Garamond" w:eastAsiaTheme="minorHAnsi" w:hAnsi="Garamond" w:cs="Times New Roman"/>
          <w:color w:val="000000"/>
          <w:sz w:val="24"/>
          <w:szCs w:val="24"/>
        </w:rPr>
        <w:t>KRYETAR</w:t>
      </w:r>
    </w:p>
    <w:bookmarkEnd w:id="0"/>
    <w:p w14:paraId="16AF72B9" w14:textId="4EAD5577" w:rsidR="0060475F" w:rsidRPr="00F7280F" w:rsidRDefault="0060475F" w:rsidP="0060475F">
      <w:pPr>
        <w:tabs>
          <w:tab w:val="left" w:pos="7220"/>
        </w:tabs>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F7280F">
        <w:rPr>
          <w:rFonts w:ascii="Garamond" w:eastAsiaTheme="minorHAnsi" w:hAnsi="Garamond" w:cs="Times New Roman"/>
          <w:b/>
          <w:bCs/>
          <w:color w:val="000000"/>
          <w:sz w:val="24"/>
          <w:szCs w:val="24"/>
        </w:rPr>
        <w:t>Petrit Ahmeti</w:t>
      </w:r>
    </w:p>
    <w:p w14:paraId="04C75538" w14:textId="6E1CF2E6" w:rsidR="00F61E26" w:rsidRPr="00F7280F" w:rsidRDefault="00F61E26" w:rsidP="0060475F">
      <w:pPr>
        <w:pStyle w:val="CommentText"/>
        <w:ind w:firstLine="284"/>
        <w:jc w:val="right"/>
        <w:rPr>
          <w:rFonts w:ascii="Garamond" w:hAnsi="Garamond"/>
          <w:sz w:val="24"/>
          <w:szCs w:val="24"/>
        </w:rPr>
      </w:pPr>
    </w:p>
    <w:p w14:paraId="58C53896" w14:textId="37CB7F1E" w:rsidR="000A6650" w:rsidRPr="00F7280F" w:rsidRDefault="00252BA3" w:rsidP="0060475F">
      <w:pPr>
        <w:tabs>
          <w:tab w:val="left" w:pos="360"/>
          <w:tab w:val="left" w:pos="450"/>
          <w:tab w:val="left" w:pos="990"/>
        </w:tabs>
        <w:spacing w:after="0" w:line="240" w:lineRule="auto"/>
        <w:jc w:val="center"/>
        <w:rPr>
          <w:rFonts w:ascii="Garamond" w:eastAsia="Times New Roman" w:hAnsi="Garamond" w:cs="Times New Roman"/>
          <w:sz w:val="24"/>
          <w:szCs w:val="24"/>
        </w:rPr>
      </w:pPr>
      <w:r w:rsidRPr="00F7280F">
        <w:rPr>
          <w:rFonts w:ascii="Garamond" w:hAnsi="Garamond"/>
          <w:sz w:val="24"/>
          <w:szCs w:val="24"/>
          <w:lang w:eastAsia="sq-AL"/>
        </w:rPr>
        <w:lastRenderedPageBreak/>
        <w:drawing>
          <wp:inline distT="0" distB="0" distL="0" distR="0" wp14:anchorId="14D882DC" wp14:editId="5120E70C">
            <wp:extent cx="5943558" cy="80391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8344" cy="8045574"/>
                    </a:xfrm>
                    <a:prstGeom prst="rect">
                      <a:avLst/>
                    </a:prstGeom>
                    <a:noFill/>
                    <a:ln>
                      <a:noFill/>
                    </a:ln>
                  </pic:spPr>
                </pic:pic>
              </a:graphicData>
            </a:graphic>
          </wp:inline>
        </w:drawing>
      </w:r>
    </w:p>
    <w:p w14:paraId="2118AFEE" w14:textId="1D569729" w:rsidR="000A6650" w:rsidRPr="00F7280F" w:rsidRDefault="000A6650" w:rsidP="0060475F">
      <w:pPr>
        <w:tabs>
          <w:tab w:val="left" w:pos="360"/>
          <w:tab w:val="left" w:pos="450"/>
          <w:tab w:val="left" w:pos="990"/>
        </w:tabs>
        <w:spacing w:after="0" w:line="240" w:lineRule="auto"/>
        <w:ind w:firstLine="284"/>
        <w:jc w:val="both"/>
        <w:rPr>
          <w:rFonts w:ascii="Garamond" w:eastAsia="Times New Roman" w:hAnsi="Garamond" w:cs="Times New Roman"/>
          <w:sz w:val="24"/>
          <w:szCs w:val="24"/>
        </w:rPr>
      </w:pPr>
    </w:p>
    <w:p w14:paraId="4B220458" w14:textId="1AC5478C" w:rsidR="000A6650" w:rsidRPr="00F7280F" w:rsidRDefault="000A6650" w:rsidP="0060475F">
      <w:pPr>
        <w:tabs>
          <w:tab w:val="left" w:pos="360"/>
          <w:tab w:val="left" w:pos="450"/>
          <w:tab w:val="left" w:pos="990"/>
        </w:tabs>
        <w:spacing w:after="0" w:line="240" w:lineRule="auto"/>
        <w:ind w:firstLine="284"/>
        <w:jc w:val="both"/>
        <w:rPr>
          <w:rFonts w:ascii="Garamond" w:eastAsia="Times New Roman" w:hAnsi="Garamond" w:cs="Times New Roman"/>
          <w:sz w:val="24"/>
          <w:szCs w:val="24"/>
        </w:rPr>
      </w:pPr>
    </w:p>
    <w:p w14:paraId="730D775C" w14:textId="5D798A8E" w:rsidR="000A6650" w:rsidRPr="00F7280F" w:rsidRDefault="000A6650" w:rsidP="0060475F">
      <w:pPr>
        <w:tabs>
          <w:tab w:val="left" w:pos="360"/>
          <w:tab w:val="left" w:pos="450"/>
          <w:tab w:val="left" w:pos="990"/>
        </w:tabs>
        <w:spacing w:after="0" w:line="240" w:lineRule="auto"/>
        <w:ind w:firstLine="284"/>
        <w:jc w:val="both"/>
        <w:rPr>
          <w:rFonts w:ascii="Garamond" w:eastAsia="Times New Roman" w:hAnsi="Garamond" w:cs="Times New Roman"/>
          <w:sz w:val="24"/>
          <w:szCs w:val="24"/>
        </w:rPr>
      </w:pPr>
    </w:p>
    <w:p w14:paraId="66A90AFE" w14:textId="2EB37CA8" w:rsidR="000A6650" w:rsidRPr="00F7280F" w:rsidRDefault="00252BA3" w:rsidP="0060475F">
      <w:pPr>
        <w:tabs>
          <w:tab w:val="left" w:pos="360"/>
          <w:tab w:val="left" w:pos="450"/>
          <w:tab w:val="left" w:pos="990"/>
        </w:tabs>
        <w:spacing w:after="0" w:line="240" w:lineRule="auto"/>
        <w:jc w:val="center"/>
        <w:rPr>
          <w:rFonts w:ascii="Garamond" w:eastAsia="Times New Roman" w:hAnsi="Garamond" w:cs="Times New Roman"/>
          <w:sz w:val="24"/>
          <w:szCs w:val="24"/>
        </w:rPr>
      </w:pPr>
      <w:r w:rsidRPr="00F7280F">
        <w:rPr>
          <w:rFonts w:ascii="Garamond" w:hAnsi="Garamond"/>
          <w:sz w:val="24"/>
          <w:szCs w:val="24"/>
          <w:lang w:eastAsia="sq-AL"/>
        </w:rPr>
        <w:lastRenderedPageBreak/>
        <w:drawing>
          <wp:inline distT="0" distB="0" distL="0" distR="0" wp14:anchorId="36C1F367" wp14:editId="49A37D00">
            <wp:extent cx="5943176" cy="80200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4444" cy="8021761"/>
                    </a:xfrm>
                    <a:prstGeom prst="rect">
                      <a:avLst/>
                    </a:prstGeom>
                    <a:noFill/>
                    <a:ln>
                      <a:noFill/>
                    </a:ln>
                  </pic:spPr>
                </pic:pic>
              </a:graphicData>
            </a:graphic>
          </wp:inline>
        </w:drawing>
      </w:r>
    </w:p>
    <w:p w14:paraId="7E1794CD" w14:textId="77DA785D" w:rsidR="000A6650" w:rsidRPr="00F7280F" w:rsidRDefault="000A6650" w:rsidP="0060475F">
      <w:pPr>
        <w:tabs>
          <w:tab w:val="left" w:pos="360"/>
          <w:tab w:val="left" w:pos="450"/>
          <w:tab w:val="left" w:pos="990"/>
        </w:tabs>
        <w:spacing w:after="0" w:line="240" w:lineRule="auto"/>
        <w:ind w:firstLine="284"/>
        <w:jc w:val="both"/>
        <w:rPr>
          <w:rFonts w:ascii="Garamond" w:eastAsia="Times New Roman" w:hAnsi="Garamond" w:cs="Times New Roman"/>
          <w:sz w:val="24"/>
          <w:szCs w:val="24"/>
        </w:rPr>
      </w:pPr>
    </w:p>
    <w:p w14:paraId="69B47734" w14:textId="58C4255E" w:rsidR="000A6650" w:rsidRPr="00F7280F" w:rsidRDefault="000A6650" w:rsidP="0060475F">
      <w:pPr>
        <w:tabs>
          <w:tab w:val="left" w:pos="360"/>
          <w:tab w:val="left" w:pos="450"/>
          <w:tab w:val="left" w:pos="990"/>
        </w:tabs>
        <w:spacing w:after="0" w:line="240" w:lineRule="auto"/>
        <w:ind w:firstLine="284"/>
        <w:jc w:val="both"/>
        <w:rPr>
          <w:rFonts w:ascii="Garamond" w:eastAsia="Times New Roman" w:hAnsi="Garamond" w:cs="Times New Roman"/>
          <w:sz w:val="24"/>
          <w:szCs w:val="24"/>
        </w:rPr>
      </w:pPr>
    </w:p>
    <w:p w14:paraId="4B4DF41C" w14:textId="473F0C35" w:rsidR="000A6650" w:rsidRPr="00F7280F" w:rsidRDefault="000A6650" w:rsidP="0060475F">
      <w:pPr>
        <w:tabs>
          <w:tab w:val="left" w:pos="360"/>
          <w:tab w:val="left" w:pos="450"/>
          <w:tab w:val="left" w:pos="990"/>
        </w:tabs>
        <w:spacing w:after="0" w:line="240" w:lineRule="auto"/>
        <w:ind w:firstLine="284"/>
        <w:jc w:val="both"/>
        <w:rPr>
          <w:rFonts w:ascii="Garamond" w:eastAsia="Times New Roman" w:hAnsi="Garamond" w:cs="Times New Roman"/>
          <w:sz w:val="24"/>
          <w:szCs w:val="24"/>
        </w:rPr>
      </w:pPr>
    </w:p>
    <w:p w14:paraId="089AB76F" w14:textId="3622C795" w:rsidR="000A6650" w:rsidRPr="00F7280F" w:rsidRDefault="00252BA3" w:rsidP="0060475F">
      <w:pPr>
        <w:tabs>
          <w:tab w:val="left" w:pos="360"/>
          <w:tab w:val="left" w:pos="450"/>
          <w:tab w:val="left" w:pos="990"/>
        </w:tabs>
        <w:spacing w:after="0" w:line="240" w:lineRule="auto"/>
        <w:jc w:val="center"/>
        <w:rPr>
          <w:rFonts w:ascii="Garamond" w:eastAsia="Times New Roman" w:hAnsi="Garamond" w:cs="Times New Roman"/>
          <w:sz w:val="24"/>
          <w:szCs w:val="24"/>
        </w:rPr>
      </w:pPr>
      <w:r w:rsidRPr="00F7280F">
        <w:rPr>
          <w:rFonts w:ascii="Garamond" w:hAnsi="Garamond"/>
          <w:sz w:val="24"/>
          <w:szCs w:val="24"/>
          <w:lang w:eastAsia="sq-AL"/>
        </w:rPr>
        <w:lastRenderedPageBreak/>
        <w:drawing>
          <wp:inline distT="0" distB="0" distL="0" distR="0" wp14:anchorId="6F4F7BE3" wp14:editId="5750AEB9">
            <wp:extent cx="5943176" cy="8048625"/>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4233" cy="8050057"/>
                    </a:xfrm>
                    <a:prstGeom prst="rect">
                      <a:avLst/>
                    </a:prstGeom>
                    <a:noFill/>
                    <a:ln>
                      <a:noFill/>
                    </a:ln>
                  </pic:spPr>
                </pic:pic>
              </a:graphicData>
            </a:graphic>
          </wp:inline>
        </w:drawing>
      </w:r>
    </w:p>
    <w:p w14:paraId="327BC7F6"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51B2E967"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57B107BB"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3D827FAE" w14:textId="47D741DE" w:rsidR="000A6650" w:rsidRPr="00F7280F" w:rsidRDefault="00252BA3" w:rsidP="0060475F">
      <w:pPr>
        <w:tabs>
          <w:tab w:val="left" w:pos="360"/>
          <w:tab w:val="left" w:pos="450"/>
          <w:tab w:val="left" w:pos="990"/>
        </w:tabs>
        <w:spacing w:after="0" w:line="240" w:lineRule="auto"/>
        <w:jc w:val="center"/>
        <w:rPr>
          <w:rFonts w:ascii="Garamond" w:eastAsia="Times New Roman" w:hAnsi="Garamond" w:cs="Times New Roman"/>
          <w:sz w:val="24"/>
          <w:szCs w:val="24"/>
        </w:rPr>
      </w:pPr>
      <w:r w:rsidRPr="00F7280F">
        <w:rPr>
          <w:rFonts w:ascii="Garamond" w:hAnsi="Garamond"/>
          <w:sz w:val="24"/>
          <w:szCs w:val="24"/>
          <w:lang w:eastAsia="sq-AL"/>
        </w:rPr>
        <w:lastRenderedPageBreak/>
        <w:drawing>
          <wp:inline distT="0" distB="0" distL="0" distR="0" wp14:anchorId="2806C8E7" wp14:editId="275604EF">
            <wp:extent cx="5943176" cy="79914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4655" cy="7993464"/>
                    </a:xfrm>
                    <a:prstGeom prst="rect">
                      <a:avLst/>
                    </a:prstGeom>
                    <a:noFill/>
                    <a:ln>
                      <a:noFill/>
                    </a:ln>
                  </pic:spPr>
                </pic:pic>
              </a:graphicData>
            </a:graphic>
          </wp:inline>
        </w:drawing>
      </w:r>
    </w:p>
    <w:p w14:paraId="5268FB85"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2085F7D5"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4E816A0A" w14:textId="22E1D3DA" w:rsidR="000A6650" w:rsidRPr="00F7280F" w:rsidRDefault="00252BA3" w:rsidP="0060475F">
      <w:pPr>
        <w:tabs>
          <w:tab w:val="left" w:pos="360"/>
          <w:tab w:val="left" w:pos="450"/>
          <w:tab w:val="left" w:pos="990"/>
        </w:tabs>
        <w:spacing w:after="0" w:line="240" w:lineRule="auto"/>
        <w:jc w:val="center"/>
        <w:rPr>
          <w:rFonts w:ascii="Garamond" w:eastAsia="Times New Roman" w:hAnsi="Garamond" w:cs="Times New Roman"/>
          <w:sz w:val="24"/>
          <w:szCs w:val="24"/>
        </w:rPr>
      </w:pPr>
      <w:r w:rsidRPr="00F7280F">
        <w:rPr>
          <w:rFonts w:ascii="Garamond" w:hAnsi="Garamond"/>
          <w:sz w:val="24"/>
          <w:szCs w:val="24"/>
          <w:lang w:eastAsia="sq-AL"/>
        </w:rPr>
        <w:lastRenderedPageBreak/>
        <w:drawing>
          <wp:inline distT="0" distB="0" distL="0" distR="0" wp14:anchorId="4C8911F5" wp14:editId="4182D3F2">
            <wp:extent cx="5942965" cy="8039100"/>
            <wp:effectExtent l="0" t="0" r="63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51014" cy="8049988"/>
                    </a:xfrm>
                    <a:prstGeom prst="rect">
                      <a:avLst/>
                    </a:prstGeom>
                    <a:noFill/>
                    <a:ln>
                      <a:noFill/>
                    </a:ln>
                  </pic:spPr>
                </pic:pic>
              </a:graphicData>
            </a:graphic>
          </wp:inline>
        </w:drawing>
      </w:r>
    </w:p>
    <w:p w14:paraId="55CDDC4C"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55892135"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08CBC0AE" w14:textId="77777777" w:rsidR="000A6650" w:rsidRPr="00F7280F" w:rsidRDefault="000A6650" w:rsidP="0060475F">
      <w:pPr>
        <w:tabs>
          <w:tab w:val="left" w:pos="360"/>
          <w:tab w:val="left" w:pos="450"/>
          <w:tab w:val="left" w:pos="990"/>
        </w:tabs>
        <w:spacing w:after="0" w:line="240" w:lineRule="auto"/>
        <w:jc w:val="center"/>
        <w:rPr>
          <w:rFonts w:ascii="Garamond" w:eastAsia="Times New Roman" w:hAnsi="Garamond" w:cs="Times New Roman"/>
          <w:sz w:val="24"/>
          <w:szCs w:val="24"/>
        </w:rPr>
      </w:pPr>
    </w:p>
    <w:p w14:paraId="0BAB7F33" w14:textId="154FAC71" w:rsidR="000A6650" w:rsidRPr="00F7280F" w:rsidRDefault="00252BA3" w:rsidP="0060475F">
      <w:pPr>
        <w:tabs>
          <w:tab w:val="left" w:pos="360"/>
          <w:tab w:val="left" w:pos="450"/>
          <w:tab w:val="left" w:pos="990"/>
        </w:tabs>
        <w:spacing w:after="0" w:line="240" w:lineRule="auto"/>
        <w:jc w:val="center"/>
        <w:rPr>
          <w:rFonts w:ascii="Garamond" w:eastAsia="Times New Roman" w:hAnsi="Garamond" w:cs="Times New Roman"/>
          <w:sz w:val="24"/>
          <w:szCs w:val="24"/>
        </w:rPr>
      </w:pPr>
      <w:r w:rsidRPr="00F7280F">
        <w:rPr>
          <w:rFonts w:ascii="Garamond" w:hAnsi="Garamond"/>
          <w:sz w:val="24"/>
          <w:szCs w:val="24"/>
          <w:lang w:eastAsia="sq-AL"/>
        </w:rPr>
        <w:lastRenderedPageBreak/>
        <w:drawing>
          <wp:inline distT="0" distB="0" distL="0" distR="0" wp14:anchorId="2C9737A1" wp14:editId="403DE764">
            <wp:extent cx="5942965" cy="8086725"/>
            <wp:effectExtent l="0" t="0" r="63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5952" cy="8090790"/>
                    </a:xfrm>
                    <a:prstGeom prst="rect">
                      <a:avLst/>
                    </a:prstGeom>
                    <a:noFill/>
                    <a:ln>
                      <a:noFill/>
                    </a:ln>
                  </pic:spPr>
                </pic:pic>
              </a:graphicData>
            </a:graphic>
          </wp:inline>
        </w:drawing>
      </w:r>
    </w:p>
    <w:p w14:paraId="615F5474" w14:textId="77777777" w:rsidR="000034BC" w:rsidRPr="00F7280F" w:rsidRDefault="000034BC" w:rsidP="0060475F">
      <w:pPr>
        <w:pStyle w:val="CommentText"/>
        <w:jc w:val="center"/>
        <w:rPr>
          <w:rFonts w:ascii="Garamond" w:hAnsi="Garamond"/>
          <w:sz w:val="24"/>
          <w:szCs w:val="24"/>
        </w:rPr>
      </w:pPr>
    </w:p>
    <w:p w14:paraId="55037AF9" w14:textId="77777777" w:rsidR="003B6F19" w:rsidRPr="00F7280F" w:rsidRDefault="003B6F19" w:rsidP="0060475F">
      <w:pPr>
        <w:spacing w:after="0" w:line="240" w:lineRule="auto"/>
        <w:jc w:val="center"/>
        <w:rPr>
          <w:rFonts w:ascii="Garamond" w:hAnsi="Garamond" w:cs="Times New Roman"/>
          <w:sz w:val="24"/>
          <w:szCs w:val="24"/>
        </w:rPr>
      </w:pPr>
    </w:p>
    <w:p w14:paraId="400A0032" w14:textId="76D9FAB2" w:rsidR="00C2328F" w:rsidRPr="00F7280F" w:rsidRDefault="00252BA3" w:rsidP="0060475F">
      <w:pPr>
        <w:spacing w:after="0" w:line="240" w:lineRule="auto"/>
        <w:jc w:val="center"/>
        <w:rPr>
          <w:rFonts w:ascii="Garamond" w:hAnsi="Garamond" w:cs="Times New Roman"/>
          <w:sz w:val="24"/>
          <w:szCs w:val="24"/>
        </w:rPr>
      </w:pPr>
      <w:r w:rsidRPr="00F7280F">
        <w:rPr>
          <w:rFonts w:ascii="Garamond" w:hAnsi="Garamond"/>
          <w:sz w:val="24"/>
          <w:szCs w:val="24"/>
          <w:lang w:eastAsia="sq-AL"/>
        </w:rPr>
        <w:lastRenderedPageBreak/>
        <w:drawing>
          <wp:inline distT="0" distB="0" distL="0" distR="0" wp14:anchorId="5EB5F7DB" wp14:editId="05F26E45">
            <wp:extent cx="5943176" cy="8039100"/>
            <wp:effectExtent l="0" t="0" r="63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444" cy="8040815"/>
                    </a:xfrm>
                    <a:prstGeom prst="rect">
                      <a:avLst/>
                    </a:prstGeom>
                    <a:noFill/>
                    <a:ln>
                      <a:noFill/>
                    </a:ln>
                  </pic:spPr>
                </pic:pic>
              </a:graphicData>
            </a:graphic>
          </wp:inline>
        </w:drawing>
      </w:r>
    </w:p>
    <w:p w14:paraId="23737B59" w14:textId="7DF65F08" w:rsidR="00252BA3" w:rsidRPr="00F7280F" w:rsidRDefault="00252BA3" w:rsidP="0060475F">
      <w:pPr>
        <w:spacing w:after="0" w:line="240" w:lineRule="auto"/>
        <w:jc w:val="center"/>
        <w:rPr>
          <w:rFonts w:ascii="Garamond" w:hAnsi="Garamond" w:cs="Times New Roman"/>
          <w:sz w:val="24"/>
          <w:szCs w:val="24"/>
        </w:rPr>
      </w:pPr>
      <w:r w:rsidRPr="00F7280F">
        <w:rPr>
          <w:rFonts w:ascii="Garamond" w:hAnsi="Garamond"/>
          <w:sz w:val="24"/>
          <w:szCs w:val="24"/>
          <w:lang w:eastAsia="sq-AL"/>
        </w:rPr>
        <w:lastRenderedPageBreak/>
        <w:drawing>
          <wp:inline distT="0" distB="0" distL="0" distR="0" wp14:anchorId="6CE2A998" wp14:editId="4E9127ED">
            <wp:extent cx="5943176" cy="7972425"/>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5288" cy="7975258"/>
                    </a:xfrm>
                    <a:prstGeom prst="rect">
                      <a:avLst/>
                    </a:prstGeom>
                    <a:noFill/>
                    <a:ln>
                      <a:noFill/>
                    </a:ln>
                  </pic:spPr>
                </pic:pic>
              </a:graphicData>
            </a:graphic>
          </wp:inline>
        </w:drawing>
      </w:r>
    </w:p>
    <w:p w14:paraId="6FA8A566" w14:textId="44010E50" w:rsidR="00252BA3" w:rsidRPr="00F7280F" w:rsidRDefault="00252BA3" w:rsidP="0060475F">
      <w:pPr>
        <w:spacing w:after="0" w:line="240" w:lineRule="auto"/>
        <w:jc w:val="center"/>
        <w:rPr>
          <w:rFonts w:ascii="Garamond" w:hAnsi="Garamond" w:cs="Times New Roman"/>
          <w:sz w:val="24"/>
          <w:szCs w:val="24"/>
        </w:rPr>
      </w:pPr>
    </w:p>
    <w:p w14:paraId="778EE4BB" w14:textId="3FE9D9B0" w:rsidR="00252BA3" w:rsidRPr="00F7280F" w:rsidRDefault="00252BA3" w:rsidP="0060475F">
      <w:pPr>
        <w:spacing w:after="0" w:line="240" w:lineRule="auto"/>
        <w:jc w:val="center"/>
        <w:rPr>
          <w:rFonts w:ascii="Garamond" w:hAnsi="Garamond" w:cs="Times New Roman"/>
          <w:sz w:val="24"/>
          <w:szCs w:val="24"/>
        </w:rPr>
      </w:pPr>
    </w:p>
    <w:p w14:paraId="0951033E" w14:textId="03F60DE3" w:rsidR="00252BA3" w:rsidRPr="00F7280F" w:rsidRDefault="00252BA3" w:rsidP="0060475F">
      <w:pPr>
        <w:spacing w:after="0" w:line="240" w:lineRule="auto"/>
        <w:jc w:val="center"/>
        <w:rPr>
          <w:rFonts w:ascii="Garamond" w:hAnsi="Garamond" w:cs="Times New Roman"/>
          <w:sz w:val="24"/>
          <w:szCs w:val="24"/>
        </w:rPr>
      </w:pPr>
      <w:r w:rsidRPr="00F7280F">
        <w:rPr>
          <w:rFonts w:ascii="Garamond" w:hAnsi="Garamond"/>
          <w:sz w:val="24"/>
          <w:szCs w:val="24"/>
          <w:lang w:eastAsia="sq-AL"/>
        </w:rPr>
        <w:lastRenderedPageBreak/>
        <w:drawing>
          <wp:inline distT="0" distB="0" distL="0" distR="0" wp14:anchorId="117F5EF6" wp14:editId="5E6ABE42">
            <wp:extent cx="5943333" cy="6362700"/>
            <wp:effectExtent l="0" t="0" r="63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5440" cy="6364956"/>
                    </a:xfrm>
                    <a:prstGeom prst="rect">
                      <a:avLst/>
                    </a:prstGeom>
                    <a:noFill/>
                    <a:ln>
                      <a:noFill/>
                    </a:ln>
                  </pic:spPr>
                </pic:pic>
              </a:graphicData>
            </a:graphic>
          </wp:inline>
        </w:drawing>
      </w:r>
    </w:p>
    <w:sectPr w:rsidR="00252BA3" w:rsidRPr="00F7280F" w:rsidSect="008865C1">
      <w:footerReference w:type="default" r:id="rId21"/>
      <w:pgSz w:w="12240" w:h="15840"/>
      <w:pgMar w:top="810" w:right="1440" w:bottom="1440" w:left="1440" w:header="708" w:footer="4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AEBA9D" w14:textId="77777777" w:rsidR="00F7280F" w:rsidRDefault="00F7280F">
      <w:pPr>
        <w:spacing w:after="0" w:line="240" w:lineRule="auto"/>
      </w:pPr>
      <w:r>
        <w:separator/>
      </w:r>
    </w:p>
  </w:endnote>
  <w:endnote w:type="continuationSeparator" w:id="0">
    <w:p w14:paraId="5D6C49F1" w14:textId="77777777" w:rsidR="00F7280F" w:rsidRDefault="00F7280F">
      <w:pPr>
        <w:spacing w:after="0" w:line="240" w:lineRule="auto"/>
      </w:pPr>
      <w:r>
        <w:continuationSeparator/>
      </w:r>
    </w:p>
  </w:endnote>
  <w:endnote w:type="continuationNotice" w:id="1">
    <w:p w14:paraId="05D57ED8" w14:textId="77777777" w:rsidR="00F7280F" w:rsidRDefault="00F728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1C19C" w14:textId="77777777" w:rsidR="00F7280F" w:rsidRPr="00F61E26" w:rsidRDefault="00F7280F" w:rsidP="00F61E26">
    <w:pPr>
      <w:tabs>
        <w:tab w:val="center" w:pos="4680"/>
        <w:tab w:val="right" w:pos="9360"/>
      </w:tabs>
      <w:spacing w:after="0" w:line="240" w:lineRule="auto"/>
      <w:jc w:val="center"/>
      <w:rPr>
        <w:rFonts w:ascii="Times New Roman" w:hAnsi="Times New Roman" w:cs="Times New Roman"/>
        <w:sz w:val="20"/>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59F68" w14:textId="77777777" w:rsidR="00F7280F" w:rsidRDefault="00F7280F">
      <w:pPr>
        <w:spacing w:after="0" w:line="240" w:lineRule="auto"/>
      </w:pPr>
      <w:r>
        <w:separator/>
      </w:r>
    </w:p>
  </w:footnote>
  <w:footnote w:type="continuationSeparator" w:id="0">
    <w:p w14:paraId="10B7FEF9" w14:textId="77777777" w:rsidR="00F7280F" w:rsidRDefault="00F7280F">
      <w:pPr>
        <w:spacing w:after="0" w:line="240" w:lineRule="auto"/>
      </w:pPr>
      <w:r>
        <w:continuationSeparator/>
      </w:r>
    </w:p>
  </w:footnote>
  <w:footnote w:type="continuationNotice" w:id="1">
    <w:p w14:paraId="6217C401" w14:textId="77777777" w:rsidR="00F7280F" w:rsidRDefault="00F728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hybridMultilevel"/>
    <w:tmpl w:val="AE0C72F6"/>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1583F1A"/>
    <w:multiLevelType w:val="hybridMultilevel"/>
    <w:tmpl w:val="F35006E6"/>
    <w:lvl w:ilvl="0" w:tplc="BD2E2F90">
      <w:start w:val="1"/>
      <w:numFmt w:val="bullet"/>
      <w:lvlText w:val=""/>
      <w:lvlJc w:val="left"/>
      <w:pPr>
        <w:ind w:left="360" w:hanging="360"/>
      </w:pPr>
      <w:rPr>
        <w:rFonts w:ascii="Symbol" w:hAnsi="Symbol"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2" w15:restartNumberingAfterBreak="0">
    <w:nsid w:val="079A469C"/>
    <w:multiLevelType w:val="hybridMultilevel"/>
    <w:tmpl w:val="3C8AFDB2"/>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3" w15:restartNumberingAfterBreak="0">
    <w:nsid w:val="0AAB7ED8"/>
    <w:multiLevelType w:val="hybridMultilevel"/>
    <w:tmpl w:val="AE0C72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3F30B52"/>
    <w:multiLevelType w:val="hybridMultilevel"/>
    <w:tmpl w:val="F9ACC364"/>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5" w15:restartNumberingAfterBreak="0">
    <w:nsid w:val="20B902C9"/>
    <w:multiLevelType w:val="hybridMultilevel"/>
    <w:tmpl w:val="F98888C8"/>
    <w:lvl w:ilvl="0" w:tplc="AD9CD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15198"/>
    <w:multiLevelType w:val="hybridMultilevel"/>
    <w:tmpl w:val="8D9E78A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6026752"/>
    <w:multiLevelType w:val="hybridMultilevel"/>
    <w:tmpl w:val="EF8428C2"/>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8" w15:restartNumberingAfterBreak="0">
    <w:nsid w:val="26B1122D"/>
    <w:multiLevelType w:val="hybridMultilevel"/>
    <w:tmpl w:val="54525A9C"/>
    <w:lvl w:ilvl="0" w:tplc="7BBE87CC">
      <w:start w:val="1"/>
      <w:numFmt w:val="bullet"/>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4D1E19"/>
    <w:multiLevelType w:val="hybridMultilevel"/>
    <w:tmpl w:val="C9D81B3A"/>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0" w15:restartNumberingAfterBreak="0">
    <w:nsid w:val="4565000E"/>
    <w:multiLevelType w:val="hybridMultilevel"/>
    <w:tmpl w:val="8BA8237E"/>
    <w:lvl w:ilvl="0" w:tplc="BD2E2F90">
      <w:start w:val="1"/>
      <w:numFmt w:val="bullet"/>
      <w:lvlText w:val=""/>
      <w:lvlJc w:val="left"/>
      <w:pPr>
        <w:ind w:left="360" w:hanging="360"/>
      </w:pPr>
      <w:rPr>
        <w:rFonts w:ascii="Symbol" w:hAnsi="Symbol" w:hint="default"/>
        <w:sz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F523C5"/>
    <w:multiLevelType w:val="hybridMultilevel"/>
    <w:tmpl w:val="1E0870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07B0A"/>
    <w:multiLevelType w:val="hybridMultilevel"/>
    <w:tmpl w:val="202CBF7A"/>
    <w:lvl w:ilvl="0" w:tplc="75C6C152">
      <w:numFmt w:val="bullet"/>
      <w:lvlText w:val="-"/>
      <w:lvlJc w:val="left"/>
      <w:pPr>
        <w:ind w:left="360" w:hanging="360"/>
      </w:pPr>
      <w:rPr>
        <w:rFonts w:ascii="Times New Roman" w:eastAsia="Times New Roman" w:hAnsi="Times New Roman" w:cs="Times New Roman" w:hint="default"/>
        <w:sz w:val="18"/>
      </w:rPr>
    </w:lvl>
    <w:lvl w:ilvl="1" w:tplc="041C0003" w:tentative="1">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abstractNum w:abstractNumId="13" w15:restartNumberingAfterBreak="0">
    <w:nsid w:val="5B2B3713"/>
    <w:multiLevelType w:val="hybridMultilevel"/>
    <w:tmpl w:val="0FA8F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B335239"/>
    <w:multiLevelType w:val="multilevel"/>
    <w:tmpl w:val="11D43930"/>
    <w:lvl w:ilvl="0">
      <w:numFmt w:val="bullet"/>
      <w:lvlText w:val="-"/>
      <w:lvlJc w:val="left"/>
      <w:pPr>
        <w:tabs>
          <w:tab w:val="num" w:pos="360"/>
        </w:tabs>
        <w:ind w:left="360" w:hanging="360"/>
      </w:pPr>
      <w:rPr>
        <w:rFonts w:ascii="Times New Roman" w:eastAsia="Times New Roman" w:hAnsi="Times New Roman" w:cs="Times New Roman" w:hint="default"/>
        <w:sz w:val="18"/>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ACB1E91"/>
    <w:multiLevelType w:val="hybridMultilevel"/>
    <w:tmpl w:val="B4C687BE"/>
    <w:lvl w:ilvl="0" w:tplc="75C6C152">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7DB54ACB"/>
    <w:multiLevelType w:val="multilevel"/>
    <w:tmpl w:val="3F760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5"/>
  </w:num>
  <w:num w:numId="4">
    <w:abstractNumId w:val="1"/>
  </w:num>
  <w:num w:numId="5">
    <w:abstractNumId w:val="6"/>
  </w:num>
  <w:num w:numId="6">
    <w:abstractNumId w:val="13"/>
  </w:num>
  <w:num w:numId="7">
    <w:abstractNumId w:val="10"/>
  </w:num>
  <w:num w:numId="8">
    <w:abstractNumId w:val="3"/>
  </w:num>
  <w:num w:numId="9">
    <w:abstractNumId w:val="7"/>
  </w:num>
  <w:num w:numId="10">
    <w:abstractNumId w:val="2"/>
  </w:num>
  <w:num w:numId="11">
    <w:abstractNumId w:val="4"/>
  </w:num>
  <w:num w:numId="12">
    <w:abstractNumId w:val="12"/>
  </w:num>
  <w:num w:numId="13">
    <w:abstractNumId w:val="9"/>
  </w:num>
  <w:num w:numId="14">
    <w:abstractNumId w:val="15"/>
  </w:num>
  <w:num w:numId="15">
    <w:abstractNumId w:val="16"/>
  </w:num>
  <w:num w:numId="16">
    <w:abstractNumId w:val="14"/>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742"/>
    <w:rsid w:val="000034BC"/>
    <w:rsid w:val="000905AA"/>
    <w:rsid w:val="000A6650"/>
    <w:rsid w:val="000C4C92"/>
    <w:rsid w:val="00130742"/>
    <w:rsid w:val="0014448D"/>
    <w:rsid w:val="001650E3"/>
    <w:rsid w:val="00180419"/>
    <w:rsid w:val="001D5E93"/>
    <w:rsid w:val="001D7060"/>
    <w:rsid w:val="002176E3"/>
    <w:rsid w:val="002212B0"/>
    <w:rsid w:val="00230F47"/>
    <w:rsid w:val="00252BA3"/>
    <w:rsid w:val="00263689"/>
    <w:rsid w:val="00287FF9"/>
    <w:rsid w:val="002A4E1C"/>
    <w:rsid w:val="002C1BF2"/>
    <w:rsid w:val="002C2400"/>
    <w:rsid w:val="002E2506"/>
    <w:rsid w:val="00335D3C"/>
    <w:rsid w:val="00354F0A"/>
    <w:rsid w:val="00355003"/>
    <w:rsid w:val="003B6F19"/>
    <w:rsid w:val="003B7B55"/>
    <w:rsid w:val="003E3DDB"/>
    <w:rsid w:val="003E4DC9"/>
    <w:rsid w:val="004245F8"/>
    <w:rsid w:val="0042765E"/>
    <w:rsid w:val="0046768F"/>
    <w:rsid w:val="00475217"/>
    <w:rsid w:val="004A0002"/>
    <w:rsid w:val="004B7936"/>
    <w:rsid w:val="004E3F56"/>
    <w:rsid w:val="00541144"/>
    <w:rsid w:val="00565FA1"/>
    <w:rsid w:val="00566C28"/>
    <w:rsid w:val="00573C2F"/>
    <w:rsid w:val="005A72F3"/>
    <w:rsid w:val="005E55EF"/>
    <w:rsid w:val="005F70FA"/>
    <w:rsid w:val="0060475F"/>
    <w:rsid w:val="00621B72"/>
    <w:rsid w:val="00630CF5"/>
    <w:rsid w:val="006322A7"/>
    <w:rsid w:val="00674BAD"/>
    <w:rsid w:val="00686EE1"/>
    <w:rsid w:val="00692C9C"/>
    <w:rsid w:val="006C44F7"/>
    <w:rsid w:val="006E752D"/>
    <w:rsid w:val="006F2574"/>
    <w:rsid w:val="00727841"/>
    <w:rsid w:val="00756D29"/>
    <w:rsid w:val="007606FE"/>
    <w:rsid w:val="0078407D"/>
    <w:rsid w:val="007C1C68"/>
    <w:rsid w:val="007C5FA5"/>
    <w:rsid w:val="007E5417"/>
    <w:rsid w:val="007F27C9"/>
    <w:rsid w:val="008334F1"/>
    <w:rsid w:val="00853F17"/>
    <w:rsid w:val="008865C1"/>
    <w:rsid w:val="008B2648"/>
    <w:rsid w:val="008B6AA3"/>
    <w:rsid w:val="008B74C0"/>
    <w:rsid w:val="008E3895"/>
    <w:rsid w:val="00924E5B"/>
    <w:rsid w:val="009840D7"/>
    <w:rsid w:val="00992903"/>
    <w:rsid w:val="00A00C72"/>
    <w:rsid w:val="00A036FA"/>
    <w:rsid w:val="00A213FD"/>
    <w:rsid w:val="00A37FC8"/>
    <w:rsid w:val="00A57352"/>
    <w:rsid w:val="00A6290C"/>
    <w:rsid w:val="00AB79E0"/>
    <w:rsid w:val="00AE6EE8"/>
    <w:rsid w:val="00AF08C1"/>
    <w:rsid w:val="00B12005"/>
    <w:rsid w:val="00B201CC"/>
    <w:rsid w:val="00B20F85"/>
    <w:rsid w:val="00B4388B"/>
    <w:rsid w:val="00B61EAE"/>
    <w:rsid w:val="00B93E88"/>
    <w:rsid w:val="00BB4CD6"/>
    <w:rsid w:val="00BE1E98"/>
    <w:rsid w:val="00C16588"/>
    <w:rsid w:val="00C2328F"/>
    <w:rsid w:val="00C5122F"/>
    <w:rsid w:val="00C5437F"/>
    <w:rsid w:val="00C544CE"/>
    <w:rsid w:val="00C62219"/>
    <w:rsid w:val="00C71140"/>
    <w:rsid w:val="00C7138A"/>
    <w:rsid w:val="00C90ED4"/>
    <w:rsid w:val="00D46443"/>
    <w:rsid w:val="00D92D68"/>
    <w:rsid w:val="00D945D5"/>
    <w:rsid w:val="00DA1868"/>
    <w:rsid w:val="00DC0E96"/>
    <w:rsid w:val="00DC6374"/>
    <w:rsid w:val="00DC7EB1"/>
    <w:rsid w:val="00DD03A8"/>
    <w:rsid w:val="00DE16A3"/>
    <w:rsid w:val="00E126B8"/>
    <w:rsid w:val="00E1609B"/>
    <w:rsid w:val="00E80782"/>
    <w:rsid w:val="00E85CAF"/>
    <w:rsid w:val="00EA3C04"/>
    <w:rsid w:val="00EB095A"/>
    <w:rsid w:val="00EC6A00"/>
    <w:rsid w:val="00ED3EF1"/>
    <w:rsid w:val="00ED3FF1"/>
    <w:rsid w:val="00EF1423"/>
    <w:rsid w:val="00F10BB8"/>
    <w:rsid w:val="00F210AA"/>
    <w:rsid w:val="00F3313E"/>
    <w:rsid w:val="00F55B23"/>
    <w:rsid w:val="00F61E26"/>
    <w:rsid w:val="00F7280F"/>
    <w:rsid w:val="00FD5FA7"/>
    <w:rsid w:val="00FE4093"/>
    <w:rsid w:val="00FE79D9"/>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47B3DB"/>
  <w15:chartTrackingRefBased/>
  <w15:docId w15:val="{E2B7DA59-ACE8-4244-BC37-E8E2BB71D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30742"/>
    <w:rPr>
      <w:rFonts w:ascii="Calibri" w:eastAsia="Calibri" w:hAnsi="Calibri" w:cs="SimSu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307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0742"/>
    <w:rPr>
      <w:rFonts w:ascii="Calibri" w:eastAsia="Calibri" w:hAnsi="Calibri" w:cs="SimSun"/>
    </w:rPr>
  </w:style>
  <w:style w:type="character" w:styleId="Hyperlink">
    <w:name w:val="Hyperlink"/>
    <w:basedOn w:val="DefaultParagraphFont"/>
    <w:uiPriority w:val="99"/>
    <w:rsid w:val="00130742"/>
    <w:rPr>
      <w:color w:val="0563C1"/>
      <w:u w:val="single"/>
    </w:rPr>
  </w:style>
  <w:style w:type="paragraph" w:styleId="ListParagraph">
    <w:name w:val="List Paragraph"/>
    <w:basedOn w:val="Normal"/>
    <w:uiPriority w:val="34"/>
    <w:qFormat/>
    <w:rsid w:val="00130742"/>
    <w:pPr>
      <w:ind w:left="720"/>
      <w:contextualSpacing/>
    </w:pPr>
  </w:style>
  <w:style w:type="paragraph" w:styleId="CommentText">
    <w:name w:val="annotation text"/>
    <w:basedOn w:val="Normal"/>
    <w:link w:val="CommentTextChar"/>
    <w:uiPriority w:val="99"/>
    <w:unhideWhenUsed/>
    <w:rsid w:val="00130742"/>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30742"/>
    <w:rPr>
      <w:rFonts w:ascii="Times New Roman" w:eastAsia="Times New Roman" w:hAnsi="Times New Roman" w:cs="Times New Roman"/>
      <w:sz w:val="20"/>
      <w:szCs w:val="20"/>
    </w:rPr>
  </w:style>
  <w:style w:type="paragraph" w:customStyle="1" w:styleId="Default">
    <w:name w:val="Default"/>
    <w:rsid w:val="00130742"/>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odyText">
    <w:name w:val="Body Text"/>
    <w:basedOn w:val="Normal"/>
    <w:link w:val="BodyTextChar"/>
    <w:unhideWhenUsed/>
    <w:rsid w:val="007606FE"/>
    <w:pPr>
      <w:spacing w:after="120" w:line="240" w:lineRule="auto"/>
    </w:pPr>
    <w:rPr>
      <w:rFonts w:ascii="Times New Roman" w:eastAsia="Times New Roman" w:hAnsi="Times New Roman" w:cs="Times New Roman"/>
      <w:sz w:val="20"/>
      <w:szCs w:val="20"/>
      <w:lang w:val="en-GB" w:eastAsia="x-none"/>
    </w:rPr>
  </w:style>
  <w:style w:type="character" w:customStyle="1" w:styleId="BodyTextChar">
    <w:name w:val="Body Text Char"/>
    <w:basedOn w:val="DefaultParagraphFont"/>
    <w:link w:val="BodyText"/>
    <w:rsid w:val="007606FE"/>
    <w:rPr>
      <w:rFonts w:ascii="Times New Roman" w:eastAsia="Times New Roman" w:hAnsi="Times New Roman" w:cs="Times New Roman"/>
      <w:sz w:val="20"/>
      <w:szCs w:val="20"/>
      <w:lang w:val="en-GB" w:eastAsia="x-none"/>
    </w:rPr>
  </w:style>
  <w:style w:type="character" w:styleId="Strong">
    <w:name w:val="Strong"/>
    <w:basedOn w:val="DefaultParagraphFont"/>
    <w:uiPriority w:val="22"/>
    <w:qFormat/>
    <w:rsid w:val="004A0002"/>
    <w:rPr>
      <w:b/>
      <w:bCs/>
    </w:rPr>
  </w:style>
  <w:style w:type="paragraph" w:styleId="NormalWeb">
    <w:name w:val="Normal (Web)"/>
    <w:basedOn w:val="Normal"/>
    <w:uiPriority w:val="99"/>
    <w:unhideWhenUsed/>
    <w:rsid w:val="00F10BB8"/>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F61E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1E26"/>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13552">
      <w:bodyDiv w:val="1"/>
      <w:marLeft w:val="0"/>
      <w:marRight w:val="0"/>
      <w:marTop w:val="0"/>
      <w:marBottom w:val="0"/>
      <w:divBdr>
        <w:top w:val="none" w:sz="0" w:space="0" w:color="auto"/>
        <w:left w:val="none" w:sz="0" w:space="0" w:color="auto"/>
        <w:bottom w:val="none" w:sz="0" w:space="0" w:color="auto"/>
        <w:right w:val="none" w:sz="0" w:space="0" w:color="auto"/>
      </w:divBdr>
    </w:div>
    <w:div w:id="1256860118">
      <w:bodyDiv w:val="1"/>
      <w:marLeft w:val="0"/>
      <w:marRight w:val="0"/>
      <w:marTop w:val="0"/>
      <w:marBottom w:val="0"/>
      <w:divBdr>
        <w:top w:val="none" w:sz="0" w:space="0" w:color="auto"/>
        <w:left w:val="none" w:sz="0" w:space="0" w:color="auto"/>
        <w:bottom w:val="none" w:sz="0" w:space="0" w:color="auto"/>
        <w:right w:val="none" w:sz="0" w:space="0" w:color="auto"/>
      </w:divBdr>
    </w:div>
    <w:div w:id="1359085712">
      <w:bodyDiv w:val="1"/>
      <w:marLeft w:val="0"/>
      <w:marRight w:val="0"/>
      <w:marTop w:val="0"/>
      <w:marBottom w:val="0"/>
      <w:divBdr>
        <w:top w:val="none" w:sz="0" w:space="0" w:color="auto"/>
        <w:left w:val="none" w:sz="0" w:space="0" w:color="auto"/>
        <w:bottom w:val="none" w:sz="0" w:space="0" w:color="auto"/>
        <w:right w:val="none" w:sz="0" w:space="0" w:color="auto"/>
      </w:divBdr>
      <w:divsChild>
        <w:div w:id="1100832720">
          <w:marLeft w:val="0"/>
          <w:marRight w:val="0"/>
          <w:marTop w:val="0"/>
          <w:marBottom w:val="0"/>
          <w:divBdr>
            <w:top w:val="none" w:sz="0" w:space="0" w:color="auto"/>
            <w:left w:val="none" w:sz="0" w:space="0" w:color="auto"/>
            <w:bottom w:val="none" w:sz="0" w:space="0" w:color="auto"/>
            <w:right w:val="none" w:sz="0" w:space="0" w:color="auto"/>
          </w:divBdr>
          <w:divsChild>
            <w:div w:id="724258339">
              <w:marLeft w:val="0"/>
              <w:marRight w:val="0"/>
              <w:marTop w:val="0"/>
              <w:marBottom w:val="0"/>
              <w:divBdr>
                <w:top w:val="none" w:sz="0" w:space="0" w:color="auto"/>
                <w:left w:val="none" w:sz="0" w:space="0" w:color="auto"/>
                <w:bottom w:val="none" w:sz="0" w:space="0" w:color="auto"/>
                <w:right w:val="none" w:sz="0" w:space="0" w:color="auto"/>
              </w:divBdr>
              <w:divsChild>
                <w:div w:id="500774023">
                  <w:marLeft w:val="0"/>
                  <w:marRight w:val="0"/>
                  <w:marTop w:val="0"/>
                  <w:marBottom w:val="0"/>
                  <w:divBdr>
                    <w:top w:val="none" w:sz="0" w:space="0" w:color="auto"/>
                    <w:left w:val="none" w:sz="0" w:space="0" w:color="auto"/>
                    <w:bottom w:val="none" w:sz="0" w:space="0" w:color="auto"/>
                    <w:right w:val="none" w:sz="0" w:space="0" w:color="auto"/>
                  </w:divBdr>
                  <w:divsChild>
                    <w:div w:id="1236664387">
                      <w:marLeft w:val="0"/>
                      <w:marRight w:val="0"/>
                      <w:marTop w:val="0"/>
                      <w:marBottom w:val="0"/>
                      <w:divBdr>
                        <w:top w:val="none" w:sz="0" w:space="0" w:color="auto"/>
                        <w:left w:val="none" w:sz="0" w:space="0" w:color="auto"/>
                        <w:bottom w:val="none" w:sz="0" w:space="0" w:color="auto"/>
                        <w:right w:val="none" w:sz="0" w:space="0" w:color="auto"/>
                      </w:divBdr>
                      <w:divsChild>
                        <w:div w:id="1761177686">
                          <w:marLeft w:val="0"/>
                          <w:marRight w:val="0"/>
                          <w:marTop w:val="0"/>
                          <w:marBottom w:val="0"/>
                          <w:divBdr>
                            <w:top w:val="none" w:sz="0" w:space="0" w:color="auto"/>
                            <w:left w:val="none" w:sz="0" w:space="0" w:color="auto"/>
                            <w:bottom w:val="none" w:sz="0" w:space="0" w:color="auto"/>
                            <w:right w:val="none" w:sz="0" w:space="0" w:color="auto"/>
                          </w:divBdr>
                          <w:divsChild>
                            <w:div w:id="39442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CAEE4193D9EA4963ADB51A5AE5C2E6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63</Nr_x002e__x0020_akti>
    <Data_x0020_e_x0020_Krijimit xmlns="0e656187-b300-4fb0-8bf4-3a50f872073c">2026-03-17T14:53:40Z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2026-03-13T00:00:00Z</Date_x0020_protokolli>
    <Titulli xmlns="0e656187-b300-4fb0-8bf4-3a50f872073c">Mbi llogaritjen e pagesave rregullatore për vitin 2026</Titulli>
    <Modifikuesi xmlns="0e656187-b300-4fb0-8bf4-3a50f872073c">keisina.zace</Modifikuesi>
    <Nr_x002e__x0020_prot_x0020_QBZ xmlns="0e656187-b300-4fb0-8bf4-3a50f872073c">541/3</Nr_x002e__x0020_prot_x0020_QBZ>
    <Data_x0020_e_x0020_Modifikimit xmlns="0e656187-b300-4fb0-8bf4-3a50f872073c">2026-03-18T09:36:02Z</Data_x0020_e_x0020_Modifikimit>
    <Dekretuar xmlns="0e656187-b300-4fb0-8bf4-3a50f872073c">false</Dekretuar>
    <Data xmlns="0e656187-b300-4fb0-8bf4-3a50f872073c">2026-02-26T00:00:00Z</Data>
    <Nr_x002e__x0020_protokolli_x0020_i_x0020_aktit xmlns="0e656187-b300-4fb0-8bf4-3a50f872073c">860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CAEE4193D9EA4963ADB51A5AE5C2E64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6082F5E-E52A-447B-B5CB-EC0CECE63B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7C2904A-19F3-446F-BD3B-DC5E59141CC3}">
  <ds:schemaRefs>
    <ds:schemaRef ds:uri="http://schemas.microsoft.com/office/2006/documentManagement/types"/>
    <ds:schemaRef ds:uri="http://www.w3.org/XML/1998/namespace"/>
    <ds:schemaRef ds:uri="http://purl.org/dc/dcmitype/"/>
    <ds:schemaRef ds:uri="http://schemas.microsoft.com/office/2006/metadata/properties"/>
    <ds:schemaRef ds:uri="http://purl.org/dc/elements/1.1/"/>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291FD902-845E-410D-93F8-59CE2A818023}">
  <ds:schemaRefs>
    <ds:schemaRef ds:uri="http://schemas.microsoft.com/sharepoint/v3/contenttype/forms"/>
  </ds:schemaRefs>
</ds:datastoreItem>
</file>

<file path=customXml/itemProps4.xml><?xml version="1.0" encoding="utf-8"?>
<ds:datastoreItem xmlns:ds="http://schemas.openxmlformats.org/officeDocument/2006/customXml" ds:itemID="{4930FF7E-3BD3-4581-A81A-8D4BFAA39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1C844C7-710B-4A68-9E0D-A06A067505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13</Pages>
  <Words>1885</Words>
  <Characters>10750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Mbi llogaritjen e pagesave rregullatore për vitin 2026</vt:lpstr>
    </vt:vector>
  </TitlesOfParts>
  <Company/>
  <LinksUpToDate>false</LinksUpToDate>
  <CharactersWithSpaces>12610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llogaritjen e pagesave rregullatore për vitin 2026</dc:title>
  <dc:creator>D.R.</dc:creator>
  <cp:lastModifiedBy>Alma Lisaku</cp:lastModifiedBy>
  <cp:revision>19</cp:revision>
  <cp:lastPrinted>2025-05-22T13:25:00Z</cp:lastPrinted>
  <dcterms:created xsi:type="dcterms:W3CDTF">2026-03-17T14:01:00Z</dcterms:created>
  <dcterms:modified xsi:type="dcterms:W3CDTF">2026-03-18T10:52:00Z</dcterms:modified>
</cp:coreProperties>
</file>