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EAEED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 w:cs="Garamond"/>
          <w:b/>
          <w:bCs/>
          <w:color w:val="000000"/>
          <w:szCs w:val="24"/>
        </w:rPr>
        <w:t>VENDIM</w:t>
      </w:r>
    </w:p>
    <w:p w14:paraId="083EAEEE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 w:cs="Garamond"/>
          <w:b/>
          <w:bCs/>
          <w:color w:val="000000"/>
          <w:szCs w:val="24"/>
        </w:rPr>
        <w:t>Nr. 89, datë 27.3.2026</w:t>
      </w:r>
    </w:p>
    <w:p w14:paraId="083EAEEF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083EAEF0" w14:textId="300B492C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 w:cs="Garamond"/>
          <w:b/>
          <w:bCs/>
          <w:color w:val="000000"/>
          <w:szCs w:val="24"/>
        </w:rPr>
        <w:t>MBI MIRATIMIN E RAPORTIT VJETOR TË ERE-</w:t>
      </w:r>
      <w:r w:rsidR="00034DDD">
        <w:rPr>
          <w:rFonts w:ascii="Garamond" w:hAnsi="Garamond" w:cs="Garamond"/>
          <w:b/>
          <w:bCs/>
          <w:color w:val="000000"/>
          <w:szCs w:val="24"/>
        </w:rPr>
        <w:t>s</w:t>
      </w:r>
      <w:r w:rsidRPr="00034DDD">
        <w:rPr>
          <w:rFonts w:ascii="Garamond" w:hAnsi="Garamond" w:cs="Garamond"/>
          <w:b/>
          <w:bCs/>
          <w:color w:val="000000"/>
          <w:szCs w:val="24"/>
        </w:rPr>
        <w:t>, “GJENDJA E SEKTORIT TË ENERGJISË DHE VEPRIMTARIA E ERE-</w:t>
      </w:r>
      <w:r w:rsidR="00034DDD">
        <w:rPr>
          <w:rFonts w:ascii="Garamond" w:hAnsi="Garamond" w:cs="Garamond"/>
          <w:b/>
          <w:bCs/>
          <w:color w:val="000000"/>
          <w:szCs w:val="24"/>
        </w:rPr>
        <w:t>s GJATË VITIT 2025”</w:t>
      </w:r>
      <w:bookmarkStart w:id="0" w:name="_GoBack"/>
      <w:bookmarkEnd w:id="0"/>
    </w:p>
    <w:p w14:paraId="083EAEF1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083EAEF2" w14:textId="7099D6D6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>Në zbatim të neneve 16 dhe 25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ligjit nr. 43/2015 </w:t>
      </w:r>
      <w:r w:rsidRPr="00034DDD">
        <w:rPr>
          <w:rFonts w:ascii="Garamond" w:hAnsi="Garamond" w:cs="Garamond"/>
          <w:iCs/>
          <w:color w:val="000000"/>
          <w:szCs w:val="24"/>
        </w:rPr>
        <w:t>“Për sektorin e energjisë elektrike”</w:t>
      </w:r>
      <w:r w:rsidR="00034DDD">
        <w:rPr>
          <w:rFonts w:ascii="Garamond" w:hAnsi="Garamond" w:cs="Garamond"/>
          <w:iCs/>
          <w:color w:val="000000"/>
          <w:szCs w:val="24"/>
        </w:rPr>
        <w:t>,</w:t>
      </w:r>
      <w:r w:rsidRPr="00034DDD">
        <w:rPr>
          <w:rFonts w:ascii="Garamond" w:hAnsi="Garamond" w:cs="Garamond"/>
          <w:iCs/>
          <w:color w:val="000000"/>
          <w:szCs w:val="24"/>
        </w:rPr>
        <w:t xml:space="preserve">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Pr="00034DDD">
        <w:rPr>
          <w:rFonts w:ascii="Garamond" w:hAnsi="Garamond" w:cs="Garamond"/>
          <w:color w:val="000000"/>
          <w:szCs w:val="24"/>
        </w:rPr>
        <w:t xml:space="preserve"> ndryshuar dhe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 </w:t>
      </w:r>
      <w:r w:rsidRPr="00034DDD">
        <w:rPr>
          <w:rFonts w:ascii="Garamond" w:hAnsi="Garamond" w:cs="Garamond"/>
          <w:color w:val="000000"/>
          <w:szCs w:val="24"/>
        </w:rPr>
        <w:t>nenit 21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ligjit nr. 102/2015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</w:t>
      </w:r>
      <w:r w:rsidRPr="00034DDD">
        <w:rPr>
          <w:rFonts w:ascii="Garamond" w:hAnsi="Garamond" w:cs="Garamond"/>
          <w:iCs/>
          <w:color w:val="000000"/>
          <w:szCs w:val="24"/>
        </w:rPr>
        <w:t>“Për sektorin e gazit natyror”</w:t>
      </w:r>
      <w:r w:rsidR="00034DDD">
        <w:rPr>
          <w:rFonts w:ascii="Garamond" w:hAnsi="Garamond" w:cs="Garamond"/>
          <w:iCs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Pr="00034DDD">
        <w:rPr>
          <w:rFonts w:ascii="Garamond" w:hAnsi="Garamond" w:cs="Garamond"/>
          <w:color w:val="000000"/>
          <w:szCs w:val="24"/>
        </w:rPr>
        <w:t xml:space="preserve"> ndryshuar; si dhe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 </w:t>
      </w:r>
      <w:r w:rsidRPr="00034DDD">
        <w:rPr>
          <w:rFonts w:ascii="Garamond" w:hAnsi="Garamond" w:cs="Garamond"/>
          <w:color w:val="000000"/>
          <w:szCs w:val="24"/>
        </w:rPr>
        <w:t>nenit 15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“</w:t>
      </w:r>
      <w:r w:rsidRPr="00034DDD">
        <w:rPr>
          <w:rFonts w:ascii="Garamond" w:hAnsi="Garamond" w:cs="Garamond"/>
          <w:iCs/>
          <w:color w:val="000000"/>
          <w:szCs w:val="24"/>
        </w:rPr>
        <w:t>Rregullores për organizimin, funksionimin dhe procedurat e ERE-s</w:t>
      </w:r>
      <w:r w:rsidRPr="00034DDD">
        <w:rPr>
          <w:rFonts w:ascii="Garamond" w:hAnsi="Garamond" w:cs="Garamond"/>
          <w:color w:val="000000"/>
          <w:szCs w:val="24"/>
        </w:rPr>
        <w:t xml:space="preserve">”, miratuar me vendimin e 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Bordit </w:t>
      </w:r>
      <w:r w:rsidRPr="00034DDD">
        <w:rPr>
          <w:rFonts w:ascii="Garamond" w:hAnsi="Garamond" w:cs="Garamond"/>
          <w:color w:val="000000"/>
          <w:szCs w:val="24"/>
        </w:rPr>
        <w:t xml:space="preserve">të Entit Rregullator të Energjisë (ERE) nr. 96, datë 17.6.2016; Bordi i ERE-s, </w:t>
      </w:r>
      <w:r w:rsidR="00034DDD">
        <w:rPr>
          <w:rFonts w:ascii="Garamond" w:hAnsi="Garamond" w:cs="Garamond"/>
          <w:color w:val="000000"/>
          <w:szCs w:val="24"/>
        </w:rPr>
        <w:t>në mbledhjen e tij të datës 27.</w:t>
      </w:r>
      <w:r w:rsidRPr="00034DDD">
        <w:rPr>
          <w:rFonts w:ascii="Garamond" w:hAnsi="Garamond" w:cs="Garamond"/>
          <w:color w:val="000000"/>
          <w:szCs w:val="24"/>
        </w:rPr>
        <w:t xml:space="preserve">3.2026, pasi shqyrtoi Raportin Vjetor për </w:t>
      </w:r>
      <w:r w:rsidRPr="00034DDD">
        <w:rPr>
          <w:rFonts w:ascii="Garamond" w:hAnsi="Garamond" w:cs="Garamond"/>
          <w:iCs/>
          <w:color w:val="000000"/>
          <w:szCs w:val="24"/>
        </w:rPr>
        <w:t xml:space="preserve">“Gjendjen e sektorit të energjisë dhe veprimtaria e ERE-s gjatë vitit 2025” </w:t>
      </w:r>
      <w:r w:rsidR="00034DDD">
        <w:rPr>
          <w:rFonts w:ascii="Garamond" w:hAnsi="Garamond" w:cs="Garamond"/>
          <w:color w:val="000000"/>
          <w:szCs w:val="24"/>
        </w:rPr>
        <w:t xml:space="preserve">dhe relacionin nr. 979 </w:t>
      </w:r>
      <w:proofErr w:type="spellStart"/>
      <w:r w:rsidR="00034DDD">
        <w:rPr>
          <w:rFonts w:ascii="Garamond" w:hAnsi="Garamond" w:cs="Garamond"/>
          <w:color w:val="000000"/>
          <w:szCs w:val="24"/>
        </w:rPr>
        <w:t>prot</w:t>
      </w:r>
      <w:proofErr w:type="spellEnd"/>
      <w:r w:rsidR="00034DDD">
        <w:rPr>
          <w:rFonts w:ascii="Garamond" w:hAnsi="Garamond" w:cs="Garamond"/>
          <w:color w:val="000000"/>
          <w:szCs w:val="24"/>
        </w:rPr>
        <w:t>., datë 25.</w:t>
      </w:r>
      <w:r w:rsidRPr="00034DDD">
        <w:rPr>
          <w:rFonts w:ascii="Garamond" w:hAnsi="Garamond" w:cs="Garamond"/>
          <w:color w:val="000000"/>
          <w:szCs w:val="24"/>
        </w:rPr>
        <w:t>3.2026, të përgatitur nga Sekretari i Përgjithshëm në cilësinë e kryetarit të Grupit të Punës së ngritur për përgatitjen e raportit vjetor të ERE-s “</w:t>
      </w:r>
      <w:r w:rsidRPr="00034DDD">
        <w:rPr>
          <w:rFonts w:ascii="Garamond" w:hAnsi="Garamond" w:cs="Garamond"/>
          <w:iCs/>
          <w:color w:val="000000"/>
          <w:szCs w:val="24"/>
        </w:rPr>
        <w:t>Për gjendjen e sektorit të energjisë dhe veprimtaria e ERE-s gjatë vitit 2025</w:t>
      </w:r>
      <w:r w:rsidRPr="00034DDD">
        <w:rPr>
          <w:rFonts w:ascii="Garamond" w:hAnsi="Garamond" w:cs="Garamond"/>
          <w:color w:val="000000"/>
          <w:szCs w:val="24"/>
        </w:rPr>
        <w:t>”,</w:t>
      </w:r>
    </w:p>
    <w:p w14:paraId="083EAEF3" w14:textId="362EAA01" w:rsidR="000060C8" w:rsidRPr="00034DDD" w:rsidRDefault="00034DDD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Cs w:val="24"/>
        </w:rPr>
      </w:pPr>
      <w:r w:rsidRPr="00034DDD">
        <w:rPr>
          <w:rFonts w:ascii="Garamond" w:hAnsi="Garamond" w:cs="Garamond"/>
          <w:bCs/>
          <w:color w:val="000000"/>
          <w:szCs w:val="24"/>
        </w:rPr>
        <w:t>k</w:t>
      </w:r>
      <w:r w:rsidR="000060C8" w:rsidRPr="00034DDD">
        <w:rPr>
          <w:rFonts w:ascii="Garamond" w:hAnsi="Garamond" w:cs="Garamond"/>
          <w:bCs/>
          <w:color w:val="000000"/>
          <w:szCs w:val="24"/>
        </w:rPr>
        <w:t>onstatoi se:</w:t>
      </w:r>
    </w:p>
    <w:p w14:paraId="083EAEF4" w14:textId="29CFF56A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>ERE, në zbatim të parashikimeve të nenit 25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ligjit nr. 43/2015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“Për sektorin e energjisë elektrike”,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Pr="00034DDD">
        <w:rPr>
          <w:rFonts w:ascii="Garamond" w:hAnsi="Garamond" w:cs="Garamond"/>
          <w:color w:val="000000"/>
          <w:szCs w:val="24"/>
        </w:rPr>
        <w:t xml:space="preserve"> ndryshuar, dhe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 </w:t>
      </w:r>
      <w:r w:rsidRPr="00034DDD">
        <w:rPr>
          <w:rFonts w:ascii="Garamond" w:hAnsi="Garamond" w:cs="Garamond"/>
          <w:color w:val="000000"/>
          <w:szCs w:val="24"/>
        </w:rPr>
        <w:t>nenit 21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ligjit nr. 102/2015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“Për sektorin e gazit natyror”,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Pr="00034DDD">
        <w:rPr>
          <w:rFonts w:ascii="Garamond" w:hAnsi="Garamond" w:cs="Garamond"/>
          <w:color w:val="000000"/>
          <w:szCs w:val="24"/>
        </w:rPr>
        <w:t xml:space="preserve"> ndryshuar, paraqet në Kuvendin e Republikës së Shqipërisë raportin vjetor mbi situatën e sektorit të energjisë elektrike, gazit natyror dhe veprimtarinë e ERE-s për vitin paraardhës, brenda datës 31 mars.</w:t>
      </w:r>
    </w:p>
    <w:p w14:paraId="083EAEF5" w14:textId="4ACB57CF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Për hartimin e Raportit </w:t>
      </w:r>
      <w:r w:rsidR="00034DDD">
        <w:rPr>
          <w:rFonts w:ascii="Garamond" w:hAnsi="Garamond" w:cs="Garamond"/>
          <w:color w:val="000000"/>
          <w:szCs w:val="24"/>
        </w:rPr>
        <w:t>v</w:t>
      </w:r>
      <w:r w:rsidRPr="00034DDD">
        <w:rPr>
          <w:rFonts w:ascii="Garamond" w:hAnsi="Garamond" w:cs="Garamond"/>
          <w:color w:val="000000"/>
          <w:szCs w:val="24"/>
        </w:rPr>
        <w:t xml:space="preserve">jetor për vitin 2025, me urdhër të </w:t>
      </w:r>
      <w:r w:rsidR="00034DDD">
        <w:rPr>
          <w:rFonts w:ascii="Garamond" w:hAnsi="Garamond" w:cs="Garamond"/>
          <w:color w:val="000000"/>
          <w:szCs w:val="24"/>
        </w:rPr>
        <w:t>k</w:t>
      </w:r>
      <w:r w:rsidRPr="00034DDD">
        <w:rPr>
          <w:rFonts w:ascii="Garamond" w:hAnsi="Garamond" w:cs="Garamond"/>
          <w:color w:val="000000"/>
          <w:szCs w:val="24"/>
        </w:rPr>
        <w:t>ryetarit të ERE-s është ngritur grupi i punës, i cili mori masat për mbledhjen, administrimin, përpunimin dhe analizimin e të dhënave të nevojshme nga strukturat e ERE-s dhe nga të licencuarit, me qëllim përgatitjen e raportit brenda afatit të përcaktuar nga legjislacioni në fuqi.</w:t>
      </w:r>
    </w:p>
    <w:p w14:paraId="083EAEF6" w14:textId="2C06048B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Raporti </w:t>
      </w:r>
      <w:r w:rsidR="00034DDD">
        <w:rPr>
          <w:rFonts w:ascii="Garamond" w:hAnsi="Garamond" w:cs="Garamond"/>
          <w:color w:val="000000"/>
          <w:szCs w:val="24"/>
        </w:rPr>
        <w:t>v</w:t>
      </w:r>
      <w:r w:rsidRPr="00034DDD">
        <w:rPr>
          <w:rFonts w:ascii="Garamond" w:hAnsi="Garamond" w:cs="Garamond"/>
          <w:color w:val="000000"/>
          <w:szCs w:val="24"/>
        </w:rPr>
        <w:t>jetor i ERE-s pasqyron gjendjen e përgjithshme të sistemit të energjisë elektrike, sipas përcaktimeve të nenit 25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ligjit nr. 43/2015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“Për sektorin e energjisë elektrike”, </w:t>
      </w:r>
      <w:r w:rsidR="00034DDD" w:rsidRPr="00034DDD">
        <w:rPr>
          <w:rFonts w:ascii="Garamond" w:hAnsi="Garamond" w:cs="Garamond"/>
          <w:color w:val="000000"/>
          <w:szCs w:val="24"/>
        </w:rPr>
        <w:t>të</w:t>
      </w:r>
      <w:r w:rsidRPr="00034DDD">
        <w:rPr>
          <w:rFonts w:ascii="Garamond" w:hAnsi="Garamond" w:cs="Garamond"/>
          <w:color w:val="000000"/>
          <w:szCs w:val="24"/>
        </w:rPr>
        <w:t xml:space="preserve"> ndryshuar, si dhe zhvillimet në sektorin e gazit natyror. Po ashtu, ky raport pasqyron veprimtarinë e ERE-s në drejtim të monitorimit të sektorit të energjisë elektrike dhe gazit natyror, veprimtarisë së të licencuarve, mbikëqyrjes së të drejtave të klientëve të energjisë, si dhe progresin e ERE-s në hartimin, miratimin dhe rishikimin e akteve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rregullatore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në funksion të përmbushjes së detyrimeve ligjore dhe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rregullatore</w:t>
      </w:r>
      <w:proofErr w:type="spellEnd"/>
      <w:r w:rsidRPr="00034DDD">
        <w:rPr>
          <w:rFonts w:ascii="Garamond" w:hAnsi="Garamond" w:cs="Garamond"/>
          <w:color w:val="000000"/>
          <w:szCs w:val="24"/>
        </w:rPr>
        <w:t>.</w:t>
      </w:r>
    </w:p>
    <w:p w14:paraId="083EAEF7" w14:textId="7DE91CA3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>Raporti është hartuar jo vetëm në përputhje me kërkesat e legjislacionit në fuqi, por edhe duke respektuar parashikimet e “Manualit të monitorimit vjetor dhe periodik”, miratuar me vendimin nr. 134/2018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të Kuvendit të Republikës së Shqipërisë, për raportimin e institucioneve të pavarura. Në këtë kuadër, krahas raportit të plotë, është përgatitur edhe një variant i përmbledhur i tij, në përputhje me kërkesat dhe strukturën e përcaktuar në këtë manual.</w:t>
      </w:r>
    </w:p>
    <w:p w14:paraId="083EAEF8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Raporti përfshin të dhëna të detajuara mbi treguesit kryesorë të sektorit të energjisë elektrike për vitin 2025, përfshirë kapacitetin total të instaluar prodhues, prodhimin neto vendas të energjisë elektrike, kontributin e prodhuesve publikë dhe privatë në mbulimin e kërkesës, ecurinë e prodhimit nga burimet e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rinovueshme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, veçanërisht nga impiantet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fotovoltaike</w:t>
      </w:r>
      <w:proofErr w:type="spellEnd"/>
      <w:r w:rsidRPr="00034DDD">
        <w:rPr>
          <w:rFonts w:ascii="Garamond" w:hAnsi="Garamond" w:cs="Garamond"/>
          <w:color w:val="000000"/>
          <w:szCs w:val="24"/>
        </w:rPr>
        <w:t>, si dhe ndikimin e kushteve hidrologjike në prodhimin vendas.</w:t>
      </w:r>
    </w:p>
    <w:p w14:paraId="083EAEF9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Raporti pasqyron zhvillimet në sistemin e transmetimit dhe të shpërndarjes së energjisë elektrike, duke trajtuar zgjerimin e sistemit të transmetimit, vënien në operim të linjave të reja dhe nënstacioneve, masat e marra nga OST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sh.a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. në vijim të rekomandimeve të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ENTSO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-E, si dhe të dhëna mbi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asetet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kryesore të rrjetit të shpërndarjes, energjinë e hyrë në rrjet, nivelin e humbjeve dhe përmirësimin e treguesve të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performancës</w:t>
      </w:r>
      <w:proofErr w:type="spellEnd"/>
      <w:r w:rsidRPr="00034DDD">
        <w:rPr>
          <w:rFonts w:ascii="Garamond" w:hAnsi="Garamond" w:cs="Garamond"/>
          <w:color w:val="000000"/>
          <w:szCs w:val="24"/>
        </w:rPr>
        <w:t>.</w:t>
      </w:r>
    </w:p>
    <w:p w14:paraId="083EAEFA" w14:textId="5F7C90DB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>Raporti përfshin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gjithashtu</w:t>
      </w:r>
      <w:r w:rsidR="00034DDD">
        <w:rPr>
          <w:rFonts w:ascii="Garamond" w:hAnsi="Garamond" w:cs="Garamond"/>
          <w:color w:val="000000"/>
          <w:szCs w:val="24"/>
        </w:rPr>
        <w:t>,</w:t>
      </w:r>
      <w:r w:rsidRPr="00034DDD">
        <w:rPr>
          <w:rFonts w:ascii="Garamond" w:hAnsi="Garamond" w:cs="Garamond"/>
          <w:color w:val="000000"/>
          <w:szCs w:val="24"/>
        </w:rPr>
        <w:t xml:space="preserve"> zhvillimet në fushën e tarifave dhe çmimeve, duke trajtuar tarifën e transmetimit të energjisë elektrike, tarifat e shpërndarjes, çmimet e shitjes së energjisë elektrike për klientët e furnizuar nga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FSHU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sh.a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., çmimet e aplikuara nga Furnizuesi i Mundësisë së Fundit, çmimet </w:t>
      </w:r>
      <w:r w:rsidRPr="00034DDD">
        <w:rPr>
          <w:rFonts w:ascii="Garamond" w:hAnsi="Garamond" w:cs="Garamond"/>
          <w:color w:val="000000"/>
          <w:szCs w:val="24"/>
        </w:rPr>
        <w:lastRenderedPageBreak/>
        <w:t xml:space="preserve">për shoqëritë ujësjellës-kanalizime, çmimin e shitjes së energjisë elektrike për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karikimin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e automjeteve elektrike, si dhe tarifën e përkohshme të transmetimit të gazit natyror nga shoqëria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Albgaz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sh.a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>.</w:t>
      </w:r>
    </w:p>
    <w:p w14:paraId="083EAEFB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Raporti trajton operimin dhe zhvillimin e tregut të organizuar të energjisë elektrike nëpërmjet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ALPEX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sh.a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., duke evidentuar ecurinë e anëtarësimit në bursë, zhvillimet në tregun e ditës në avancë dhe tregun brenda së njëjtës ditë, si dhe rritjen e aktivitetit tregtar dhe volumeve të tregtimit si në zonën e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ofertimit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të Shqipërisë, ashtu edhe në kuadër të bashkimit të tregut Shqipëri–Kosovë.</w:t>
      </w:r>
    </w:p>
    <w:p w14:paraId="083EAEFC" w14:textId="5FAD266A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Gjatë vitit 2025, ERE ka vijuar forcimin e kuadrit rregullator në sektorin e energjisë elektrike dhe gazit natyror, ndërsa 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Bordi </w:t>
      </w:r>
      <w:r w:rsidRPr="00034DDD">
        <w:rPr>
          <w:rFonts w:ascii="Garamond" w:hAnsi="Garamond" w:cs="Garamond"/>
          <w:color w:val="000000"/>
          <w:szCs w:val="24"/>
        </w:rPr>
        <w:t>i ERE-s ka zhvilluar 53 mbledhje, në të cilat janë shqyrtuar dhe miratuar 348 vendime.</w:t>
      </w:r>
    </w:p>
    <w:p w14:paraId="083EAEFD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Në kuadër të forcimit të kuadrit rregullator të sektorit të energjisë elektrike dhe harmonizimit të tij me rregullat e Bashkimit Evropian dhe të Komunitetit të Energjisë, gjatë vitit 2025 ERE shqyrtoi dhe miratoi një paketë të rëndësishme aktesh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rregullatore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të propozuara nga Operatori i Sistemit të Transmetimit (OST)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sh.a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., të cilat rregullojnë aspektet kryesore të funksionimit dhe operimit të sistemit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elektroenergjetik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dhe të tregut të energjisë elektrike.</w:t>
      </w:r>
    </w:p>
    <w:p w14:paraId="083EAEFE" w14:textId="503167B3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Raporti pasqyron edhe veprimtarinë e ERE-s në sektorin e gazit natyror, përfshirë miratimin e ndryshimeve në Kodin e Rrjetit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TAP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, miratimin e 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udhëzimeve për testimin e tregut </w:t>
      </w:r>
      <w:r w:rsidRPr="00034DDD">
        <w:rPr>
          <w:rFonts w:ascii="Garamond" w:hAnsi="Garamond" w:cs="Garamond"/>
          <w:color w:val="000000"/>
          <w:szCs w:val="24"/>
        </w:rPr>
        <w:t xml:space="preserve">2025 të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TAP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AG, si dhe miratimin e propozimit të projektit nga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TAP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,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SRG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dhe </w:t>
      </w:r>
      <w:proofErr w:type="spellStart"/>
      <w:r w:rsidRPr="00034DDD">
        <w:rPr>
          <w:rFonts w:ascii="Garamond" w:hAnsi="Garamond" w:cs="Garamond"/>
          <w:color w:val="000000"/>
          <w:szCs w:val="24"/>
        </w:rPr>
        <w:t>DESFA</w:t>
      </w:r>
      <w:proofErr w:type="spellEnd"/>
      <w:r w:rsidRPr="00034DDD">
        <w:rPr>
          <w:rFonts w:ascii="Garamond" w:hAnsi="Garamond" w:cs="Garamond"/>
          <w:color w:val="000000"/>
          <w:szCs w:val="24"/>
        </w:rPr>
        <w:t xml:space="preserve"> për procesin e rritjes së kapacitetit.</w:t>
      </w:r>
    </w:p>
    <w:p w14:paraId="083EAEFF" w14:textId="755FB564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/>
          <w:color w:val="000000"/>
          <w:szCs w:val="24"/>
        </w:rPr>
        <w:t xml:space="preserve">- </w:t>
      </w:r>
      <w:r w:rsidRPr="00034DDD">
        <w:rPr>
          <w:rFonts w:ascii="Garamond" w:hAnsi="Garamond" w:cs="Garamond"/>
          <w:color w:val="000000"/>
          <w:szCs w:val="24"/>
        </w:rPr>
        <w:t xml:space="preserve">Një pjesë e rëndësishme e raportit lidhet me aktivitetin e ERE-s në licencimin e pjesëmarrësve në treg, njohjen e licencave të huaja të lëshuara nga një autoritet rregullator i një vendi tjetër 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palë </w:t>
      </w:r>
      <w:proofErr w:type="spellStart"/>
      <w:r w:rsidR="00034DDD" w:rsidRPr="00034DDD">
        <w:rPr>
          <w:rFonts w:ascii="Garamond" w:hAnsi="Garamond" w:cs="Garamond"/>
          <w:color w:val="000000"/>
          <w:szCs w:val="24"/>
        </w:rPr>
        <w:t>kontraktore</w:t>
      </w:r>
      <w:proofErr w:type="spellEnd"/>
      <w:r w:rsidR="00034DDD" w:rsidRPr="00034DDD">
        <w:rPr>
          <w:rFonts w:ascii="Garamond" w:hAnsi="Garamond" w:cs="Garamond"/>
          <w:color w:val="000000"/>
          <w:szCs w:val="24"/>
        </w:rPr>
        <w:t xml:space="preserve"> e Komuni</w:t>
      </w:r>
      <w:r w:rsidR="00034DDD">
        <w:rPr>
          <w:rFonts w:ascii="Garamond" w:hAnsi="Garamond" w:cs="Garamond"/>
          <w:color w:val="000000"/>
          <w:szCs w:val="24"/>
        </w:rPr>
        <w:t>t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etit të </w:t>
      </w:r>
      <w:r w:rsidR="00034DDD">
        <w:rPr>
          <w:rFonts w:ascii="Garamond" w:hAnsi="Garamond" w:cs="Garamond"/>
          <w:color w:val="000000"/>
          <w:szCs w:val="24"/>
        </w:rPr>
        <w:t>Energjisë/</w:t>
      </w:r>
      <w:r w:rsidRPr="00034DDD">
        <w:rPr>
          <w:rFonts w:ascii="Garamond" w:hAnsi="Garamond" w:cs="Garamond"/>
          <w:color w:val="000000"/>
          <w:szCs w:val="24"/>
        </w:rPr>
        <w:t xml:space="preserve">një shteti </w:t>
      </w:r>
      <w:r w:rsidR="00034DDD">
        <w:rPr>
          <w:rFonts w:ascii="Garamond" w:hAnsi="Garamond" w:cs="Garamond"/>
          <w:color w:val="000000"/>
          <w:szCs w:val="24"/>
        </w:rPr>
        <w:t>a</w:t>
      </w:r>
      <w:r w:rsidRPr="00034DDD">
        <w:rPr>
          <w:rFonts w:ascii="Garamond" w:hAnsi="Garamond" w:cs="Garamond"/>
          <w:color w:val="000000"/>
          <w:szCs w:val="24"/>
        </w:rPr>
        <w:t xml:space="preserve">nëtar të Bashkimit </w:t>
      </w:r>
      <w:r w:rsidR="00034DDD" w:rsidRPr="00034DDD">
        <w:rPr>
          <w:rFonts w:ascii="Garamond" w:hAnsi="Garamond" w:cs="Garamond"/>
          <w:color w:val="000000"/>
          <w:szCs w:val="24"/>
        </w:rPr>
        <w:t>Evropian</w:t>
      </w:r>
      <w:r w:rsidRPr="00034DDD">
        <w:rPr>
          <w:rFonts w:ascii="Garamond" w:hAnsi="Garamond" w:cs="Garamond"/>
          <w:color w:val="000000"/>
          <w:szCs w:val="24"/>
        </w:rPr>
        <w:t>, ose një vend tjetër me të cilin është nënshkruar një marrëveshje dypalëshe, si dhe me mbrojtjen e konsumatorit, përfshirë trajtimin e ankesave dhe kërkesave për informacion ose orientim të paraqitura gjatë vitit 2025.</w:t>
      </w:r>
    </w:p>
    <w:p w14:paraId="083EAF00" w14:textId="21EA7A35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 xml:space="preserve">Për gjithë sa më sipër, </w:t>
      </w:r>
      <w:r w:rsidR="00034DDD" w:rsidRPr="00034DDD">
        <w:rPr>
          <w:rFonts w:ascii="Garamond" w:hAnsi="Garamond" w:cs="Garamond"/>
          <w:color w:val="000000"/>
          <w:szCs w:val="24"/>
        </w:rPr>
        <w:t xml:space="preserve">Bordi </w:t>
      </w:r>
      <w:r w:rsidR="00034DDD">
        <w:rPr>
          <w:rFonts w:ascii="Garamond" w:hAnsi="Garamond" w:cs="Garamond"/>
          <w:color w:val="000000"/>
          <w:szCs w:val="24"/>
        </w:rPr>
        <w:t>i ERE-s</w:t>
      </w:r>
    </w:p>
    <w:p w14:paraId="083EAF01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</w:p>
    <w:p w14:paraId="083EAF02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Cs w:val="24"/>
        </w:rPr>
      </w:pPr>
      <w:r w:rsidRPr="00034DDD">
        <w:rPr>
          <w:rFonts w:ascii="Garamond" w:hAnsi="Garamond" w:cs="Garamond"/>
          <w:bCs/>
          <w:color w:val="000000"/>
          <w:szCs w:val="24"/>
        </w:rPr>
        <w:t>VENDOSI:</w:t>
      </w:r>
    </w:p>
    <w:p w14:paraId="083EAF03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Cs w:val="24"/>
        </w:rPr>
      </w:pPr>
    </w:p>
    <w:p w14:paraId="083EAF04" w14:textId="1E47398D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>1. Miratimin e raportit vjetor të ERE-s, “Gjendja e sektorit të energjisë dhe veprimtaria e ERE-s gjatë vitit 2025”, që do t’i p</w:t>
      </w:r>
      <w:r w:rsidR="00034DDD">
        <w:rPr>
          <w:rFonts w:ascii="Garamond" w:hAnsi="Garamond" w:cs="Garamond"/>
          <w:color w:val="000000"/>
          <w:szCs w:val="24"/>
        </w:rPr>
        <w:t>araqitet Kuvendit të Shqipërisë</w:t>
      </w:r>
      <w:r w:rsidRPr="00034DDD">
        <w:rPr>
          <w:rFonts w:ascii="Garamond" w:hAnsi="Garamond" w:cs="Garamond"/>
          <w:color w:val="000000"/>
          <w:szCs w:val="24"/>
        </w:rPr>
        <w:t xml:space="preserve"> (</w:t>
      </w:r>
      <w:r w:rsidR="00034DDD">
        <w:rPr>
          <w:rFonts w:ascii="Garamond" w:hAnsi="Garamond" w:cs="Garamond"/>
          <w:color w:val="000000"/>
          <w:szCs w:val="24"/>
        </w:rPr>
        <w:t>r</w:t>
      </w:r>
      <w:r w:rsidRPr="00034DDD">
        <w:rPr>
          <w:rFonts w:ascii="Garamond" w:hAnsi="Garamond" w:cs="Garamond"/>
          <w:color w:val="000000"/>
          <w:szCs w:val="24"/>
        </w:rPr>
        <w:t>aporti bashkëlidhur këtij vendimi).</w:t>
      </w:r>
    </w:p>
    <w:p w14:paraId="083EAF05" w14:textId="5F127C61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>2. Sekretari i Përgjithshëm të marri masat për përcjelljen e këtij Raporti Kuvendit</w:t>
      </w:r>
      <w:r w:rsidR="00034DDD">
        <w:rPr>
          <w:rFonts w:ascii="Garamond" w:hAnsi="Garamond" w:cs="Garamond"/>
          <w:color w:val="000000"/>
          <w:szCs w:val="24"/>
        </w:rPr>
        <w:t xml:space="preserve"> të Shqipërisë brenda datës 30.</w:t>
      </w:r>
      <w:r w:rsidRPr="00034DDD">
        <w:rPr>
          <w:rFonts w:ascii="Garamond" w:hAnsi="Garamond" w:cs="Garamond"/>
          <w:color w:val="000000"/>
          <w:szCs w:val="24"/>
        </w:rPr>
        <w:t>3.2026.</w:t>
      </w:r>
    </w:p>
    <w:p w14:paraId="083EAF06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>Ky vendim hyn në fuqi menjëherë.</w:t>
      </w:r>
    </w:p>
    <w:p w14:paraId="083EAF07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  <w:r w:rsidRPr="00034DDD">
        <w:rPr>
          <w:rFonts w:ascii="Garamond" w:hAnsi="Garamond" w:cs="Garamond"/>
          <w:color w:val="000000"/>
          <w:szCs w:val="24"/>
        </w:rPr>
        <w:t>Ky vendim botohet në Fletoren Zyrtare.</w:t>
      </w:r>
    </w:p>
    <w:p w14:paraId="083EAF08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Cs w:val="24"/>
        </w:rPr>
      </w:pPr>
    </w:p>
    <w:p w14:paraId="083EAF09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 w:cs="Garamond"/>
          <w:bCs/>
          <w:color w:val="000000"/>
          <w:szCs w:val="24"/>
        </w:rPr>
        <w:t>KRYETAR</w:t>
      </w:r>
    </w:p>
    <w:p w14:paraId="083EAF0A" w14:textId="77777777" w:rsidR="000060C8" w:rsidRPr="00034DDD" w:rsidRDefault="000060C8" w:rsidP="000060C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Cs w:val="24"/>
        </w:rPr>
      </w:pPr>
      <w:r w:rsidRPr="00034DDD">
        <w:rPr>
          <w:rFonts w:ascii="Garamond" w:hAnsi="Garamond" w:cs="Garamond"/>
          <w:b/>
          <w:bCs/>
          <w:color w:val="000000"/>
          <w:szCs w:val="24"/>
        </w:rPr>
        <w:t xml:space="preserve">Petrit </w:t>
      </w:r>
      <w:proofErr w:type="spellStart"/>
      <w:r w:rsidRPr="00034DDD">
        <w:rPr>
          <w:rFonts w:ascii="Garamond" w:hAnsi="Garamond" w:cs="Garamond"/>
          <w:b/>
          <w:bCs/>
          <w:color w:val="000000"/>
          <w:szCs w:val="24"/>
        </w:rPr>
        <w:t>Ahmeti</w:t>
      </w:r>
      <w:proofErr w:type="spellEnd"/>
    </w:p>
    <w:p w14:paraId="083EAF0B" w14:textId="77777777" w:rsidR="000060C8" w:rsidRPr="00034DDD" w:rsidRDefault="000060C8" w:rsidP="000060C8">
      <w:pPr>
        <w:spacing w:after="0" w:line="240" w:lineRule="auto"/>
        <w:ind w:firstLine="284"/>
        <w:jc w:val="left"/>
        <w:rPr>
          <w:rFonts w:ascii="Garamond" w:hAnsi="Garamond"/>
        </w:rPr>
      </w:pPr>
    </w:p>
    <w:p w14:paraId="083EAF0C" w14:textId="77777777" w:rsidR="0080464A" w:rsidRPr="00034DDD" w:rsidRDefault="0080464A"/>
    <w:sectPr w:rsidR="0080464A" w:rsidRPr="00034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C8"/>
    <w:rsid w:val="000060C8"/>
    <w:rsid w:val="00034DDD"/>
    <w:rsid w:val="00465144"/>
    <w:rsid w:val="0080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AEED"/>
  <w15:chartTrackingRefBased/>
  <w15:docId w15:val="{8FA9E283-B767-4E7F-A289-6992AE66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0C8"/>
    <w:pPr>
      <w:spacing w:after="120" w:line="276" w:lineRule="auto"/>
      <w:jc w:val="both"/>
    </w:pPr>
    <w:rPr>
      <w:rFonts w:ascii="Times New Roman" w:eastAsia="Calibri" w:hAnsi="Times New Roman" w:cs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81727C5A8B4A8AA3AC4F4C4CAE23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2026-07-27T09:06:01Z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miratimin e raportit vjetor të ERE-s, “Gjendja e sektorit të energjisë dhe veprimtaria e ERE-s gjatë vitit 2025”</Titulli>
    <Modifikuesi xmlns="0e656187-b300-4fb0-8bf4-3a50f872073c">keisina.zace</Modifikuesi>
    <Nr_x002e__x0020_prot_x0020_QBZ xmlns="0e656187-b300-4fb0-8bf4-3a50f872073c">1683/1</Nr_x002e__x0020_prot_x0020_QBZ>
    <Data_x0020_e_x0020_Modifikimit xmlns="0e656187-b300-4fb0-8bf4-3a50f872073c">2026-07-30T10:17:35Z</Data_x0020_e_x0020_Modifikimit>
    <Dekretuar xmlns="0e656187-b300-4fb0-8bf4-3a50f872073c">false</Dekretuar>
    <Data xmlns="0e656187-b300-4fb0-8bf4-3a50f872073c">2026-03-27T00:00:00Z</Data>
    <Nr_x002e__x0020_protokolli_x0020_i_x0020_aktit xmlns="0e656187-b300-4fb0-8bf4-3a50f872073c">2217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E7EE57BD-6590-4942-94F6-FE02DAA2E7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5032EA-995F-4ACB-AAFB-D64950C66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76A929-DE61-4D37-B2B8-EE3867C0B114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fjora.cahani</cp:lastModifiedBy>
  <cp:revision>2</cp:revision>
  <dcterms:created xsi:type="dcterms:W3CDTF">2026-07-30T10:31:00Z</dcterms:created>
  <dcterms:modified xsi:type="dcterms:W3CDTF">2026-07-30T10:58:00Z</dcterms:modified>
</cp:coreProperties>
</file>