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232B61" w14:textId="77777777" w:rsidR="00AB536B" w:rsidRPr="00C450B0" w:rsidRDefault="00AB536B" w:rsidP="007576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450B0">
        <w:rPr>
          <w:rFonts w:ascii="Garamond" w:hAnsi="Garamond"/>
          <w:b/>
          <w:sz w:val="24"/>
          <w:szCs w:val="24"/>
        </w:rPr>
        <w:t>VENDIM</w:t>
      </w:r>
    </w:p>
    <w:p w14:paraId="13FF398E" w14:textId="0CF52F4C" w:rsidR="00C648F8" w:rsidRPr="00C450B0" w:rsidRDefault="00AB536B" w:rsidP="007576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450B0">
        <w:rPr>
          <w:rFonts w:ascii="Garamond" w:hAnsi="Garamond"/>
          <w:b/>
          <w:sz w:val="24"/>
          <w:szCs w:val="24"/>
        </w:rPr>
        <w:t>Nr</w:t>
      </w:r>
      <w:r w:rsidR="00D302EF" w:rsidRPr="00C450B0">
        <w:rPr>
          <w:rFonts w:ascii="Garamond" w:hAnsi="Garamond"/>
          <w:b/>
          <w:sz w:val="24"/>
          <w:szCs w:val="24"/>
        </w:rPr>
        <w:t>.</w:t>
      </w:r>
      <w:r w:rsidR="00C450B0">
        <w:rPr>
          <w:rFonts w:ascii="Garamond" w:hAnsi="Garamond"/>
          <w:b/>
          <w:sz w:val="24"/>
          <w:szCs w:val="24"/>
        </w:rPr>
        <w:t xml:space="preserve"> </w:t>
      </w:r>
      <w:r w:rsidR="00D302EF" w:rsidRPr="00C450B0">
        <w:rPr>
          <w:rFonts w:ascii="Garamond" w:hAnsi="Garamond"/>
          <w:b/>
          <w:sz w:val="24"/>
          <w:szCs w:val="24"/>
        </w:rPr>
        <w:t>21</w:t>
      </w:r>
      <w:r w:rsidR="00153AFD" w:rsidRPr="00C450B0">
        <w:rPr>
          <w:rFonts w:ascii="Garamond" w:hAnsi="Garamond"/>
          <w:b/>
          <w:sz w:val="24"/>
          <w:szCs w:val="24"/>
        </w:rPr>
        <w:t>4</w:t>
      </w:r>
      <w:r w:rsidR="007B5802" w:rsidRPr="00C450B0">
        <w:rPr>
          <w:rFonts w:ascii="Garamond" w:hAnsi="Garamond"/>
          <w:b/>
          <w:sz w:val="24"/>
          <w:szCs w:val="24"/>
        </w:rPr>
        <w:t>, dat</w:t>
      </w:r>
      <w:r w:rsidR="00C450B0">
        <w:rPr>
          <w:rFonts w:ascii="Garamond" w:hAnsi="Garamond"/>
          <w:b/>
          <w:sz w:val="24"/>
          <w:szCs w:val="24"/>
        </w:rPr>
        <w:t>ë</w:t>
      </w:r>
      <w:r w:rsidR="007B5802" w:rsidRPr="00C450B0">
        <w:rPr>
          <w:rFonts w:ascii="Garamond" w:hAnsi="Garamond"/>
          <w:b/>
          <w:sz w:val="24"/>
          <w:szCs w:val="24"/>
        </w:rPr>
        <w:t xml:space="preserve"> 28.7.2026</w:t>
      </w:r>
    </w:p>
    <w:p w14:paraId="7B7D9A83" w14:textId="77777777" w:rsidR="00AB536B" w:rsidRPr="00C450B0" w:rsidRDefault="00AB536B" w:rsidP="007576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DAE42C8" w14:textId="352423DE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450B0">
        <w:rPr>
          <w:rFonts w:ascii="Garamond" w:hAnsi="Garamond" w:cs="Times New Roman"/>
          <w:b/>
          <w:bCs/>
          <w:color w:val="000000"/>
          <w:sz w:val="24"/>
          <w:szCs w:val="24"/>
        </w:rPr>
        <w:t>MBI ANALIZËN DHE VLERËSIMIN E RAPORTIT VJETOR TË PAJTUESHMËRISË TË OPERATORIT TË SISTEMIT TË SHPËRNDARJES</w:t>
      </w:r>
      <w:r w:rsidR="00C450B0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VITIN 2025</w:t>
      </w:r>
    </w:p>
    <w:p w14:paraId="6144B8B6" w14:textId="77777777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</w:p>
    <w:p w14:paraId="246F17F4" w14:textId="480D9FFC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Në mbështetje të neneve 16 dhe 87, pika 3,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>germa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“b”, 136, pika 2</w:t>
      </w:r>
      <w:r w:rsidR="00C450B0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të ligjit nr. 59/2026, “</w:t>
      </w:r>
      <w:r w:rsidRPr="00C450B0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>të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ndryshuar;</w:t>
      </w:r>
      <w:r w:rsidRPr="00C450B0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>të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450B0">
        <w:rPr>
          <w:rFonts w:ascii="Garamond" w:hAnsi="Garamond" w:cs="Times New Roman"/>
          <w:color w:val="000000"/>
          <w:sz w:val="24"/>
          <w:szCs w:val="24"/>
        </w:rPr>
        <w:t>nenit 11</w:t>
      </w:r>
      <w:r w:rsidR="00C450B0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të Programit të Pajtueshmërisë </w:t>
      </w:r>
      <w:r w:rsidR="007A1CBE">
        <w:rPr>
          <w:rFonts w:ascii="Garamond" w:hAnsi="Garamond" w:cs="Times New Roman"/>
          <w:color w:val="000000"/>
          <w:sz w:val="24"/>
          <w:szCs w:val="24"/>
        </w:rPr>
        <w:t>t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ë </w:t>
      </w:r>
      <w:r w:rsidR="007A1CBE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7A1CBE">
        <w:rPr>
          <w:rFonts w:ascii="Garamond" w:hAnsi="Garamond" w:cs="Times New Roman"/>
          <w:color w:val="000000"/>
          <w:sz w:val="24"/>
          <w:szCs w:val="24"/>
        </w:rPr>
        <w:t>”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., miratuar me </w:t>
      </w:r>
      <w:r w:rsidR="00C450B0">
        <w:rPr>
          <w:rFonts w:ascii="Garamond" w:hAnsi="Garamond" w:cs="Times New Roman"/>
          <w:color w:val="000000"/>
          <w:sz w:val="24"/>
          <w:szCs w:val="24"/>
        </w:rPr>
        <w:t>v</w:t>
      </w:r>
      <w:r w:rsidRPr="00C450B0">
        <w:rPr>
          <w:rFonts w:ascii="Garamond" w:hAnsi="Garamond" w:cs="Times New Roman"/>
          <w:color w:val="000000"/>
          <w:sz w:val="24"/>
          <w:szCs w:val="24"/>
        </w:rPr>
        <w:t>endimin nr. 257, datë 20.12.2020</w:t>
      </w:r>
      <w:r w:rsidR="00C450B0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të</w:t>
      </w:r>
      <w:r w:rsidR="00A0669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450B0">
        <w:rPr>
          <w:rFonts w:ascii="Garamond" w:hAnsi="Garamond" w:cs="Times New Roman"/>
          <w:color w:val="000000"/>
          <w:sz w:val="24"/>
          <w:szCs w:val="24"/>
        </w:rPr>
        <w:t>të</w:t>
      </w:r>
      <w:r w:rsidR="00A0669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450B0">
        <w:rPr>
          <w:rFonts w:ascii="Garamond" w:hAnsi="Garamond" w:cs="Times New Roman"/>
          <w:color w:val="000000"/>
          <w:sz w:val="24"/>
          <w:szCs w:val="24"/>
        </w:rPr>
        <w:t>Entit Rregullator të</w:t>
      </w:r>
      <w:r w:rsidR="00A0669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450B0">
        <w:rPr>
          <w:rFonts w:ascii="Garamond" w:hAnsi="Garamond" w:cs="Times New Roman"/>
          <w:color w:val="000000"/>
          <w:sz w:val="24"/>
          <w:szCs w:val="24"/>
        </w:rPr>
        <w:t>Energjisë</w:t>
      </w:r>
      <w:r w:rsidR="00A0669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450B0">
        <w:rPr>
          <w:rFonts w:ascii="Garamond" w:hAnsi="Garamond" w:cs="Times New Roman"/>
          <w:color w:val="000000"/>
          <w:sz w:val="24"/>
          <w:szCs w:val="24"/>
        </w:rPr>
        <w:t>(ERE) “</w:t>
      </w:r>
      <w:r w:rsidRPr="00C450B0">
        <w:rPr>
          <w:rFonts w:ascii="Garamond" w:hAnsi="Garamond" w:cs="Times New Roman"/>
          <w:iCs/>
          <w:color w:val="000000"/>
          <w:sz w:val="24"/>
          <w:szCs w:val="24"/>
        </w:rPr>
        <w:t xml:space="preserve">Mbi miratimin e </w:t>
      </w:r>
      <w:r w:rsidR="00C450B0" w:rsidRPr="00C450B0">
        <w:rPr>
          <w:rFonts w:ascii="Garamond" w:hAnsi="Garamond" w:cs="Times New Roman"/>
          <w:iCs/>
          <w:color w:val="000000"/>
          <w:sz w:val="24"/>
          <w:szCs w:val="24"/>
        </w:rPr>
        <w:t xml:space="preserve">Programit </w:t>
      </w:r>
      <w:r w:rsidRPr="00C450B0">
        <w:rPr>
          <w:rFonts w:ascii="Garamond" w:hAnsi="Garamond" w:cs="Times New Roman"/>
          <w:iCs/>
          <w:color w:val="000000"/>
          <w:sz w:val="24"/>
          <w:szCs w:val="24"/>
        </w:rPr>
        <w:t xml:space="preserve">të </w:t>
      </w:r>
      <w:r w:rsidR="00C450B0"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="00C450B0" w:rsidRPr="00C450B0">
        <w:rPr>
          <w:rFonts w:ascii="Garamond" w:hAnsi="Garamond" w:cs="Times New Roman"/>
          <w:iCs/>
          <w:color w:val="000000"/>
          <w:sz w:val="24"/>
          <w:szCs w:val="24"/>
        </w:rPr>
        <w:t xml:space="preserve">ajtueshmërisë </w:t>
      </w:r>
      <w:r w:rsidR="007A1CBE">
        <w:rPr>
          <w:rFonts w:ascii="Garamond" w:hAnsi="Garamond" w:cs="Times New Roman"/>
          <w:iCs/>
          <w:color w:val="000000"/>
          <w:sz w:val="24"/>
          <w:szCs w:val="24"/>
        </w:rPr>
        <w:t>t</w:t>
      </w:r>
      <w:r w:rsidRPr="00C450B0">
        <w:rPr>
          <w:rFonts w:ascii="Garamond" w:hAnsi="Garamond" w:cs="Times New Roman"/>
          <w:iCs/>
          <w:color w:val="000000"/>
          <w:sz w:val="24"/>
          <w:szCs w:val="24"/>
        </w:rPr>
        <w:t xml:space="preserve">ë </w:t>
      </w:r>
      <w:r w:rsidR="007A1CBE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Pr="00C450B0">
        <w:rPr>
          <w:rFonts w:ascii="Garamond" w:hAnsi="Garamond" w:cs="Times New Roman"/>
          <w:iCs/>
          <w:color w:val="000000"/>
          <w:sz w:val="24"/>
          <w:szCs w:val="24"/>
        </w:rPr>
        <w:t>OSSH</w:t>
      </w:r>
      <w:proofErr w:type="spellEnd"/>
      <w:r w:rsidR="007A1CBE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C450B0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”; si dhe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>të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nenit 15, të </w:t>
      </w:r>
      <w:r w:rsidR="00C450B0">
        <w:rPr>
          <w:rFonts w:ascii="Garamond" w:hAnsi="Garamond" w:cs="Times New Roman"/>
          <w:color w:val="000000"/>
          <w:sz w:val="24"/>
          <w:szCs w:val="24"/>
        </w:rPr>
        <w:t>“</w:t>
      </w:r>
      <w:r w:rsidRPr="00C450B0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C450B0">
        <w:rPr>
          <w:rFonts w:ascii="Garamond" w:hAnsi="Garamond" w:cs="Times New Roman"/>
          <w:color w:val="000000"/>
          <w:sz w:val="24"/>
          <w:szCs w:val="24"/>
        </w:rPr>
        <w:t>”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C450B0">
        <w:rPr>
          <w:rFonts w:ascii="Garamond" w:hAnsi="Garamond" w:cs="Times New Roman"/>
          <w:color w:val="000000"/>
          <w:sz w:val="24"/>
          <w:szCs w:val="24"/>
        </w:rPr>
        <w:t>të ERE-s nr. 96, datë 17.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6.2016; Bordi i ERE-s, </w:t>
      </w:r>
      <w:r w:rsidR="00C450B0">
        <w:rPr>
          <w:rFonts w:ascii="Garamond" w:hAnsi="Garamond" w:cs="Times New Roman"/>
          <w:color w:val="000000"/>
          <w:sz w:val="24"/>
          <w:szCs w:val="24"/>
        </w:rPr>
        <w:t>në mbledhjen e tij të datës 28.</w:t>
      </w:r>
      <w:r w:rsidRPr="00C450B0">
        <w:rPr>
          <w:rFonts w:ascii="Garamond" w:hAnsi="Garamond" w:cs="Times New Roman"/>
          <w:color w:val="000000"/>
          <w:sz w:val="24"/>
          <w:szCs w:val="24"/>
        </w:rPr>
        <w:t>7.2026, mbasi shqyrtoi relacionin e përgatitur nga Drejtoria e Monitorimit të Tregut dhe Zhvill</w:t>
      </w:r>
      <w:r w:rsidR="00C450B0">
        <w:rPr>
          <w:rFonts w:ascii="Garamond" w:hAnsi="Garamond" w:cs="Times New Roman"/>
          <w:color w:val="000000"/>
          <w:sz w:val="24"/>
          <w:szCs w:val="24"/>
        </w:rPr>
        <w:t xml:space="preserve">imit të Burimeve të </w:t>
      </w:r>
      <w:proofErr w:type="spellStart"/>
      <w:r w:rsidR="00C450B0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="00C450B0">
        <w:rPr>
          <w:rFonts w:ascii="Garamond" w:hAnsi="Garamond" w:cs="Times New Roman"/>
          <w:color w:val="000000"/>
          <w:sz w:val="24"/>
          <w:szCs w:val="24"/>
        </w:rPr>
        <w:t xml:space="preserve"> me nr. 982/1 </w:t>
      </w:r>
      <w:proofErr w:type="spellStart"/>
      <w:r w:rsidR="00C450B0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C450B0">
        <w:rPr>
          <w:rFonts w:ascii="Garamond" w:hAnsi="Garamond" w:cs="Times New Roman"/>
          <w:color w:val="000000"/>
          <w:sz w:val="24"/>
          <w:szCs w:val="24"/>
        </w:rPr>
        <w:t>., datë 27.</w:t>
      </w:r>
      <w:r w:rsidRPr="00C450B0">
        <w:rPr>
          <w:rFonts w:ascii="Garamond" w:hAnsi="Garamond" w:cs="Times New Roman"/>
          <w:color w:val="000000"/>
          <w:sz w:val="24"/>
          <w:szCs w:val="24"/>
        </w:rPr>
        <w:t>7.2026, “</w:t>
      </w:r>
      <w:r w:rsidRPr="00C450B0">
        <w:rPr>
          <w:rFonts w:ascii="Garamond" w:hAnsi="Garamond" w:cs="Times New Roman"/>
          <w:iCs/>
          <w:color w:val="000000"/>
          <w:sz w:val="24"/>
          <w:szCs w:val="24"/>
        </w:rPr>
        <w:t>Mbi</w:t>
      </w:r>
      <w:r w:rsidRPr="00C450B0">
        <w:rPr>
          <w:rFonts w:ascii="Garamond" w:hAnsi="Garamond" w:cs="Book Antiqua"/>
          <w:bCs/>
          <w:color w:val="000000"/>
          <w:sz w:val="24"/>
          <w:szCs w:val="24"/>
        </w:rPr>
        <w:t xml:space="preserve"> </w:t>
      </w:r>
      <w:r w:rsidRPr="00C450B0">
        <w:rPr>
          <w:rFonts w:ascii="Garamond" w:hAnsi="Garamond" w:cs="Times New Roman"/>
          <w:iCs/>
          <w:color w:val="000000"/>
          <w:sz w:val="24"/>
          <w:szCs w:val="24"/>
        </w:rPr>
        <w:t xml:space="preserve">analizën dhe vlerësimin e </w:t>
      </w:r>
      <w:r w:rsidR="00C450B0" w:rsidRPr="00C450B0">
        <w:rPr>
          <w:rFonts w:ascii="Garamond" w:hAnsi="Garamond" w:cs="Times New Roman"/>
          <w:iCs/>
          <w:color w:val="000000"/>
          <w:sz w:val="24"/>
          <w:szCs w:val="24"/>
        </w:rPr>
        <w:t xml:space="preserve">raportit vjetor të pajtueshmërisë </w:t>
      </w:r>
      <w:r w:rsidRPr="00C450B0">
        <w:rPr>
          <w:rFonts w:ascii="Garamond" w:hAnsi="Garamond" w:cs="Times New Roman"/>
          <w:iCs/>
          <w:color w:val="000000"/>
          <w:sz w:val="24"/>
          <w:szCs w:val="24"/>
        </w:rPr>
        <w:t>të Operatorit të Sistemit të Shpërndarjes</w:t>
      </w:r>
      <w:r w:rsidR="00C450B0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C450B0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Pr="00C450B0">
        <w:rPr>
          <w:rFonts w:ascii="Garamond" w:hAnsi="Garamond" w:cs="Times New Roman"/>
          <w:iCs/>
          <w:color w:val="000000"/>
          <w:sz w:val="24"/>
          <w:szCs w:val="24"/>
        </w:rPr>
        <w:t>OSSH</w:t>
      </w:r>
      <w:proofErr w:type="spellEnd"/>
      <w:r w:rsidR="00C450B0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C450B0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iCs/>
          <w:color w:val="000000"/>
          <w:sz w:val="24"/>
          <w:szCs w:val="24"/>
        </w:rPr>
        <w:t>., për vitin 2025</w:t>
      </w:r>
      <w:r w:rsidR="00C450B0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C450B0">
        <w:rPr>
          <w:rFonts w:ascii="Garamond" w:hAnsi="Garamond" w:cs="Times New Roman"/>
          <w:iCs/>
          <w:color w:val="000000"/>
          <w:sz w:val="24"/>
          <w:szCs w:val="24"/>
        </w:rPr>
        <w:t>,</w:t>
      </w:r>
    </w:p>
    <w:p w14:paraId="1642BC8E" w14:textId="62C09D14" w:rsidR="007576D9" w:rsidRPr="00C450B0" w:rsidRDefault="00C450B0" w:rsidP="007576D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7576D9" w:rsidRPr="00C450B0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194841F8" w14:textId="3D94AD3A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outlineLvl w:val="3"/>
        <w:rPr>
          <w:rFonts w:ascii="Garamond" w:hAnsi="Garamond" w:cs="Times New Roman"/>
          <w:bCs/>
          <w:color w:val="000000"/>
          <w:sz w:val="24"/>
          <w:szCs w:val="24"/>
        </w:rPr>
      </w:pPr>
      <w:r w:rsidRPr="00C450B0">
        <w:rPr>
          <w:rFonts w:ascii="Garamond" w:hAnsi="Garamond" w:cs="Times New Roman"/>
          <w:bCs/>
          <w:color w:val="000000"/>
          <w:sz w:val="24"/>
          <w:szCs w:val="24"/>
        </w:rPr>
        <w:t xml:space="preserve">1. Parashtrimi dhe shqyrtimi i </w:t>
      </w:r>
      <w:r w:rsidR="00C450B0" w:rsidRPr="00C450B0">
        <w:rPr>
          <w:rFonts w:ascii="Garamond" w:hAnsi="Garamond" w:cs="Times New Roman"/>
          <w:bCs/>
          <w:color w:val="000000"/>
          <w:sz w:val="24"/>
          <w:szCs w:val="24"/>
        </w:rPr>
        <w:t xml:space="preserve">raportit vjetor të pajtueshmërisë </w:t>
      </w:r>
      <w:r w:rsidRPr="00C450B0">
        <w:rPr>
          <w:rFonts w:ascii="Garamond" w:hAnsi="Garamond" w:cs="Times New Roman"/>
          <w:bCs/>
          <w:color w:val="000000"/>
          <w:sz w:val="24"/>
          <w:szCs w:val="24"/>
        </w:rPr>
        <w:t>për vitin 2025;</w:t>
      </w:r>
    </w:p>
    <w:p w14:paraId="04178B48" w14:textId="13BF8A71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Cambria"/>
          <w:color w:val="000000"/>
          <w:sz w:val="24"/>
          <w:szCs w:val="24"/>
        </w:rPr>
        <w:t xml:space="preserve">- </w:t>
      </w:r>
      <w:r w:rsidRPr="00C450B0">
        <w:rPr>
          <w:rFonts w:ascii="Garamond" w:hAnsi="Garamond" w:cs="Times New Roman"/>
          <w:color w:val="000000"/>
          <w:sz w:val="24"/>
          <w:szCs w:val="24"/>
        </w:rPr>
        <w:t>Në</w:t>
      </w:r>
      <w:r w:rsidRPr="00C450B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zbatim të nenit 72, pika 3,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>germa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“b”</w:t>
      </w:r>
      <w:r w:rsidR="00C450B0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të ligjit nr. 43/2015, “</w:t>
      </w:r>
      <w:r w:rsidRPr="00C450B0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”, të ndryshuar, si dhe të vendimit të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të ERE-s nr. 257, datë 21.12.2020, “Mbi miratimin e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Programit të Pajtueshmërisë </w:t>
      </w:r>
      <w:r w:rsidR="007A1CBE">
        <w:rPr>
          <w:rFonts w:ascii="Garamond" w:hAnsi="Garamond" w:cs="Times New Roman"/>
          <w:color w:val="000000"/>
          <w:sz w:val="24"/>
          <w:szCs w:val="24"/>
        </w:rPr>
        <w:t>t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ë </w:t>
      </w:r>
      <w:r w:rsidR="007A1CBE">
        <w:rPr>
          <w:rFonts w:ascii="Garamond" w:hAnsi="Garamond" w:cs="Times New Roman"/>
          <w:color w:val="000000"/>
          <w:sz w:val="24"/>
          <w:szCs w:val="24"/>
        </w:rPr>
        <w:t>‘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7A1CBE">
        <w:rPr>
          <w:rFonts w:ascii="Garamond" w:hAnsi="Garamond" w:cs="Times New Roman"/>
          <w:color w:val="000000"/>
          <w:sz w:val="24"/>
          <w:szCs w:val="24"/>
        </w:rPr>
        <w:t>’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>.”, Zyrtari i Pajtueshmërisë është ngarkuar të paraqesë çdo vit pranë ERE</w:t>
      </w:r>
      <w:r w:rsidR="00C450B0">
        <w:rPr>
          <w:rFonts w:ascii="Garamond" w:hAnsi="Garamond" w:cs="Times New Roman"/>
          <w:color w:val="000000"/>
          <w:sz w:val="24"/>
          <w:szCs w:val="24"/>
        </w:rPr>
        <w:t>-s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një raport mbi monitorimin dhe zbatimin e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>Programit të Pajtueshmërisë</w:t>
      </w:r>
      <w:r w:rsidR="00C450B0">
        <w:rPr>
          <w:rFonts w:ascii="Garamond" w:hAnsi="Garamond" w:cs="Times New Roman"/>
          <w:color w:val="000000"/>
          <w:sz w:val="24"/>
          <w:szCs w:val="24"/>
        </w:rPr>
        <w:t>. Më datë 15.</w:t>
      </w:r>
      <w:r w:rsidRPr="00C450B0">
        <w:rPr>
          <w:rFonts w:ascii="Garamond" w:hAnsi="Garamond" w:cs="Times New Roman"/>
          <w:color w:val="000000"/>
          <w:sz w:val="24"/>
          <w:szCs w:val="24"/>
        </w:rPr>
        <w:t>7.2026 ka hyrë në fuqi ligji nr. 59/2026, “</w:t>
      </w:r>
      <w:r w:rsidRPr="00C450B0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”, i cili në nenin 87, pika 3,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>germa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“b”, parashikon se Zyrtari i Pajtueshmërisë harton një program pajtueshmërie që përcakton masat për ndalimin e veprimeve diskriminuese, monitoron zbatimin e tij dhe paraqet çdo vit në ERE raportin vjetor përkatës. Në zbatim të nenit 136, pika 2, të ligjit nr. 59/2026, aktet nënligjore të nxjerra në zbatim të ligjit nr. 43/2015, “</w:t>
      </w:r>
      <w:r w:rsidRPr="00C450B0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”, të ndryshuar, vazhdojnë të zbatohen për aq sa nuk bien në kundërshtim me ligjin nr. 59/2026, deri në miratimin e akteve të reja nënligjore. Për rrjedhojë,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Programi i Pajtueshmërisë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i miratuar me vendimin e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450B0">
        <w:rPr>
          <w:rFonts w:ascii="Garamond" w:hAnsi="Garamond" w:cs="Times New Roman"/>
          <w:color w:val="000000"/>
          <w:sz w:val="24"/>
          <w:szCs w:val="24"/>
        </w:rPr>
        <w:t>të ERE-s nr. 257, datë 21.12.2020, vijon të jetë në fuqi dhe të zbatohet.</w:t>
      </w:r>
    </w:p>
    <w:p w14:paraId="164707E0" w14:textId="0CFFC585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Cambria"/>
          <w:color w:val="000000"/>
          <w:sz w:val="24"/>
          <w:szCs w:val="24"/>
        </w:rPr>
        <w:t xml:space="preserve">- </w:t>
      </w:r>
      <w:r w:rsidRPr="00C450B0">
        <w:rPr>
          <w:rFonts w:ascii="Garamond" w:hAnsi="Garamond" w:cs="Times New Roman"/>
          <w:color w:val="000000"/>
          <w:sz w:val="24"/>
          <w:szCs w:val="24"/>
        </w:rPr>
        <w:t>ERE është institucioni përgjegjës për vlerësimin e këtij raporti, si pjesë e funksionit të saj mbikëqyrës mbi pavarësinë funksionale dhe organizative të Operatorit të Sistemit të Shpërndarjes.</w:t>
      </w:r>
    </w:p>
    <w:p w14:paraId="3E05D120" w14:textId="5598401A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outlineLvl w:val="3"/>
        <w:rPr>
          <w:rFonts w:ascii="Garamond" w:hAnsi="Garamond" w:cs="Times New Roman"/>
          <w:bCs/>
          <w:color w:val="000000"/>
          <w:sz w:val="24"/>
          <w:szCs w:val="24"/>
        </w:rPr>
      </w:pPr>
      <w:r w:rsidRPr="00C450B0">
        <w:rPr>
          <w:rFonts w:ascii="Garamond" w:hAnsi="Garamond" w:cs="Times New Roman"/>
          <w:bCs/>
          <w:color w:val="000000"/>
          <w:sz w:val="24"/>
          <w:szCs w:val="24"/>
        </w:rPr>
        <w:t>2. Dorëzimi dhe shqyrtimi i raportit për vitin 2025</w:t>
      </w:r>
    </w:p>
    <w:p w14:paraId="00348DAC" w14:textId="289946BA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Cambria"/>
          <w:color w:val="000000"/>
          <w:sz w:val="24"/>
          <w:szCs w:val="24"/>
        </w:rPr>
        <w:t xml:space="preserve">- </w:t>
      </w:r>
      <w:r w:rsidRPr="00C450B0">
        <w:rPr>
          <w:rFonts w:ascii="Garamond" w:hAnsi="Garamond" w:cs="Times New Roman"/>
          <w:color w:val="000000"/>
          <w:sz w:val="24"/>
          <w:szCs w:val="24"/>
        </w:rPr>
        <w:t>Zyrtari i Pajtueshmërisë i “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., i emëruar me vendimin e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C450B0">
        <w:rPr>
          <w:rFonts w:ascii="Garamond" w:hAnsi="Garamond" w:cs="Times New Roman"/>
          <w:color w:val="000000"/>
          <w:sz w:val="24"/>
          <w:szCs w:val="24"/>
        </w:rPr>
        <w:t>të ERE-s nr. 114, datë 27.</w:t>
      </w:r>
      <w:r w:rsidRPr="00C450B0">
        <w:rPr>
          <w:rFonts w:ascii="Garamond" w:hAnsi="Garamond" w:cs="Times New Roman"/>
          <w:color w:val="000000"/>
          <w:sz w:val="24"/>
          <w:szCs w:val="24"/>
        </w:rPr>
        <w:t>3.2023, me shkresën e protokoll</w:t>
      </w:r>
      <w:r w:rsidR="00C450B0">
        <w:rPr>
          <w:rFonts w:ascii="Garamond" w:hAnsi="Garamond" w:cs="Times New Roman"/>
          <w:color w:val="000000"/>
          <w:sz w:val="24"/>
          <w:szCs w:val="24"/>
        </w:rPr>
        <w:t>uar në ERE me nr. 982, datë 26.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3.2025, ka depozituar “Raportin </w:t>
      </w:r>
      <w:r w:rsidR="00C450B0">
        <w:rPr>
          <w:rFonts w:ascii="Garamond" w:hAnsi="Garamond" w:cs="Times New Roman"/>
          <w:color w:val="000000"/>
          <w:sz w:val="24"/>
          <w:szCs w:val="24"/>
        </w:rPr>
        <w:t>v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jetor mbi monitorimin dhe zbatimin e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Programit të Pajtueshmërisë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për vitin 2025”, në gjuhën shqipe dhe </w:t>
      </w:r>
      <w:r w:rsidR="00C450B0">
        <w:rPr>
          <w:rFonts w:ascii="Garamond" w:hAnsi="Garamond" w:cs="Times New Roman"/>
          <w:color w:val="000000"/>
          <w:sz w:val="24"/>
          <w:szCs w:val="24"/>
        </w:rPr>
        <w:t>angleze.</w:t>
      </w:r>
    </w:p>
    <w:p w14:paraId="7B2BB92D" w14:textId="0F4BF373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Cambria"/>
          <w:color w:val="000000"/>
          <w:sz w:val="24"/>
          <w:szCs w:val="24"/>
        </w:rPr>
        <w:t xml:space="preserve">- </w:t>
      </w:r>
      <w:r w:rsidRPr="00C450B0">
        <w:rPr>
          <w:rFonts w:ascii="Garamond" w:hAnsi="Garamond" w:cs="Times New Roman"/>
          <w:color w:val="000000"/>
          <w:sz w:val="24"/>
          <w:szCs w:val="24"/>
        </w:rPr>
        <w:t>Raporti është publikuar</w:t>
      </w:r>
      <w:r w:rsidR="00C450B0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gjithashtu</w:t>
      </w:r>
      <w:r w:rsidR="00C450B0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në faqen zyrtare të </w:t>
      </w:r>
      <w:r w:rsidR="00C450B0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C450B0">
        <w:rPr>
          <w:rFonts w:ascii="Garamond" w:hAnsi="Garamond" w:cs="Times New Roman"/>
          <w:color w:val="000000"/>
          <w:sz w:val="24"/>
          <w:szCs w:val="24"/>
        </w:rPr>
        <w:t>”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. në gjuhën shqipe dhe angleze. </w:t>
      </w:r>
    </w:p>
    <w:p w14:paraId="576BEE4E" w14:textId="6BB77864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Cambria"/>
          <w:color w:val="000000"/>
          <w:sz w:val="24"/>
          <w:szCs w:val="24"/>
        </w:rPr>
        <w:t xml:space="preserve">- </w:t>
      </w:r>
      <w:r w:rsidRPr="00C450B0">
        <w:rPr>
          <w:rFonts w:ascii="Garamond" w:hAnsi="Garamond" w:cs="Times New Roman"/>
          <w:color w:val="000000"/>
          <w:sz w:val="24"/>
          <w:szCs w:val="24"/>
        </w:rPr>
        <w:t>ERE analizoi dokumentacionin e paraqitur</w:t>
      </w:r>
      <w:r w:rsidR="00C450B0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me qëllim vlerësimin e përmbushjes së detyrimeve që burojnë nga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>Programi i Pajtueshmërisë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, zbatimin e rekomandimeve të lëna në vlerësimin e vitit paraardhës, si dhe aktet e tjera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rregullatore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që lidhen me garantimin e ndarjes dhe pavarësisë funksionale të Operatorit të Sistemit të Shpërndarjes.</w:t>
      </w:r>
    </w:p>
    <w:p w14:paraId="7E82B245" w14:textId="65B0903F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3"/>
        <w:rPr>
          <w:rFonts w:ascii="Garamond" w:hAnsi="Garamond" w:cs="Times New Roman"/>
          <w:bCs/>
          <w:color w:val="000000"/>
          <w:sz w:val="24"/>
          <w:szCs w:val="24"/>
        </w:rPr>
      </w:pPr>
      <w:r w:rsidRPr="00C450B0">
        <w:rPr>
          <w:rFonts w:ascii="Garamond" w:hAnsi="Garamond" w:cs="Times New Roman"/>
          <w:bCs/>
          <w:color w:val="000000"/>
          <w:sz w:val="24"/>
          <w:szCs w:val="24"/>
        </w:rPr>
        <w:t>3. Përmbushja e detyrimeve nga Zyrtari i Pajtueshmërisë për viti</w:t>
      </w:r>
      <w:r w:rsidR="00C450B0">
        <w:rPr>
          <w:rFonts w:ascii="Garamond" w:hAnsi="Garamond" w:cs="Times New Roman"/>
          <w:bCs/>
          <w:color w:val="000000"/>
          <w:sz w:val="24"/>
          <w:szCs w:val="24"/>
        </w:rPr>
        <w:t>n 2025</w:t>
      </w:r>
    </w:p>
    <w:p w14:paraId="76FE0C0E" w14:textId="4AD35DDA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Cambria"/>
          <w:color w:val="000000"/>
          <w:sz w:val="24"/>
          <w:szCs w:val="24"/>
        </w:rPr>
        <w:t xml:space="preserve">-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Nga analiza e raportit dhe dokumentacionit të paraqitur rezulton se gjatë vitit 2025 nuk janë evidentuar raste të ndërhyrjes apo ndikimit që të cenonin pavarësinë organizative dhe vendimmarrëse të </w:t>
      </w:r>
      <w:r w:rsidR="00C450B0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C450B0">
        <w:rPr>
          <w:rFonts w:ascii="Garamond" w:hAnsi="Garamond" w:cs="Times New Roman"/>
          <w:color w:val="000000"/>
          <w:sz w:val="24"/>
          <w:szCs w:val="24"/>
        </w:rPr>
        <w:t>”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>. ose ndarjen funksionale të operatorit.</w:t>
      </w:r>
    </w:p>
    <w:p w14:paraId="0B217332" w14:textId="022A5616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Cambria"/>
          <w:color w:val="000000"/>
          <w:sz w:val="24"/>
          <w:szCs w:val="24"/>
        </w:rPr>
        <w:lastRenderedPageBreak/>
        <w:t xml:space="preserve">-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Zyrtari i Pajtueshmërisë ka ushtruar funksionin në përputhje me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Programin e Pajtueshmërisë </w:t>
      </w:r>
      <w:r w:rsidRPr="00C450B0">
        <w:rPr>
          <w:rFonts w:ascii="Garamond" w:hAnsi="Garamond" w:cs="Times New Roman"/>
          <w:color w:val="000000"/>
          <w:sz w:val="24"/>
          <w:szCs w:val="24"/>
        </w:rPr>
        <w:t>dhe kuadrin ligjor në fuqi, duke monitoruar konfliktin e interesit, proceset vendimmarrëse, respektimin e ndarjes funksionale dhe zbatimin e rekomandimeve të më</w:t>
      </w:r>
      <w:r w:rsidR="00C450B0">
        <w:rPr>
          <w:rFonts w:ascii="Garamond" w:hAnsi="Garamond" w:cs="Times New Roman"/>
          <w:color w:val="000000"/>
          <w:sz w:val="24"/>
          <w:szCs w:val="24"/>
        </w:rPr>
        <w:t>parshme.</w:t>
      </w:r>
    </w:p>
    <w:p w14:paraId="1D4CED41" w14:textId="4E702260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Cambria"/>
          <w:color w:val="000000"/>
          <w:sz w:val="24"/>
          <w:szCs w:val="24"/>
        </w:rPr>
        <w:t xml:space="preserve">-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Janë zhvilluar aktivitete informuese dhe trajnuese për punonjësit mbi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>Programin e Pajtueshmërisë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, trajtimin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jodiskriminues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të përdoruesve të rrjetit, ruajtjen e informacionit të ndjeshëm tregtar dhe res</w:t>
      </w:r>
      <w:r w:rsidR="00C450B0">
        <w:rPr>
          <w:rFonts w:ascii="Garamond" w:hAnsi="Garamond" w:cs="Times New Roman"/>
          <w:color w:val="000000"/>
          <w:sz w:val="24"/>
          <w:szCs w:val="24"/>
        </w:rPr>
        <w:t>pektimin e ndarjes funksionale.</w:t>
      </w:r>
    </w:p>
    <w:p w14:paraId="2B3690E9" w14:textId="388C6AF4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Cambria"/>
          <w:color w:val="000000"/>
          <w:sz w:val="24"/>
          <w:szCs w:val="24"/>
        </w:rPr>
        <w:t xml:space="preserve">-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Raporti evidenton se </w:t>
      </w:r>
      <w:r w:rsidR="00C450B0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C450B0">
        <w:rPr>
          <w:rFonts w:ascii="Garamond" w:hAnsi="Garamond" w:cs="Times New Roman"/>
          <w:color w:val="000000"/>
          <w:sz w:val="24"/>
          <w:szCs w:val="24"/>
        </w:rPr>
        <w:t>”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>. ka vijuar të ushtrojë aktivitetin e shpërndarjes</w:t>
      </w:r>
      <w:r w:rsidR="00C450B0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në përputhje me parimet e ndarjes ligjore, funksionale dhe financiare, duke garantuar trajtim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jodiskriminues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të përdoruesve të rrjetit, transparencë në procedurat e lidhjes dhe përdorimit të rrjetit, si dhe respektimin e pari</w:t>
      </w:r>
      <w:r w:rsidR="00C450B0">
        <w:rPr>
          <w:rFonts w:ascii="Garamond" w:hAnsi="Garamond" w:cs="Times New Roman"/>
          <w:color w:val="000000"/>
          <w:sz w:val="24"/>
          <w:szCs w:val="24"/>
        </w:rPr>
        <w:t>meve të konkurrencës së drejtë.</w:t>
      </w:r>
    </w:p>
    <w:p w14:paraId="6761FA42" w14:textId="4EAA1D73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Cambria"/>
          <w:color w:val="000000"/>
          <w:sz w:val="24"/>
          <w:szCs w:val="24"/>
        </w:rPr>
        <w:t xml:space="preserve">-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Janë raportuar masa për mbrojtjen e informacionit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komercialisht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të ndjeshëm, zhvillimin e platformave digjitale, forcimin e komunikimit me përdoruesit, monitorimin e sigurisë kibernetike, zhvillimin e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vetëprodhimit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dhe monitorimin e shërbimeve të përbashkëta.</w:t>
      </w:r>
    </w:p>
    <w:p w14:paraId="5B356880" w14:textId="75507EE2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3"/>
        <w:rPr>
          <w:rFonts w:ascii="Garamond" w:hAnsi="Garamond" w:cs="Times New Roman"/>
          <w:bCs/>
          <w:color w:val="000000"/>
          <w:sz w:val="24"/>
          <w:szCs w:val="24"/>
        </w:rPr>
      </w:pPr>
      <w:r w:rsidRPr="00C450B0">
        <w:rPr>
          <w:rFonts w:ascii="Garamond" w:hAnsi="Garamond" w:cs="Times New Roman"/>
          <w:bCs/>
          <w:color w:val="000000"/>
          <w:sz w:val="24"/>
          <w:szCs w:val="24"/>
        </w:rPr>
        <w:t>4. Nevoja për përmirësim dhe rekom</w:t>
      </w:r>
      <w:r w:rsidR="00C450B0">
        <w:rPr>
          <w:rFonts w:ascii="Garamond" w:hAnsi="Garamond" w:cs="Times New Roman"/>
          <w:bCs/>
          <w:color w:val="000000"/>
          <w:sz w:val="24"/>
          <w:szCs w:val="24"/>
        </w:rPr>
        <w:t>andime për periudhën pasardhëse</w:t>
      </w:r>
    </w:p>
    <w:p w14:paraId="2AF6DB0E" w14:textId="118FA6B2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Cambria"/>
          <w:color w:val="000000"/>
          <w:sz w:val="24"/>
          <w:szCs w:val="24"/>
        </w:rPr>
        <w:t xml:space="preserve">-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Në kuadër të përmirësimit të vazhdueshëm të zbatimit të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>Programit të Pajtueshmërisë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, ERE vlerëson të nevojshme që </w:t>
      </w:r>
      <w:r w:rsidR="00C450B0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C450B0">
        <w:rPr>
          <w:rFonts w:ascii="Garamond" w:hAnsi="Garamond" w:cs="Times New Roman"/>
          <w:color w:val="000000"/>
          <w:sz w:val="24"/>
          <w:szCs w:val="24"/>
        </w:rPr>
        <w:t>”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. dhe Zyrtari i Pajtueshmërisë të vijojnë marrjen e masave të nevojshme për forcimin e monitorimit, rritjen e transparencës, përmirësimin e raportimit dhe garantimin e zbatimit të plotë të detyrimeve të përcaktuara në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Programin e Pajtueshmërisë </w:t>
      </w:r>
      <w:r w:rsidRPr="00C450B0">
        <w:rPr>
          <w:rFonts w:ascii="Garamond" w:hAnsi="Garamond" w:cs="Times New Roman"/>
          <w:color w:val="000000"/>
          <w:sz w:val="24"/>
          <w:szCs w:val="24"/>
        </w:rPr>
        <w:t>dhe në kuadrin ligjor e rregullator në fuqi.</w:t>
      </w:r>
    </w:p>
    <w:p w14:paraId="5B3E78C8" w14:textId="6964F8B3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Cambria"/>
          <w:color w:val="000000"/>
          <w:sz w:val="24"/>
          <w:szCs w:val="24"/>
        </w:rPr>
        <w:t xml:space="preserve">-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Nga analiza e raportit rezulton se mbeten të nevojshme masa të mëtejshme për përmirësimin e zbatimit të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>Programit të Pajtueshmërisë</w:t>
      </w:r>
      <w:r w:rsidRPr="00C450B0">
        <w:rPr>
          <w:rFonts w:ascii="Garamond" w:hAnsi="Garamond" w:cs="Times New Roman"/>
          <w:color w:val="000000"/>
          <w:sz w:val="24"/>
          <w:szCs w:val="24"/>
        </w:rPr>
        <w:t>, veçanërisht në drejtim të hartimit dhe depozitimit pranë ERE</w:t>
      </w:r>
      <w:r w:rsidR="00C450B0">
        <w:rPr>
          <w:rFonts w:ascii="Garamond" w:hAnsi="Garamond" w:cs="Times New Roman"/>
          <w:color w:val="000000"/>
          <w:sz w:val="24"/>
          <w:szCs w:val="24"/>
        </w:rPr>
        <w:t>-s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të programit vjetor të përcaktuar në pikën 4,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>germa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“b”</w:t>
      </w:r>
      <w:r w:rsidR="00C450B0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>Pro</w:t>
      </w:r>
      <w:r w:rsidR="00C450B0">
        <w:rPr>
          <w:rFonts w:ascii="Garamond" w:hAnsi="Garamond" w:cs="Times New Roman"/>
          <w:color w:val="000000"/>
          <w:sz w:val="24"/>
          <w:szCs w:val="24"/>
        </w:rPr>
        <w:t>gramit të Pajtueshmërisë.</w:t>
      </w:r>
    </w:p>
    <w:p w14:paraId="06AC828D" w14:textId="100967CD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Cambria"/>
          <w:color w:val="000000"/>
          <w:sz w:val="24"/>
          <w:szCs w:val="24"/>
        </w:rPr>
        <w:t xml:space="preserve">- </w:t>
      </w:r>
      <w:r w:rsidRPr="00C450B0">
        <w:rPr>
          <w:rFonts w:ascii="Garamond" w:hAnsi="Garamond" w:cs="Times New Roman"/>
          <w:color w:val="000000"/>
          <w:sz w:val="24"/>
          <w:szCs w:val="24"/>
        </w:rPr>
        <w:t>Vlerësohet e nevojshme vijimi i monitorimit të trajtimit të ankesave dhe raportimi i qartë në raportin pasardhës mbi rastet e tejkalimit të afateve procedurale, shkaqet e ty</w:t>
      </w:r>
      <w:r w:rsidR="00C450B0">
        <w:rPr>
          <w:rFonts w:ascii="Garamond" w:hAnsi="Garamond" w:cs="Times New Roman"/>
          <w:color w:val="000000"/>
          <w:sz w:val="24"/>
          <w:szCs w:val="24"/>
        </w:rPr>
        <w:t>re dhe masat e marra.</w:t>
      </w:r>
    </w:p>
    <w:p w14:paraId="2319124C" w14:textId="012AC30F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Cambria"/>
          <w:color w:val="000000"/>
          <w:sz w:val="24"/>
          <w:szCs w:val="24"/>
        </w:rPr>
        <w:t xml:space="preserve">-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Rekomandohet rifreskimi në kohë reale i faqes zyrtare të internetit të </w:t>
      </w:r>
      <w:r w:rsidR="00C450B0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C450B0">
        <w:rPr>
          <w:rFonts w:ascii="Garamond" w:hAnsi="Garamond" w:cs="Times New Roman"/>
          <w:color w:val="000000"/>
          <w:sz w:val="24"/>
          <w:szCs w:val="24"/>
        </w:rPr>
        <w:t>”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., në përputhje me informacionin e publikuar në aplikacionet elektronike, si dhe mbajtja e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aksesueshme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dhe e për</w:t>
      </w:r>
      <w:r w:rsidR="00C450B0">
        <w:rPr>
          <w:rFonts w:ascii="Garamond" w:hAnsi="Garamond" w:cs="Times New Roman"/>
          <w:color w:val="000000"/>
          <w:sz w:val="24"/>
          <w:szCs w:val="24"/>
        </w:rPr>
        <w:t xml:space="preserve">ditësuar e akteve </w:t>
      </w:r>
      <w:proofErr w:type="spellStart"/>
      <w:r w:rsidR="00C450B0">
        <w:rPr>
          <w:rFonts w:ascii="Garamond" w:hAnsi="Garamond" w:cs="Times New Roman"/>
          <w:color w:val="000000"/>
          <w:sz w:val="24"/>
          <w:szCs w:val="24"/>
        </w:rPr>
        <w:t>rregullatore</w:t>
      </w:r>
      <w:proofErr w:type="spellEnd"/>
      <w:r w:rsidR="00C450B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3DFB47F" w14:textId="6161A2C0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Cambria"/>
          <w:color w:val="000000"/>
          <w:sz w:val="24"/>
          <w:szCs w:val="24"/>
        </w:rPr>
        <w:t xml:space="preserve">- </w:t>
      </w:r>
      <w:r w:rsidRPr="00C450B0">
        <w:rPr>
          <w:rFonts w:ascii="Garamond" w:hAnsi="Garamond" w:cs="Times New Roman"/>
          <w:color w:val="000000"/>
          <w:sz w:val="24"/>
          <w:szCs w:val="24"/>
        </w:rPr>
        <w:t>Rekomandohet</w:t>
      </w:r>
      <w:r w:rsidR="00C450B0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gjithashtu</w:t>
      </w:r>
      <w:r w:rsidR="00C450B0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vijimi i fokusimit në dispozitat thelbësore të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>Programit të Pajtueshmërisë, m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onitorimi i procesit të transferimit të punonjësve, ruajtja e pavarësisë dhe integritetit të Zyrtarit të Pajtueshmërisë, monitorimi i planit të investimeve, projekteve të matësve inteligjentë, procedurave të ndërrimit të furnizuesit, procesit të miratimit të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>Kodit të ri të Shpërndarjes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, përmbushjes së detyrimeve për sigurinë kibernetike, si dhe raportimi mbi zhvillimin e burimeve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vetëprodhuese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81C192C" w14:textId="3355358B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Cambria"/>
          <w:color w:val="000000"/>
          <w:sz w:val="24"/>
          <w:szCs w:val="24"/>
        </w:rPr>
        <w:t xml:space="preserve">-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Në përfundim të shqyrtimit të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Raportit Vjetor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mbi monitorimin dhe zbatimin e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Programit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Pajtueshmërisë </w:t>
      </w:r>
      <w:r w:rsidRPr="00C450B0">
        <w:rPr>
          <w:rFonts w:ascii="Garamond" w:hAnsi="Garamond" w:cs="Times New Roman"/>
          <w:color w:val="000000"/>
          <w:sz w:val="24"/>
          <w:szCs w:val="24"/>
        </w:rPr>
        <w:t>për vitin 2025, si dhe të dokumentacionit shoqërues, vlerësohet se Zyrtari i Pajtueshmërisë i shoqërisë “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. ka përmbushur detyrimet kryesore të përcaktuara në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Programin e Pajtueshmërisë </w:t>
      </w:r>
      <w:r w:rsidRPr="00C450B0">
        <w:rPr>
          <w:rFonts w:ascii="Garamond" w:hAnsi="Garamond" w:cs="Times New Roman"/>
          <w:color w:val="000000"/>
          <w:sz w:val="24"/>
          <w:szCs w:val="24"/>
        </w:rPr>
        <w:t>dhe në kuadrin ligjor e rregullator në fuqi. Megjithatë, mbeten të nevojshme masa të mëtejshme për forcimin e monitorimit, rritjen e transparencës, përmirësimin e raportimit dhe adresimin e çështjeve të evidentuara në vlerësimin e ERE-s.</w:t>
      </w:r>
    </w:p>
    <w:p w14:paraId="38FE66D4" w14:textId="36B338AA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Cambria"/>
          <w:color w:val="000000"/>
          <w:sz w:val="24"/>
          <w:szCs w:val="24"/>
        </w:rPr>
        <w:t xml:space="preserve">-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Për sa më sipër, vlerësohet miratimi i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Raportit Vjetor të Zyrtarit të Pajtueshmërisë </w:t>
      </w:r>
      <w:r w:rsidRPr="00C450B0">
        <w:rPr>
          <w:rFonts w:ascii="Garamond" w:hAnsi="Garamond" w:cs="Times New Roman"/>
          <w:color w:val="000000"/>
          <w:sz w:val="24"/>
          <w:szCs w:val="24"/>
        </w:rPr>
        <w:t>së shoqërisë “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>. për vitin 2025, së bashku me vlerësimet dhe rekomandimet e ERE-s për periudhën pasardhëse.</w:t>
      </w:r>
    </w:p>
    <w:p w14:paraId="5019EF24" w14:textId="10FC1FE1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C450B0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4DA720F3" w14:textId="77777777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0DF80B67" w14:textId="059C9372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450B0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FDA214A" w14:textId="77777777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6E3C20E5" w14:textId="335FAD3E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>1. Miratimin e Raportit Vjetor të Zyrtarit të Pajtueshmërisë së shoqërisë “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>. për vitin 2025</w:t>
      </w:r>
      <w:r w:rsidR="00C450B0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sipas dokumentit bashkëlidhur këtij vendimi.</w:t>
      </w:r>
    </w:p>
    <w:p w14:paraId="13C6EBB4" w14:textId="043CF99D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2. Miratimin e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vlerësimeve dhe rekomandimeve </w:t>
      </w:r>
      <w:r w:rsidRPr="00C450B0">
        <w:rPr>
          <w:rFonts w:ascii="Garamond" w:hAnsi="Garamond" w:cs="Times New Roman"/>
          <w:color w:val="000000"/>
          <w:sz w:val="24"/>
          <w:szCs w:val="24"/>
        </w:rPr>
        <w:t>të ERE-s për vitin 2026, mbi Raportin Vjetor të Zyrtarit të Pajtueshmërisë</w:t>
      </w:r>
      <w:r w:rsidR="00C450B0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sipas dokumentit bashkëlidhur këtij vendimi.</w:t>
      </w:r>
    </w:p>
    <w:p w14:paraId="514D0B44" w14:textId="3BD4599A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>3. Drejtoria e Monitorimit të Tregut dhe Zhvill</w:t>
      </w:r>
      <w:r w:rsidR="00C450B0">
        <w:rPr>
          <w:rFonts w:ascii="Garamond" w:hAnsi="Garamond" w:cs="Times New Roman"/>
          <w:color w:val="000000"/>
          <w:sz w:val="24"/>
          <w:szCs w:val="24"/>
        </w:rPr>
        <w:t xml:space="preserve">imit të Burimeve të </w:t>
      </w:r>
      <w:proofErr w:type="spellStart"/>
      <w:r w:rsidR="00C450B0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të njoftojë Ministrinë </w:t>
      </w:r>
      <w:r w:rsidR="007A1CBE">
        <w:rPr>
          <w:rFonts w:ascii="Garamond" w:hAnsi="Garamond" w:cs="Times New Roman"/>
          <w:color w:val="000000"/>
          <w:sz w:val="24"/>
          <w:szCs w:val="24"/>
        </w:rPr>
        <w:t>e Infrastrukturës dhe Energjisë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, “Operatorin e Sistemit të Shpërndarjes”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., Zyrtarin e Pajtueshmërisë dhe Sekretariatin e Komunitetit të Energjisë për vendimin e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450B0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338B6551" w14:textId="77777777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05BA95FE" w14:textId="65256670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C450B0" w:rsidRPr="00C450B0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C450B0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6218E246" w14:textId="77777777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6FAD8FB0" w14:textId="77777777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DD45D7D" w14:textId="77777777" w:rsidR="007576D9" w:rsidRPr="00C450B0" w:rsidRDefault="007576D9" w:rsidP="007576D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Cs/>
          <w:color w:val="000000"/>
          <w:sz w:val="24"/>
          <w:szCs w:val="24"/>
        </w:rPr>
      </w:pPr>
      <w:bookmarkStart w:id="0" w:name="_Hlk237340276"/>
      <w:r w:rsidRPr="00C450B0">
        <w:rPr>
          <w:rFonts w:ascii="Garamond" w:hAnsi="Garamond" w:cs="Book Antiqua"/>
          <w:bCs/>
          <w:color w:val="000000"/>
          <w:sz w:val="24"/>
          <w:szCs w:val="24"/>
        </w:rPr>
        <w:t>NË MUNGESË DHE ME AUTORIZIM</w:t>
      </w:r>
    </w:p>
    <w:p w14:paraId="67135794" w14:textId="77777777" w:rsidR="007576D9" w:rsidRPr="00C450B0" w:rsidRDefault="007576D9" w:rsidP="007576D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Cs/>
          <w:color w:val="000000"/>
          <w:sz w:val="24"/>
          <w:szCs w:val="24"/>
        </w:rPr>
      </w:pPr>
      <w:r w:rsidRPr="00C450B0">
        <w:rPr>
          <w:rFonts w:ascii="Garamond" w:hAnsi="Garamond" w:cs="Book Antiqua"/>
          <w:bCs/>
          <w:color w:val="000000"/>
          <w:sz w:val="24"/>
          <w:szCs w:val="24"/>
        </w:rPr>
        <w:t>ANËTAR I BORDIT</w:t>
      </w:r>
    </w:p>
    <w:p w14:paraId="6C13BA6E" w14:textId="77777777" w:rsidR="007576D9" w:rsidRPr="00C450B0" w:rsidRDefault="007576D9" w:rsidP="007576D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/>
          <w:bCs/>
          <w:color w:val="000000"/>
          <w:sz w:val="24"/>
          <w:szCs w:val="24"/>
        </w:rPr>
      </w:pPr>
      <w:proofErr w:type="spellStart"/>
      <w:r w:rsidRPr="00C450B0">
        <w:rPr>
          <w:rFonts w:ascii="Garamond" w:hAnsi="Garamond" w:cs="Book Antiqua"/>
          <w:b/>
          <w:bCs/>
          <w:color w:val="000000"/>
          <w:sz w:val="24"/>
          <w:szCs w:val="24"/>
        </w:rPr>
        <w:t>Petraq</w:t>
      </w:r>
      <w:proofErr w:type="spellEnd"/>
      <w:r w:rsidRPr="00C450B0">
        <w:rPr>
          <w:rFonts w:ascii="Garamond" w:hAnsi="Garamond" w:cs="Book Antiqua"/>
          <w:b/>
          <w:bCs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Book Antiqua"/>
          <w:b/>
          <w:bCs/>
          <w:color w:val="000000"/>
          <w:sz w:val="24"/>
          <w:szCs w:val="24"/>
        </w:rPr>
        <w:t>Lika</w:t>
      </w:r>
      <w:proofErr w:type="spellEnd"/>
    </w:p>
    <w:bookmarkEnd w:id="0"/>
    <w:p w14:paraId="3971A48A" w14:textId="77777777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7C2148E" w14:textId="758793C0" w:rsidR="007576D9" w:rsidRPr="00296765" w:rsidRDefault="00296765" w:rsidP="007576D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296765">
        <w:rPr>
          <w:rFonts w:ascii="Garamond" w:hAnsi="Garamond" w:cs="Times New Roman"/>
          <w:bCs/>
          <w:color w:val="000000"/>
          <w:sz w:val="24"/>
          <w:szCs w:val="24"/>
        </w:rPr>
        <w:t xml:space="preserve">VLERËSIMI I RAPORTIT VJETOR TË ZYRTARIT TË PAJTUESHMËRISË </w:t>
      </w:r>
      <w:r w:rsidR="007A1CBE">
        <w:rPr>
          <w:rFonts w:ascii="Garamond" w:hAnsi="Garamond" w:cs="Times New Roman"/>
          <w:bCs/>
          <w:color w:val="000000"/>
          <w:sz w:val="24"/>
          <w:szCs w:val="24"/>
        </w:rPr>
        <w:t>T</w:t>
      </w:r>
      <w:r w:rsidRPr="00296765">
        <w:rPr>
          <w:rFonts w:ascii="Garamond" w:hAnsi="Garamond" w:cs="Times New Roman"/>
          <w:bCs/>
          <w:color w:val="000000"/>
          <w:sz w:val="24"/>
          <w:szCs w:val="24"/>
        </w:rPr>
        <w:t>Ë OPERATORIT TË SISTEMIT TË SHPËRNDARJES PËR VITIN 2025</w:t>
      </w:r>
    </w:p>
    <w:p w14:paraId="4B9B5DEF" w14:textId="77777777" w:rsidR="007576D9" w:rsidRPr="00296765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68A4B64" w14:textId="77777777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C450B0">
        <w:rPr>
          <w:rFonts w:ascii="Garamond" w:hAnsi="Garamond" w:cs="Times New Roman"/>
          <w:bCs/>
          <w:color w:val="000000"/>
          <w:sz w:val="24"/>
          <w:szCs w:val="24"/>
        </w:rPr>
        <w:t xml:space="preserve">VLERËSON: </w:t>
      </w:r>
    </w:p>
    <w:p w14:paraId="227B0A74" w14:textId="70AF5DC9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>Në vijim të shqyrtimit të raportit vjetor për vitin 2025</w:t>
      </w:r>
      <w:r w:rsidR="00296765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në zbatim të </w:t>
      </w:r>
      <w:r w:rsidR="00296765" w:rsidRPr="00C450B0">
        <w:rPr>
          <w:rFonts w:ascii="Garamond" w:hAnsi="Garamond" w:cs="Times New Roman"/>
          <w:color w:val="000000"/>
          <w:sz w:val="24"/>
          <w:szCs w:val="24"/>
        </w:rPr>
        <w:t xml:space="preserve">Programit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296765" w:rsidRPr="00C450B0">
        <w:rPr>
          <w:rFonts w:ascii="Garamond" w:hAnsi="Garamond" w:cs="Times New Roman"/>
          <w:color w:val="000000"/>
          <w:sz w:val="24"/>
          <w:szCs w:val="24"/>
        </w:rPr>
        <w:t>Pajtueshmërisë</w:t>
      </w:r>
      <w:r w:rsidRPr="00C450B0">
        <w:rPr>
          <w:rFonts w:ascii="Garamond" w:hAnsi="Garamond" w:cs="Times New Roman"/>
          <w:color w:val="000000"/>
          <w:sz w:val="24"/>
          <w:szCs w:val="24"/>
        </w:rPr>
        <w:t>, Bordi i ERE-s</w:t>
      </w:r>
      <w:r w:rsidR="00296765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konstaton:</w:t>
      </w:r>
    </w:p>
    <w:p w14:paraId="4FD8C445" w14:textId="4830667D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1. Përmbushjen e detyrimeve ligjore dhe institucionale për dorëzimin dhe publikimin e raportit në gjuhën shqipe dhe angleze, si dhe publikimin e tij në faqen zyrtare të internetit të operatorit </w:t>
      </w:r>
      <w:r w:rsidR="00296765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296765">
        <w:rPr>
          <w:rFonts w:ascii="Garamond" w:hAnsi="Garamond" w:cs="Times New Roman"/>
          <w:color w:val="000000"/>
          <w:sz w:val="24"/>
          <w:szCs w:val="24"/>
        </w:rPr>
        <w:t>”</w:t>
      </w:r>
      <w:r w:rsidR="0029676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96765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29676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B5C9609" w14:textId="26667DAB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>2. Zbatimin e një metodologjie të strukturuar kontrolli për mbledhjen dhe analizimin e informacionit, përfshirë monitorimin e proceseve vendimmarrëse të operatorit, kontratave, ankesave dhe të dhënave të raportu</w:t>
      </w:r>
      <w:r w:rsidR="00296765">
        <w:rPr>
          <w:rFonts w:ascii="Garamond" w:hAnsi="Garamond" w:cs="Times New Roman"/>
          <w:color w:val="000000"/>
          <w:sz w:val="24"/>
          <w:szCs w:val="24"/>
        </w:rPr>
        <w:t>ara nga strukturat e brendshme.</w:t>
      </w:r>
    </w:p>
    <w:p w14:paraId="0DCAB35C" w14:textId="2B287AC0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3. Ndarjen e qartë funksionale dhe organizative të </w:t>
      </w:r>
      <w:r w:rsidR="00296765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296765">
        <w:rPr>
          <w:rFonts w:ascii="Garamond" w:hAnsi="Garamond" w:cs="Times New Roman"/>
          <w:color w:val="000000"/>
          <w:sz w:val="24"/>
          <w:szCs w:val="24"/>
        </w:rPr>
        <w:t>”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. nga strukturat e integruara vertikalisht, si dhe përforcimin e pavarësisë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operacionale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përmes miratimit të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organigramës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së re dhe vendimeve të Këshillit Mbikëqyrës.</w:t>
      </w:r>
    </w:p>
    <w:p w14:paraId="6C5DFF60" w14:textId="54BB0CBE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>4. Zbatimin e kërkesave të transparencës përmes përmirësimit të komunikimit publik, funksionalizimit të identitetit vizual dhe prezantimin institucional</w:t>
      </w:r>
      <w:r w:rsidR="00296765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strukturimit të qartë të përmbajtjes publike, përmirësimit dhe shtimit të shërbimeve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inovative</w:t>
      </w:r>
      <w:proofErr w:type="spellEnd"/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duke garantuar shërbime më të shpejta dhe transparente për konsumatorët, si dhe angazhimin për përmirësimin e rubrikave të informacionit publik mbi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performancën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dhe investimet.</w:t>
      </w:r>
    </w:p>
    <w:p w14:paraId="3F1012AC" w14:textId="2F42F861" w:rsidR="007576D9" w:rsidRPr="00C450B0" w:rsidRDefault="007A1CBE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REKOMANDON</w:t>
      </w:r>
      <w:r w:rsidR="007576D9" w:rsidRPr="00C450B0">
        <w:rPr>
          <w:rFonts w:ascii="Garamond" w:hAnsi="Garamond" w:cs="Times New Roman"/>
          <w:bCs/>
          <w:color w:val="000000"/>
          <w:sz w:val="24"/>
          <w:szCs w:val="24"/>
        </w:rPr>
        <w:t>:</w:t>
      </w:r>
    </w:p>
    <w:p w14:paraId="66A91724" w14:textId="3CDC7428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>Në funksion të përmirësimit të zbatimit të Programit të Pajtueshmërisë, për periudhën pasardhëse (vitin 2026) Bordi i ERE-s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për Zyrtarin e Pajtueshmërisë të </w:t>
      </w:r>
      <w:r w:rsidR="007A1CBE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7A1CBE">
        <w:rPr>
          <w:rFonts w:ascii="Garamond" w:hAnsi="Garamond" w:cs="Times New Roman"/>
          <w:color w:val="000000"/>
          <w:sz w:val="24"/>
          <w:szCs w:val="24"/>
        </w:rPr>
        <w:t>”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>. rekomandon:</w:t>
      </w:r>
    </w:p>
    <w:p w14:paraId="7FE9A4EE" w14:textId="4450C0A5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1. Në zbatim të pikës 4, </w:t>
      </w:r>
      <w:r w:rsidR="007A1CBE" w:rsidRPr="00C450B0">
        <w:rPr>
          <w:rFonts w:ascii="Garamond" w:hAnsi="Garamond" w:cs="Times New Roman"/>
          <w:color w:val="000000"/>
          <w:sz w:val="24"/>
          <w:szCs w:val="24"/>
        </w:rPr>
        <w:t>germa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A1CBE">
        <w:rPr>
          <w:rFonts w:ascii="Garamond" w:hAnsi="Garamond" w:cs="Times New Roman"/>
          <w:color w:val="000000"/>
          <w:sz w:val="24"/>
          <w:szCs w:val="24"/>
        </w:rPr>
        <w:t>“</w:t>
      </w:r>
      <w:r w:rsidRPr="00C450B0">
        <w:rPr>
          <w:rFonts w:ascii="Garamond" w:hAnsi="Garamond" w:cs="Times New Roman"/>
          <w:color w:val="000000"/>
          <w:sz w:val="24"/>
          <w:szCs w:val="24"/>
        </w:rPr>
        <w:t>b</w:t>
      </w:r>
      <w:r w:rsidR="007A1CBE">
        <w:rPr>
          <w:rFonts w:ascii="Garamond" w:hAnsi="Garamond" w:cs="Times New Roman"/>
          <w:color w:val="000000"/>
          <w:sz w:val="24"/>
          <w:szCs w:val="24"/>
        </w:rPr>
        <w:t>”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A1CBE" w:rsidRPr="00C450B0">
        <w:rPr>
          <w:rFonts w:ascii="Garamond" w:hAnsi="Garamond" w:cs="Times New Roman"/>
          <w:color w:val="000000"/>
          <w:sz w:val="24"/>
          <w:szCs w:val="24"/>
        </w:rPr>
        <w:t>të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A1CBE" w:rsidRPr="00C450B0">
        <w:rPr>
          <w:rFonts w:ascii="Garamond" w:hAnsi="Garamond" w:cs="Times New Roman"/>
          <w:color w:val="000000"/>
          <w:sz w:val="24"/>
          <w:szCs w:val="24"/>
        </w:rPr>
        <w:t xml:space="preserve">Programit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7A1CBE" w:rsidRPr="00C450B0">
        <w:rPr>
          <w:rFonts w:ascii="Garamond" w:hAnsi="Garamond" w:cs="Times New Roman"/>
          <w:color w:val="000000"/>
          <w:sz w:val="24"/>
          <w:szCs w:val="24"/>
        </w:rPr>
        <w:t>Pajtueshmërisë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="007A1CBE" w:rsidRPr="00C450B0">
        <w:rPr>
          <w:rFonts w:ascii="Garamond" w:hAnsi="Garamond" w:cs="Calibri"/>
          <w:i/>
          <w:iCs/>
          <w:color w:val="000000"/>
          <w:sz w:val="24"/>
          <w:szCs w:val="24"/>
        </w:rPr>
        <w:t xml:space="preserve"> </w:t>
      </w:r>
      <w:r w:rsidRPr="00C450B0">
        <w:rPr>
          <w:rFonts w:ascii="Garamond" w:hAnsi="Garamond" w:cs="Times New Roman"/>
          <w:color w:val="000000"/>
          <w:sz w:val="24"/>
          <w:szCs w:val="24"/>
        </w:rPr>
        <w:t>Zyrtari i Pajtueshmërisë të hartojë dhe të depozitojë në ERE një program vjetor i cili përcakton masat që do të merren për të siguruar ndalimin e veprimeve diskriminuese, si dhe realizimin e objektivave kryesorë të shoqërisë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të cilat ndikojnë drejtpërdrejt në aktivitetin ekonomik e financiar të saj sipas kapitujve të përcaktuar në këtë pikë.</w:t>
      </w:r>
    </w:p>
    <w:p w14:paraId="7AA4B362" w14:textId="1DA9FADF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r w:rsidRPr="007A1CBE">
        <w:rPr>
          <w:rFonts w:ascii="Garamond" w:hAnsi="Garamond" w:cs="Times New Roman"/>
          <w:i/>
          <w:color w:val="000000"/>
          <w:sz w:val="24"/>
          <w:szCs w:val="24"/>
        </w:rPr>
        <w:t>Monitorimi për të zbatuar parimet e objektivitetit, transparencës dhe paanshmërisë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në ushtrimin e veprimtarisë së </w:t>
      </w:r>
      <w:r w:rsidR="007A1CBE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7A1CBE">
        <w:rPr>
          <w:rFonts w:ascii="Garamond" w:hAnsi="Garamond" w:cs="Times New Roman"/>
          <w:color w:val="000000"/>
          <w:sz w:val="24"/>
          <w:szCs w:val="24"/>
        </w:rPr>
        <w:t>”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>, duke garantuar trajtimin e ankesave në përputhje me procedurat e miratuara. Duke qenë se nga ana e Zyrtarit janë evidentuar tejkalime të afateve procedurale për</w:t>
      </w:r>
      <w:r w:rsidR="007A1CB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sa i </w:t>
      </w:r>
      <w:r w:rsidRPr="00C450B0">
        <w:rPr>
          <w:rFonts w:ascii="Garamond" w:hAnsi="Garamond" w:cs="Times New Roman"/>
          <w:color w:val="000000"/>
          <w:sz w:val="24"/>
          <w:szCs w:val="24"/>
        </w:rPr>
        <w:lastRenderedPageBreak/>
        <w:t>përket trajtimit të ankesave nga përdoruesit e rrjetit për vitin 2025, të depozitojë në ERE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në raportin e vitit 2026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të evidentuar qartë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numrin e rasteve të tilla së bashku me shpjegimet përkatëse mbi vonesat e shkaktuara dhe masat e marra prej tij për vitin paraardhës dhe atë aktual të raportimit.</w:t>
      </w:r>
    </w:p>
    <w:p w14:paraId="027A99B1" w14:textId="766EDDAF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r w:rsidRPr="007A1CBE">
        <w:rPr>
          <w:rFonts w:ascii="Garamond" w:hAnsi="Garamond" w:cs="Times New Roman"/>
          <w:i/>
          <w:color w:val="000000"/>
          <w:sz w:val="24"/>
          <w:szCs w:val="24"/>
        </w:rPr>
        <w:t>Rifreskimi i faqes zyrtare në të njëjtën kohë me aplikacionin e të licencuarit</w:t>
      </w:r>
      <w:r w:rsidRPr="00C450B0">
        <w:rPr>
          <w:rFonts w:ascii="Garamond" w:hAnsi="Garamond" w:cs="Times New Roman"/>
          <w:color w:val="000000"/>
          <w:sz w:val="24"/>
          <w:szCs w:val="24"/>
        </w:rPr>
        <w:t>, me qëllim informimin në kohë reale dhe nëpërmjet të gjitha kanaleve të informimit të konsumatorëve të cilët preken nga shkëputjet e energjisë elektrike dhe çdo problematikë tjetër. Gjithashtu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kategoria me aktet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rregullatore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në faqen zyrtare të </w:t>
      </w:r>
      <w:r w:rsidR="007A1CBE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7A1CBE">
        <w:rPr>
          <w:rFonts w:ascii="Garamond" w:hAnsi="Garamond" w:cs="Times New Roman"/>
          <w:color w:val="000000"/>
          <w:sz w:val="24"/>
          <w:szCs w:val="24"/>
        </w:rPr>
        <w:t>”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. të jetë e rifreskuar dhe e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aksesueshme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5542E45" w14:textId="7FDC0EAA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4. </w:t>
      </w:r>
      <w:r w:rsidRPr="007A1CBE">
        <w:rPr>
          <w:rFonts w:ascii="Garamond" w:hAnsi="Garamond" w:cs="Times New Roman"/>
          <w:i/>
          <w:color w:val="000000"/>
          <w:sz w:val="24"/>
          <w:szCs w:val="24"/>
        </w:rPr>
        <w:t>Fokusimi në çështjet kyçe të Programit të Pajtueshmërisë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. Zyrtari i Pajtueshmërisë të sigurojë që raportimi vjetor të përqendrohet mbi dispozitat thelbësore të programit, të jetë i qartë, objektiv dhe të pasqyrojë drejtpërdrejt zbatimin e detyrimeve ligjore dhe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rregullatore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. Ky fokus të mbështesë funksionin mbikëqyrës të ERE-s dhe të garantojë një proces raportimi </w:t>
      </w:r>
      <w:r w:rsidR="007A1CBE">
        <w:rPr>
          <w:rFonts w:ascii="Garamond" w:hAnsi="Garamond" w:cs="Times New Roman"/>
          <w:color w:val="000000"/>
          <w:sz w:val="24"/>
          <w:szCs w:val="24"/>
        </w:rPr>
        <w:t>transparent dhe të qëndrueshëm.</w:t>
      </w:r>
    </w:p>
    <w:p w14:paraId="6D6505F2" w14:textId="45A49039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5. </w:t>
      </w:r>
      <w:r w:rsidRPr="007A1CBE">
        <w:rPr>
          <w:rFonts w:ascii="Garamond" w:hAnsi="Garamond" w:cs="Times New Roman"/>
          <w:i/>
          <w:color w:val="000000"/>
          <w:sz w:val="24"/>
          <w:szCs w:val="24"/>
        </w:rPr>
        <w:t xml:space="preserve">Monitorimi i procesit të krijimit të portalit </w:t>
      </w:r>
      <w:proofErr w:type="spellStart"/>
      <w:r w:rsidRPr="007A1CBE">
        <w:rPr>
          <w:rFonts w:ascii="Garamond" w:hAnsi="Garamond" w:cs="Times New Roman"/>
          <w:i/>
          <w:color w:val="000000"/>
          <w:sz w:val="24"/>
          <w:szCs w:val="24"/>
        </w:rPr>
        <w:t>online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nga ana e </w:t>
      </w:r>
      <w:r w:rsidR="007A1CBE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7A1CBE">
        <w:rPr>
          <w:rFonts w:ascii="Garamond" w:hAnsi="Garamond" w:cs="Times New Roman"/>
          <w:color w:val="000000"/>
          <w:sz w:val="24"/>
          <w:szCs w:val="24"/>
        </w:rPr>
        <w:t>”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. për aplikimet për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vetëprodhuesit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e energjisë elektrike nga burimet e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sipas afateve të përcaktuara në neni</w:t>
      </w:r>
      <w:r w:rsidR="007A1CBE">
        <w:rPr>
          <w:rFonts w:ascii="Garamond" w:hAnsi="Garamond" w:cs="Times New Roman"/>
          <w:color w:val="000000"/>
          <w:sz w:val="24"/>
          <w:szCs w:val="24"/>
        </w:rPr>
        <w:t>n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5, pika 2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A1CBE" w:rsidRPr="00C450B0">
        <w:rPr>
          <w:rFonts w:ascii="Garamond" w:hAnsi="Garamond" w:cs="Times New Roman"/>
          <w:color w:val="000000"/>
          <w:sz w:val="24"/>
          <w:szCs w:val="24"/>
        </w:rPr>
        <w:t>të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-së </w:t>
      </w:r>
      <w:r w:rsidR="007A1CBE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C450B0">
        <w:rPr>
          <w:rFonts w:ascii="Garamond" w:hAnsi="Garamond" w:cs="Times New Roman"/>
          <w:color w:val="000000"/>
          <w:sz w:val="24"/>
          <w:szCs w:val="24"/>
        </w:rPr>
        <w:t>368/2026.</w:t>
      </w:r>
    </w:p>
    <w:p w14:paraId="0072AD41" w14:textId="59821560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6. </w:t>
      </w:r>
      <w:r w:rsidRPr="007A1CBE">
        <w:rPr>
          <w:rFonts w:ascii="Garamond" w:hAnsi="Garamond" w:cs="Times New Roman"/>
          <w:i/>
          <w:color w:val="000000"/>
          <w:sz w:val="24"/>
          <w:szCs w:val="24"/>
        </w:rPr>
        <w:t xml:space="preserve">Monitorimi i procesit të krijimit dhe administrimit të një regjistri elektronik të mbledhjes dhe përpunimit të </w:t>
      </w:r>
      <w:proofErr w:type="spellStart"/>
      <w:r w:rsidRPr="007A1CBE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7A1CBE">
        <w:rPr>
          <w:rFonts w:ascii="Garamond" w:hAnsi="Garamond" w:cs="Times New Roman"/>
          <w:i/>
          <w:color w:val="000000"/>
          <w:sz w:val="24"/>
          <w:szCs w:val="24"/>
        </w:rPr>
        <w:t xml:space="preserve"> dhënave në kohë reale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nga ana e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C20F2B">
        <w:rPr>
          <w:rFonts w:ascii="Garamond" w:hAnsi="Garamond" w:cs="Times New Roman"/>
          <w:color w:val="000000"/>
          <w:sz w:val="24"/>
          <w:szCs w:val="24"/>
        </w:rPr>
        <w:t>-së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, me qëllim krijimin dhe administrimin e një baze të dhënash për prodhimin dhe konsumin e energjisë elektrike nga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vetëprodhuesit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e energjisë elektrike nga burime të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sipas afateve të përcaktuara në nenit 10, pika 1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A1CBE" w:rsidRPr="00C450B0">
        <w:rPr>
          <w:rFonts w:ascii="Garamond" w:hAnsi="Garamond" w:cs="Times New Roman"/>
          <w:color w:val="000000"/>
          <w:sz w:val="24"/>
          <w:szCs w:val="24"/>
        </w:rPr>
        <w:t>të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-së </w:t>
      </w:r>
      <w:r w:rsidR="007A1CBE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C450B0">
        <w:rPr>
          <w:rFonts w:ascii="Garamond" w:hAnsi="Garamond" w:cs="Times New Roman"/>
          <w:color w:val="000000"/>
          <w:sz w:val="24"/>
          <w:szCs w:val="24"/>
        </w:rPr>
        <w:t>368/2026.</w:t>
      </w:r>
    </w:p>
    <w:p w14:paraId="5AFA25F8" w14:textId="165E6118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7. </w:t>
      </w:r>
      <w:r w:rsidRPr="007A1CBE">
        <w:rPr>
          <w:rFonts w:ascii="Garamond" w:hAnsi="Garamond" w:cs="Times New Roman"/>
          <w:i/>
          <w:color w:val="000000"/>
          <w:sz w:val="24"/>
          <w:szCs w:val="24"/>
        </w:rPr>
        <w:t xml:space="preserve">Monitorimi i </w:t>
      </w:r>
      <w:proofErr w:type="spellStart"/>
      <w:r w:rsidRPr="007A1CBE">
        <w:rPr>
          <w:rFonts w:ascii="Garamond" w:hAnsi="Garamond" w:cs="Times New Roman"/>
          <w:i/>
          <w:color w:val="000000"/>
          <w:sz w:val="24"/>
          <w:szCs w:val="24"/>
        </w:rPr>
        <w:t>targetit</w:t>
      </w:r>
      <w:proofErr w:type="spellEnd"/>
      <w:r w:rsidRPr="007A1CBE">
        <w:rPr>
          <w:rFonts w:ascii="Garamond" w:hAnsi="Garamond" w:cs="Times New Roman"/>
          <w:i/>
          <w:color w:val="000000"/>
          <w:sz w:val="24"/>
          <w:szCs w:val="24"/>
        </w:rPr>
        <w:t xml:space="preserve"> të humbjeve</w:t>
      </w:r>
      <w:r w:rsidRPr="007A1CBE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r w:rsidRPr="007A1CBE">
        <w:rPr>
          <w:rFonts w:ascii="Garamond" w:hAnsi="Garamond" w:cs="Times New Roman"/>
          <w:i/>
          <w:color w:val="000000"/>
          <w:sz w:val="24"/>
          <w:szCs w:val="24"/>
        </w:rPr>
        <w:t>në rrjetin e shpërndarjes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për vitin 2026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për</w:t>
      </w:r>
      <w:r w:rsidR="007A1CB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450B0">
        <w:rPr>
          <w:rFonts w:ascii="Garamond" w:hAnsi="Garamond" w:cs="Times New Roman"/>
          <w:color w:val="000000"/>
          <w:sz w:val="24"/>
          <w:szCs w:val="24"/>
        </w:rPr>
        <w:t>sa përc</w:t>
      </w:r>
      <w:r w:rsidR="007A1CBE">
        <w:rPr>
          <w:rFonts w:ascii="Garamond" w:hAnsi="Garamond" w:cs="Times New Roman"/>
          <w:color w:val="000000"/>
          <w:sz w:val="24"/>
          <w:szCs w:val="24"/>
        </w:rPr>
        <w:t xml:space="preserve">aktuar në </w:t>
      </w:r>
      <w:proofErr w:type="spellStart"/>
      <w:r w:rsidR="007A1CBE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7A1CBE">
        <w:rPr>
          <w:rFonts w:ascii="Garamond" w:hAnsi="Garamond" w:cs="Times New Roman"/>
          <w:color w:val="000000"/>
          <w:sz w:val="24"/>
          <w:szCs w:val="24"/>
        </w:rPr>
        <w:t xml:space="preserve">-në nr. 758, datë 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9.12.2021,”Për një ndryshim në vendimin nr. 253, datë 24.4.2019, të Këshillit të Ministrave, </w:t>
      </w:r>
      <w:r w:rsidR="007A1CBE">
        <w:rPr>
          <w:rFonts w:ascii="Garamond" w:hAnsi="Garamond" w:cs="Times New Roman"/>
          <w:color w:val="000000"/>
          <w:sz w:val="24"/>
          <w:szCs w:val="24"/>
        </w:rPr>
        <w:t>‘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Për miratimin e planit të konsolidimit financiar të sektorit publik,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elektroenergjitik</w:t>
      </w:r>
      <w:proofErr w:type="spellEnd"/>
      <w:r w:rsidR="007A1CBE">
        <w:rPr>
          <w:rFonts w:ascii="Garamond" w:hAnsi="Garamond" w:cs="Times New Roman"/>
          <w:color w:val="000000"/>
          <w:sz w:val="24"/>
          <w:szCs w:val="24"/>
        </w:rPr>
        <w:t>’</w:t>
      </w:r>
      <w:r w:rsidRPr="00C450B0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243D102E" w14:textId="052FE6E7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8. </w:t>
      </w:r>
      <w:r w:rsidRPr="007A1CBE">
        <w:rPr>
          <w:rFonts w:ascii="Garamond" w:hAnsi="Garamond" w:cs="Times New Roman"/>
          <w:i/>
          <w:color w:val="000000"/>
          <w:sz w:val="24"/>
          <w:szCs w:val="24"/>
        </w:rPr>
        <w:t>Monitorimi i zbatimit të “</w:t>
      </w:r>
      <w:r w:rsidRPr="007A1CB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Rregullores për kriteret standarde të cilësisë së shërbimit të furnizimit dhe </w:t>
      </w:r>
      <w:proofErr w:type="spellStart"/>
      <w:r w:rsidRPr="007A1CBE">
        <w:rPr>
          <w:rFonts w:ascii="Garamond" w:hAnsi="Garamond" w:cs="Times New Roman"/>
          <w:i/>
          <w:iCs/>
          <w:color w:val="000000"/>
          <w:sz w:val="24"/>
          <w:szCs w:val="24"/>
        </w:rPr>
        <w:t>performancës</w:t>
      </w:r>
      <w:proofErr w:type="spellEnd"/>
      <w:r w:rsidRPr="007A1CB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së sigurisë së rrjetit të shpërndarjes së energjisë elektrike</w:t>
      </w:r>
      <w:r w:rsidRPr="007A1CBE">
        <w:rPr>
          <w:rFonts w:ascii="Garamond" w:hAnsi="Garamond" w:cs="Times New Roman"/>
          <w:color w:val="000000"/>
          <w:sz w:val="24"/>
          <w:szCs w:val="24"/>
        </w:rPr>
        <w:t>”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7A1CBE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7A1CBE">
        <w:rPr>
          <w:rFonts w:ascii="Garamond" w:hAnsi="Garamond" w:cs="Times New Roman"/>
          <w:color w:val="000000"/>
          <w:sz w:val="24"/>
          <w:szCs w:val="24"/>
        </w:rPr>
        <w:t>mir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atuar me vendimin e </w:t>
      </w:r>
      <w:r w:rsidR="007A1CBE" w:rsidRPr="00C450B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450B0">
        <w:rPr>
          <w:rFonts w:ascii="Garamond" w:hAnsi="Garamond" w:cs="Times New Roman"/>
          <w:color w:val="000000"/>
          <w:sz w:val="24"/>
          <w:szCs w:val="24"/>
        </w:rPr>
        <w:t>të ERE-s nr. 181/2017, e ndryshuar me vendimin nr. 97/2021, e ndryshuar me vendimin nr. 165/2026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ku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ndër të tjera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në nenin 8, pika 8.3 e saj, ngarkohet </w:t>
      </w:r>
      <w:r w:rsidR="007A1CBE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7A1CBE">
        <w:rPr>
          <w:rFonts w:ascii="Garamond" w:hAnsi="Garamond" w:cs="Times New Roman"/>
          <w:color w:val="000000"/>
          <w:sz w:val="24"/>
          <w:szCs w:val="24"/>
        </w:rPr>
        <w:t>”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. për të publikuar në faqen zyrtare të </w:t>
      </w:r>
      <w:proofErr w:type="spellStart"/>
      <w:r w:rsidRPr="007A1CBE">
        <w:rPr>
          <w:rFonts w:ascii="Garamond" w:hAnsi="Garamond" w:cs="Times New Roman"/>
          <w:i/>
          <w:color w:val="000000"/>
          <w:sz w:val="24"/>
          <w:szCs w:val="24"/>
        </w:rPr>
        <w:t>web</w:t>
      </w:r>
      <w:proofErr w:type="spellEnd"/>
      <w:r w:rsidR="007A1CBE">
        <w:rPr>
          <w:rFonts w:ascii="Garamond" w:hAnsi="Garamond" w:cs="Times New Roman"/>
          <w:color w:val="000000"/>
          <w:sz w:val="24"/>
          <w:szCs w:val="24"/>
        </w:rPr>
        <w:t>-it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treguesit e realizuar të cilësisë së shërbimit çdo tre muaj, ndër</w:t>
      </w:r>
      <w:bookmarkStart w:id="1" w:name="_GoBack"/>
      <w:bookmarkEnd w:id="1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sa në muajin janar të vitit pasardhës të publikojë treguesit vjetorë të cilësisë së shërbimit të realizuar për vitin pararendës. </w:t>
      </w:r>
    </w:p>
    <w:p w14:paraId="5785D16E" w14:textId="54B6E8CE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bCs/>
          <w:color w:val="000000"/>
          <w:sz w:val="24"/>
          <w:szCs w:val="24"/>
        </w:rPr>
        <w:t xml:space="preserve">9. </w:t>
      </w:r>
      <w:r w:rsidRPr="007A1CBE">
        <w:rPr>
          <w:rFonts w:ascii="Garamond" w:hAnsi="Garamond" w:cs="Times New Roman"/>
          <w:bCs/>
          <w:i/>
          <w:color w:val="000000"/>
          <w:sz w:val="24"/>
          <w:szCs w:val="24"/>
        </w:rPr>
        <w:t>Monitorimi i procesit të transferimit të punonjësve</w:t>
      </w:r>
      <w:r w:rsidRPr="00C450B0">
        <w:rPr>
          <w:rFonts w:ascii="Garamond" w:hAnsi="Garamond" w:cs="Times New Roman"/>
          <w:bCs/>
          <w:color w:val="000000"/>
          <w:sz w:val="24"/>
          <w:szCs w:val="24"/>
        </w:rPr>
        <w:t>.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Zyrtari i Pajtueshmërisë të monitorojë në mënyrë të paanshme dhe të detajuar procesin e transferimit të punonjësve, duke siguruar përputhshmërinë me kuadrin ligjor për burimet njerëzore dhe me Kodin e Punës.</w:t>
      </w:r>
    </w:p>
    <w:p w14:paraId="42427EF9" w14:textId="1DFD2A59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10. </w:t>
      </w:r>
      <w:r w:rsidRPr="007A1CBE">
        <w:rPr>
          <w:rFonts w:ascii="Garamond" w:hAnsi="Garamond" w:cs="Times New Roman"/>
          <w:i/>
          <w:color w:val="000000"/>
          <w:sz w:val="24"/>
          <w:szCs w:val="24"/>
        </w:rPr>
        <w:t>Ruajtja e pavarësisë dhe integritetit në ushtrimin e funksionit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. Zyrtari i Pajtueshmërisë të vijojë të ruajë pavarësinë, integritetin profesional dhe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diskrecionin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në ushtrimin e funksionit, duke shmangur çdo ndikim të brendshëm që mund të cenojë objektivitetin dhe cilësinë e mbikëqyrjes.</w:t>
      </w:r>
    </w:p>
    <w:p w14:paraId="0C0239B8" w14:textId="0D1A7C14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11. </w:t>
      </w:r>
      <w:r w:rsidRPr="007A1CBE">
        <w:rPr>
          <w:rFonts w:ascii="Garamond" w:hAnsi="Garamond" w:cs="Times New Roman"/>
          <w:i/>
          <w:color w:val="000000"/>
          <w:sz w:val="24"/>
          <w:szCs w:val="24"/>
        </w:rPr>
        <w:t>Monitorimi i planit të investimeve dhe zhvillimit të rrjetit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. Zyrtari i Pajtueshmërisë të përmirësojë monitorimin mbi zbatimin e planit të investimeve dhe zhvillimin e rrjetit të shpërndarjes. Duke qenë se vitet e fundit njësitë e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karikimit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për makinat elektrike janë bërë një element i rëndësishëm në transport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duke kërkuar një zgjerim të infrastrukturës së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karikimit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në vend, rekomandohet që për vitin pasardhës të evidentohet numri i pikave të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karikimit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për automjetet elektrike të vendosura në pronësi private (banesa ose ambiente biznesi) të cilat shërbejnë vetëm për përdorim individual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si dhe numri i pikave të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karikimit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publik për automjetet elektrike të cilat mund të përdoren nga të gjithë përdoruesit e automjeteve elektrike të ndara këto sipas rajoneve, konsumin total vjetor të tyre dhe peshën specifike që zë në të.</w:t>
      </w:r>
    </w:p>
    <w:p w14:paraId="0BB8CD0D" w14:textId="566D16C4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12. </w:t>
      </w:r>
      <w:r w:rsidRPr="007A1CBE">
        <w:rPr>
          <w:rFonts w:ascii="Garamond" w:hAnsi="Garamond" w:cs="Times New Roman"/>
          <w:i/>
          <w:color w:val="000000"/>
          <w:sz w:val="24"/>
          <w:szCs w:val="24"/>
        </w:rPr>
        <w:t xml:space="preserve">Monitorimi i projekteve për </w:t>
      </w:r>
      <w:proofErr w:type="spellStart"/>
      <w:r w:rsidRPr="007A1CBE">
        <w:rPr>
          <w:rFonts w:ascii="Garamond" w:hAnsi="Garamond" w:cs="Times New Roman"/>
          <w:i/>
          <w:color w:val="000000"/>
          <w:sz w:val="24"/>
          <w:szCs w:val="24"/>
        </w:rPr>
        <w:t>matësa</w:t>
      </w:r>
      <w:proofErr w:type="spellEnd"/>
      <w:r w:rsidRPr="007A1CBE">
        <w:rPr>
          <w:rFonts w:ascii="Garamond" w:hAnsi="Garamond" w:cs="Times New Roman"/>
          <w:i/>
          <w:color w:val="000000"/>
          <w:sz w:val="24"/>
          <w:szCs w:val="24"/>
        </w:rPr>
        <w:t xml:space="preserve"> dhe </w:t>
      </w:r>
      <w:proofErr w:type="spellStart"/>
      <w:r w:rsidRPr="007A1CBE">
        <w:rPr>
          <w:rFonts w:ascii="Garamond" w:hAnsi="Garamond" w:cs="Times New Roman"/>
          <w:i/>
          <w:color w:val="000000"/>
          <w:sz w:val="24"/>
          <w:szCs w:val="24"/>
        </w:rPr>
        <w:t>matësa</w:t>
      </w:r>
      <w:proofErr w:type="spellEnd"/>
      <w:r w:rsidRPr="007A1CBE">
        <w:rPr>
          <w:rFonts w:ascii="Garamond" w:hAnsi="Garamond" w:cs="Times New Roman"/>
          <w:i/>
          <w:color w:val="000000"/>
          <w:sz w:val="24"/>
          <w:szCs w:val="24"/>
        </w:rPr>
        <w:t xml:space="preserve"> inteligjentë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. Zyrtari i Pajtueshmërisë të forcojë kontrollin dhe raportimin mbi projektet e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matësave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matësave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inteligjentë, duke përmirësuar mekanizmat e monitorimit dhe duke raportuar në periudhën pasardhëse mbi procesin dhe statusin e këtyre projekteve, përfshirë nivelin e mbulimit të tyre në rrjet. Raportimi duhet të jetë në përputhje me planet dhe strategjitë e shoqërisë, të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implementuara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apo të planifikuara për implementim, si dhe të shoqërohet </w:t>
      </w:r>
      <w:r w:rsidRPr="00C450B0">
        <w:rPr>
          <w:rFonts w:ascii="Garamond" w:hAnsi="Garamond" w:cs="Times New Roman"/>
          <w:color w:val="000000"/>
          <w:sz w:val="24"/>
          <w:szCs w:val="24"/>
        </w:rPr>
        <w:lastRenderedPageBreak/>
        <w:t>me një raport vlerësimi mbi objektivat vjetor</w:t>
      </w:r>
      <w:r w:rsidR="007A1CBE">
        <w:rPr>
          <w:rFonts w:ascii="Garamond" w:hAnsi="Garamond" w:cs="Times New Roman"/>
          <w:color w:val="000000"/>
          <w:sz w:val="24"/>
          <w:szCs w:val="24"/>
        </w:rPr>
        <w:t>ë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të kompanisë për instalimin e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matësave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inteligjentë krahasuar ky me totalin e instaluar.</w:t>
      </w:r>
    </w:p>
    <w:p w14:paraId="3345F026" w14:textId="58624C2D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13. </w:t>
      </w:r>
      <w:r w:rsidRPr="007A1CBE">
        <w:rPr>
          <w:rFonts w:ascii="Garamond" w:hAnsi="Garamond" w:cs="Times New Roman"/>
          <w:i/>
          <w:color w:val="000000"/>
          <w:sz w:val="24"/>
          <w:szCs w:val="24"/>
        </w:rPr>
        <w:t>Monitorimi i procedurave të ndërrimit të furnizuesit</w:t>
      </w:r>
      <w:r w:rsidRPr="00C450B0">
        <w:rPr>
          <w:rFonts w:ascii="Garamond" w:hAnsi="Garamond" w:cs="Times New Roman"/>
          <w:color w:val="000000"/>
          <w:sz w:val="24"/>
          <w:szCs w:val="24"/>
        </w:rPr>
        <w:t>. Zyrtari i Pajtueshmërisë të përforcojë mekanizmat e kontrollit mbi procedurat e ndërrimit të furnizuesit, duke garantuar zbatimin e drejtë dhe transparent të kërkesave të paraqitura nga konsumatorët. Në raportin e ardhshëm të pasqyrohen në mënyrë të qartë n</w:t>
      </w:r>
      <w:r w:rsidR="007A1CBE">
        <w:rPr>
          <w:rFonts w:ascii="Garamond" w:hAnsi="Garamond" w:cs="Times New Roman"/>
          <w:color w:val="000000"/>
          <w:sz w:val="24"/>
          <w:szCs w:val="24"/>
        </w:rPr>
        <w:t>um</w:t>
      </w:r>
      <w:r w:rsidRPr="00C450B0">
        <w:rPr>
          <w:rFonts w:ascii="Garamond" w:hAnsi="Garamond" w:cs="Times New Roman"/>
          <w:color w:val="000000"/>
          <w:sz w:val="24"/>
          <w:szCs w:val="24"/>
        </w:rPr>
        <w:t>r</w:t>
      </w:r>
      <w:r w:rsidR="007A1CBE">
        <w:rPr>
          <w:rFonts w:ascii="Garamond" w:hAnsi="Garamond" w:cs="Times New Roman"/>
          <w:color w:val="000000"/>
          <w:sz w:val="24"/>
          <w:szCs w:val="24"/>
        </w:rPr>
        <w:t>i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i kërkesave të trajtuara, ankesat e evidentuara, monitorimi i këtyre ankesave dhe përputhshmëria me dispozitat e “Rregullores për ndryshimin e furnizuesit të energjisë elektrike”.</w:t>
      </w:r>
    </w:p>
    <w:p w14:paraId="228F9DCB" w14:textId="3CFAF516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14. </w:t>
      </w:r>
      <w:r w:rsidRPr="007A1CBE">
        <w:rPr>
          <w:rFonts w:ascii="Garamond" w:hAnsi="Garamond" w:cs="Times New Roman"/>
          <w:i/>
          <w:color w:val="000000"/>
          <w:sz w:val="24"/>
          <w:szCs w:val="24"/>
        </w:rPr>
        <w:t>Raportimi mbi Kodin e ri të Shpërndarjes</w:t>
      </w:r>
      <w:r w:rsidRPr="00C450B0">
        <w:rPr>
          <w:rFonts w:ascii="Garamond" w:hAnsi="Garamond" w:cs="Times New Roman"/>
          <w:color w:val="000000"/>
          <w:sz w:val="24"/>
          <w:szCs w:val="24"/>
        </w:rPr>
        <w:t>. Zyrtari i Pajtueshmërisë të raportojë mbi statusin e procesit të finalizimit të “Kodit të ri të Shpërndarjes”, duke ndjekur afatet e deklaruara tek raporti paraardhës për përfundimin dhe miratimin e tij brenda vitit 2026. Raportimi të përfshijë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gjithashtu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analizën mbi ndikimin e këtij kodi në përmbushjen e objektivave të ndarjes funksionale të operatorit</w:t>
      </w:r>
      <w:r w:rsidR="007A1CBE">
        <w:rPr>
          <w:rFonts w:ascii="Garamond" w:hAnsi="Garamond" w:cs="Times New Roman"/>
          <w:color w:val="000000"/>
          <w:sz w:val="24"/>
          <w:szCs w:val="24"/>
        </w:rPr>
        <w:t>,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duke reflektuar dhe n</w:t>
      </w:r>
      <w:r w:rsidR="007A1CBE">
        <w:rPr>
          <w:rFonts w:ascii="Garamond" w:hAnsi="Garamond" w:cs="Times New Roman"/>
          <w:color w:val="000000"/>
          <w:sz w:val="24"/>
          <w:szCs w:val="24"/>
        </w:rPr>
        <w:t>dryshimet e ligjit nr. 59/2026.</w:t>
      </w:r>
    </w:p>
    <w:p w14:paraId="2E3596AC" w14:textId="58A44459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15. </w:t>
      </w:r>
      <w:r w:rsidRPr="007A1CBE">
        <w:rPr>
          <w:rFonts w:ascii="Garamond" w:hAnsi="Garamond" w:cs="Times New Roman"/>
          <w:i/>
          <w:color w:val="000000"/>
          <w:sz w:val="24"/>
          <w:szCs w:val="24"/>
        </w:rPr>
        <w:t>Monitorimi i përmbushjes së detyrimeve për sigurinë kibernetike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. Zyrtari i Pajtueshmërisë të vijojë të monitorojë përmbushjen e detyrimeve në përputhje me </w:t>
      </w:r>
      <w:r w:rsidRPr="007A1CBE">
        <w:rPr>
          <w:rFonts w:ascii="Garamond" w:hAnsi="Garamond" w:cs="Times New Roman"/>
          <w:color w:val="000000"/>
          <w:sz w:val="24"/>
          <w:szCs w:val="24"/>
        </w:rPr>
        <w:t>“</w:t>
      </w:r>
      <w:r w:rsidRPr="007A1CBE">
        <w:rPr>
          <w:rFonts w:ascii="Garamond" w:hAnsi="Garamond" w:cs="Times New Roman"/>
          <w:iCs/>
          <w:color w:val="000000"/>
          <w:sz w:val="24"/>
          <w:szCs w:val="24"/>
        </w:rPr>
        <w:t xml:space="preserve">Rregulloren për </w:t>
      </w:r>
      <w:r w:rsidR="007A1CBE" w:rsidRPr="007A1CBE">
        <w:rPr>
          <w:rFonts w:ascii="Garamond" w:hAnsi="Garamond" w:cs="Times New Roman"/>
          <w:iCs/>
          <w:color w:val="000000"/>
          <w:sz w:val="24"/>
          <w:szCs w:val="24"/>
        </w:rPr>
        <w:t>sigurinë kibernetike të infrastrukturave kritike në sektorin e energjisë elek</w:t>
      </w:r>
      <w:r w:rsidRPr="007A1CBE">
        <w:rPr>
          <w:rFonts w:ascii="Garamond" w:hAnsi="Garamond" w:cs="Times New Roman"/>
          <w:iCs/>
          <w:color w:val="000000"/>
          <w:sz w:val="24"/>
          <w:szCs w:val="24"/>
        </w:rPr>
        <w:t>trike</w:t>
      </w:r>
      <w:r w:rsidRPr="007A1CBE">
        <w:rPr>
          <w:rFonts w:ascii="Garamond" w:hAnsi="Garamond" w:cs="Times New Roman"/>
          <w:color w:val="000000"/>
          <w:sz w:val="24"/>
          <w:szCs w:val="24"/>
        </w:rPr>
        <w:t>”, miratuar me v</w:t>
      </w:r>
      <w:r w:rsidRPr="00C450B0">
        <w:rPr>
          <w:rFonts w:ascii="Garamond" w:hAnsi="Garamond" w:cs="Times New Roman"/>
          <w:color w:val="000000"/>
          <w:sz w:val="24"/>
          <w:szCs w:val="24"/>
        </w:rPr>
        <w:t>endimin nr. 126/2020, i ndryshu</w:t>
      </w:r>
      <w:r w:rsidR="007A1CBE">
        <w:rPr>
          <w:rFonts w:ascii="Garamond" w:hAnsi="Garamond" w:cs="Times New Roman"/>
          <w:color w:val="000000"/>
          <w:sz w:val="24"/>
          <w:szCs w:val="24"/>
        </w:rPr>
        <w:t>ar me vendimin nr. 79, datë 14.</w:t>
      </w:r>
      <w:r w:rsidRPr="00C450B0">
        <w:rPr>
          <w:rFonts w:ascii="Garamond" w:hAnsi="Garamond" w:cs="Times New Roman"/>
          <w:color w:val="000000"/>
          <w:sz w:val="24"/>
          <w:szCs w:val="24"/>
        </w:rPr>
        <w:t>4.2025, dhe të raportojë mbi masat konkrete të ndërmarra nga operatori për t</w:t>
      </w:r>
      <w:r w:rsidR="007A1CBE">
        <w:rPr>
          <w:rFonts w:ascii="Garamond" w:hAnsi="Garamond" w:cs="Times New Roman"/>
          <w:color w:val="000000"/>
          <w:sz w:val="24"/>
          <w:szCs w:val="24"/>
        </w:rPr>
        <w:t>’</w:t>
      </w:r>
      <w:r w:rsidRPr="00C450B0">
        <w:rPr>
          <w:rFonts w:ascii="Garamond" w:hAnsi="Garamond" w:cs="Times New Roman"/>
          <w:color w:val="000000"/>
          <w:sz w:val="24"/>
          <w:szCs w:val="24"/>
        </w:rPr>
        <w:t>u pajisur me certifikimin ISO/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IEC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27001.</w:t>
      </w:r>
    </w:p>
    <w:p w14:paraId="7367C234" w14:textId="57BE30B5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16. </w:t>
      </w:r>
      <w:r w:rsidRPr="007A1CBE">
        <w:rPr>
          <w:rFonts w:ascii="Garamond" w:hAnsi="Garamond" w:cs="Times New Roman"/>
          <w:i/>
          <w:color w:val="000000"/>
          <w:sz w:val="24"/>
          <w:szCs w:val="24"/>
        </w:rPr>
        <w:t xml:space="preserve">Raportimi mbi burimet </w:t>
      </w:r>
      <w:proofErr w:type="spellStart"/>
      <w:r w:rsidRPr="007A1CBE">
        <w:rPr>
          <w:rFonts w:ascii="Garamond" w:hAnsi="Garamond" w:cs="Times New Roman"/>
          <w:i/>
          <w:color w:val="000000"/>
          <w:sz w:val="24"/>
          <w:szCs w:val="24"/>
        </w:rPr>
        <w:t>vetëprodhuese</w:t>
      </w:r>
      <w:proofErr w:type="spellEnd"/>
      <w:r w:rsidRPr="007A1CBE">
        <w:rPr>
          <w:rFonts w:ascii="Garamond" w:hAnsi="Garamond" w:cs="Times New Roman"/>
          <w:i/>
          <w:color w:val="000000"/>
          <w:sz w:val="24"/>
          <w:szCs w:val="24"/>
        </w:rPr>
        <w:t xml:space="preserve"> dhe gjeneruese.</w:t>
      </w:r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Zyrtari i Pajtueshmërisë të përfshijë në raportimin vjetor informacion të detajuar mbi burimet </w:t>
      </w:r>
      <w:proofErr w:type="spellStart"/>
      <w:r w:rsidRPr="00C450B0">
        <w:rPr>
          <w:rFonts w:ascii="Garamond" w:hAnsi="Garamond" w:cs="Times New Roman"/>
          <w:color w:val="000000"/>
          <w:sz w:val="24"/>
          <w:szCs w:val="24"/>
        </w:rPr>
        <w:t>vetëprodhuese</w:t>
      </w:r>
      <w:proofErr w:type="spellEnd"/>
      <w:r w:rsidRPr="00C450B0">
        <w:rPr>
          <w:rFonts w:ascii="Garamond" w:hAnsi="Garamond" w:cs="Times New Roman"/>
          <w:color w:val="000000"/>
          <w:sz w:val="24"/>
          <w:szCs w:val="24"/>
        </w:rPr>
        <w:t xml:space="preserve"> të lidhura në rrjetin e shpërndarjes, duke paraqitur fuqinë e instaluar sipas rajoneve, sasinë e energjisë së prodhuar dhe konsumuar, si dhe ndikimin e tyre në ngarkesën neto të rrjetit. Ky vlerësim shërben për analizimin e sfidave që lidhen me integrimin efektiv dhe të drejtë të këtyre burimeve në sistemin e shpërndarjes.</w:t>
      </w:r>
    </w:p>
    <w:p w14:paraId="6E924158" w14:textId="77777777" w:rsidR="007576D9" w:rsidRPr="00C450B0" w:rsidRDefault="007576D9" w:rsidP="007576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4D58C38" w14:textId="7C2CED0D" w:rsidR="0070480F" w:rsidRPr="00C450B0" w:rsidRDefault="005E7A71" w:rsidP="005E7A7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5A48FF7D" wp14:editId="4C1E0799">
            <wp:extent cx="5943600" cy="775398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OSSH NR.982 V2026 RAPORTI PAJTUESHMERISE 2025_Page_0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B3788" wp14:editId="1258CBDE">
                <wp:simplePos x="0" y="0"/>
                <wp:positionH relativeFrom="column">
                  <wp:posOffset>5486400</wp:posOffset>
                </wp:positionH>
                <wp:positionV relativeFrom="paragraph">
                  <wp:posOffset>609600</wp:posOffset>
                </wp:positionV>
                <wp:extent cx="790575" cy="6057900"/>
                <wp:effectExtent l="0" t="0" r="28575" b="19050"/>
                <wp:wrapNone/>
                <wp:docPr id="121" name="Rectangl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6057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557D8EA" id="Rectangle 121" o:spid="_x0000_s1026" style="position:absolute;margin-left:6in;margin-top:48pt;width:62.25pt;height:47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" fillcolor="white [3212]" strokecolor="white [3212]" strokeweight="1pt"/>
            </w:pict>
          </mc:Fallback>
        </mc:AlternateContent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drawing>
          <wp:inline distT="0" distB="0" distL="0" distR="0" wp14:anchorId="69BBB27B" wp14:editId="36D1DDD8">
            <wp:extent cx="5943600" cy="629094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OSSH NR.982 V2026 RAPORTI PAJTUESHMERISE 2025_Page_04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8" b="-1"/>
                    <a:stretch/>
                  </pic:blipFill>
                  <pic:spPr bwMode="auto">
                    <a:xfrm>
                      <a:off x="0" y="0"/>
                      <a:ext cx="5943600" cy="6290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1C7239D7" wp14:editId="735D313D">
            <wp:extent cx="6131560" cy="6134986"/>
            <wp:effectExtent l="0" t="0" r="254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OSSH NR.982 V2026 RAPORTI PAJTUESHMERISE 2025_Page_0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8020" cy="614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40820FC0" wp14:editId="498BAB9D">
            <wp:extent cx="5943600" cy="701040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OSSH NR.982 V2026 RAPORTI PAJTUESHMERISE 2025_Page_06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23"/>
                    <a:stretch/>
                  </pic:blipFill>
                  <pic:spPr bwMode="auto">
                    <a:xfrm>
                      <a:off x="0" y="0"/>
                      <a:ext cx="5943600" cy="701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2C1A6AE7" wp14:editId="1AB4C128">
            <wp:extent cx="5943600" cy="766635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OSSH NR.982 V2026 RAPORTI PAJTUESHMERISE 2025_Page_07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0" t="2424" r="160"/>
                    <a:stretch/>
                  </pic:blipFill>
                  <pic:spPr bwMode="auto">
                    <a:xfrm>
                      <a:off x="0" y="0"/>
                      <a:ext cx="5943600" cy="7666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20A72FC9" wp14:editId="1BE18713">
            <wp:extent cx="5943600" cy="785241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OSSH NR.982 V2026 RAPORTI PAJTUESHMERISE 2025_Page_0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4BBEB4D7" wp14:editId="3607B713">
            <wp:extent cx="5943600" cy="785495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OSSH NR.982 V2026 RAPORTI PAJTUESHMERISE 2025_Page_09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672C9A28" wp14:editId="6944FCC8">
            <wp:extent cx="5943600" cy="7858125"/>
            <wp:effectExtent l="0" t="0" r="0" b="952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OSSH NR.982 V2026 RAPORTI PAJTUESHMERISE 2025_Page_1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02FA4FB8" wp14:editId="16A27E45">
            <wp:extent cx="5943600" cy="785685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OSSH NR.982 V2026 RAPORTI PAJTUESHMERISE 2025_Page_1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5AF15A60" wp14:editId="72D2C8F9">
            <wp:extent cx="5943600" cy="785431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OSSH NR.982 V2026 RAPORTI PAJTUESHMERISE 2025_Page_12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3A1A5B85" wp14:editId="6E3E2220">
            <wp:extent cx="5943600" cy="7860030"/>
            <wp:effectExtent l="0" t="0" r="0" b="762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OSSH NR.982 V2026 RAPORTI PAJTUESHMERISE 2025_Page_13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6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1CD332F6" wp14:editId="1B307592">
            <wp:extent cx="5943600" cy="779145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OSSH NR.982 V2026 RAPORTI PAJTUESHMERISE 2025_Page_14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496"/>
                    <a:stretch/>
                  </pic:blipFill>
                  <pic:spPr bwMode="auto">
                    <a:xfrm>
                      <a:off x="0" y="0"/>
                      <a:ext cx="5943600" cy="779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2AB9C1EE" wp14:editId="7B2EBC00">
            <wp:extent cx="5943600" cy="773430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OSSH NR.982 V2026 RAPORTI PAJTUESHMERISE 2025_Page_15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407B0C80" wp14:editId="576B2E29">
            <wp:extent cx="5943600" cy="702945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OSSH NR.982 V2026 RAPORTI PAJTUESHMERISE 2025_Page_16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09"/>
                    <a:stretch/>
                  </pic:blipFill>
                  <pic:spPr bwMode="auto">
                    <a:xfrm>
                      <a:off x="0" y="0"/>
                      <a:ext cx="5943600" cy="7029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4E234101" wp14:editId="38592A4A">
            <wp:extent cx="5943600" cy="7858125"/>
            <wp:effectExtent l="0" t="0" r="0" b="952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OSSH NR.982 V2026 RAPORTI PAJTUESHMERISE 2025_Page_17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38B925B7" wp14:editId="4FB81B58">
            <wp:extent cx="5943600" cy="785495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OSSH NR.982 V2026 RAPORTI PAJTUESHMERISE 2025_Page_18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2F9B9448" wp14:editId="7A1CE73D">
            <wp:extent cx="5943600" cy="7858125"/>
            <wp:effectExtent l="0" t="0" r="0" b="952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OSSH NR.982 V2026 RAPORTI PAJTUESHMERISE 2025_Page_19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1517B044" wp14:editId="41E001F3">
            <wp:extent cx="5943600" cy="785241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OSSH NR.982 V2026 RAPORTI PAJTUESHMERISE 2025_Page_20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3283EB51" wp14:editId="49B7AB9B">
            <wp:extent cx="5943600" cy="785622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OSSH NR.982 V2026 RAPORTI PAJTUESHMERISE 2025_Page_21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385EEED9" wp14:editId="76C6B499">
            <wp:extent cx="5943600" cy="763905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OSSH NR.982 V2026 RAPORTI PAJTUESHMERISE 2025_Page_22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237C6DD7" wp14:editId="2E9B88B2">
            <wp:extent cx="5943600" cy="756285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OSSH NR.982 V2026 RAPORTI PAJTUESHMERISE 2025_Page_23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51E5AB96" wp14:editId="53C7B1D9">
            <wp:extent cx="5943600" cy="785622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OSSH NR.982 V2026 RAPORTI PAJTUESHMERISE 2025_Page_24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4FF56D1D" wp14:editId="2EFEBCAE">
            <wp:extent cx="5943600" cy="785495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OSSH NR.982 V2026 RAPORTI PAJTUESHMERISE 2025_Page_25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505F8524" wp14:editId="61BBF029">
            <wp:extent cx="5610225" cy="7734300"/>
            <wp:effectExtent l="0" t="0" r="9525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OSSH NR.982 V2026 RAPORTI PAJTUESHMERISE 2025_Page_26.jp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09"/>
                    <a:stretch/>
                  </pic:blipFill>
                  <pic:spPr bwMode="auto">
                    <a:xfrm>
                      <a:off x="0" y="0"/>
                      <a:ext cx="5610225" cy="7734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4B73FFC9" wp14:editId="38B9E5C1">
            <wp:extent cx="5943600" cy="7648575"/>
            <wp:effectExtent l="0" t="0" r="0" b="952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OSSH NR.982 V2026 RAPORTI PAJTUESHMERISE 2025_Page_27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52EDFB7D" wp14:editId="6243C443">
            <wp:extent cx="5943600" cy="739140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OSSH NR.982 V2026 RAPORTI PAJTUESHMERISE 2025_Page_28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0B279658" wp14:editId="503AABB1">
            <wp:extent cx="5943600" cy="586740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OSSH NR.982 V2026 RAPORTI PAJTUESHMERISE 2025_Page_29.jp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297"/>
                    <a:stretch/>
                  </pic:blipFill>
                  <pic:spPr bwMode="auto">
                    <a:xfrm>
                      <a:off x="0" y="0"/>
                      <a:ext cx="5943600" cy="5867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0E84646F" wp14:editId="72CB66DE">
            <wp:extent cx="5943600" cy="785431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OSSH NR.982 V2026 RAPORTI PAJTUESHMERISE 2025_Page_30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525DF204" wp14:editId="6BFFC268">
            <wp:extent cx="5943600" cy="7343775"/>
            <wp:effectExtent l="0" t="0" r="0" b="952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OSSH NR.982 V2026 RAPORTI PAJTUESHMERISE 2025_Page_31.jp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77"/>
                    <a:stretch/>
                  </pic:blipFill>
                  <pic:spPr bwMode="auto">
                    <a:xfrm>
                      <a:off x="0" y="0"/>
                      <a:ext cx="5943600" cy="7343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290D79BD" wp14:editId="193B131E">
            <wp:extent cx="5943600" cy="758190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OSSH NR.982 V2026 RAPORTI PAJTUESHMERISE 2025_Page_32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7D36E298" wp14:editId="190F53F4">
            <wp:extent cx="5943600" cy="741045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OSSH NR.982 V2026 RAPORTI PAJTUESHMERISE 2025_Page_33.jp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51"/>
                    <a:stretch/>
                  </pic:blipFill>
                  <pic:spPr bwMode="auto">
                    <a:xfrm>
                      <a:off x="0" y="0"/>
                      <a:ext cx="5943600" cy="7410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4AC40AA9" wp14:editId="00096CBB">
            <wp:extent cx="5943600" cy="7419975"/>
            <wp:effectExtent l="0" t="0" r="0" b="952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OSSH NR.982 V2026 RAPORTI PAJTUESHMERISE 2025_Page_34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1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7473B692" wp14:editId="220AACC6">
            <wp:extent cx="5943600" cy="741045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OSSH NR.982 V2026 RAPORTI PAJTUESHMERISE 2025_Page_35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50A6EB36" wp14:editId="5F65EBF6">
            <wp:extent cx="5943600" cy="7572375"/>
            <wp:effectExtent l="0" t="0" r="0" b="952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OSSH NR.982 V2026 RAPORTI PAJTUESHMERISE 2025_Page_36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01874155" wp14:editId="5A5EE7C7">
            <wp:extent cx="5943600" cy="6943725"/>
            <wp:effectExtent l="0" t="0" r="0" b="9525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OSSH NR.982 V2026 RAPORTI PAJTUESHMERISE 2025_Page_37.jpg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0" r="160" b="11615"/>
                    <a:stretch/>
                  </pic:blipFill>
                  <pic:spPr bwMode="auto">
                    <a:xfrm>
                      <a:off x="0" y="0"/>
                      <a:ext cx="5943600" cy="6943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2DC31E98" wp14:editId="0D79E89C">
            <wp:extent cx="5943600" cy="7485321"/>
            <wp:effectExtent l="0" t="0" r="0" b="190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OSSH NR.982 V2026 RAPORTI PAJTUESHMERISE 2025_Page_38.jpg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22"/>
                    <a:stretch/>
                  </pic:blipFill>
                  <pic:spPr bwMode="auto">
                    <a:xfrm>
                      <a:off x="0" y="0"/>
                      <a:ext cx="5943600" cy="7485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3F32215E" wp14:editId="584BB3C9">
            <wp:extent cx="5943600" cy="7515225"/>
            <wp:effectExtent l="0" t="0" r="0" b="952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OSSH NR.982 V2026 RAPORTI PAJTUESHMERISE 2025_Page_39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F0375" w14:textId="08C031BB" w:rsidR="0070480F" w:rsidRPr="00C450B0" w:rsidRDefault="0070480F" w:rsidP="005E7A7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504076C0" wp14:editId="3BB36AB6">
            <wp:extent cx="6143625" cy="7658100"/>
            <wp:effectExtent l="0" t="0" r="9525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Faqe 40.PNG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49"/>
                    <a:stretch/>
                  </pic:blipFill>
                  <pic:spPr bwMode="auto">
                    <a:xfrm>
                      <a:off x="0" y="0"/>
                      <a:ext cx="6160767" cy="7679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D8CE1C" w14:textId="77777777" w:rsidR="00530CBD" w:rsidRPr="00C450B0" w:rsidRDefault="005E7A71" w:rsidP="005E7A7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264E52D3" wp14:editId="60F4AC9B">
            <wp:extent cx="5943600" cy="7559749"/>
            <wp:effectExtent l="0" t="0" r="0" b="317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OSSH NR.982 V2026 RAPORTI PAJTUESHMERISE 2025_Page_41.jpg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13"/>
                    <a:stretch/>
                  </pic:blipFill>
                  <pic:spPr bwMode="auto">
                    <a:xfrm>
                      <a:off x="0" y="0"/>
                      <a:ext cx="5943600" cy="7559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54DE6E40" wp14:editId="67FFF07C">
            <wp:extent cx="5943600" cy="785241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OSSH NR.982 V2026 RAPORTI PAJTUESHMERISE 2025_Page_42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45CB2" w14:textId="1F7E240B" w:rsidR="00530CBD" w:rsidRPr="00C450B0" w:rsidRDefault="00530CBD" w:rsidP="005E7A7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3ED18F51" wp14:editId="5159C800">
            <wp:extent cx="5455633" cy="7629525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Faqe 43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9475" cy="764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42F7"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4539830D" wp14:editId="77D4A7C0">
            <wp:extent cx="5943600" cy="7858125"/>
            <wp:effectExtent l="0" t="0" r="0" b="9525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OSSH NR.982 V2026 RAPORTI PAJTUESHMERISE 2025_Page_44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6845A" w14:textId="50797957" w:rsidR="00530CBD" w:rsidRPr="00C450B0" w:rsidRDefault="005E7A71" w:rsidP="005E7A7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748AC33B" wp14:editId="5F30CE41">
            <wp:extent cx="5943600" cy="785241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OSSH NR.982 V2026 RAPORTI PAJTUESHMERISE 2025_Page_45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7AEF75E2" wp14:editId="22CF18F7">
            <wp:extent cx="5943600" cy="714375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OSSH NR.982 V2026 RAPORTI PAJTUESHMERISE 2025_Page_46.jp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55"/>
                    <a:stretch/>
                  </pic:blipFill>
                  <pic:spPr bwMode="auto">
                    <a:xfrm>
                      <a:off x="0" y="0"/>
                      <a:ext cx="5943600" cy="7143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2C7F1A76" wp14:editId="365B7EA3">
            <wp:extent cx="5943600" cy="7305675"/>
            <wp:effectExtent l="0" t="0" r="0" b="952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OSSH NR.982 V2026 RAPORTI PAJTUESHMERISE 2025_Page_47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4940B249" wp14:editId="07AC0EEB">
            <wp:extent cx="5943600" cy="6600825"/>
            <wp:effectExtent l="0" t="0" r="0" b="9525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OSSH NR.982 V2026 RAPORTI PAJTUESHMERISE 2025_Page_48.jpg"/>
                    <pic:cNvPicPr/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959"/>
                    <a:stretch/>
                  </pic:blipFill>
                  <pic:spPr bwMode="auto">
                    <a:xfrm>
                      <a:off x="0" y="0"/>
                      <a:ext cx="5943600" cy="6600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7FF635A1" wp14:editId="78FEA423">
            <wp:extent cx="5943600" cy="7343775"/>
            <wp:effectExtent l="0" t="0" r="0" b="9525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OSSH NR.982 V2026 RAPORTI PAJTUESHMERISE 2025_Page_49.jpg"/>
                    <pic:cNvPicPr/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77"/>
                    <a:stretch/>
                  </pic:blipFill>
                  <pic:spPr bwMode="auto">
                    <a:xfrm>
                      <a:off x="0" y="0"/>
                      <a:ext cx="5943600" cy="7343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688D033F" wp14:editId="4C3D4727">
            <wp:extent cx="5943600" cy="7286625"/>
            <wp:effectExtent l="0" t="0" r="0" b="952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OSSH NR.982 V2026 RAPORTI PAJTUESHMERISE 2025_Page_50.jpg"/>
                    <pic:cNvPicPr/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27"/>
                    <a:stretch/>
                  </pic:blipFill>
                  <pic:spPr bwMode="auto">
                    <a:xfrm>
                      <a:off x="0" y="0"/>
                      <a:ext cx="5943600" cy="7286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102F908D" wp14:editId="4B534E0B">
            <wp:extent cx="5943600" cy="785431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OSSH NR.982 V2026 RAPORTI PAJTUESHMERISE 2025_Page_51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482DA87E" wp14:editId="55E5D8E8">
            <wp:extent cx="5943600" cy="785241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OSSH NR.982 V2026 RAPORTI PAJTUESHMERISE 2025_Page_52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02996B80" wp14:editId="6DBF1F1C">
            <wp:extent cx="5943600" cy="7854315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OSSH NR.982 V2026 RAPORTI PAJTUESHMERISE 2025_Page_53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2ED7E9D8" wp14:editId="6154713E">
            <wp:extent cx="5943600" cy="7860030"/>
            <wp:effectExtent l="0" t="0" r="0" b="762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OSSH NR.982 V2026 RAPORTI PAJTUESHMERISE 2025_Page_54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6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32398" w14:textId="75711ABA" w:rsidR="00530CBD" w:rsidRPr="00C450B0" w:rsidRDefault="00530CBD" w:rsidP="005E7A7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0F1B55E6" wp14:editId="09347203">
            <wp:extent cx="5590789" cy="7571105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Faqe 55.JPG"/>
                    <pic:cNvPicPr/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799"/>
                    <a:stretch/>
                  </pic:blipFill>
                  <pic:spPr bwMode="auto">
                    <a:xfrm>
                      <a:off x="0" y="0"/>
                      <a:ext cx="5606787" cy="7592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E1C1EE" w14:textId="0C992855" w:rsidR="007576D9" w:rsidRPr="00C450B0" w:rsidRDefault="005E7A71" w:rsidP="005E7A7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008CF876" wp14:editId="550E0D8A">
            <wp:extent cx="5772150" cy="7439025"/>
            <wp:effectExtent l="0" t="0" r="0" b="9525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OSSH NR.982 V2026 RAPORTI PAJTUESHMERISE 2025_Page_56.jpg"/>
                    <pic:cNvPicPr/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84" b="5264"/>
                    <a:stretch/>
                  </pic:blipFill>
                  <pic:spPr bwMode="auto">
                    <a:xfrm>
                      <a:off x="0" y="0"/>
                      <a:ext cx="5772150" cy="7439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6123EE9C" wp14:editId="2A1C30F5">
            <wp:extent cx="5943600" cy="785622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OSSH NR.982 V2026 RAPORTI PAJTUESHMERISE 2025_Page_57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4843331D" wp14:editId="168F026B">
            <wp:extent cx="5943600" cy="7850505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OSSH NR.982 V2026 RAPORTI PAJTUESHMERISE 2025_Page_58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B0">
        <w:rPr>
          <w:rFonts w:ascii="Garamond" w:hAnsi="Garamond" w:cs="Times New Roman"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0B130614" wp14:editId="075C8D6E">
            <wp:extent cx="5943600" cy="7855585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OSSH NR.982 V2026 RAPORTI PAJTUESHMERISE 2025_Page_59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D7AB2" w14:textId="07C5185C" w:rsidR="00AB536B" w:rsidRPr="00C450B0" w:rsidRDefault="00AB536B" w:rsidP="007576D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F4425D7" w14:textId="567CFB56" w:rsidR="005E7A71" w:rsidRPr="00C450B0" w:rsidRDefault="005E7A71" w:rsidP="007576D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3C2EF4E" w14:textId="19F5E78D" w:rsidR="005E7A71" w:rsidRPr="00C450B0" w:rsidRDefault="001D3542" w:rsidP="007576D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C450B0">
        <w:rPr>
          <w:rFonts w:ascii="Garamond" w:hAnsi="Garamond"/>
          <w:sz w:val="24"/>
          <w:szCs w:val="24"/>
          <w:lang w:eastAsia="sq-AL"/>
        </w:rPr>
        <w:lastRenderedPageBreak/>
        <w:drawing>
          <wp:inline distT="0" distB="0" distL="0" distR="0" wp14:anchorId="09C0D176" wp14:editId="7265961A">
            <wp:extent cx="5375082" cy="7353300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Faqe 60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5699" cy="736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7A71" w:rsidRPr="00C450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53AFD"/>
    <w:rsid w:val="001D0B77"/>
    <w:rsid w:val="001D3542"/>
    <w:rsid w:val="00242773"/>
    <w:rsid w:val="00264BED"/>
    <w:rsid w:val="00296765"/>
    <w:rsid w:val="002D53DD"/>
    <w:rsid w:val="002D652E"/>
    <w:rsid w:val="003927EA"/>
    <w:rsid w:val="003E7124"/>
    <w:rsid w:val="00485689"/>
    <w:rsid w:val="00495544"/>
    <w:rsid w:val="005248BB"/>
    <w:rsid w:val="00525407"/>
    <w:rsid w:val="005278E3"/>
    <w:rsid w:val="00530CBD"/>
    <w:rsid w:val="00541029"/>
    <w:rsid w:val="005656D7"/>
    <w:rsid w:val="00580D69"/>
    <w:rsid w:val="005A2115"/>
    <w:rsid w:val="005E7A71"/>
    <w:rsid w:val="006F27A3"/>
    <w:rsid w:val="0070480F"/>
    <w:rsid w:val="0072145F"/>
    <w:rsid w:val="007576D9"/>
    <w:rsid w:val="0076405E"/>
    <w:rsid w:val="0079446B"/>
    <w:rsid w:val="007A1CBE"/>
    <w:rsid w:val="007A461B"/>
    <w:rsid w:val="007B5802"/>
    <w:rsid w:val="0081237D"/>
    <w:rsid w:val="008300F1"/>
    <w:rsid w:val="00833B30"/>
    <w:rsid w:val="008600A6"/>
    <w:rsid w:val="00870974"/>
    <w:rsid w:val="008C2E15"/>
    <w:rsid w:val="008C7EE7"/>
    <w:rsid w:val="008D3655"/>
    <w:rsid w:val="00956F02"/>
    <w:rsid w:val="00957B88"/>
    <w:rsid w:val="00A0669B"/>
    <w:rsid w:val="00A45016"/>
    <w:rsid w:val="00A51E00"/>
    <w:rsid w:val="00A542F7"/>
    <w:rsid w:val="00AB536B"/>
    <w:rsid w:val="00AC0CF6"/>
    <w:rsid w:val="00AD6F91"/>
    <w:rsid w:val="00AE37CD"/>
    <w:rsid w:val="00B34ACF"/>
    <w:rsid w:val="00B9254A"/>
    <w:rsid w:val="00C056B8"/>
    <w:rsid w:val="00C20F2B"/>
    <w:rsid w:val="00C314FC"/>
    <w:rsid w:val="00C450B0"/>
    <w:rsid w:val="00C648F8"/>
    <w:rsid w:val="00CA6F23"/>
    <w:rsid w:val="00CC3986"/>
    <w:rsid w:val="00CD6FF0"/>
    <w:rsid w:val="00D14A4C"/>
    <w:rsid w:val="00D302EF"/>
    <w:rsid w:val="00DA64B2"/>
    <w:rsid w:val="00DA7100"/>
    <w:rsid w:val="00DE512C"/>
    <w:rsid w:val="00E609B1"/>
    <w:rsid w:val="00EE7B99"/>
    <w:rsid w:val="00EF1DFA"/>
    <w:rsid w:val="00F125BB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F398E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576D9"/>
    <w:pPr>
      <w:keepNext/>
      <w:keepLines/>
      <w:autoSpaceDE w:val="0"/>
      <w:autoSpaceDN w:val="0"/>
      <w:adjustRightInd w:val="0"/>
      <w:spacing w:before="40" w:line="280" w:lineRule="atLeast"/>
      <w:outlineLvl w:val="3"/>
    </w:pPr>
    <w:rPr>
      <w:rFonts w:ascii="Times New Roman" w:hAnsi="Times New Roman" w:cs="Times New Roman"/>
      <w:i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D6FF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rsid w:val="007576D9"/>
    <w:rPr>
      <w:rFonts w:ascii="Times New Roman" w:hAnsi="Times New Roman" w:cs="Times New Roman"/>
      <w:i/>
      <w:iCs/>
      <w:color w:val="000000"/>
      <w:lang w:val="sq-AL"/>
    </w:rPr>
  </w:style>
  <w:style w:type="paragraph" w:styleId="CommentText">
    <w:name w:val="annotation text"/>
    <w:basedOn w:val="Normal"/>
    <w:link w:val="CommentTextChar"/>
    <w:uiPriority w:val="99"/>
    <w:rsid w:val="007576D9"/>
    <w:pPr>
      <w:autoSpaceDE w:val="0"/>
      <w:autoSpaceDN w:val="0"/>
      <w:adjustRightInd w:val="0"/>
      <w:spacing w:line="254" w:lineRule="atLeast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76D9"/>
    <w:rPr>
      <w:rFonts w:ascii="Times New Roman" w:hAnsi="Times New Roman" w:cs="Times New Roman"/>
      <w:color w:val="000000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g"/><Relationship Id="rId21" Type="http://schemas.openxmlformats.org/officeDocument/2006/relationships/image" Target="media/image14.jpg"/><Relationship Id="rId34" Type="http://schemas.openxmlformats.org/officeDocument/2006/relationships/image" Target="media/image27.jpg"/><Relationship Id="rId42" Type="http://schemas.openxmlformats.org/officeDocument/2006/relationships/image" Target="media/image35.jpg"/><Relationship Id="rId47" Type="http://schemas.openxmlformats.org/officeDocument/2006/relationships/image" Target="media/image40.jpg"/><Relationship Id="rId50" Type="http://schemas.openxmlformats.org/officeDocument/2006/relationships/image" Target="media/image43.jpg"/><Relationship Id="rId55" Type="http://schemas.openxmlformats.org/officeDocument/2006/relationships/image" Target="media/image48.jpg"/><Relationship Id="rId63" Type="http://schemas.openxmlformats.org/officeDocument/2006/relationships/image" Target="media/image56.jp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jpg"/><Relationship Id="rId29" Type="http://schemas.openxmlformats.org/officeDocument/2006/relationships/image" Target="media/image22.jpg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45" Type="http://schemas.openxmlformats.org/officeDocument/2006/relationships/image" Target="media/image38.PNG"/><Relationship Id="rId53" Type="http://schemas.openxmlformats.org/officeDocument/2006/relationships/image" Target="media/image46.jpg"/><Relationship Id="rId58" Type="http://schemas.openxmlformats.org/officeDocument/2006/relationships/image" Target="media/image51.jpg"/><Relationship Id="rId66" Type="http://schemas.openxmlformats.org/officeDocument/2006/relationships/fontTable" Target="fontTable.xml"/><Relationship Id="rId5" Type="http://schemas.openxmlformats.org/officeDocument/2006/relationships/styles" Target="styles.xml"/><Relationship Id="rId61" Type="http://schemas.openxmlformats.org/officeDocument/2006/relationships/image" Target="media/image54.jpg"/><Relationship Id="rId19" Type="http://schemas.openxmlformats.org/officeDocument/2006/relationships/image" Target="media/image1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43" Type="http://schemas.openxmlformats.org/officeDocument/2006/relationships/image" Target="media/image36.jpg"/><Relationship Id="rId48" Type="http://schemas.openxmlformats.org/officeDocument/2006/relationships/image" Target="media/image41.JPG"/><Relationship Id="rId56" Type="http://schemas.openxmlformats.org/officeDocument/2006/relationships/image" Target="media/image49.jpg"/><Relationship Id="rId64" Type="http://schemas.openxmlformats.org/officeDocument/2006/relationships/image" Target="media/image57.jpg"/><Relationship Id="rId8" Type="http://schemas.openxmlformats.org/officeDocument/2006/relationships/image" Target="media/image1.jpg"/><Relationship Id="rId51" Type="http://schemas.openxmlformats.org/officeDocument/2006/relationships/image" Target="media/image44.jpg"/><Relationship Id="rId3" Type="http://schemas.openxmlformats.org/officeDocument/2006/relationships/customXml" Target="../customXml/item3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46" Type="http://schemas.openxmlformats.org/officeDocument/2006/relationships/image" Target="media/image39.jpg"/><Relationship Id="rId59" Type="http://schemas.openxmlformats.org/officeDocument/2006/relationships/image" Target="media/image52.jpg"/><Relationship Id="rId67" Type="http://schemas.openxmlformats.org/officeDocument/2006/relationships/theme" Target="theme/theme1.xml"/><Relationship Id="rId20" Type="http://schemas.openxmlformats.org/officeDocument/2006/relationships/image" Target="media/image13.jpg"/><Relationship Id="rId41" Type="http://schemas.openxmlformats.org/officeDocument/2006/relationships/image" Target="media/image34.jpg"/><Relationship Id="rId54" Type="http://schemas.openxmlformats.org/officeDocument/2006/relationships/image" Target="media/image47.jpg"/><Relationship Id="rId62" Type="http://schemas.openxmlformats.org/officeDocument/2006/relationships/image" Target="media/image55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49" Type="http://schemas.openxmlformats.org/officeDocument/2006/relationships/image" Target="media/image42.jpg"/><Relationship Id="rId57" Type="http://schemas.openxmlformats.org/officeDocument/2006/relationships/image" Target="media/image50.jpg"/><Relationship Id="rId10" Type="http://schemas.openxmlformats.org/officeDocument/2006/relationships/image" Target="media/image3.jpg"/><Relationship Id="rId31" Type="http://schemas.openxmlformats.org/officeDocument/2006/relationships/image" Target="media/image24.jpg"/><Relationship Id="rId44" Type="http://schemas.openxmlformats.org/officeDocument/2006/relationships/image" Target="media/image37.jpg"/><Relationship Id="rId52" Type="http://schemas.openxmlformats.org/officeDocument/2006/relationships/image" Target="media/image45.jpg"/><Relationship Id="rId60" Type="http://schemas.openxmlformats.org/officeDocument/2006/relationships/image" Target="media/image53.JPG"/><Relationship Id="rId65" Type="http://schemas.openxmlformats.org/officeDocument/2006/relationships/image" Target="media/image58.JPG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9" Type="http://schemas.openxmlformats.org/officeDocument/2006/relationships/image" Target="media/image3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214</Nr_x002e__x0020_akti>
    <Data_x0020_e_x0020_Krijimit xmlns="0e656187-b300-4fb0-8bf4-3a50f872073c">2026-08-11T08:36:31Z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2026-08-10T00:00:00Z</Date_x0020_protokolli>
    <Titulli xmlns="0e656187-b300-4fb0-8bf4-3a50f872073c">Mbi analizën dhe vlerësimin e Raportit Vjetor të Pajtueshmërisë të Operatorit të Sistemit të Shpërndarjes për vitin 2025</Titulli>
    <Modifikuesi xmlns="0e656187-b300-4fb0-8bf4-3a50f872073c">ermira.bukaci</Modifikuesi>
    <Nr_x002e__x0020_prot_x0020_QBZ xmlns="0e656187-b300-4fb0-8bf4-3a50f872073c">1846/5</Nr_x002e__x0020_prot_x0020_QBZ>
    <Data_x0020_e_x0020_Modifikimit xmlns="0e656187-b300-4fb0-8bf4-3a50f872073c">2026-08-12T08:54:47Z</Data_x0020_e_x0020_Modifikimit>
    <Dekretuar xmlns="0e656187-b300-4fb0-8bf4-3a50f872073c">false</Dekretuar>
    <Data xmlns="0e656187-b300-4fb0-8bf4-3a50f872073c">2026-07-28T00:00:00Z</Data>
    <Nr_x002e__x0020_protokolli_x0020_i_x0020_aktit xmlns="0e656187-b300-4fb0-8bf4-3a50f872073c">2440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2781805C38446CA46C5784784C82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84B7767-5194-41FC-B5D7-14412FE9BC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10F9B8-BF9F-44D9-A6BD-15164A21BA72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013DDAC-E8C0-4251-B214-9F8C5C96E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63</Pages>
  <Words>2582</Words>
  <Characters>14719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analizën dhe vlerësimin e Raportit Vjetor të Pajtueshmërisë të Operatorit të Sistemit të Shpërndarjes për vitin 2025</vt:lpstr>
    </vt:vector>
  </TitlesOfParts>
  <Company/>
  <LinksUpToDate>false</LinksUpToDate>
  <CharactersWithSpaces>17267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analizën dhe vlerësimin e Raportit Vjetor të Pajtueshmërisë të Operatorit të Sistemit të Shpërndarjes për vitin 2025</dc:title>
  <dc:creator>Entela Suli</dc:creator>
  <cp:lastModifiedBy>fjora.cahani</cp:lastModifiedBy>
  <cp:revision>16</cp:revision>
  <dcterms:created xsi:type="dcterms:W3CDTF">2026-08-11T08:49:00Z</dcterms:created>
  <dcterms:modified xsi:type="dcterms:W3CDTF">2026-08-12T09:34:00Z</dcterms:modified>
</cp:coreProperties>
</file>