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670" w:rsidRPr="00A33759" w:rsidRDefault="00B72670" w:rsidP="00B72670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B72670" w:rsidRPr="00A33759" w:rsidRDefault="00B72670" w:rsidP="00B72670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Nr. 30, datë 7.12.2012</w:t>
      </w:r>
    </w:p>
    <w:p w:rsidR="00B72670" w:rsidRPr="00AB3BE1" w:rsidRDefault="00B72670" w:rsidP="00B72670">
      <w:pPr>
        <w:pStyle w:val="Paragrafi"/>
        <w:rPr>
          <w:sz w:val="20"/>
          <w:szCs w:val="21"/>
          <w:lang w:val="sq-AL"/>
        </w:rPr>
      </w:pPr>
    </w:p>
    <w:p w:rsidR="00B72670" w:rsidRPr="00A33759" w:rsidRDefault="00B72670" w:rsidP="00B72670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PËR DISA SHTESA DHE </w:t>
      </w:r>
      <w:r>
        <w:rPr>
          <w:sz w:val="21"/>
          <w:szCs w:val="21"/>
          <w:lang w:val="sq-AL"/>
        </w:rPr>
        <w:t>NDRYSHIME NË</w:t>
      </w:r>
      <w:r w:rsidRPr="00A33759">
        <w:rPr>
          <w:sz w:val="21"/>
          <w:szCs w:val="21"/>
          <w:lang w:val="sq-AL"/>
        </w:rPr>
        <w:t xml:space="preserve"> RREGULLOREN “PËR PROCEDURAT E DHËNIES DHE RINOVIMIT TË LICENCAVE PROFESIONALE PËR SUBJEKTET JURIDIKE E FIZIKE QË USHTROJNË VEPRIMTARI NË SEKTORIN E FURNIZIMIT ME UJË DHE LARGIMIT E PËRPUNIMIT TË UJËRAVE TË NDOTURA”</w:t>
      </w:r>
    </w:p>
    <w:p w:rsidR="00B72670" w:rsidRPr="00AB3BE1" w:rsidRDefault="00B72670" w:rsidP="00B72670">
      <w:pPr>
        <w:pStyle w:val="Paragrafi"/>
        <w:rPr>
          <w:sz w:val="20"/>
          <w:szCs w:val="21"/>
          <w:lang w:val="sq-AL"/>
        </w:rPr>
      </w:pP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Në zbatim </w:t>
      </w:r>
      <w:r>
        <w:rPr>
          <w:sz w:val="21"/>
          <w:szCs w:val="21"/>
          <w:lang w:val="sq-AL"/>
        </w:rPr>
        <w:t xml:space="preserve">të </w:t>
      </w:r>
      <w:r w:rsidRPr="00A33759">
        <w:rPr>
          <w:sz w:val="21"/>
          <w:szCs w:val="21"/>
          <w:lang w:val="sq-AL"/>
        </w:rPr>
        <w:t xml:space="preserve">nenit 14 të ligjit nr. 8102, </w:t>
      </w:r>
      <w:r>
        <w:rPr>
          <w:sz w:val="21"/>
          <w:szCs w:val="21"/>
          <w:lang w:val="sq-AL"/>
        </w:rPr>
        <w:t>datë 28.</w:t>
      </w:r>
      <w:r w:rsidRPr="00A33759">
        <w:rPr>
          <w:sz w:val="21"/>
          <w:szCs w:val="21"/>
          <w:lang w:val="sq-AL"/>
        </w:rPr>
        <w:t xml:space="preserve">3.1996 “Për kuadrin rregullator të sektorit të furnizimit me ujë dhe largimit e përpunimit të ujërave të ndotura”, </w:t>
      </w:r>
      <w:r>
        <w:rPr>
          <w:sz w:val="21"/>
          <w:szCs w:val="21"/>
          <w:lang w:val="sq-AL"/>
        </w:rPr>
        <w:t>të</w:t>
      </w:r>
      <w:r w:rsidRPr="00A33759">
        <w:rPr>
          <w:sz w:val="21"/>
          <w:szCs w:val="21"/>
          <w:lang w:val="sq-AL"/>
        </w:rPr>
        <w:t xml:space="preserve"> ndryshuar, vendimit të Këshillit të Ministrave nr. 958, datë </w:t>
      </w:r>
      <w:hyperlink r:id="rId4" w:tgtFrame="_blank" w:history="1">
        <w:r w:rsidRPr="00A33759">
          <w:rPr>
            <w:rStyle w:val="Hyperlink"/>
            <w:sz w:val="21"/>
            <w:szCs w:val="21"/>
            <w:lang w:val="sq-AL"/>
          </w:rPr>
          <w:t>6.5.2009 “Për miratimin e kategorive të licencave dhe të procedurave të aplikimit për licencë të personave fizikë dhe juridikë, që ushtrojnë veprimtari në sistemet e furnizimit me ujë dhe të largimit e përpunimit të ujërave të ndotura</w:t>
        </w:r>
      </w:hyperlink>
      <w:r w:rsidRPr="00A33759">
        <w:rPr>
          <w:sz w:val="21"/>
          <w:szCs w:val="21"/>
          <w:lang w:val="sq-AL"/>
        </w:rPr>
        <w:t>”, dhe rregullores së licencimit të ERRU</w:t>
      </w:r>
      <w:r>
        <w:rPr>
          <w:sz w:val="21"/>
          <w:szCs w:val="21"/>
          <w:lang w:val="sq-AL"/>
        </w:rPr>
        <w:t>-së</w:t>
      </w:r>
      <w:r w:rsidRPr="00A33759">
        <w:rPr>
          <w:sz w:val="21"/>
          <w:szCs w:val="21"/>
          <w:lang w:val="sq-AL"/>
        </w:rPr>
        <w:t xml:space="preserve">, miratuar me vendim </w:t>
      </w:r>
      <w:r>
        <w:rPr>
          <w:sz w:val="21"/>
          <w:szCs w:val="21"/>
          <w:lang w:val="sq-AL"/>
        </w:rPr>
        <w:t xml:space="preserve">të </w:t>
      </w:r>
      <w:r w:rsidRPr="00A33759">
        <w:rPr>
          <w:sz w:val="21"/>
          <w:szCs w:val="21"/>
          <w:lang w:val="sq-AL"/>
        </w:rPr>
        <w:t>KKRR</w:t>
      </w:r>
      <w:r>
        <w:rPr>
          <w:sz w:val="21"/>
          <w:szCs w:val="21"/>
          <w:lang w:val="sq-AL"/>
        </w:rPr>
        <w:t>-së</w:t>
      </w:r>
      <w:r w:rsidRPr="00A33759">
        <w:rPr>
          <w:sz w:val="21"/>
          <w:szCs w:val="21"/>
          <w:lang w:val="sq-AL"/>
        </w:rPr>
        <w:t xml:space="preserve">, nr. 29, datë 8.12.2009, Komisioni Kombëtar Rregullator </w:t>
      </w:r>
    </w:p>
    <w:p w:rsidR="00B72670" w:rsidRPr="00AB3BE1" w:rsidRDefault="00B72670" w:rsidP="00B72670">
      <w:pPr>
        <w:pStyle w:val="Paragrafi"/>
        <w:rPr>
          <w:sz w:val="18"/>
          <w:szCs w:val="21"/>
          <w:lang w:val="sq-AL"/>
        </w:rPr>
      </w:pPr>
    </w:p>
    <w:p w:rsidR="00B72670" w:rsidRPr="00A33759" w:rsidRDefault="00B72670" w:rsidP="00B72670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B72670" w:rsidRPr="00AB3BE1" w:rsidRDefault="00B72670" w:rsidP="00B72670">
      <w:pPr>
        <w:pStyle w:val="Paragrafi"/>
        <w:rPr>
          <w:sz w:val="18"/>
          <w:szCs w:val="21"/>
          <w:lang w:val="sq-AL"/>
        </w:rPr>
      </w:pPr>
    </w:p>
    <w:p w:rsidR="00B72670" w:rsidRPr="00A33759" w:rsidRDefault="00B72670" w:rsidP="00B72670">
      <w:pPr>
        <w:pStyle w:val="Paragrafi"/>
        <w:rPr>
          <w:rStyle w:val="Hyperlink"/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1. Në </w:t>
      </w:r>
      <w:r w:rsidRPr="00A33759">
        <w:rPr>
          <w:sz w:val="21"/>
          <w:szCs w:val="21"/>
          <w:lang w:val="sq-AL"/>
        </w:rPr>
        <w:fldChar w:fldCharType="begin"/>
      </w:r>
      <w:r w:rsidRPr="00A33759">
        <w:rPr>
          <w:sz w:val="21"/>
          <w:szCs w:val="21"/>
          <w:lang w:val="sq-AL"/>
        </w:rPr>
        <w:instrText xml:space="preserve"> HYPERLINK "http://www.erru.al/doc/Rregullorja_e_Licencimit.pdf" \t "_blank" </w:instrText>
      </w:r>
      <w:r w:rsidRPr="00A33759">
        <w:rPr>
          <w:sz w:val="21"/>
          <w:szCs w:val="21"/>
          <w:lang w:val="sq-AL"/>
        </w:rPr>
        <w:fldChar w:fldCharType="separate"/>
      </w:r>
      <w:r w:rsidRPr="00A33759">
        <w:rPr>
          <w:rStyle w:val="Hyperlink"/>
          <w:sz w:val="21"/>
          <w:szCs w:val="21"/>
          <w:lang w:val="sq-AL"/>
        </w:rPr>
        <w:t>rregulloren “Për procedurat e dhënies dhe rinovimit të licencave profesionale për subjektet juridike e fizike që ushtrojnë veprimtari në sektorin e furnizimit me ujë dhe largimit e përpunimit të ujërave të ndotura”, miratuar me vendim të KKRR</w:t>
      </w:r>
      <w:r>
        <w:rPr>
          <w:rStyle w:val="Hyperlink"/>
          <w:sz w:val="21"/>
          <w:szCs w:val="21"/>
          <w:lang w:val="sq-AL"/>
        </w:rPr>
        <w:t>-së</w:t>
      </w:r>
      <w:r w:rsidRPr="00A33759">
        <w:rPr>
          <w:rStyle w:val="Hyperlink"/>
          <w:sz w:val="21"/>
          <w:szCs w:val="21"/>
          <w:lang w:val="sq-AL"/>
        </w:rPr>
        <w:t xml:space="preserve"> nr. 29, datë 8.12.2009, bëhen këto ndryshime dhe shtesa si më poshtë: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fldChar w:fldCharType="end"/>
      </w:r>
      <w:r w:rsidRPr="00A33759">
        <w:rPr>
          <w:sz w:val="21"/>
          <w:szCs w:val="21"/>
          <w:lang w:val="sq-AL"/>
        </w:rPr>
        <w:t xml:space="preserve">a) Te neni 11 “Rinovimi i licencës”, fjalia e parafundit: 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“Kriteret për marrjen e vendimit nga KKRRU</w:t>
      </w:r>
      <w:r>
        <w:rPr>
          <w:sz w:val="21"/>
          <w:szCs w:val="21"/>
          <w:lang w:val="sq-AL"/>
        </w:rPr>
        <w:t>-ja</w:t>
      </w:r>
      <w:r w:rsidRPr="00A33759">
        <w:rPr>
          <w:sz w:val="21"/>
          <w:szCs w:val="21"/>
          <w:lang w:val="sq-AL"/>
        </w:rPr>
        <w:t xml:space="preserve"> janë të njëjta si në rastin e licencimit”, shfuqizohet.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b) Pas nenit 11 </w:t>
      </w:r>
      <w:r>
        <w:rPr>
          <w:sz w:val="21"/>
          <w:szCs w:val="21"/>
          <w:lang w:val="sq-AL"/>
        </w:rPr>
        <w:t>shtohet neni</w:t>
      </w:r>
      <w:r w:rsidRPr="00A33759">
        <w:rPr>
          <w:sz w:val="21"/>
          <w:szCs w:val="21"/>
          <w:lang w:val="sq-AL"/>
        </w:rPr>
        <w:t xml:space="preserve"> 11/1</w:t>
      </w:r>
      <w:r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si më poshtë: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N</w:t>
      </w:r>
      <w:r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rastet e ndryshimit të drejtuesit ligjor dhe/ose drejtuesit teknik, i licencuari duhet të aplikojë për rinovimin e licencës brenda 30 ditëve nga lindja e këtyre ndryshimeve.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Kërkesa për rinovimin e licencës duhet të shoqërohet me këto dokumente: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a) Në rastet e ndryshimit të drejtuesit ligjor: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Ekstraktin e QKR</w:t>
      </w:r>
      <w:r>
        <w:rPr>
          <w:sz w:val="21"/>
          <w:szCs w:val="21"/>
          <w:lang w:val="sq-AL"/>
        </w:rPr>
        <w:t>-së</w:t>
      </w:r>
      <w:r w:rsidRPr="00A33759">
        <w:rPr>
          <w:sz w:val="21"/>
          <w:szCs w:val="21"/>
          <w:lang w:val="sq-AL"/>
        </w:rPr>
        <w:t xml:space="preserve"> plotësuar me administratorin e ri;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CV e drejtuesit të ri ligjor;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Dëshminë e penalitetit (formular aplikimi dhe fotokopje</w:t>
      </w:r>
      <w:r>
        <w:rPr>
          <w:sz w:val="21"/>
          <w:szCs w:val="21"/>
          <w:lang w:val="sq-AL"/>
        </w:rPr>
        <w:t xml:space="preserve"> e</w:t>
      </w:r>
      <w:r w:rsidRPr="00A33759">
        <w:rPr>
          <w:sz w:val="21"/>
          <w:szCs w:val="21"/>
          <w:lang w:val="sq-AL"/>
        </w:rPr>
        <w:t xml:space="preserve"> dokument</w:t>
      </w:r>
      <w:r>
        <w:rPr>
          <w:sz w:val="21"/>
          <w:szCs w:val="21"/>
          <w:lang w:val="sq-AL"/>
        </w:rPr>
        <w:t>it të i</w:t>
      </w:r>
      <w:r w:rsidRPr="00A33759">
        <w:rPr>
          <w:sz w:val="21"/>
          <w:szCs w:val="21"/>
          <w:lang w:val="sq-AL"/>
        </w:rPr>
        <w:t>dentifikimi</w:t>
      </w:r>
      <w:r>
        <w:rPr>
          <w:sz w:val="21"/>
          <w:szCs w:val="21"/>
          <w:lang w:val="sq-AL"/>
        </w:rPr>
        <w:t>t</w:t>
      </w:r>
      <w:r w:rsidRPr="00A33759">
        <w:rPr>
          <w:sz w:val="21"/>
          <w:szCs w:val="21"/>
          <w:lang w:val="sq-AL"/>
        </w:rPr>
        <w:t>);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Deklaratën me shkrim të drejtuesit ligjor, ku të deklarojë me përgjegjësi zbatimin e akteve ligjore dhe nënligjore, të nxjerra nga ERRU-ja, të standardeve shqipt</w:t>
      </w:r>
      <w:r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 xml:space="preserve"> për veprimin dhe mirëmbajtjen e sistemit e të legjislacionit shqiptar në fuqi;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Autorizimin nga pronari për drejtuesin ligjor, i cili jep të drejtën për të kryer të gjitha veprimtaritë për aplikimin dhe përdorimin e licencës përkatëse;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b) në rast të ndryshimit të drejtuesit teknik: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CV e drejtuesit të ri teknik;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Dëshminë e penalitetit (formular aplikimi dhe fotokopje </w:t>
      </w:r>
      <w:r>
        <w:rPr>
          <w:sz w:val="21"/>
          <w:szCs w:val="21"/>
          <w:lang w:val="sq-AL"/>
        </w:rPr>
        <w:t xml:space="preserve">e </w:t>
      </w:r>
      <w:r w:rsidRPr="00A33759">
        <w:rPr>
          <w:sz w:val="21"/>
          <w:szCs w:val="21"/>
          <w:lang w:val="sq-AL"/>
        </w:rPr>
        <w:t>dokument</w:t>
      </w:r>
      <w:r>
        <w:rPr>
          <w:sz w:val="21"/>
          <w:szCs w:val="21"/>
          <w:lang w:val="sq-AL"/>
        </w:rPr>
        <w:t>it të</w:t>
      </w:r>
      <w:r w:rsidRPr="00A33759">
        <w:rPr>
          <w:sz w:val="21"/>
          <w:szCs w:val="21"/>
          <w:lang w:val="sq-AL"/>
        </w:rPr>
        <w:t xml:space="preserve"> identifikimi</w:t>
      </w:r>
      <w:r>
        <w:rPr>
          <w:sz w:val="21"/>
          <w:szCs w:val="21"/>
          <w:lang w:val="sq-AL"/>
        </w:rPr>
        <w:t>t</w:t>
      </w:r>
      <w:r w:rsidRPr="00A33759">
        <w:rPr>
          <w:sz w:val="21"/>
          <w:szCs w:val="21"/>
          <w:lang w:val="sq-AL"/>
        </w:rPr>
        <w:t>);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Deklaratën me shkrim të drejtuesit teknik, ku të deklarojë me përgjegjësi zbatimin e akteve ligjore dhe nënligjore të nxjerra nga ERRU-ja, të standardeve shqipt</w:t>
      </w:r>
      <w:r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 xml:space="preserve"> për veprimin dhe mirëmbajtjen e sistemit e të legjislacionit shqiptar në fuqi;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Fotokopje e noterizuar e diplomës së shkollës së lartë.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I licencuari përjashtohet nga detyrimi i pagesës s</w:t>
      </w:r>
      <w:r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licencimit në rastet e rinovimit të licencës për efekt të ndryshimit të drejtuesit ligjor/teknik.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2. </w:t>
      </w:r>
      <w:r w:rsidRPr="00A33759">
        <w:rPr>
          <w:sz w:val="21"/>
          <w:szCs w:val="21"/>
          <w:lang w:val="sq-AL"/>
        </w:rPr>
        <w:t>Ky vendim hyn në fuqi menjëherë.</w:t>
      </w:r>
    </w:p>
    <w:p w:rsidR="00B72670" w:rsidRPr="00A33759" w:rsidRDefault="00B72670" w:rsidP="00B72670">
      <w:pPr>
        <w:pStyle w:val="Paragrafi"/>
        <w:ind w:firstLine="0"/>
        <w:rPr>
          <w:sz w:val="14"/>
          <w:szCs w:val="21"/>
          <w:lang w:val="sq-AL"/>
        </w:rPr>
      </w:pPr>
    </w:p>
    <w:p w:rsidR="00B72670" w:rsidRPr="00A33759" w:rsidRDefault="00B72670" w:rsidP="00B72670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KRYETARI </w:t>
      </w:r>
    </w:p>
    <w:p w:rsidR="00B72670" w:rsidRPr="00A33759" w:rsidRDefault="00B72670" w:rsidP="00B72670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Avni Dervishi</w:t>
      </w: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</w:p>
    <w:p w:rsidR="00B72670" w:rsidRPr="00A33759" w:rsidRDefault="00B72670" w:rsidP="00B72670">
      <w:pPr>
        <w:pStyle w:val="Paragrafi"/>
        <w:rPr>
          <w:sz w:val="21"/>
          <w:szCs w:val="21"/>
          <w:lang w:val="sq-AL"/>
        </w:rPr>
      </w:pPr>
    </w:p>
    <w:p w:rsidR="00000000" w:rsidRDefault="00B7267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B72670"/>
    <w:rsid w:val="00B7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7267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7267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B7267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B7267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72670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B7267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B72670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B7267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B7267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72670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72670"/>
    <w:rPr>
      <w:rFonts w:ascii="CG Times" w:eastAsia="MS Mincho" w:hAnsi="CG Times" w:cs="CG Times"/>
      <w:b/>
      <w:bCs/>
      <w:caps/>
      <w:lang w:val="en-GB"/>
    </w:rPr>
  </w:style>
  <w:style w:type="character" w:styleId="Hyperlink">
    <w:name w:val="Hyperlink"/>
    <w:basedOn w:val="DefaultParagraphFont"/>
    <w:uiPriority w:val="99"/>
    <w:unhideWhenUsed/>
    <w:rsid w:val="00B72670"/>
    <w:rPr>
      <w:color w:val="0000FF"/>
      <w:u w:val="single"/>
    </w:rPr>
  </w:style>
  <w:style w:type="character" w:customStyle="1" w:styleId="AutoritetiChar">
    <w:name w:val="Autoriteti Char"/>
    <w:basedOn w:val="DefaultParagraphFont"/>
    <w:link w:val="Autoriteti"/>
    <w:locked/>
    <w:rsid w:val="00B72670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B72670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rru.al/doc/vkm_958_dt._6.5.2009_per_licensa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Company>Grizli777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2014-09-04T09:10:00Z</dcterms:created>
  <dcterms:modified xsi:type="dcterms:W3CDTF">2014-09-04T09:11:00Z</dcterms:modified>
</cp:coreProperties>
</file>