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B0B" w:rsidRPr="00E338CE" w:rsidRDefault="005C0B0B" w:rsidP="005C0B0B">
      <w:pPr>
        <w:pStyle w:val="Akti"/>
        <w:rPr>
          <w:sz w:val="21"/>
          <w:szCs w:val="21"/>
          <w:lang w:val="sq-AL"/>
        </w:rPr>
      </w:pPr>
      <w:bookmarkStart w:id="0" w:name="_GoBack"/>
      <w:bookmarkEnd w:id="0"/>
      <w:r w:rsidRPr="00E338CE">
        <w:rPr>
          <w:sz w:val="21"/>
          <w:szCs w:val="21"/>
          <w:lang w:val="sq-AL"/>
        </w:rPr>
        <w:t>VENDIM</w:t>
      </w:r>
    </w:p>
    <w:p w:rsidR="005C0B0B" w:rsidRPr="00E338CE" w:rsidRDefault="005C0B0B" w:rsidP="005C0B0B">
      <w:pPr>
        <w:pStyle w:val="NumriData"/>
        <w:rPr>
          <w:sz w:val="21"/>
          <w:szCs w:val="21"/>
          <w:lang w:val="sq-AL"/>
        </w:rPr>
      </w:pPr>
      <w:r w:rsidRPr="00E338CE">
        <w:rPr>
          <w:sz w:val="21"/>
          <w:szCs w:val="21"/>
          <w:lang w:val="sq-AL"/>
        </w:rPr>
        <w:t>Nr. 46, datë 27.12.2013</w:t>
      </w:r>
    </w:p>
    <w:p w:rsidR="005C0B0B" w:rsidRPr="00280704" w:rsidRDefault="005C0B0B" w:rsidP="005C0B0B">
      <w:pPr>
        <w:pStyle w:val="Paragrafi"/>
        <w:ind w:firstLine="0"/>
        <w:rPr>
          <w:sz w:val="16"/>
          <w:szCs w:val="21"/>
          <w:lang w:val="sq-AL"/>
        </w:rPr>
      </w:pPr>
    </w:p>
    <w:p w:rsidR="005C0B0B" w:rsidRPr="00E338CE" w:rsidRDefault="005C0B0B" w:rsidP="005C0B0B">
      <w:pPr>
        <w:pStyle w:val="Titulli"/>
        <w:rPr>
          <w:sz w:val="21"/>
          <w:szCs w:val="21"/>
          <w:lang w:val="sq-AL"/>
        </w:rPr>
      </w:pPr>
      <w:r w:rsidRPr="00E338CE">
        <w:rPr>
          <w:sz w:val="21"/>
          <w:szCs w:val="21"/>
          <w:lang w:val="sq-AL"/>
        </w:rPr>
        <w:t>PËR MIRATIMIN E “BILANCIT TË UJIT”</w:t>
      </w:r>
    </w:p>
    <w:p w:rsidR="005C0B0B" w:rsidRPr="00280704" w:rsidRDefault="005C0B0B" w:rsidP="005C0B0B">
      <w:pPr>
        <w:pStyle w:val="Paragrafi"/>
        <w:ind w:firstLine="0"/>
        <w:rPr>
          <w:sz w:val="16"/>
          <w:szCs w:val="21"/>
          <w:lang w:val="sq-AL"/>
        </w:rPr>
      </w:pPr>
    </w:p>
    <w:p w:rsidR="005C0B0B" w:rsidRPr="00E338CE" w:rsidRDefault="005C0B0B" w:rsidP="005C0B0B">
      <w:pPr>
        <w:pStyle w:val="Paragrafi"/>
        <w:rPr>
          <w:sz w:val="21"/>
          <w:szCs w:val="21"/>
          <w:lang w:val="sq-AL"/>
        </w:rPr>
      </w:pPr>
      <w:r w:rsidRPr="00E338CE">
        <w:rPr>
          <w:sz w:val="21"/>
          <w:szCs w:val="21"/>
          <w:lang w:val="sq-AL"/>
        </w:rPr>
        <w:t xml:space="preserve">Në mbështetje të nenit 14, pika 1/e, pika 1/i të ligjit nr. 8102, datë 28.3.1996 “Për kuadrin rregullator të sektorit të furnizimit me ujë dhe largimit e përpunimit të ujërave të ndotura”, Komisioni Kombëtar Rregullator </w:t>
      </w:r>
    </w:p>
    <w:p w:rsidR="005C0B0B" w:rsidRPr="00280704" w:rsidRDefault="005C0B0B" w:rsidP="005C0B0B">
      <w:pPr>
        <w:pStyle w:val="VENDOSI"/>
        <w:rPr>
          <w:sz w:val="12"/>
          <w:szCs w:val="21"/>
          <w:lang w:val="sq-AL"/>
        </w:rPr>
      </w:pPr>
    </w:p>
    <w:p w:rsidR="005C0B0B" w:rsidRPr="00E338CE" w:rsidRDefault="005C0B0B" w:rsidP="005C0B0B">
      <w:pPr>
        <w:pStyle w:val="VENDOSI"/>
        <w:rPr>
          <w:sz w:val="21"/>
          <w:szCs w:val="21"/>
          <w:lang w:val="sq-AL"/>
        </w:rPr>
      </w:pPr>
      <w:r w:rsidRPr="00E338CE">
        <w:rPr>
          <w:sz w:val="21"/>
          <w:szCs w:val="21"/>
          <w:lang w:val="sq-AL"/>
        </w:rPr>
        <w:t>VENDOSI:</w:t>
      </w:r>
    </w:p>
    <w:p w:rsidR="005C0B0B" w:rsidRPr="00A90374" w:rsidRDefault="005C0B0B" w:rsidP="005C0B0B">
      <w:pPr>
        <w:pStyle w:val="Paragrafi"/>
        <w:rPr>
          <w:sz w:val="12"/>
          <w:szCs w:val="21"/>
          <w:lang w:val="sq-AL"/>
        </w:rPr>
      </w:pPr>
    </w:p>
    <w:p w:rsidR="005C0B0B" w:rsidRPr="00E338CE" w:rsidRDefault="005C0B0B" w:rsidP="005C0B0B">
      <w:pPr>
        <w:pStyle w:val="Paragrafi"/>
        <w:rPr>
          <w:sz w:val="21"/>
          <w:szCs w:val="21"/>
          <w:lang w:val="sq-AL"/>
        </w:rPr>
      </w:pPr>
      <w:r w:rsidRPr="00E338CE">
        <w:rPr>
          <w:sz w:val="21"/>
          <w:szCs w:val="21"/>
          <w:lang w:val="sq-AL"/>
        </w:rPr>
        <w:t>1. Të miratojë “Bilancin e ujit” sipas tekstit bashkëlidhur këtij vendimi.</w:t>
      </w:r>
    </w:p>
    <w:p w:rsidR="005C0B0B" w:rsidRDefault="005C0B0B" w:rsidP="005C0B0B">
      <w:pPr>
        <w:pStyle w:val="Paragrafi"/>
        <w:rPr>
          <w:sz w:val="21"/>
          <w:szCs w:val="21"/>
          <w:lang w:val="sq-AL"/>
        </w:rPr>
      </w:pPr>
      <w:r w:rsidRPr="00E338CE">
        <w:rPr>
          <w:sz w:val="21"/>
          <w:szCs w:val="21"/>
          <w:lang w:val="sq-AL"/>
        </w:rPr>
        <w:t>Ky vendim hyn në fuqi menjëherë.</w:t>
      </w:r>
    </w:p>
    <w:p w:rsidR="005C0B0B" w:rsidRPr="00280704" w:rsidRDefault="005C0B0B" w:rsidP="005C0B0B">
      <w:pPr>
        <w:pStyle w:val="Paragrafi"/>
        <w:rPr>
          <w:sz w:val="10"/>
          <w:szCs w:val="21"/>
          <w:lang w:val="sq-AL"/>
        </w:rPr>
      </w:pPr>
    </w:p>
    <w:p w:rsidR="005C0B0B" w:rsidRPr="00E338CE" w:rsidRDefault="005C0B0B" w:rsidP="005C0B0B">
      <w:pPr>
        <w:pStyle w:val="Autoriteti"/>
        <w:rPr>
          <w:sz w:val="21"/>
          <w:szCs w:val="21"/>
          <w:lang w:val="sq-AL"/>
        </w:rPr>
      </w:pPr>
      <w:r w:rsidRPr="00E338CE">
        <w:rPr>
          <w:sz w:val="21"/>
          <w:szCs w:val="21"/>
          <w:lang w:val="sq-AL"/>
        </w:rPr>
        <w:t>KRYETARI</w:t>
      </w:r>
    </w:p>
    <w:p w:rsidR="005C0B0B" w:rsidRPr="00E338CE" w:rsidRDefault="005C0B0B" w:rsidP="005C0B0B">
      <w:pPr>
        <w:pStyle w:val="AutoritetiEmer"/>
        <w:rPr>
          <w:sz w:val="21"/>
          <w:szCs w:val="21"/>
          <w:lang w:val="sq-AL"/>
        </w:rPr>
      </w:pPr>
      <w:r w:rsidRPr="00E338CE">
        <w:rPr>
          <w:sz w:val="21"/>
          <w:szCs w:val="21"/>
          <w:lang w:val="sq-AL"/>
        </w:rPr>
        <w:t>Avni Dervishi</w:t>
      </w:r>
    </w:p>
    <w:p w:rsidR="005C0B0B" w:rsidRPr="00E338CE" w:rsidRDefault="005C0B0B" w:rsidP="005C0B0B">
      <w:pPr>
        <w:pStyle w:val="Paragrafi"/>
        <w:ind w:firstLine="0"/>
        <w:rPr>
          <w:sz w:val="21"/>
          <w:szCs w:val="21"/>
          <w:lang w:val="sq-AL"/>
        </w:rPr>
      </w:pPr>
    </w:p>
    <w:p w:rsidR="005C0B0B" w:rsidRPr="00E338CE" w:rsidRDefault="0049108B" w:rsidP="005C0B0B">
      <w:pPr>
        <w:pStyle w:val="Paragrafi"/>
        <w:jc w:val="center"/>
        <w:rPr>
          <w:sz w:val="21"/>
          <w:szCs w:val="21"/>
          <w:lang w:val="sq-AL"/>
        </w:rPr>
      </w:pPr>
      <w:r w:rsidRPr="005C0B0B">
        <w:rPr>
          <w:noProof/>
          <w:sz w:val="21"/>
          <w:szCs w:val="21"/>
        </w:rPr>
        <w:drawing>
          <wp:inline distT="0" distB="0" distL="0" distR="0">
            <wp:extent cx="4591050" cy="3105150"/>
            <wp:effectExtent l="0" t="0" r="0" b="0"/>
            <wp:docPr id="4" name="Picture 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
                    <pic:cNvPicPr>
                      <a:picLocks noChangeAspect="1" noChangeArrowheads="1"/>
                    </pic:cNvPicPr>
                  </pic:nvPicPr>
                  <pic:blipFill>
                    <a:blip r:embed="rId6" cstate="print">
                      <a:extLst>
                        <a:ext uri="{28A0092B-C50C-407E-A947-70E740481C1C}">
                          <a14:useLocalDpi xmlns:a14="http://schemas.microsoft.com/office/drawing/2010/main" val="0"/>
                        </a:ext>
                      </a:extLst>
                    </a:blip>
                    <a:srcRect l="59129" t="9517" r="6137" b="37384"/>
                    <a:stretch>
                      <a:fillRect/>
                    </a:stretch>
                  </pic:blipFill>
                  <pic:spPr bwMode="auto">
                    <a:xfrm>
                      <a:off x="0" y="0"/>
                      <a:ext cx="4591050" cy="3105150"/>
                    </a:xfrm>
                    <a:prstGeom prst="rect">
                      <a:avLst/>
                    </a:prstGeom>
                    <a:noFill/>
                    <a:ln>
                      <a:noFill/>
                    </a:ln>
                  </pic:spPr>
                </pic:pic>
              </a:graphicData>
            </a:graphic>
          </wp:inline>
        </w:drawing>
      </w:r>
    </w:p>
    <w:p w:rsidR="005C0B0B" w:rsidRPr="00E338CE" w:rsidRDefault="005C0B0B" w:rsidP="005C0B0B">
      <w:pPr>
        <w:pStyle w:val="Paragrafi"/>
        <w:jc w:val="center"/>
        <w:rPr>
          <w:sz w:val="21"/>
          <w:szCs w:val="21"/>
          <w:lang w:val="sq-AL"/>
        </w:rPr>
      </w:pPr>
      <w:r w:rsidRPr="00E338CE">
        <w:rPr>
          <w:sz w:val="21"/>
          <w:szCs w:val="21"/>
          <w:lang w:val="sq-AL"/>
        </w:rPr>
        <w:t>Tiranë, dhjetor, 2013</w:t>
      </w:r>
    </w:p>
    <w:p w:rsidR="005C0B0B" w:rsidRPr="00E338CE" w:rsidRDefault="005C0B0B" w:rsidP="005C0B0B">
      <w:pPr>
        <w:pStyle w:val="Paragrafi"/>
        <w:ind w:firstLine="0"/>
        <w:rPr>
          <w:sz w:val="12"/>
          <w:szCs w:val="21"/>
          <w:lang w:val="sq-AL"/>
        </w:rPr>
      </w:pPr>
    </w:p>
    <w:p w:rsidR="005C0B0B" w:rsidRPr="00E338CE" w:rsidRDefault="005C0B0B" w:rsidP="005C0B0B">
      <w:pPr>
        <w:pStyle w:val="Paragrafi"/>
        <w:rPr>
          <w:sz w:val="21"/>
          <w:szCs w:val="21"/>
          <w:lang w:val="sq-AL"/>
        </w:rPr>
      </w:pPr>
      <w:r w:rsidRPr="00E338CE">
        <w:rPr>
          <w:sz w:val="21"/>
          <w:szCs w:val="21"/>
          <w:lang w:val="sq-AL"/>
        </w:rPr>
        <w:t>A. Të përgjithshme</w:t>
      </w:r>
    </w:p>
    <w:p w:rsidR="005C0B0B" w:rsidRPr="00E338CE" w:rsidRDefault="005C0B0B" w:rsidP="005C0B0B">
      <w:pPr>
        <w:pStyle w:val="Paragrafi"/>
        <w:rPr>
          <w:sz w:val="21"/>
          <w:szCs w:val="21"/>
          <w:lang w:val="sq-AL"/>
        </w:rPr>
      </w:pPr>
      <w:r w:rsidRPr="00E338CE">
        <w:rPr>
          <w:sz w:val="21"/>
          <w:szCs w:val="21"/>
          <w:lang w:val="sq-AL"/>
        </w:rPr>
        <w:t>“Bilanci i ujit” është një informacion në lidhje me:</w:t>
      </w:r>
    </w:p>
    <w:p w:rsidR="005C0B0B" w:rsidRPr="00E338CE" w:rsidRDefault="005C0B0B" w:rsidP="005C0B0B">
      <w:pPr>
        <w:pStyle w:val="Paragrafi"/>
        <w:rPr>
          <w:sz w:val="21"/>
          <w:szCs w:val="21"/>
          <w:lang w:val="sq-AL"/>
        </w:rPr>
      </w:pPr>
      <w:r w:rsidRPr="00E338CE">
        <w:rPr>
          <w:sz w:val="21"/>
          <w:szCs w:val="21"/>
          <w:lang w:val="sq-AL"/>
        </w:rPr>
        <w:t xml:space="preserve">- Sasinë e ujit të prodhuar dhe të furnizuar në sistemin e furnizimit me ujë të zonës së shërbimit të operatorit; </w:t>
      </w:r>
    </w:p>
    <w:p w:rsidR="005C0B0B" w:rsidRPr="00E338CE" w:rsidRDefault="005C0B0B" w:rsidP="005C0B0B">
      <w:pPr>
        <w:pStyle w:val="Paragrafi"/>
        <w:rPr>
          <w:sz w:val="21"/>
          <w:szCs w:val="21"/>
          <w:lang w:val="sq-AL"/>
        </w:rPr>
      </w:pPr>
      <w:r w:rsidRPr="00E338CE">
        <w:rPr>
          <w:sz w:val="21"/>
          <w:szCs w:val="21"/>
          <w:lang w:val="sq-AL"/>
        </w:rPr>
        <w:t xml:space="preserve">- Sasinë e ujit të humbur për shkak të problemeve teknike të sistemit (rrjedhje të tubacioneve apo humbjeve në pjesë të ndryshme të sistemit) apo matësve të ujit; </w:t>
      </w:r>
    </w:p>
    <w:p w:rsidR="005C0B0B" w:rsidRPr="00E338CE" w:rsidRDefault="005C0B0B" w:rsidP="005C0B0B">
      <w:pPr>
        <w:pStyle w:val="Paragrafi"/>
        <w:rPr>
          <w:sz w:val="21"/>
          <w:szCs w:val="21"/>
          <w:lang w:val="sq-AL"/>
        </w:rPr>
      </w:pPr>
      <w:r w:rsidRPr="00E338CE">
        <w:rPr>
          <w:sz w:val="21"/>
          <w:szCs w:val="21"/>
          <w:lang w:val="sq-AL"/>
        </w:rPr>
        <w:t>- Sasinë e ujit të humbur për shkak të lidhjeve ilegale apo problemeve të keqadministrimit të sistemit;</w:t>
      </w:r>
    </w:p>
    <w:p w:rsidR="005C0B0B" w:rsidRPr="00E338CE" w:rsidRDefault="005C0B0B" w:rsidP="005C0B0B">
      <w:pPr>
        <w:pStyle w:val="Paragrafi"/>
        <w:rPr>
          <w:sz w:val="21"/>
          <w:szCs w:val="21"/>
          <w:lang w:val="sq-AL"/>
        </w:rPr>
      </w:pPr>
      <w:r w:rsidRPr="00E338CE">
        <w:rPr>
          <w:sz w:val="21"/>
          <w:szCs w:val="21"/>
          <w:lang w:val="sq-AL"/>
        </w:rPr>
        <w:t>- Sasinë e ujit të furnizuar te klientët;</w:t>
      </w:r>
    </w:p>
    <w:p w:rsidR="005C0B0B" w:rsidRPr="00E338CE" w:rsidRDefault="005C0B0B" w:rsidP="005C0B0B">
      <w:pPr>
        <w:pStyle w:val="Paragrafi"/>
        <w:rPr>
          <w:sz w:val="21"/>
          <w:szCs w:val="21"/>
          <w:lang w:val="sq-AL"/>
        </w:rPr>
      </w:pPr>
      <w:r w:rsidRPr="00E338CE">
        <w:rPr>
          <w:sz w:val="21"/>
          <w:szCs w:val="21"/>
          <w:lang w:val="sq-AL"/>
        </w:rPr>
        <w:t xml:space="preserve">- Sasinë e ujit të përdorur për qëllime publike (sistemet kundër zjarrit, pastrimi i rezervuarëve, rrugëve apo ujitja e lulishteve etj.) dhe për institucione të veçanta (kisha, xhami, jetimore, azile etj.). </w:t>
      </w:r>
    </w:p>
    <w:p w:rsidR="005C0B0B" w:rsidRPr="00E338CE" w:rsidRDefault="005C0B0B" w:rsidP="005C0B0B">
      <w:pPr>
        <w:pStyle w:val="Paragrafi"/>
        <w:rPr>
          <w:sz w:val="21"/>
          <w:szCs w:val="21"/>
          <w:lang w:val="sq-AL"/>
        </w:rPr>
      </w:pPr>
      <w:r w:rsidRPr="00E338CE">
        <w:rPr>
          <w:sz w:val="21"/>
          <w:szCs w:val="21"/>
          <w:lang w:val="sq-AL"/>
        </w:rPr>
        <w:t xml:space="preserve">“Bilanci i ujit”, në radhë të parë, u shërben operatorëve për të vërejtur dhe për të kontrolluar në mënyrë të vazhdueshme problematikën që ndodh gjatë administrimit të sistemit të furnizimit me ujë në pjesë të ndryshme të tij, në mënyrë që të gjejë zgjidhjet përkatëse në një kohë sa më të shkurtër.  “Bilanci i ujit” duhet të bëhet çdo muaj nga operatorët e ujit në bazë të të dhënave të matura apo të vlerësuara nga specialistët përkatës që operojnë në terren. </w:t>
      </w:r>
    </w:p>
    <w:p w:rsidR="005C0B0B" w:rsidRPr="00E338CE" w:rsidRDefault="005C0B0B" w:rsidP="005C0B0B">
      <w:pPr>
        <w:pStyle w:val="Paragrafi"/>
        <w:rPr>
          <w:sz w:val="21"/>
          <w:szCs w:val="21"/>
          <w:lang w:val="sq-AL"/>
        </w:rPr>
      </w:pPr>
      <w:r w:rsidRPr="00E338CE">
        <w:rPr>
          <w:sz w:val="21"/>
          <w:szCs w:val="21"/>
          <w:lang w:val="sq-AL"/>
        </w:rPr>
        <w:t>Operatorët e ujit duhet të synojnë drejt matjeve të vazhdueshme të sasive të ujit që kërkohen gjatë plotësimit të këtij Bilanci nëpërmjet instalimit të matësve të ujit në vendet e prodhimit të tij (burime, stacion pompash, puse etj.). Në rast të mungesës së matësve të ujit, operatorët duhet të bëjnë matje direkte dhe llogaritjet përkatëse çdo muaj (matjet dhe llogaritjet duhet të shoqërohen me procesverbale të rregullta zyrtare), në mënyrë që rezultatet të jenë sa më të sakta.</w:t>
      </w:r>
    </w:p>
    <w:p w:rsidR="005C0B0B" w:rsidRPr="00E338CE" w:rsidRDefault="005C0B0B" w:rsidP="005C0B0B">
      <w:pPr>
        <w:pStyle w:val="Paragrafi"/>
        <w:rPr>
          <w:sz w:val="21"/>
          <w:szCs w:val="21"/>
          <w:lang w:val="sq-AL"/>
        </w:rPr>
      </w:pPr>
      <w:r w:rsidRPr="00E338CE">
        <w:rPr>
          <w:sz w:val="21"/>
          <w:szCs w:val="21"/>
          <w:lang w:val="sq-AL"/>
        </w:rPr>
        <w:t>Njëkohësisht, “Bilanci i ujit”, i plotësuar nga operatorët, do të jetë një instrument që do t’u shërbejë ERRU-së dhe pronarëve të këtyre sistemeve (pushteteve lokale) për të monitoruar performancën dhe cilësinë e shërbimit të operatorëve të ujit. Ky Bilanc, i plotësuar me të dhënat e kërkuara të sasive të ujit sipas tabelave bashkëlidhur, duhet të dërgohet tek ERRU-ja dhe te pronarët një herë në 6 muaj. ERRU-ja do të bëjë kontrolle dhe monitorime për cilësinë e të dhënave të paraqitura.</w:t>
      </w:r>
    </w:p>
    <w:p w:rsidR="005C0B0B" w:rsidRPr="00E338CE" w:rsidRDefault="005C0B0B" w:rsidP="005C0B0B">
      <w:pPr>
        <w:pStyle w:val="Paragrafi"/>
        <w:rPr>
          <w:sz w:val="21"/>
          <w:szCs w:val="21"/>
          <w:lang w:val="sq-AL"/>
        </w:rPr>
      </w:pPr>
      <w:r w:rsidRPr="00E338CE">
        <w:rPr>
          <w:sz w:val="21"/>
          <w:szCs w:val="21"/>
          <w:lang w:val="sq-AL"/>
        </w:rPr>
        <w:t>B. Terminologjia standarde dhe përkufizimet e përbërësve të “Bilancit të ujit”</w:t>
      </w:r>
    </w:p>
    <w:p w:rsidR="005C0B0B" w:rsidRDefault="005C0B0B" w:rsidP="005C0B0B">
      <w:pPr>
        <w:pStyle w:val="Paragrafi"/>
        <w:rPr>
          <w:sz w:val="21"/>
          <w:szCs w:val="21"/>
          <w:lang w:val="sq-AL"/>
        </w:rPr>
      </w:pPr>
      <w:r w:rsidRPr="00E338CE">
        <w:rPr>
          <w:sz w:val="21"/>
          <w:szCs w:val="21"/>
          <w:lang w:val="sq-AL"/>
        </w:rPr>
        <w:t>1. “Volumi i ujit që hyn në sistemin e furnizimit me ujë” është sasia e ujit të prodhuar në një vit kalendarik nga sistemi që administron operatori plus sasinë e ujit të blerë me shumicë nga klientë të tjerë në një vit.</w:t>
      </w:r>
    </w:p>
    <w:p w:rsidR="005C0B0B" w:rsidRPr="00E338CE" w:rsidRDefault="005C0B0B" w:rsidP="005C0B0B">
      <w:pPr>
        <w:pStyle w:val="Paragrafi"/>
        <w:rPr>
          <w:sz w:val="21"/>
          <w:szCs w:val="21"/>
          <w:lang w:val="sq-AL"/>
        </w:rPr>
      </w:pPr>
      <w:r w:rsidRPr="00E338CE">
        <w:rPr>
          <w:sz w:val="21"/>
          <w:szCs w:val="21"/>
          <w:lang w:val="sq-AL"/>
        </w:rPr>
        <w:t>2. “Konsumi i autorizuar” është volumi i ujit të matur dhe të pamatur, që merret nga konsumatorët e regjistruar, si dhe furnizues të tjerë për qëllime komerciale, industriale me autorizimin e operatorit të ujit. Këtu përfshihet edhe uji që u jepet të tretëve, si dhe uji për sistemet kundër zjarrit dhe për qëllime të infrastrukturës publike.</w:t>
      </w:r>
    </w:p>
    <w:p w:rsidR="005C0B0B" w:rsidRPr="00E338CE" w:rsidRDefault="005C0B0B" w:rsidP="005C0B0B">
      <w:pPr>
        <w:pStyle w:val="Paragrafi"/>
        <w:rPr>
          <w:sz w:val="21"/>
          <w:szCs w:val="21"/>
          <w:lang w:val="sq-AL"/>
        </w:rPr>
      </w:pPr>
      <w:r w:rsidRPr="00E338CE">
        <w:rPr>
          <w:sz w:val="21"/>
          <w:szCs w:val="21"/>
          <w:lang w:val="sq-AL"/>
        </w:rPr>
        <w:t>3. “Humbjet e ujit” është volumi total i ujit që humbet në të gjithë sistemin e furnizimit me ujë. Humbjet përfshijnë humbjet e dukshme dhe humbjet reale.</w:t>
      </w:r>
    </w:p>
    <w:p w:rsidR="005C0B0B" w:rsidRPr="00E338CE" w:rsidRDefault="005C0B0B" w:rsidP="005C0B0B">
      <w:pPr>
        <w:pStyle w:val="Paragrafi"/>
        <w:rPr>
          <w:sz w:val="21"/>
          <w:szCs w:val="21"/>
          <w:lang w:val="sq-AL"/>
        </w:rPr>
      </w:pPr>
      <w:r w:rsidRPr="00E338CE">
        <w:rPr>
          <w:sz w:val="21"/>
          <w:szCs w:val="21"/>
          <w:lang w:val="sq-AL"/>
        </w:rPr>
        <w:t>4. “Humbjet reale” janë humbjet fizike të ujit në sistemin e furnizimit me ujë deri në pikën e matjes te konsumatori. Në këto humbje përfshihen të gjitha tipat e rrjedhjeve në rrjetin e transmetimit dhe të shpërndarjes, nga mbirrjedhjet e depove, rrjedhjet për shkak të riparimeve në sistem, rrjedhjet në stacionin e pompave dhe në burimet e ujit.</w:t>
      </w:r>
    </w:p>
    <w:p w:rsidR="005C0B0B" w:rsidRPr="00E338CE" w:rsidRDefault="005C0B0B" w:rsidP="005C0B0B">
      <w:pPr>
        <w:pStyle w:val="Paragrafi"/>
        <w:rPr>
          <w:sz w:val="21"/>
          <w:szCs w:val="21"/>
          <w:lang w:val="sq-AL"/>
        </w:rPr>
      </w:pPr>
      <w:r w:rsidRPr="00E338CE">
        <w:rPr>
          <w:sz w:val="21"/>
          <w:szCs w:val="21"/>
          <w:lang w:val="sq-AL"/>
        </w:rPr>
        <w:t>5. “Humbjet e dukshme” konsistojnë në konsumin e paautorizuar (vjedhje dhe lidhje ilegale), si dhe të gjitha llojet e pasaktësive në matjen e ujit në prodhim dhe te konsumatori.</w:t>
      </w:r>
    </w:p>
    <w:p w:rsidR="005C0B0B" w:rsidRPr="00E338CE" w:rsidRDefault="005C0B0B" w:rsidP="005C0B0B">
      <w:pPr>
        <w:pStyle w:val="Paragrafi"/>
        <w:rPr>
          <w:sz w:val="21"/>
          <w:szCs w:val="21"/>
          <w:lang w:val="sq-AL"/>
        </w:rPr>
      </w:pPr>
      <w:r w:rsidRPr="00E338CE">
        <w:rPr>
          <w:sz w:val="21"/>
          <w:szCs w:val="21"/>
          <w:lang w:val="sq-AL"/>
        </w:rPr>
        <w:t>6. “Konsumi i ujit të faturuar i matur” është sasia vjetore e ujit të matur nëpërmjet matësve të ujit të instaluar te konsumatorët dhe të faturuar nga operatori.</w:t>
      </w:r>
    </w:p>
    <w:p w:rsidR="005C0B0B" w:rsidRPr="00E338CE" w:rsidRDefault="005C0B0B" w:rsidP="005C0B0B">
      <w:pPr>
        <w:pStyle w:val="Paragrafi"/>
        <w:tabs>
          <w:tab w:val="left" w:pos="5400"/>
        </w:tabs>
        <w:rPr>
          <w:sz w:val="21"/>
          <w:szCs w:val="21"/>
          <w:lang w:val="sq-AL"/>
        </w:rPr>
      </w:pPr>
      <w:r w:rsidRPr="00E338CE">
        <w:rPr>
          <w:sz w:val="21"/>
          <w:szCs w:val="21"/>
          <w:lang w:val="sq-AL"/>
        </w:rPr>
        <w:t>7. “Konsumi i ujit të faturuar i matur që u shitet të tretëve” është sasia vjetore e ujit të matur nëpërmjet matësve të mëdhenj të ujit, i cili u shitet operatorëve të tjerë ose klientëve të caktuar jashtë zonës së shërbimit me tarifën e ujit me shumicë, të aprovuar nga ERRU-ja.</w:t>
      </w:r>
    </w:p>
    <w:p w:rsidR="005C0B0B" w:rsidRPr="00E338CE" w:rsidRDefault="005C0B0B" w:rsidP="005C0B0B">
      <w:pPr>
        <w:pStyle w:val="Paragrafi"/>
        <w:rPr>
          <w:sz w:val="21"/>
          <w:szCs w:val="21"/>
          <w:lang w:val="sq-AL"/>
        </w:rPr>
      </w:pPr>
      <w:r w:rsidRPr="00E338CE">
        <w:rPr>
          <w:sz w:val="21"/>
          <w:szCs w:val="21"/>
          <w:lang w:val="sq-AL"/>
        </w:rPr>
        <w:t xml:space="preserve">8. “Konsumi i ujit të faturuar i pamatur” është sasia vjetore e ujit të vlerësuar nga operatori që u është shitur dhe faturuar klientëve familjarë dhe jofamiljarë (privatë apo institucione). Në këtë sasi përfshihet konsumi i ashtuquajtur aforfe, që u faturohet klientëve sipas VKM-së përkatëse (konsum i vlerësuar me sasinë prej 150 l/frymë në ditë për konsumatorët familjarë pa matës) ose përdorues të tjerë që nuk kanë të instaluar matës uji. </w:t>
      </w:r>
    </w:p>
    <w:p w:rsidR="005C0B0B" w:rsidRPr="00E338CE" w:rsidRDefault="005C0B0B" w:rsidP="005C0B0B">
      <w:pPr>
        <w:pStyle w:val="Paragrafi"/>
        <w:rPr>
          <w:sz w:val="21"/>
          <w:szCs w:val="21"/>
          <w:lang w:val="sq-AL"/>
        </w:rPr>
      </w:pPr>
      <w:r w:rsidRPr="00E338CE">
        <w:rPr>
          <w:sz w:val="21"/>
          <w:szCs w:val="21"/>
          <w:lang w:val="sq-AL"/>
        </w:rPr>
        <w:t>9. “Konsumi i ujit të pafaturuar që jepet nga operatori për qëllime dhe institucione të veçanta” është sasia vjetore e ujit që jepet nga operatori për qëllime publike të veçanta (ujitja e lulishteve, shuarja e zjarreve përmes sistemeve zjarrfikëse, pastrimin e depove të ujit dhe rrugëve etj.). Kjo sasi mund të jetë e matur ose e vlerësuar nga operatori në bazë të normave dhe rregullave përkatëse.</w:t>
      </w:r>
    </w:p>
    <w:p w:rsidR="005C0B0B" w:rsidRPr="00E338CE" w:rsidRDefault="005C0B0B" w:rsidP="005C0B0B">
      <w:pPr>
        <w:pStyle w:val="Paragrafi"/>
        <w:rPr>
          <w:sz w:val="21"/>
          <w:szCs w:val="21"/>
          <w:lang w:val="sq-AL"/>
        </w:rPr>
      </w:pPr>
      <w:r w:rsidRPr="00E338CE">
        <w:rPr>
          <w:sz w:val="21"/>
          <w:szCs w:val="21"/>
          <w:lang w:val="sq-AL"/>
        </w:rPr>
        <w:t xml:space="preserve">10. “Humbjet e ujit për shkak të lidhjeve të paligjshme në linjat e transmetimit” është sasia e ujit që merret ilegalisht në linjat e transmetimit nga burimi i ujit (stacion pompash apo burim sipërfaqësor) deri te rezervuarët e ujit, si rrjedhojë e lidhjeve ilegale apo </w:t>
      </w:r>
      <w:r w:rsidRPr="00E338CE">
        <w:rPr>
          <w:i/>
          <w:sz w:val="21"/>
          <w:szCs w:val="21"/>
          <w:lang w:val="sq-AL"/>
        </w:rPr>
        <w:t>bypass-</w:t>
      </w:r>
      <w:r w:rsidRPr="00E338CE">
        <w:rPr>
          <w:sz w:val="21"/>
          <w:szCs w:val="21"/>
          <w:lang w:val="sq-AL"/>
        </w:rPr>
        <w:t>eve tek ujëmatësi i konsumatorit, të kryera nga persona të paautorizuar nga operatori.</w:t>
      </w:r>
    </w:p>
    <w:p w:rsidR="005C0B0B" w:rsidRPr="00E338CE" w:rsidRDefault="005C0B0B" w:rsidP="005C0B0B">
      <w:pPr>
        <w:pStyle w:val="Paragrafi"/>
        <w:rPr>
          <w:sz w:val="21"/>
          <w:szCs w:val="21"/>
          <w:lang w:val="sq-AL"/>
        </w:rPr>
      </w:pPr>
      <w:r w:rsidRPr="00E338CE">
        <w:rPr>
          <w:sz w:val="21"/>
          <w:szCs w:val="21"/>
          <w:lang w:val="sq-AL"/>
        </w:rPr>
        <w:t>11. “Humbjet e ujit për shkak të lidhjeve të paligjshme në linjat e rrjetit shpërndarës” është sasia e ujit që merret ilegalisht në linjat e rrjetit shpërndarës nga rezervuarët e ujit deri te pika e lidhjes për konsumatorin, si rrjedhojë e lidhjeve ilegale apo kalimeve tek ujëmatësi i konsumatorit, të kryera nga persona të paautorizuar nga operatori.</w:t>
      </w:r>
    </w:p>
    <w:p w:rsidR="005C0B0B" w:rsidRPr="00E338CE" w:rsidRDefault="005C0B0B" w:rsidP="005C0B0B">
      <w:pPr>
        <w:pStyle w:val="Paragrafi"/>
        <w:rPr>
          <w:sz w:val="21"/>
          <w:szCs w:val="21"/>
          <w:lang w:val="sq-AL"/>
        </w:rPr>
      </w:pPr>
      <w:r w:rsidRPr="00E338CE">
        <w:rPr>
          <w:sz w:val="21"/>
          <w:szCs w:val="21"/>
          <w:lang w:val="sq-AL"/>
        </w:rPr>
        <w:t>12. “Humbjet e ujit për shkak të pasaktësive në matësit e ujit (në prodhim dhe te konsumatori)” është sasia e ujit që humbet nga pasaktësia e ujëmatësve të instaluar në vendet e prodhimit dhe të konsumimit të ujit.</w:t>
      </w:r>
    </w:p>
    <w:p w:rsidR="005C0B0B" w:rsidRPr="00E338CE" w:rsidRDefault="005C0B0B" w:rsidP="005C0B0B">
      <w:pPr>
        <w:pStyle w:val="Paragrafi"/>
        <w:rPr>
          <w:sz w:val="21"/>
          <w:szCs w:val="21"/>
          <w:lang w:val="sq-AL"/>
        </w:rPr>
      </w:pPr>
      <w:r w:rsidRPr="00E338CE">
        <w:rPr>
          <w:sz w:val="21"/>
          <w:szCs w:val="21"/>
          <w:lang w:val="sq-AL"/>
        </w:rPr>
        <w:t>13. “Humbjet e ujit nga rrjedhjet në linjat e transmetimit” është sasia vjetore e ujit që humbet për shkak të rrjedhjeve në linjat e transmetimit nga burimi i ujit (stacion pompash apo burim sipërfaqësor) deri te rezervuarët e ujit, si rrjedhojë e defekteve apo amortizimit të tubacioneve të këtyre linjave.</w:t>
      </w:r>
    </w:p>
    <w:p w:rsidR="005C0B0B" w:rsidRPr="00E338CE" w:rsidRDefault="005C0B0B" w:rsidP="005C0B0B">
      <w:pPr>
        <w:pStyle w:val="Paragrafi"/>
        <w:rPr>
          <w:sz w:val="21"/>
          <w:szCs w:val="21"/>
          <w:lang w:val="sq-AL"/>
        </w:rPr>
      </w:pPr>
      <w:r w:rsidRPr="00E338CE">
        <w:rPr>
          <w:sz w:val="21"/>
          <w:szCs w:val="21"/>
          <w:lang w:val="sq-AL"/>
        </w:rPr>
        <w:t>14. “Humbjet e ujit nga rrjedhjet në burim dhe/ose stacionet e pompave” është sasia vjetore e ujit që humbet për shkak të rrjedhjeve të valvolave të komandimit, pjesëve të veçanta të sistemit të pompave (gominave, defekteve etj.) ose derdhjeve në zonën e grumbullimit të ujit të burimit (pusetave grumbulluese, kaptazheve etj.).</w:t>
      </w:r>
    </w:p>
    <w:p w:rsidR="005C0B0B" w:rsidRPr="00E338CE" w:rsidRDefault="005C0B0B" w:rsidP="005C0B0B">
      <w:pPr>
        <w:pStyle w:val="Paragrafi"/>
        <w:rPr>
          <w:sz w:val="21"/>
          <w:szCs w:val="21"/>
          <w:lang w:val="sq-AL"/>
        </w:rPr>
      </w:pPr>
      <w:r w:rsidRPr="00E338CE">
        <w:rPr>
          <w:sz w:val="21"/>
          <w:szCs w:val="21"/>
          <w:lang w:val="sq-AL"/>
        </w:rPr>
        <w:t>15. “Humbjet e ujit nga rrjedhjet në rezervuarët e ujit” është sasia vjetore e ujit që humbet për shkak të rrjedhjeve në rezervuarët e ujit, si rrjedhojë e defekteve të tepërplotësve, rrjedhjeve të vogla në muret</w:t>
      </w:r>
      <w:r w:rsidRPr="00E338CE">
        <w:rPr>
          <w:sz w:val="16"/>
          <w:szCs w:val="21"/>
          <w:lang w:val="sq-AL"/>
        </w:rPr>
        <w:t xml:space="preserve"> </w:t>
      </w:r>
      <w:r w:rsidRPr="00E338CE">
        <w:rPr>
          <w:sz w:val="21"/>
          <w:szCs w:val="21"/>
          <w:lang w:val="sq-AL"/>
        </w:rPr>
        <w:t>e</w:t>
      </w:r>
      <w:r w:rsidRPr="00E338CE">
        <w:rPr>
          <w:sz w:val="16"/>
          <w:szCs w:val="21"/>
          <w:lang w:val="sq-AL"/>
        </w:rPr>
        <w:t xml:space="preserve"> </w:t>
      </w:r>
      <w:r w:rsidRPr="00E338CE">
        <w:rPr>
          <w:sz w:val="21"/>
          <w:szCs w:val="21"/>
          <w:lang w:val="sq-AL"/>
        </w:rPr>
        <w:t>rezervuarëve</w:t>
      </w:r>
      <w:r w:rsidRPr="00E338CE">
        <w:rPr>
          <w:sz w:val="16"/>
          <w:szCs w:val="21"/>
          <w:lang w:val="sq-AL"/>
        </w:rPr>
        <w:t xml:space="preserve"> </w:t>
      </w:r>
      <w:r w:rsidRPr="00E338CE">
        <w:rPr>
          <w:sz w:val="21"/>
          <w:szCs w:val="21"/>
          <w:lang w:val="sq-AL"/>
        </w:rPr>
        <w:t>(nëse ka),</w:t>
      </w:r>
      <w:r w:rsidRPr="00E338CE">
        <w:rPr>
          <w:sz w:val="16"/>
          <w:szCs w:val="21"/>
          <w:lang w:val="sq-AL"/>
        </w:rPr>
        <w:t xml:space="preserve"> </w:t>
      </w:r>
      <w:r w:rsidRPr="00E338CE">
        <w:rPr>
          <w:sz w:val="21"/>
          <w:szCs w:val="21"/>
          <w:lang w:val="sq-AL"/>
        </w:rPr>
        <w:t>mosoperimit</w:t>
      </w:r>
      <w:r w:rsidRPr="00E338CE">
        <w:rPr>
          <w:sz w:val="16"/>
          <w:szCs w:val="21"/>
          <w:lang w:val="sq-AL"/>
        </w:rPr>
        <w:t xml:space="preserve"> </w:t>
      </w:r>
      <w:r w:rsidRPr="00E338CE">
        <w:rPr>
          <w:sz w:val="21"/>
          <w:szCs w:val="21"/>
          <w:lang w:val="sq-AL"/>
        </w:rPr>
        <w:t>në</w:t>
      </w:r>
      <w:r w:rsidRPr="00E338CE">
        <w:rPr>
          <w:sz w:val="16"/>
          <w:szCs w:val="21"/>
          <w:lang w:val="sq-AL"/>
        </w:rPr>
        <w:t xml:space="preserve"> </w:t>
      </w:r>
      <w:r w:rsidRPr="00E338CE">
        <w:rPr>
          <w:sz w:val="21"/>
          <w:szCs w:val="21"/>
          <w:lang w:val="sq-AL"/>
        </w:rPr>
        <w:t>kohën</w:t>
      </w:r>
      <w:r w:rsidRPr="00E338CE">
        <w:rPr>
          <w:sz w:val="16"/>
          <w:szCs w:val="21"/>
          <w:lang w:val="sq-AL"/>
        </w:rPr>
        <w:t xml:space="preserve"> </w:t>
      </w:r>
      <w:r w:rsidRPr="00E338CE">
        <w:rPr>
          <w:sz w:val="21"/>
          <w:szCs w:val="21"/>
          <w:lang w:val="sq-AL"/>
        </w:rPr>
        <w:t>e</w:t>
      </w:r>
      <w:r w:rsidRPr="00E338CE">
        <w:rPr>
          <w:sz w:val="16"/>
          <w:szCs w:val="21"/>
          <w:lang w:val="sq-AL"/>
        </w:rPr>
        <w:t xml:space="preserve"> </w:t>
      </w:r>
      <w:r w:rsidRPr="00E338CE">
        <w:rPr>
          <w:sz w:val="21"/>
          <w:szCs w:val="21"/>
          <w:lang w:val="sq-AL"/>
        </w:rPr>
        <w:t>duhur</w:t>
      </w:r>
      <w:r w:rsidRPr="00E338CE">
        <w:rPr>
          <w:sz w:val="16"/>
          <w:szCs w:val="21"/>
          <w:lang w:val="sq-AL"/>
        </w:rPr>
        <w:t xml:space="preserve"> </w:t>
      </w:r>
      <w:r w:rsidRPr="00E338CE">
        <w:rPr>
          <w:sz w:val="21"/>
          <w:szCs w:val="21"/>
          <w:lang w:val="sq-AL"/>
        </w:rPr>
        <w:t>të</w:t>
      </w:r>
      <w:r w:rsidRPr="00E338CE">
        <w:rPr>
          <w:sz w:val="16"/>
          <w:szCs w:val="21"/>
          <w:lang w:val="sq-AL"/>
        </w:rPr>
        <w:t xml:space="preserve"> </w:t>
      </w:r>
      <w:r w:rsidRPr="00E338CE">
        <w:rPr>
          <w:sz w:val="21"/>
          <w:szCs w:val="21"/>
          <w:lang w:val="sq-AL"/>
        </w:rPr>
        <w:t>valvolave</w:t>
      </w:r>
      <w:r w:rsidRPr="00E338CE">
        <w:rPr>
          <w:sz w:val="16"/>
          <w:szCs w:val="21"/>
          <w:lang w:val="sq-AL"/>
        </w:rPr>
        <w:t xml:space="preserve"> </w:t>
      </w:r>
      <w:r w:rsidRPr="00E338CE">
        <w:rPr>
          <w:sz w:val="21"/>
          <w:szCs w:val="21"/>
          <w:lang w:val="sq-AL"/>
        </w:rPr>
        <w:t>të</w:t>
      </w:r>
      <w:r w:rsidRPr="00E338CE">
        <w:rPr>
          <w:sz w:val="16"/>
          <w:szCs w:val="21"/>
          <w:lang w:val="sq-AL"/>
        </w:rPr>
        <w:t xml:space="preserve"> </w:t>
      </w:r>
      <w:r w:rsidRPr="00E338CE">
        <w:rPr>
          <w:sz w:val="21"/>
          <w:szCs w:val="21"/>
          <w:lang w:val="sq-AL"/>
        </w:rPr>
        <w:t>kontrollit</w:t>
      </w:r>
      <w:r w:rsidRPr="00E338CE">
        <w:rPr>
          <w:sz w:val="16"/>
          <w:szCs w:val="21"/>
          <w:lang w:val="sq-AL"/>
        </w:rPr>
        <w:t xml:space="preserve"> </w:t>
      </w:r>
      <w:r w:rsidRPr="00E338CE">
        <w:rPr>
          <w:sz w:val="21"/>
          <w:szCs w:val="21"/>
          <w:lang w:val="sq-AL"/>
        </w:rPr>
        <w:t>të</w:t>
      </w:r>
      <w:r w:rsidRPr="00E338CE">
        <w:rPr>
          <w:sz w:val="16"/>
          <w:szCs w:val="21"/>
          <w:lang w:val="sq-AL"/>
        </w:rPr>
        <w:t xml:space="preserve"> </w:t>
      </w:r>
      <w:r w:rsidRPr="00E338CE">
        <w:rPr>
          <w:sz w:val="21"/>
          <w:szCs w:val="21"/>
          <w:lang w:val="sq-AL"/>
        </w:rPr>
        <w:t>rezervuarëve</w:t>
      </w:r>
      <w:r w:rsidRPr="00E338CE">
        <w:rPr>
          <w:sz w:val="16"/>
          <w:szCs w:val="21"/>
          <w:lang w:val="sq-AL"/>
        </w:rPr>
        <w:t xml:space="preserve"> </w:t>
      </w:r>
      <w:r w:rsidRPr="00E338CE">
        <w:rPr>
          <w:sz w:val="21"/>
          <w:szCs w:val="21"/>
          <w:lang w:val="sq-AL"/>
        </w:rPr>
        <w:t>etj.</w:t>
      </w:r>
    </w:p>
    <w:p w:rsidR="005C0B0B" w:rsidRPr="00E338CE" w:rsidRDefault="005C0B0B" w:rsidP="005C0B0B">
      <w:pPr>
        <w:pStyle w:val="Paragrafi"/>
        <w:rPr>
          <w:sz w:val="21"/>
          <w:szCs w:val="21"/>
          <w:lang w:val="sq-AL"/>
        </w:rPr>
      </w:pPr>
      <w:r w:rsidRPr="00E338CE">
        <w:rPr>
          <w:sz w:val="21"/>
          <w:szCs w:val="21"/>
          <w:lang w:val="sq-AL"/>
        </w:rPr>
        <w:t>16. “Humbjet e ujit nga rrjedhjet në linjat e rrjetit shpërndarës” është sasia vjetore e ujit që humbet për shkak të rrjedhjeve në linjat e rrjetit shpërndarës nga rezervuarët e ujit deri te pika e lidhjes për konsumatorin, si rrjedhojë e defekteve apo amortizimit të tubacioneve të këtyre linjave.</w:t>
      </w:r>
    </w:p>
    <w:p w:rsidR="005C0B0B" w:rsidRPr="00E338CE" w:rsidRDefault="005C0B0B" w:rsidP="005C0B0B">
      <w:pPr>
        <w:pStyle w:val="Paragrafi"/>
        <w:rPr>
          <w:sz w:val="21"/>
          <w:szCs w:val="21"/>
          <w:lang w:val="sq-AL"/>
        </w:rPr>
      </w:pPr>
      <w:r w:rsidRPr="00E338CE">
        <w:rPr>
          <w:sz w:val="21"/>
          <w:szCs w:val="21"/>
          <w:lang w:val="sq-AL"/>
        </w:rPr>
        <w:t xml:space="preserve">17. “Humbjet e ujit nga rrjedhjet gjatë riparimeve në linjat e sistemit të furnizimit me ujë” është sasia e ujit që humbet për shkak të rrjedhjeve gjatë riparimeve që kryhen në linjat e tubacioneve të sistemit të furnizimit me ujë. Kjo sasi varet nga reagimi në kohë i operatorit, presioni i ujit, si dhe diametri i tubacionit ku kryhet ky riparim. </w:t>
      </w:r>
    </w:p>
    <w:p w:rsidR="005C0B0B" w:rsidRPr="00E338CE" w:rsidRDefault="005C0B0B" w:rsidP="005C0B0B">
      <w:pPr>
        <w:pStyle w:val="Paragrafi"/>
        <w:rPr>
          <w:sz w:val="21"/>
          <w:szCs w:val="21"/>
          <w:lang w:val="sq-AL"/>
        </w:rPr>
      </w:pPr>
      <w:r w:rsidRPr="00E338CE">
        <w:rPr>
          <w:sz w:val="21"/>
          <w:szCs w:val="21"/>
          <w:lang w:val="sq-AL"/>
        </w:rPr>
        <w:t xml:space="preserve">18. “Numri i lidhjeve të konsumatorëve aktivë të regjistruar (familjarë dhe jofamiljarë)” është numri i lidhjeve të konsumatorëve që përdorin sistemin e furnizimit me ujë në mënyrë të vazhdueshme dhe që kanë një kontratë shërbimi të regjistruar me operatorin. </w:t>
      </w:r>
    </w:p>
    <w:p w:rsidR="005C0B0B" w:rsidRPr="00E338CE" w:rsidRDefault="005C0B0B" w:rsidP="005C0B0B">
      <w:pPr>
        <w:pStyle w:val="Paragrafi"/>
        <w:rPr>
          <w:sz w:val="21"/>
          <w:szCs w:val="21"/>
          <w:lang w:val="sq-AL"/>
        </w:rPr>
      </w:pPr>
      <w:r w:rsidRPr="00E338CE">
        <w:rPr>
          <w:sz w:val="21"/>
          <w:szCs w:val="21"/>
          <w:lang w:val="sq-AL"/>
        </w:rPr>
        <w:t>19. “Numri i lidhjeve të konsumatorëve joaktivë të regjistruar (familjarë dhe jofamiljarë)” është numri i lidhjeve të konsumatorëve që nuk e përdorin sistemin e furnizimit me ujë në mënyrë të vazhdueshme për shkak të lëvizjeve të tyre jashtë zonës së shërbimit dhe që kanë një kontratë shërbimi të regjistruar me operatorin. Këta konsumatorë duhet të njoftojnë operatorin për ndërprerje të furnizimit me ujë gjatë kohës që nuk ndodhen në zonën e shërbimit dhe, në këtë rast, operatori do të faturojë vetëm tarifën fikse të shërbimit të aprovuar nga ERRU-ja.</w:t>
      </w:r>
    </w:p>
    <w:p w:rsidR="005C0B0B" w:rsidRPr="00E338CE" w:rsidRDefault="005C0B0B" w:rsidP="005C0B0B">
      <w:pPr>
        <w:pStyle w:val="Paragrafi"/>
        <w:rPr>
          <w:sz w:val="21"/>
          <w:szCs w:val="21"/>
          <w:lang w:val="sq-AL"/>
        </w:rPr>
      </w:pPr>
      <w:r w:rsidRPr="00E338CE">
        <w:rPr>
          <w:sz w:val="21"/>
          <w:szCs w:val="21"/>
          <w:lang w:val="sq-AL"/>
        </w:rPr>
        <w:t xml:space="preserve">20. “Numri i matësve të ujit të instaluar te konsumatori” është numri i matësve të ujit të instaluar në pikën e lidhjes te konsumatorët që përdorin sistemin e furnizimit. </w:t>
      </w:r>
    </w:p>
    <w:p w:rsidR="005C0B0B" w:rsidRPr="00E338CE" w:rsidRDefault="005C0B0B" w:rsidP="005C0B0B">
      <w:pPr>
        <w:pStyle w:val="Paragrafi"/>
        <w:rPr>
          <w:sz w:val="21"/>
          <w:szCs w:val="21"/>
          <w:lang w:val="sq-AL"/>
        </w:rPr>
      </w:pPr>
      <w:r w:rsidRPr="00E338CE">
        <w:rPr>
          <w:sz w:val="21"/>
          <w:szCs w:val="21"/>
          <w:lang w:val="sq-AL"/>
        </w:rPr>
        <w:t>C. Plotësimi i të dhënave dhe përdorimi i përbërësve të bilancit të ujit (manuali i përdorimit)</w:t>
      </w:r>
    </w:p>
    <w:p w:rsidR="005C0B0B" w:rsidRPr="00E338CE" w:rsidRDefault="005C0B0B" w:rsidP="005C0B0B">
      <w:pPr>
        <w:pStyle w:val="Paragrafi"/>
        <w:rPr>
          <w:sz w:val="21"/>
          <w:szCs w:val="21"/>
          <w:lang w:val="sq-AL"/>
        </w:rPr>
      </w:pPr>
      <w:r w:rsidRPr="00E338CE">
        <w:rPr>
          <w:sz w:val="21"/>
          <w:szCs w:val="21"/>
          <w:lang w:val="sq-AL"/>
        </w:rPr>
        <w:t>Modeli i llogaritjes së bilancit të ujit</w:t>
      </w:r>
    </w:p>
    <w:tbl>
      <w:tblPr>
        <w:tblpPr w:leftFromText="180" w:rightFromText="180" w:vertAnchor="text" w:horzAnchor="margin" w:tblpXSpec="center" w:tblpY="487"/>
        <w:tblW w:w="5000" w:type="pct"/>
        <w:tblLook w:val="04A0" w:firstRow="1" w:lastRow="0" w:firstColumn="1" w:lastColumn="0" w:noHBand="0" w:noVBand="1"/>
      </w:tblPr>
      <w:tblGrid>
        <w:gridCol w:w="1011"/>
        <w:gridCol w:w="1041"/>
        <w:gridCol w:w="2026"/>
        <w:gridCol w:w="3120"/>
        <w:gridCol w:w="884"/>
        <w:gridCol w:w="1205"/>
      </w:tblGrid>
      <w:tr w:rsidR="005C0B0B" w:rsidRPr="00E338CE" w:rsidTr="00844277">
        <w:trPr>
          <w:trHeight w:val="70"/>
        </w:trPr>
        <w:tc>
          <w:tcPr>
            <w:tcW w:w="5000" w:type="pct"/>
            <w:gridSpan w:val="6"/>
            <w:tcBorders>
              <w:bottom w:val="single" w:sz="8" w:space="0" w:color="auto"/>
            </w:tcBorders>
            <w:shd w:val="clear" w:color="000000" w:fill="auto"/>
            <w:vAlign w:val="center"/>
            <w:hideMark/>
          </w:tcPr>
          <w:p w:rsidR="005C0B0B" w:rsidRPr="00E338CE" w:rsidRDefault="005C0B0B" w:rsidP="00844277">
            <w:pPr>
              <w:pStyle w:val="Tabele"/>
              <w:rPr>
                <w:sz w:val="21"/>
                <w:szCs w:val="21"/>
                <w:lang w:val="sq-AL"/>
              </w:rPr>
            </w:pPr>
            <w:r w:rsidRPr="00E338CE">
              <w:rPr>
                <w:sz w:val="21"/>
                <w:szCs w:val="21"/>
                <w:lang w:val="sq-AL"/>
              </w:rPr>
              <w:t>Tabela 1</w:t>
            </w:r>
          </w:p>
        </w:tc>
      </w:tr>
      <w:tr w:rsidR="005C0B0B" w:rsidRPr="00E338CE" w:rsidTr="00844277">
        <w:trPr>
          <w:trHeight w:val="240"/>
        </w:trPr>
        <w:tc>
          <w:tcPr>
            <w:tcW w:w="544" w:type="pct"/>
            <w:vMerge w:val="restart"/>
            <w:tcBorders>
              <w:top w:val="single" w:sz="8" w:space="0" w:color="auto"/>
              <w:left w:val="single" w:sz="8" w:space="0" w:color="auto"/>
              <w:bottom w:val="dotted" w:sz="4" w:space="0" w:color="000000"/>
              <w:right w:val="single" w:sz="8" w:space="0" w:color="auto"/>
            </w:tcBorders>
            <w:shd w:val="clear" w:color="000000" w:fill="C5D9F1"/>
            <w:vAlign w:val="center"/>
            <w:hideMark/>
          </w:tcPr>
          <w:p w:rsidR="005C0B0B" w:rsidRPr="00E338CE" w:rsidRDefault="005C0B0B" w:rsidP="00844277">
            <w:pPr>
              <w:pStyle w:val="Tabele"/>
              <w:rPr>
                <w:sz w:val="17"/>
                <w:szCs w:val="17"/>
                <w:lang w:val="sq-AL"/>
              </w:rPr>
            </w:pPr>
            <w:r w:rsidRPr="00E338CE">
              <w:rPr>
                <w:sz w:val="17"/>
                <w:szCs w:val="17"/>
                <w:lang w:val="sq-AL"/>
              </w:rPr>
              <w:t>Vëllimi i ujit i prodhuar në sistem (=ujë i prodhuar) (1)</w:t>
            </w:r>
          </w:p>
        </w:tc>
        <w:tc>
          <w:tcPr>
            <w:tcW w:w="560" w:type="pct"/>
            <w:vMerge w:val="restart"/>
            <w:tcBorders>
              <w:top w:val="single" w:sz="8" w:space="0" w:color="auto"/>
              <w:left w:val="single" w:sz="8" w:space="0" w:color="auto"/>
              <w:bottom w:val="single" w:sz="8" w:space="0" w:color="000000"/>
              <w:right w:val="nil"/>
            </w:tcBorders>
            <w:shd w:val="clear" w:color="000000" w:fill="C5D9F1"/>
            <w:vAlign w:val="center"/>
            <w:hideMark/>
          </w:tcPr>
          <w:p w:rsidR="005C0B0B" w:rsidRPr="00E338CE" w:rsidRDefault="005C0B0B" w:rsidP="00844277">
            <w:pPr>
              <w:pStyle w:val="Tabele"/>
              <w:rPr>
                <w:sz w:val="17"/>
                <w:szCs w:val="17"/>
                <w:lang w:val="sq-AL"/>
              </w:rPr>
            </w:pPr>
            <w:r w:rsidRPr="00E338CE">
              <w:rPr>
                <w:sz w:val="17"/>
                <w:szCs w:val="17"/>
                <w:lang w:val="sq-AL"/>
              </w:rPr>
              <w:t>Konsumi i autorizuar</w:t>
            </w:r>
          </w:p>
        </w:tc>
        <w:tc>
          <w:tcPr>
            <w:tcW w:w="1091" w:type="pct"/>
            <w:vMerge w:val="restart"/>
            <w:tcBorders>
              <w:top w:val="single" w:sz="8" w:space="0" w:color="auto"/>
              <w:left w:val="single" w:sz="4" w:space="0" w:color="auto"/>
              <w:bottom w:val="single" w:sz="4" w:space="0" w:color="000000"/>
              <w:right w:val="dotted" w:sz="4" w:space="0" w:color="auto"/>
            </w:tcBorders>
            <w:shd w:val="clear" w:color="000000" w:fill="C5D9F1"/>
            <w:vAlign w:val="center"/>
            <w:hideMark/>
          </w:tcPr>
          <w:p w:rsidR="005C0B0B" w:rsidRPr="00E338CE" w:rsidRDefault="005C0B0B" w:rsidP="00844277">
            <w:pPr>
              <w:pStyle w:val="Tabele"/>
              <w:rPr>
                <w:sz w:val="17"/>
                <w:szCs w:val="17"/>
                <w:lang w:val="sq-AL"/>
              </w:rPr>
            </w:pPr>
            <w:r w:rsidRPr="00E338CE">
              <w:rPr>
                <w:sz w:val="17"/>
                <w:szCs w:val="17"/>
                <w:lang w:val="sq-AL"/>
              </w:rPr>
              <w:t>Konsumi i autorizuar i faturuar</w:t>
            </w:r>
          </w:p>
        </w:tc>
        <w:tc>
          <w:tcPr>
            <w:tcW w:w="1680" w:type="pct"/>
            <w:tcBorders>
              <w:top w:val="single" w:sz="8" w:space="0" w:color="auto"/>
              <w:left w:val="nil"/>
              <w:bottom w:val="dotted" w:sz="4" w:space="0" w:color="auto"/>
              <w:right w:val="single" w:sz="8" w:space="0" w:color="auto"/>
            </w:tcBorders>
            <w:shd w:val="clear" w:color="000000" w:fill="C5D9F1"/>
            <w:vAlign w:val="center"/>
            <w:hideMark/>
          </w:tcPr>
          <w:p w:rsidR="005C0B0B" w:rsidRPr="00E338CE" w:rsidRDefault="005C0B0B" w:rsidP="00844277">
            <w:pPr>
              <w:pStyle w:val="Tabele"/>
              <w:rPr>
                <w:sz w:val="17"/>
                <w:szCs w:val="17"/>
                <w:lang w:val="sq-AL"/>
              </w:rPr>
            </w:pPr>
            <w:r w:rsidRPr="00E338CE">
              <w:rPr>
                <w:sz w:val="17"/>
                <w:szCs w:val="17"/>
                <w:lang w:val="sq-AL"/>
              </w:rPr>
              <w:t>Konsumi i matur i faturuar (duke përfshirë ujin e eksportuar)</w:t>
            </w:r>
          </w:p>
        </w:tc>
        <w:tc>
          <w:tcPr>
            <w:tcW w:w="476" w:type="pct"/>
            <w:vMerge w:val="restart"/>
            <w:tcBorders>
              <w:top w:val="single" w:sz="8" w:space="0" w:color="auto"/>
              <w:left w:val="nil"/>
              <w:bottom w:val="dotted" w:sz="4" w:space="0" w:color="auto"/>
              <w:right w:val="single" w:sz="8" w:space="0" w:color="auto"/>
            </w:tcBorders>
            <w:shd w:val="clear" w:color="000000" w:fill="C5D9F1"/>
            <w:vAlign w:val="bottom"/>
            <w:hideMark/>
          </w:tcPr>
          <w:p w:rsidR="005C0B0B" w:rsidRPr="00E338CE" w:rsidRDefault="005C0B0B" w:rsidP="00844277">
            <w:pPr>
              <w:pStyle w:val="Tabele"/>
              <w:rPr>
                <w:sz w:val="17"/>
                <w:szCs w:val="17"/>
                <w:lang w:val="sq-AL"/>
              </w:rPr>
            </w:pPr>
            <w:r w:rsidRPr="00E338CE">
              <w:rPr>
                <w:sz w:val="17"/>
                <w:szCs w:val="17"/>
                <w:lang w:val="sq-AL"/>
              </w:rPr>
              <w:t xml:space="preserve">Ujë me të ardhura </w:t>
            </w:r>
          </w:p>
        </w:tc>
        <w:tc>
          <w:tcPr>
            <w:tcW w:w="648" w:type="pct"/>
            <w:tcBorders>
              <w:top w:val="single" w:sz="8" w:space="0" w:color="auto"/>
              <w:left w:val="nil"/>
              <w:bottom w:val="single" w:sz="4" w:space="0" w:color="auto"/>
              <w:right w:val="single" w:sz="8" w:space="0" w:color="auto"/>
            </w:tcBorders>
            <w:shd w:val="clear" w:color="000000" w:fill="C5D9F1"/>
            <w:vAlign w:val="center"/>
            <w:hideMark/>
          </w:tcPr>
          <w:p w:rsidR="005C0B0B" w:rsidRPr="00E338CE" w:rsidRDefault="005C0B0B" w:rsidP="00844277">
            <w:pPr>
              <w:pStyle w:val="Tabele"/>
              <w:rPr>
                <w:sz w:val="17"/>
                <w:szCs w:val="17"/>
                <w:lang w:val="sq-AL"/>
              </w:rPr>
            </w:pPr>
            <w:r w:rsidRPr="00E338CE">
              <w:rPr>
                <w:sz w:val="17"/>
                <w:szCs w:val="17"/>
                <w:lang w:val="sq-AL"/>
              </w:rPr>
              <w:t>2, 3</w:t>
            </w:r>
          </w:p>
        </w:tc>
      </w:tr>
      <w:tr w:rsidR="005C0B0B" w:rsidRPr="00E338CE" w:rsidTr="00844277">
        <w:trPr>
          <w:trHeight w:val="174"/>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560" w:type="pct"/>
            <w:vMerge/>
            <w:tcBorders>
              <w:top w:val="single" w:sz="8" w:space="0" w:color="auto"/>
              <w:left w:val="single" w:sz="8" w:space="0" w:color="auto"/>
              <w:bottom w:val="single" w:sz="8" w:space="0" w:color="000000"/>
              <w:right w:val="nil"/>
            </w:tcBorders>
            <w:vAlign w:val="center"/>
            <w:hideMark/>
          </w:tcPr>
          <w:p w:rsidR="005C0B0B" w:rsidRPr="00E338CE" w:rsidRDefault="005C0B0B" w:rsidP="00844277">
            <w:pPr>
              <w:pStyle w:val="Tabele"/>
              <w:rPr>
                <w:sz w:val="17"/>
                <w:szCs w:val="17"/>
                <w:lang w:val="sq-AL"/>
              </w:rPr>
            </w:pPr>
          </w:p>
        </w:tc>
        <w:tc>
          <w:tcPr>
            <w:tcW w:w="1091" w:type="pct"/>
            <w:vMerge/>
            <w:tcBorders>
              <w:top w:val="single" w:sz="8" w:space="0" w:color="auto"/>
              <w:left w:val="single" w:sz="4" w:space="0" w:color="auto"/>
              <w:bottom w:val="single" w:sz="4" w:space="0" w:color="000000"/>
              <w:right w:val="dotted" w:sz="4" w:space="0" w:color="auto"/>
            </w:tcBorders>
            <w:vAlign w:val="center"/>
            <w:hideMark/>
          </w:tcPr>
          <w:p w:rsidR="005C0B0B" w:rsidRPr="00E338CE" w:rsidRDefault="005C0B0B" w:rsidP="00844277">
            <w:pPr>
              <w:pStyle w:val="Tabele"/>
              <w:rPr>
                <w:sz w:val="17"/>
                <w:szCs w:val="17"/>
                <w:lang w:val="sq-AL"/>
              </w:rPr>
            </w:pPr>
          </w:p>
        </w:tc>
        <w:tc>
          <w:tcPr>
            <w:tcW w:w="1680" w:type="pct"/>
            <w:tcBorders>
              <w:top w:val="nil"/>
              <w:left w:val="nil"/>
              <w:bottom w:val="single" w:sz="4" w:space="0" w:color="auto"/>
              <w:right w:val="single" w:sz="8" w:space="0" w:color="auto"/>
            </w:tcBorders>
            <w:shd w:val="clear" w:color="000000" w:fill="C5D9F1"/>
            <w:noWrap/>
            <w:vAlign w:val="center"/>
            <w:hideMark/>
          </w:tcPr>
          <w:p w:rsidR="005C0B0B" w:rsidRPr="00E338CE" w:rsidRDefault="005C0B0B" w:rsidP="00844277">
            <w:pPr>
              <w:pStyle w:val="Tabele"/>
              <w:rPr>
                <w:sz w:val="17"/>
                <w:szCs w:val="17"/>
                <w:lang w:val="sq-AL"/>
              </w:rPr>
            </w:pPr>
            <w:r w:rsidRPr="00E338CE">
              <w:rPr>
                <w:sz w:val="17"/>
                <w:szCs w:val="17"/>
                <w:lang w:val="sq-AL"/>
              </w:rPr>
              <w:t>Konsum i faturuar i pamatur</w:t>
            </w:r>
          </w:p>
        </w:tc>
        <w:tc>
          <w:tcPr>
            <w:tcW w:w="476" w:type="pct"/>
            <w:vMerge/>
            <w:tcBorders>
              <w:top w:val="single" w:sz="8" w:space="0" w:color="auto"/>
              <w:left w:val="nil"/>
              <w:bottom w:val="dotted" w:sz="4" w:space="0" w:color="auto"/>
              <w:right w:val="single" w:sz="8" w:space="0" w:color="auto"/>
            </w:tcBorders>
            <w:vAlign w:val="center"/>
            <w:hideMark/>
          </w:tcPr>
          <w:p w:rsidR="005C0B0B" w:rsidRPr="00E338CE" w:rsidRDefault="005C0B0B" w:rsidP="00844277">
            <w:pPr>
              <w:pStyle w:val="Tabele"/>
              <w:rPr>
                <w:sz w:val="17"/>
                <w:szCs w:val="17"/>
                <w:lang w:val="sq-AL"/>
              </w:rPr>
            </w:pPr>
          </w:p>
        </w:tc>
        <w:tc>
          <w:tcPr>
            <w:tcW w:w="648" w:type="pct"/>
            <w:tcBorders>
              <w:top w:val="nil"/>
              <w:left w:val="nil"/>
              <w:bottom w:val="dotted" w:sz="4" w:space="0" w:color="auto"/>
              <w:right w:val="single" w:sz="8" w:space="0" w:color="auto"/>
            </w:tcBorders>
            <w:shd w:val="clear" w:color="000000" w:fill="C5D9F1"/>
            <w:vAlign w:val="center"/>
            <w:hideMark/>
          </w:tcPr>
          <w:p w:rsidR="005C0B0B" w:rsidRPr="00E338CE" w:rsidRDefault="005C0B0B" w:rsidP="00844277">
            <w:pPr>
              <w:pStyle w:val="Tabele"/>
              <w:rPr>
                <w:sz w:val="17"/>
                <w:szCs w:val="17"/>
                <w:lang w:val="sq-AL"/>
              </w:rPr>
            </w:pPr>
            <w:r w:rsidRPr="00E338CE">
              <w:rPr>
                <w:sz w:val="17"/>
                <w:szCs w:val="17"/>
                <w:lang w:val="sq-AL"/>
              </w:rPr>
              <w:t>4</w:t>
            </w:r>
          </w:p>
        </w:tc>
      </w:tr>
      <w:tr w:rsidR="005C0B0B" w:rsidRPr="00E338CE" w:rsidTr="00844277">
        <w:trPr>
          <w:trHeight w:val="136"/>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560" w:type="pct"/>
            <w:vMerge/>
            <w:tcBorders>
              <w:top w:val="single" w:sz="8" w:space="0" w:color="auto"/>
              <w:left w:val="single" w:sz="8" w:space="0" w:color="auto"/>
              <w:bottom w:val="single" w:sz="8" w:space="0" w:color="000000"/>
              <w:right w:val="nil"/>
            </w:tcBorders>
            <w:vAlign w:val="center"/>
            <w:hideMark/>
          </w:tcPr>
          <w:p w:rsidR="005C0B0B" w:rsidRPr="00E338CE" w:rsidRDefault="005C0B0B" w:rsidP="00844277">
            <w:pPr>
              <w:pStyle w:val="Tabele"/>
              <w:rPr>
                <w:sz w:val="17"/>
                <w:szCs w:val="17"/>
                <w:lang w:val="sq-AL"/>
              </w:rPr>
            </w:pPr>
          </w:p>
        </w:tc>
        <w:tc>
          <w:tcPr>
            <w:tcW w:w="1091" w:type="pct"/>
            <w:vMerge w:val="restart"/>
            <w:tcBorders>
              <w:top w:val="nil"/>
              <w:left w:val="single" w:sz="4" w:space="0" w:color="auto"/>
              <w:bottom w:val="single" w:sz="8" w:space="0" w:color="000000"/>
              <w:right w:val="dotted" w:sz="4" w:space="0" w:color="auto"/>
            </w:tcBorders>
            <w:shd w:val="clear" w:color="000000" w:fill="F2DDDC"/>
            <w:vAlign w:val="center"/>
            <w:hideMark/>
          </w:tcPr>
          <w:p w:rsidR="005C0B0B" w:rsidRPr="00E338CE" w:rsidRDefault="005C0B0B" w:rsidP="00844277">
            <w:pPr>
              <w:pStyle w:val="Tabele"/>
              <w:rPr>
                <w:sz w:val="17"/>
                <w:szCs w:val="17"/>
                <w:lang w:val="sq-AL"/>
              </w:rPr>
            </w:pPr>
            <w:r w:rsidRPr="00E338CE">
              <w:rPr>
                <w:sz w:val="17"/>
                <w:szCs w:val="17"/>
                <w:lang w:val="sq-AL"/>
              </w:rPr>
              <w:t>Konsumi i autorizuar i pafaturuar</w:t>
            </w:r>
          </w:p>
        </w:tc>
        <w:tc>
          <w:tcPr>
            <w:tcW w:w="1680" w:type="pct"/>
            <w:tcBorders>
              <w:top w:val="nil"/>
              <w:left w:val="nil"/>
              <w:bottom w:val="dotted" w:sz="4" w:space="0" w:color="auto"/>
              <w:right w:val="single" w:sz="8" w:space="0" w:color="auto"/>
            </w:tcBorders>
            <w:shd w:val="clear" w:color="000000" w:fill="F2DDDC"/>
            <w:noWrap/>
            <w:vAlign w:val="center"/>
            <w:hideMark/>
          </w:tcPr>
          <w:p w:rsidR="005C0B0B" w:rsidRPr="00E338CE" w:rsidRDefault="005C0B0B" w:rsidP="00844277">
            <w:pPr>
              <w:pStyle w:val="Tabele"/>
              <w:rPr>
                <w:sz w:val="17"/>
                <w:szCs w:val="17"/>
                <w:lang w:val="sq-AL"/>
              </w:rPr>
            </w:pPr>
            <w:r w:rsidRPr="00E338CE">
              <w:rPr>
                <w:sz w:val="17"/>
                <w:szCs w:val="17"/>
                <w:lang w:val="sq-AL"/>
              </w:rPr>
              <w:t>Konsum  i matur i pafaturuar</w:t>
            </w:r>
          </w:p>
        </w:tc>
        <w:tc>
          <w:tcPr>
            <w:tcW w:w="476" w:type="pct"/>
            <w:tcBorders>
              <w:top w:val="nil"/>
              <w:left w:val="nil"/>
              <w:bottom w:val="dotted" w:sz="4" w:space="0" w:color="auto"/>
              <w:right w:val="single" w:sz="8" w:space="0" w:color="auto"/>
            </w:tcBorders>
            <w:shd w:val="clear" w:color="000000" w:fill="F2DDDC"/>
            <w:noWrap/>
            <w:vAlign w:val="bottom"/>
            <w:hideMark/>
          </w:tcPr>
          <w:p w:rsidR="005C0B0B" w:rsidRPr="00E338CE" w:rsidRDefault="005C0B0B" w:rsidP="00844277">
            <w:pPr>
              <w:pStyle w:val="Tabele"/>
              <w:rPr>
                <w:sz w:val="17"/>
                <w:szCs w:val="17"/>
                <w:lang w:val="sq-AL"/>
              </w:rPr>
            </w:pPr>
            <w:r w:rsidRPr="00E338CE">
              <w:rPr>
                <w:sz w:val="17"/>
                <w:szCs w:val="17"/>
                <w:lang w:val="sq-AL"/>
              </w:rPr>
              <w:t> </w:t>
            </w:r>
          </w:p>
        </w:tc>
        <w:tc>
          <w:tcPr>
            <w:tcW w:w="648" w:type="pct"/>
            <w:vMerge w:val="restart"/>
            <w:tcBorders>
              <w:top w:val="nil"/>
              <w:left w:val="single" w:sz="8" w:space="0" w:color="auto"/>
              <w:bottom w:val="single" w:sz="8" w:space="0" w:color="000000"/>
              <w:right w:val="single" w:sz="8" w:space="0" w:color="auto"/>
            </w:tcBorders>
            <w:shd w:val="clear" w:color="000000" w:fill="F2DDDC"/>
            <w:noWrap/>
            <w:vAlign w:val="center"/>
            <w:hideMark/>
          </w:tcPr>
          <w:p w:rsidR="005C0B0B" w:rsidRPr="00E338CE" w:rsidRDefault="005C0B0B" w:rsidP="00844277">
            <w:pPr>
              <w:pStyle w:val="Tabele"/>
              <w:rPr>
                <w:sz w:val="17"/>
                <w:szCs w:val="17"/>
                <w:lang w:val="sq-AL"/>
              </w:rPr>
            </w:pPr>
            <w:r w:rsidRPr="00E338CE">
              <w:rPr>
                <w:sz w:val="17"/>
                <w:szCs w:val="17"/>
                <w:lang w:val="sq-AL"/>
              </w:rPr>
              <w:t>5</w:t>
            </w:r>
          </w:p>
        </w:tc>
      </w:tr>
      <w:tr w:rsidR="005C0B0B" w:rsidRPr="00E338CE" w:rsidTr="00844277">
        <w:trPr>
          <w:trHeight w:val="191"/>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560" w:type="pct"/>
            <w:vMerge/>
            <w:tcBorders>
              <w:top w:val="single" w:sz="8" w:space="0" w:color="auto"/>
              <w:left w:val="single" w:sz="8" w:space="0" w:color="auto"/>
              <w:bottom w:val="single" w:sz="8" w:space="0" w:color="000000"/>
              <w:right w:val="nil"/>
            </w:tcBorders>
            <w:vAlign w:val="center"/>
            <w:hideMark/>
          </w:tcPr>
          <w:p w:rsidR="005C0B0B" w:rsidRPr="00E338CE" w:rsidRDefault="005C0B0B" w:rsidP="00844277">
            <w:pPr>
              <w:pStyle w:val="Tabele"/>
              <w:rPr>
                <w:sz w:val="17"/>
                <w:szCs w:val="17"/>
                <w:lang w:val="sq-AL"/>
              </w:rPr>
            </w:pPr>
          </w:p>
        </w:tc>
        <w:tc>
          <w:tcPr>
            <w:tcW w:w="1091" w:type="pct"/>
            <w:vMerge/>
            <w:tcBorders>
              <w:top w:val="nil"/>
              <w:left w:val="single" w:sz="4" w:space="0" w:color="auto"/>
              <w:bottom w:val="single" w:sz="8" w:space="0" w:color="000000"/>
              <w:right w:val="dotted" w:sz="4" w:space="0" w:color="auto"/>
            </w:tcBorders>
            <w:vAlign w:val="center"/>
            <w:hideMark/>
          </w:tcPr>
          <w:p w:rsidR="005C0B0B" w:rsidRPr="00E338CE" w:rsidRDefault="005C0B0B" w:rsidP="00844277">
            <w:pPr>
              <w:pStyle w:val="Tabele"/>
              <w:rPr>
                <w:sz w:val="17"/>
                <w:szCs w:val="17"/>
                <w:lang w:val="sq-AL"/>
              </w:rPr>
            </w:pPr>
          </w:p>
        </w:tc>
        <w:tc>
          <w:tcPr>
            <w:tcW w:w="1680" w:type="pct"/>
            <w:tcBorders>
              <w:top w:val="nil"/>
              <w:left w:val="nil"/>
              <w:bottom w:val="single" w:sz="8" w:space="0" w:color="auto"/>
              <w:right w:val="single" w:sz="8" w:space="0" w:color="auto"/>
            </w:tcBorders>
            <w:shd w:val="clear" w:color="000000" w:fill="F2DDDC"/>
            <w:noWrap/>
            <w:vAlign w:val="center"/>
            <w:hideMark/>
          </w:tcPr>
          <w:p w:rsidR="005C0B0B" w:rsidRPr="00E338CE" w:rsidRDefault="005C0B0B" w:rsidP="00844277">
            <w:pPr>
              <w:pStyle w:val="Tabele"/>
              <w:rPr>
                <w:sz w:val="17"/>
                <w:szCs w:val="17"/>
                <w:lang w:val="sq-AL"/>
              </w:rPr>
            </w:pPr>
            <w:r w:rsidRPr="00E338CE">
              <w:rPr>
                <w:sz w:val="17"/>
                <w:szCs w:val="17"/>
                <w:lang w:val="sq-AL"/>
              </w:rPr>
              <w:t>Konsum i pamatur i pafaturuar</w:t>
            </w:r>
          </w:p>
        </w:tc>
        <w:tc>
          <w:tcPr>
            <w:tcW w:w="476" w:type="pct"/>
            <w:tcBorders>
              <w:top w:val="nil"/>
              <w:left w:val="nil"/>
              <w:bottom w:val="single" w:sz="8" w:space="0" w:color="auto"/>
              <w:right w:val="single" w:sz="8" w:space="0" w:color="auto"/>
            </w:tcBorders>
            <w:shd w:val="clear" w:color="000000" w:fill="F2DDDC"/>
            <w:noWrap/>
            <w:vAlign w:val="bottom"/>
            <w:hideMark/>
          </w:tcPr>
          <w:p w:rsidR="005C0B0B" w:rsidRPr="00E338CE" w:rsidRDefault="005C0B0B" w:rsidP="00844277">
            <w:pPr>
              <w:pStyle w:val="Tabele"/>
              <w:rPr>
                <w:sz w:val="17"/>
                <w:szCs w:val="17"/>
                <w:lang w:val="sq-AL"/>
              </w:rPr>
            </w:pPr>
            <w:r w:rsidRPr="00E338CE">
              <w:rPr>
                <w:sz w:val="17"/>
                <w:szCs w:val="17"/>
                <w:lang w:val="sq-AL"/>
              </w:rPr>
              <w:t> </w:t>
            </w:r>
          </w:p>
        </w:tc>
        <w:tc>
          <w:tcPr>
            <w:tcW w:w="648" w:type="pct"/>
            <w:vMerge/>
            <w:tcBorders>
              <w:top w:val="nil"/>
              <w:left w:val="single" w:sz="8" w:space="0" w:color="auto"/>
              <w:bottom w:val="single" w:sz="8" w:space="0" w:color="000000"/>
              <w:right w:val="single" w:sz="8" w:space="0" w:color="auto"/>
            </w:tcBorders>
            <w:vAlign w:val="center"/>
            <w:hideMark/>
          </w:tcPr>
          <w:p w:rsidR="005C0B0B" w:rsidRPr="00E338CE" w:rsidRDefault="005C0B0B" w:rsidP="00844277">
            <w:pPr>
              <w:pStyle w:val="Tabele"/>
              <w:rPr>
                <w:sz w:val="17"/>
                <w:szCs w:val="17"/>
                <w:lang w:val="sq-AL"/>
              </w:rPr>
            </w:pPr>
          </w:p>
        </w:tc>
      </w:tr>
      <w:tr w:rsidR="005C0B0B" w:rsidRPr="00E338CE" w:rsidTr="00844277">
        <w:trPr>
          <w:trHeight w:val="225"/>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560" w:type="pct"/>
            <w:vMerge w:val="restart"/>
            <w:tcBorders>
              <w:top w:val="nil"/>
              <w:left w:val="single" w:sz="8" w:space="0" w:color="auto"/>
              <w:bottom w:val="single" w:sz="8" w:space="0" w:color="000000"/>
              <w:right w:val="single" w:sz="4" w:space="0" w:color="auto"/>
            </w:tcBorders>
            <w:shd w:val="clear" w:color="000000" w:fill="F2DDDC"/>
            <w:vAlign w:val="center"/>
            <w:hideMark/>
          </w:tcPr>
          <w:p w:rsidR="005C0B0B" w:rsidRPr="00E338CE" w:rsidRDefault="005C0B0B" w:rsidP="00844277">
            <w:pPr>
              <w:pStyle w:val="Tabele"/>
              <w:rPr>
                <w:sz w:val="17"/>
                <w:szCs w:val="17"/>
                <w:lang w:val="sq-AL"/>
              </w:rPr>
            </w:pPr>
            <w:r w:rsidRPr="00E338CE">
              <w:rPr>
                <w:sz w:val="17"/>
                <w:szCs w:val="17"/>
                <w:lang w:val="sq-AL"/>
              </w:rPr>
              <w:t>Humbjet e ujit</w:t>
            </w:r>
          </w:p>
        </w:tc>
        <w:tc>
          <w:tcPr>
            <w:tcW w:w="1091" w:type="pct"/>
            <w:vMerge w:val="restart"/>
            <w:tcBorders>
              <w:top w:val="nil"/>
              <w:left w:val="single" w:sz="4" w:space="0" w:color="auto"/>
              <w:bottom w:val="single" w:sz="4" w:space="0" w:color="000000"/>
              <w:right w:val="dotted" w:sz="4" w:space="0" w:color="auto"/>
            </w:tcBorders>
            <w:shd w:val="clear" w:color="000000" w:fill="F2DDDC"/>
            <w:noWrap/>
            <w:vAlign w:val="center"/>
            <w:hideMark/>
          </w:tcPr>
          <w:p w:rsidR="005C0B0B" w:rsidRPr="00E338CE" w:rsidRDefault="005C0B0B" w:rsidP="00844277">
            <w:pPr>
              <w:pStyle w:val="Tabele"/>
              <w:rPr>
                <w:sz w:val="17"/>
                <w:szCs w:val="17"/>
                <w:lang w:val="sq-AL"/>
              </w:rPr>
            </w:pPr>
            <w:r w:rsidRPr="00E338CE">
              <w:rPr>
                <w:sz w:val="17"/>
                <w:szCs w:val="17"/>
                <w:lang w:val="sq-AL"/>
              </w:rPr>
              <w:t>Humbjet e dukshme</w:t>
            </w:r>
          </w:p>
        </w:tc>
        <w:tc>
          <w:tcPr>
            <w:tcW w:w="1680" w:type="pct"/>
            <w:vMerge w:val="restart"/>
            <w:tcBorders>
              <w:top w:val="nil"/>
              <w:left w:val="dotted" w:sz="4" w:space="0" w:color="auto"/>
              <w:bottom w:val="dotted" w:sz="4" w:space="0" w:color="000000"/>
              <w:right w:val="single" w:sz="8" w:space="0" w:color="auto"/>
            </w:tcBorders>
            <w:shd w:val="clear" w:color="000000" w:fill="F2DDDC"/>
            <w:noWrap/>
            <w:vAlign w:val="center"/>
            <w:hideMark/>
          </w:tcPr>
          <w:p w:rsidR="005C0B0B" w:rsidRPr="00E338CE" w:rsidRDefault="005C0B0B" w:rsidP="00844277">
            <w:pPr>
              <w:pStyle w:val="Tabele"/>
              <w:rPr>
                <w:sz w:val="17"/>
                <w:szCs w:val="17"/>
                <w:lang w:val="sq-AL"/>
              </w:rPr>
            </w:pPr>
            <w:r w:rsidRPr="00E338CE">
              <w:rPr>
                <w:sz w:val="17"/>
                <w:szCs w:val="17"/>
                <w:lang w:val="sq-AL"/>
              </w:rPr>
              <w:t>Konsum i pa autorizuar</w:t>
            </w:r>
          </w:p>
        </w:tc>
        <w:tc>
          <w:tcPr>
            <w:tcW w:w="476" w:type="pct"/>
            <w:vMerge w:val="restart"/>
            <w:tcBorders>
              <w:top w:val="nil"/>
              <w:left w:val="single" w:sz="8" w:space="0" w:color="auto"/>
              <w:bottom w:val="single" w:sz="8" w:space="0" w:color="000000"/>
              <w:right w:val="single" w:sz="8" w:space="0" w:color="auto"/>
            </w:tcBorders>
            <w:shd w:val="clear" w:color="000000" w:fill="F2DDDC"/>
            <w:vAlign w:val="center"/>
            <w:hideMark/>
          </w:tcPr>
          <w:p w:rsidR="005C0B0B" w:rsidRPr="00E338CE" w:rsidRDefault="005C0B0B" w:rsidP="00844277">
            <w:pPr>
              <w:pStyle w:val="Tabele"/>
              <w:rPr>
                <w:sz w:val="17"/>
                <w:szCs w:val="17"/>
                <w:lang w:val="sq-AL"/>
              </w:rPr>
            </w:pPr>
            <w:r w:rsidRPr="00E338CE">
              <w:rPr>
                <w:sz w:val="17"/>
                <w:szCs w:val="17"/>
                <w:lang w:val="sq-AL"/>
              </w:rPr>
              <w:t>Ujë pa të ardhura (NRW)</w:t>
            </w:r>
          </w:p>
        </w:tc>
        <w:tc>
          <w:tcPr>
            <w:tcW w:w="648" w:type="pct"/>
            <w:tcBorders>
              <w:top w:val="nil"/>
              <w:left w:val="nil"/>
              <w:bottom w:val="nil"/>
              <w:right w:val="single" w:sz="8" w:space="0" w:color="auto"/>
            </w:tcBorders>
            <w:shd w:val="clear" w:color="000000" w:fill="F2DDDC"/>
            <w:noWrap/>
            <w:vAlign w:val="center"/>
            <w:hideMark/>
          </w:tcPr>
          <w:p w:rsidR="005C0B0B" w:rsidRPr="00E338CE" w:rsidRDefault="005C0B0B" w:rsidP="00844277">
            <w:pPr>
              <w:pStyle w:val="Tabele"/>
              <w:rPr>
                <w:sz w:val="17"/>
                <w:szCs w:val="17"/>
                <w:lang w:val="sq-AL"/>
              </w:rPr>
            </w:pPr>
            <w:r w:rsidRPr="00E338CE">
              <w:rPr>
                <w:sz w:val="17"/>
                <w:szCs w:val="17"/>
                <w:lang w:val="sq-AL"/>
              </w:rPr>
              <w:t>6</w:t>
            </w:r>
          </w:p>
        </w:tc>
      </w:tr>
      <w:tr w:rsidR="005C0B0B" w:rsidRPr="00E338CE" w:rsidTr="00844277">
        <w:trPr>
          <w:trHeight w:val="67"/>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560" w:type="pct"/>
            <w:vMerge/>
            <w:tcBorders>
              <w:top w:val="nil"/>
              <w:left w:val="single" w:sz="8" w:space="0" w:color="auto"/>
              <w:bottom w:val="single" w:sz="8" w:space="0" w:color="000000"/>
              <w:right w:val="single" w:sz="4" w:space="0" w:color="auto"/>
            </w:tcBorders>
            <w:vAlign w:val="center"/>
            <w:hideMark/>
          </w:tcPr>
          <w:p w:rsidR="005C0B0B" w:rsidRPr="00E338CE" w:rsidRDefault="005C0B0B" w:rsidP="00844277">
            <w:pPr>
              <w:pStyle w:val="Tabele"/>
              <w:rPr>
                <w:sz w:val="17"/>
                <w:szCs w:val="17"/>
                <w:lang w:val="sq-AL"/>
              </w:rPr>
            </w:pPr>
          </w:p>
        </w:tc>
        <w:tc>
          <w:tcPr>
            <w:tcW w:w="1091" w:type="pct"/>
            <w:vMerge/>
            <w:tcBorders>
              <w:top w:val="nil"/>
              <w:left w:val="single" w:sz="4" w:space="0" w:color="auto"/>
              <w:bottom w:val="single" w:sz="4" w:space="0" w:color="000000"/>
              <w:right w:val="dotted" w:sz="4" w:space="0" w:color="auto"/>
            </w:tcBorders>
            <w:vAlign w:val="center"/>
            <w:hideMark/>
          </w:tcPr>
          <w:p w:rsidR="005C0B0B" w:rsidRPr="00E338CE" w:rsidRDefault="005C0B0B" w:rsidP="00844277">
            <w:pPr>
              <w:pStyle w:val="Tabele"/>
              <w:rPr>
                <w:sz w:val="17"/>
                <w:szCs w:val="17"/>
                <w:lang w:val="sq-AL"/>
              </w:rPr>
            </w:pPr>
          </w:p>
        </w:tc>
        <w:tc>
          <w:tcPr>
            <w:tcW w:w="1680" w:type="pct"/>
            <w:vMerge/>
            <w:tcBorders>
              <w:top w:val="nil"/>
              <w:left w:val="dotted" w:sz="4" w:space="0" w:color="auto"/>
              <w:bottom w:val="dotted" w:sz="4"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476" w:type="pct"/>
            <w:vMerge/>
            <w:tcBorders>
              <w:top w:val="nil"/>
              <w:left w:val="single" w:sz="8" w:space="0" w:color="auto"/>
              <w:bottom w:val="single" w:sz="8"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648" w:type="pct"/>
            <w:tcBorders>
              <w:top w:val="dotted" w:sz="4" w:space="0" w:color="auto"/>
              <w:left w:val="nil"/>
              <w:bottom w:val="dotted" w:sz="4" w:space="0" w:color="auto"/>
              <w:right w:val="single" w:sz="8" w:space="0" w:color="auto"/>
            </w:tcBorders>
            <w:shd w:val="clear" w:color="000000" w:fill="F2DDDC"/>
            <w:noWrap/>
            <w:vAlign w:val="center"/>
            <w:hideMark/>
          </w:tcPr>
          <w:p w:rsidR="005C0B0B" w:rsidRPr="00E338CE" w:rsidRDefault="005C0B0B" w:rsidP="00844277">
            <w:pPr>
              <w:pStyle w:val="Tabele"/>
              <w:rPr>
                <w:sz w:val="17"/>
                <w:szCs w:val="17"/>
                <w:lang w:val="sq-AL"/>
              </w:rPr>
            </w:pPr>
            <w:r w:rsidRPr="00E338CE">
              <w:rPr>
                <w:sz w:val="17"/>
                <w:szCs w:val="17"/>
                <w:lang w:val="sq-AL"/>
              </w:rPr>
              <w:t>7</w:t>
            </w:r>
          </w:p>
        </w:tc>
      </w:tr>
      <w:tr w:rsidR="005C0B0B" w:rsidRPr="00E338CE" w:rsidTr="00844277">
        <w:trPr>
          <w:trHeight w:val="54"/>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560" w:type="pct"/>
            <w:vMerge/>
            <w:tcBorders>
              <w:top w:val="nil"/>
              <w:left w:val="single" w:sz="8" w:space="0" w:color="auto"/>
              <w:bottom w:val="single" w:sz="8" w:space="0" w:color="000000"/>
              <w:right w:val="single" w:sz="4" w:space="0" w:color="auto"/>
            </w:tcBorders>
            <w:vAlign w:val="center"/>
            <w:hideMark/>
          </w:tcPr>
          <w:p w:rsidR="005C0B0B" w:rsidRPr="00E338CE" w:rsidRDefault="005C0B0B" w:rsidP="00844277">
            <w:pPr>
              <w:pStyle w:val="Tabele"/>
              <w:rPr>
                <w:sz w:val="17"/>
                <w:szCs w:val="17"/>
                <w:lang w:val="sq-AL"/>
              </w:rPr>
            </w:pPr>
          </w:p>
        </w:tc>
        <w:tc>
          <w:tcPr>
            <w:tcW w:w="1091" w:type="pct"/>
            <w:vMerge/>
            <w:tcBorders>
              <w:top w:val="nil"/>
              <w:left w:val="single" w:sz="4" w:space="0" w:color="auto"/>
              <w:bottom w:val="single" w:sz="4" w:space="0" w:color="000000"/>
              <w:right w:val="dotted" w:sz="4" w:space="0" w:color="auto"/>
            </w:tcBorders>
            <w:vAlign w:val="center"/>
            <w:hideMark/>
          </w:tcPr>
          <w:p w:rsidR="005C0B0B" w:rsidRPr="00E338CE" w:rsidRDefault="005C0B0B" w:rsidP="00844277">
            <w:pPr>
              <w:pStyle w:val="Tabele"/>
              <w:rPr>
                <w:sz w:val="17"/>
                <w:szCs w:val="17"/>
                <w:lang w:val="sq-AL"/>
              </w:rPr>
            </w:pPr>
          </w:p>
        </w:tc>
        <w:tc>
          <w:tcPr>
            <w:tcW w:w="1680" w:type="pct"/>
            <w:tcBorders>
              <w:top w:val="nil"/>
              <w:left w:val="nil"/>
              <w:bottom w:val="single" w:sz="4" w:space="0" w:color="auto"/>
              <w:right w:val="single" w:sz="8" w:space="0" w:color="auto"/>
            </w:tcBorders>
            <w:shd w:val="clear" w:color="000000" w:fill="F2DDDC"/>
            <w:noWrap/>
            <w:vAlign w:val="center"/>
            <w:hideMark/>
          </w:tcPr>
          <w:p w:rsidR="005C0B0B" w:rsidRPr="00E338CE" w:rsidRDefault="005C0B0B" w:rsidP="00844277">
            <w:pPr>
              <w:pStyle w:val="Tabele"/>
              <w:rPr>
                <w:sz w:val="17"/>
                <w:szCs w:val="17"/>
                <w:lang w:val="sq-AL"/>
              </w:rPr>
            </w:pPr>
            <w:r w:rsidRPr="00E338CE">
              <w:rPr>
                <w:sz w:val="17"/>
                <w:szCs w:val="17"/>
                <w:lang w:val="sq-AL"/>
              </w:rPr>
              <w:t>Pasaktësi në matjen e ujit</w:t>
            </w:r>
          </w:p>
        </w:tc>
        <w:tc>
          <w:tcPr>
            <w:tcW w:w="476" w:type="pct"/>
            <w:vMerge/>
            <w:tcBorders>
              <w:top w:val="nil"/>
              <w:left w:val="single" w:sz="8" w:space="0" w:color="auto"/>
              <w:bottom w:val="single" w:sz="8"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648" w:type="pct"/>
            <w:tcBorders>
              <w:top w:val="nil"/>
              <w:left w:val="nil"/>
              <w:bottom w:val="single" w:sz="4" w:space="0" w:color="auto"/>
              <w:right w:val="single" w:sz="8" w:space="0" w:color="auto"/>
            </w:tcBorders>
            <w:shd w:val="clear" w:color="000000" w:fill="F2DDDC"/>
            <w:noWrap/>
            <w:vAlign w:val="center"/>
            <w:hideMark/>
          </w:tcPr>
          <w:p w:rsidR="005C0B0B" w:rsidRPr="00E338CE" w:rsidRDefault="005C0B0B" w:rsidP="00844277">
            <w:pPr>
              <w:pStyle w:val="Tabele"/>
              <w:rPr>
                <w:sz w:val="17"/>
                <w:szCs w:val="17"/>
                <w:lang w:val="sq-AL"/>
              </w:rPr>
            </w:pPr>
            <w:r w:rsidRPr="00E338CE">
              <w:rPr>
                <w:sz w:val="17"/>
                <w:szCs w:val="17"/>
                <w:lang w:val="sq-AL"/>
              </w:rPr>
              <w:t>8</w:t>
            </w:r>
          </w:p>
        </w:tc>
      </w:tr>
      <w:tr w:rsidR="005C0B0B" w:rsidRPr="00E338CE" w:rsidTr="00844277">
        <w:trPr>
          <w:trHeight w:val="362"/>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560" w:type="pct"/>
            <w:vMerge/>
            <w:tcBorders>
              <w:top w:val="nil"/>
              <w:left w:val="single" w:sz="8" w:space="0" w:color="auto"/>
              <w:bottom w:val="single" w:sz="8" w:space="0" w:color="000000"/>
              <w:right w:val="single" w:sz="4" w:space="0" w:color="auto"/>
            </w:tcBorders>
            <w:vAlign w:val="center"/>
            <w:hideMark/>
          </w:tcPr>
          <w:p w:rsidR="005C0B0B" w:rsidRPr="00E338CE" w:rsidRDefault="005C0B0B" w:rsidP="00844277">
            <w:pPr>
              <w:pStyle w:val="Tabele"/>
              <w:rPr>
                <w:sz w:val="17"/>
                <w:szCs w:val="17"/>
                <w:lang w:val="sq-AL"/>
              </w:rPr>
            </w:pPr>
          </w:p>
        </w:tc>
        <w:tc>
          <w:tcPr>
            <w:tcW w:w="1091" w:type="pct"/>
            <w:vMerge w:val="restart"/>
            <w:tcBorders>
              <w:top w:val="nil"/>
              <w:left w:val="single" w:sz="4" w:space="0" w:color="auto"/>
              <w:bottom w:val="single" w:sz="8" w:space="0" w:color="000000"/>
              <w:right w:val="dotted" w:sz="4" w:space="0" w:color="auto"/>
            </w:tcBorders>
            <w:shd w:val="clear" w:color="000000" w:fill="F2DDDC"/>
            <w:noWrap/>
            <w:vAlign w:val="center"/>
            <w:hideMark/>
          </w:tcPr>
          <w:p w:rsidR="005C0B0B" w:rsidRPr="00E338CE" w:rsidRDefault="005C0B0B" w:rsidP="00844277">
            <w:pPr>
              <w:pStyle w:val="Tabele"/>
              <w:rPr>
                <w:sz w:val="17"/>
                <w:szCs w:val="17"/>
                <w:lang w:val="sq-AL"/>
              </w:rPr>
            </w:pPr>
            <w:r w:rsidRPr="00E338CE">
              <w:rPr>
                <w:sz w:val="17"/>
                <w:szCs w:val="17"/>
                <w:lang w:val="sq-AL"/>
              </w:rPr>
              <w:t>Humbjet reale</w:t>
            </w:r>
          </w:p>
        </w:tc>
        <w:tc>
          <w:tcPr>
            <w:tcW w:w="1680" w:type="pct"/>
            <w:tcBorders>
              <w:top w:val="nil"/>
              <w:left w:val="nil"/>
              <w:bottom w:val="dotted" w:sz="4" w:space="0" w:color="auto"/>
              <w:right w:val="single" w:sz="8" w:space="0" w:color="auto"/>
            </w:tcBorders>
            <w:shd w:val="clear" w:color="000000" w:fill="F2DDDC"/>
            <w:vAlign w:val="center"/>
            <w:hideMark/>
          </w:tcPr>
          <w:p w:rsidR="005C0B0B" w:rsidRPr="00E338CE" w:rsidRDefault="005C0B0B" w:rsidP="00844277">
            <w:pPr>
              <w:pStyle w:val="Tabele"/>
              <w:rPr>
                <w:sz w:val="17"/>
                <w:szCs w:val="17"/>
                <w:lang w:val="sq-AL"/>
              </w:rPr>
            </w:pPr>
            <w:r w:rsidRPr="00E338CE">
              <w:rPr>
                <w:sz w:val="17"/>
                <w:szCs w:val="17"/>
                <w:lang w:val="sq-AL"/>
              </w:rPr>
              <w:t>Rrjedhje në rrjetin e transmetimit dhe / ose të shpërndarjes</w:t>
            </w:r>
          </w:p>
        </w:tc>
        <w:tc>
          <w:tcPr>
            <w:tcW w:w="476" w:type="pct"/>
            <w:vMerge/>
            <w:tcBorders>
              <w:top w:val="nil"/>
              <w:left w:val="single" w:sz="8" w:space="0" w:color="auto"/>
              <w:bottom w:val="single" w:sz="8"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648" w:type="pct"/>
            <w:vMerge w:val="restart"/>
            <w:tcBorders>
              <w:top w:val="nil"/>
              <w:left w:val="single" w:sz="8" w:space="0" w:color="auto"/>
              <w:bottom w:val="single" w:sz="8" w:space="0" w:color="000000"/>
              <w:right w:val="single" w:sz="8" w:space="0" w:color="auto"/>
            </w:tcBorders>
            <w:shd w:val="clear" w:color="000000" w:fill="F2DDDC"/>
            <w:vAlign w:val="center"/>
            <w:hideMark/>
          </w:tcPr>
          <w:p w:rsidR="005C0B0B" w:rsidRPr="00E338CE" w:rsidRDefault="005C0B0B" w:rsidP="00844277">
            <w:pPr>
              <w:pStyle w:val="Tabele"/>
              <w:rPr>
                <w:sz w:val="17"/>
                <w:szCs w:val="17"/>
                <w:lang w:val="sq-AL"/>
              </w:rPr>
            </w:pPr>
            <w:r w:rsidRPr="00E338CE">
              <w:rPr>
                <w:sz w:val="17"/>
                <w:szCs w:val="17"/>
                <w:lang w:val="sq-AL"/>
              </w:rPr>
              <w:t>9,10,11,12,13</w:t>
            </w:r>
          </w:p>
        </w:tc>
      </w:tr>
      <w:tr w:rsidR="005C0B0B" w:rsidRPr="00E338CE" w:rsidTr="00844277">
        <w:trPr>
          <w:trHeight w:val="403"/>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560" w:type="pct"/>
            <w:vMerge/>
            <w:tcBorders>
              <w:top w:val="nil"/>
              <w:left w:val="single" w:sz="8" w:space="0" w:color="auto"/>
              <w:bottom w:val="single" w:sz="8" w:space="0" w:color="000000"/>
              <w:right w:val="single" w:sz="4" w:space="0" w:color="auto"/>
            </w:tcBorders>
            <w:vAlign w:val="center"/>
            <w:hideMark/>
          </w:tcPr>
          <w:p w:rsidR="005C0B0B" w:rsidRPr="00E338CE" w:rsidRDefault="005C0B0B" w:rsidP="00844277">
            <w:pPr>
              <w:pStyle w:val="Tabele"/>
              <w:rPr>
                <w:sz w:val="17"/>
                <w:szCs w:val="17"/>
                <w:lang w:val="sq-AL"/>
              </w:rPr>
            </w:pPr>
          </w:p>
        </w:tc>
        <w:tc>
          <w:tcPr>
            <w:tcW w:w="1091" w:type="pct"/>
            <w:vMerge/>
            <w:tcBorders>
              <w:top w:val="nil"/>
              <w:left w:val="single" w:sz="4" w:space="0" w:color="auto"/>
              <w:bottom w:val="single" w:sz="8" w:space="0" w:color="000000"/>
              <w:right w:val="dotted" w:sz="4" w:space="0" w:color="auto"/>
            </w:tcBorders>
            <w:vAlign w:val="center"/>
            <w:hideMark/>
          </w:tcPr>
          <w:p w:rsidR="005C0B0B" w:rsidRPr="00E338CE" w:rsidRDefault="005C0B0B" w:rsidP="00844277">
            <w:pPr>
              <w:pStyle w:val="Tabele"/>
              <w:rPr>
                <w:sz w:val="17"/>
                <w:szCs w:val="17"/>
                <w:lang w:val="sq-AL"/>
              </w:rPr>
            </w:pPr>
          </w:p>
        </w:tc>
        <w:tc>
          <w:tcPr>
            <w:tcW w:w="1680" w:type="pct"/>
            <w:tcBorders>
              <w:top w:val="nil"/>
              <w:left w:val="nil"/>
              <w:bottom w:val="dotted" w:sz="4" w:space="0" w:color="auto"/>
              <w:right w:val="single" w:sz="8" w:space="0" w:color="auto"/>
            </w:tcBorders>
            <w:shd w:val="clear" w:color="000000" w:fill="F2DDDC"/>
            <w:vAlign w:val="center"/>
            <w:hideMark/>
          </w:tcPr>
          <w:p w:rsidR="005C0B0B" w:rsidRPr="00E338CE" w:rsidRDefault="005C0B0B" w:rsidP="00844277">
            <w:pPr>
              <w:pStyle w:val="Tabele"/>
              <w:rPr>
                <w:sz w:val="17"/>
                <w:szCs w:val="17"/>
                <w:lang w:val="sq-AL"/>
              </w:rPr>
            </w:pPr>
            <w:r w:rsidRPr="00E338CE">
              <w:rPr>
                <w:sz w:val="17"/>
                <w:szCs w:val="17"/>
                <w:lang w:val="sq-AL"/>
              </w:rPr>
              <w:t>Rrjedhje dhe derdhje në depot e magazinimit të ndërmarrjes</w:t>
            </w:r>
          </w:p>
        </w:tc>
        <w:tc>
          <w:tcPr>
            <w:tcW w:w="476" w:type="pct"/>
            <w:vMerge/>
            <w:tcBorders>
              <w:top w:val="nil"/>
              <w:left w:val="single" w:sz="8" w:space="0" w:color="auto"/>
              <w:bottom w:val="single" w:sz="8"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648" w:type="pct"/>
            <w:vMerge/>
            <w:tcBorders>
              <w:top w:val="nil"/>
              <w:left w:val="single" w:sz="8" w:space="0" w:color="auto"/>
              <w:bottom w:val="single" w:sz="8" w:space="0" w:color="000000"/>
              <w:right w:val="single" w:sz="8" w:space="0" w:color="auto"/>
            </w:tcBorders>
            <w:vAlign w:val="center"/>
            <w:hideMark/>
          </w:tcPr>
          <w:p w:rsidR="005C0B0B" w:rsidRPr="00E338CE" w:rsidRDefault="005C0B0B" w:rsidP="00844277">
            <w:pPr>
              <w:pStyle w:val="Tabele"/>
              <w:rPr>
                <w:sz w:val="17"/>
                <w:szCs w:val="17"/>
                <w:lang w:val="sq-AL"/>
              </w:rPr>
            </w:pPr>
          </w:p>
        </w:tc>
      </w:tr>
      <w:tr w:rsidR="005C0B0B" w:rsidRPr="00E338CE" w:rsidTr="00844277">
        <w:trPr>
          <w:trHeight w:val="307"/>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560" w:type="pct"/>
            <w:vMerge/>
            <w:tcBorders>
              <w:top w:val="nil"/>
              <w:left w:val="single" w:sz="8" w:space="0" w:color="auto"/>
              <w:bottom w:val="single" w:sz="8" w:space="0" w:color="000000"/>
              <w:right w:val="single" w:sz="4" w:space="0" w:color="auto"/>
            </w:tcBorders>
            <w:vAlign w:val="center"/>
            <w:hideMark/>
          </w:tcPr>
          <w:p w:rsidR="005C0B0B" w:rsidRPr="00E338CE" w:rsidRDefault="005C0B0B" w:rsidP="00844277">
            <w:pPr>
              <w:pStyle w:val="Tabele"/>
              <w:rPr>
                <w:sz w:val="17"/>
                <w:szCs w:val="17"/>
                <w:lang w:val="sq-AL"/>
              </w:rPr>
            </w:pPr>
          </w:p>
        </w:tc>
        <w:tc>
          <w:tcPr>
            <w:tcW w:w="1091" w:type="pct"/>
            <w:vMerge/>
            <w:tcBorders>
              <w:top w:val="nil"/>
              <w:left w:val="single" w:sz="4" w:space="0" w:color="auto"/>
              <w:bottom w:val="single" w:sz="8" w:space="0" w:color="000000"/>
              <w:right w:val="dotted" w:sz="4" w:space="0" w:color="auto"/>
            </w:tcBorders>
            <w:vAlign w:val="center"/>
            <w:hideMark/>
          </w:tcPr>
          <w:p w:rsidR="005C0B0B" w:rsidRPr="00E338CE" w:rsidRDefault="005C0B0B" w:rsidP="00844277">
            <w:pPr>
              <w:pStyle w:val="Tabele"/>
              <w:rPr>
                <w:sz w:val="17"/>
                <w:szCs w:val="17"/>
                <w:lang w:val="sq-AL"/>
              </w:rPr>
            </w:pPr>
          </w:p>
        </w:tc>
        <w:tc>
          <w:tcPr>
            <w:tcW w:w="1680" w:type="pct"/>
            <w:tcBorders>
              <w:top w:val="nil"/>
              <w:left w:val="nil"/>
              <w:bottom w:val="single" w:sz="8" w:space="0" w:color="auto"/>
              <w:right w:val="single" w:sz="8" w:space="0" w:color="auto"/>
            </w:tcBorders>
            <w:shd w:val="clear" w:color="000000" w:fill="F2DDDC"/>
            <w:vAlign w:val="center"/>
            <w:hideMark/>
          </w:tcPr>
          <w:p w:rsidR="005C0B0B" w:rsidRPr="00E338CE" w:rsidRDefault="005C0B0B" w:rsidP="00844277">
            <w:pPr>
              <w:pStyle w:val="Tabele"/>
              <w:rPr>
                <w:sz w:val="17"/>
                <w:szCs w:val="17"/>
                <w:lang w:val="sq-AL"/>
              </w:rPr>
            </w:pPr>
            <w:r w:rsidRPr="00E338CE">
              <w:rPr>
                <w:sz w:val="17"/>
                <w:szCs w:val="17"/>
                <w:lang w:val="sq-AL"/>
              </w:rPr>
              <w:t>Rrjedhje nga linjat e shërbimit deri në pikën e matjes së konsumatorëve</w:t>
            </w:r>
          </w:p>
        </w:tc>
        <w:tc>
          <w:tcPr>
            <w:tcW w:w="476" w:type="pct"/>
            <w:vMerge/>
            <w:tcBorders>
              <w:top w:val="nil"/>
              <w:left w:val="single" w:sz="8" w:space="0" w:color="auto"/>
              <w:bottom w:val="single" w:sz="8" w:space="0" w:color="000000"/>
              <w:right w:val="single" w:sz="8" w:space="0" w:color="auto"/>
            </w:tcBorders>
            <w:vAlign w:val="center"/>
            <w:hideMark/>
          </w:tcPr>
          <w:p w:rsidR="005C0B0B" w:rsidRPr="00E338CE" w:rsidRDefault="005C0B0B" w:rsidP="00844277">
            <w:pPr>
              <w:pStyle w:val="Tabele"/>
              <w:rPr>
                <w:sz w:val="17"/>
                <w:szCs w:val="17"/>
                <w:lang w:val="sq-AL"/>
              </w:rPr>
            </w:pPr>
          </w:p>
        </w:tc>
        <w:tc>
          <w:tcPr>
            <w:tcW w:w="648" w:type="pct"/>
            <w:vMerge/>
            <w:tcBorders>
              <w:top w:val="nil"/>
              <w:left w:val="single" w:sz="8" w:space="0" w:color="auto"/>
              <w:bottom w:val="single" w:sz="8" w:space="0" w:color="000000"/>
              <w:right w:val="single" w:sz="8" w:space="0" w:color="auto"/>
            </w:tcBorders>
            <w:vAlign w:val="center"/>
            <w:hideMark/>
          </w:tcPr>
          <w:p w:rsidR="005C0B0B" w:rsidRPr="00E338CE" w:rsidRDefault="005C0B0B" w:rsidP="00844277">
            <w:pPr>
              <w:pStyle w:val="Tabele"/>
              <w:rPr>
                <w:sz w:val="17"/>
                <w:szCs w:val="17"/>
                <w:lang w:val="sq-AL"/>
              </w:rPr>
            </w:pPr>
          </w:p>
        </w:tc>
      </w:tr>
      <w:tr w:rsidR="005C0B0B" w:rsidRPr="00E338CE" w:rsidTr="00844277">
        <w:trPr>
          <w:trHeight w:val="284"/>
        </w:trPr>
        <w:tc>
          <w:tcPr>
            <w:tcW w:w="2195" w:type="pct"/>
            <w:gridSpan w:val="3"/>
            <w:tcBorders>
              <w:top w:val="nil"/>
              <w:left w:val="nil"/>
              <w:bottom w:val="nil"/>
              <w:right w:val="nil"/>
            </w:tcBorders>
            <w:shd w:val="clear" w:color="auto" w:fill="auto"/>
            <w:noWrap/>
            <w:vAlign w:val="bottom"/>
            <w:hideMark/>
          </w:tcPr>
          <w:p w:rsidR="005C0B0B" w:rsidRPr="00E338CE" w:rsidRDefault="005C0B0B" w:rsidP="00844277">
            <w:pPr>
              <w:pStyle w:val="Tabele"/>
              <w:rPr>
                <w:sz w:val="21"/>
                <w:szCs w:val="21"/>
                <w:lang w:val="sq-AL"/>
              </w:rPr>
            </w:pPr>
            <w:r w:rsidRPr="00E338CE">
              <w:rPr>
                <w:sz w:val="21"/>
                <w:szCs w:val="21"/>
                <w:lang w:val="sq-AL"/>
              </w:rPr>
              <w:t>Shënim. Numrat 2-13, shikoji te tabela 2</w:t>
            </w:r>
          </w:p>
        </w:tc>
        <w:tc>
          <w:tcPr>
            <w:tcW w:w="1680" w:type="pct"/>
            <w:tcBorders>
              <w:top w:val="nil"/>
              <w:left w:val="nil"/>
              <w:bottom w:val="nil"/>
              <w:right w:val="nil"/>
            </w:tcBorders>
            <w:shd w:val="clear" w:color="auto" w:fill="auto"/>
            <w:noWrap/>
            <w:vAlign w:val="bottom"/>
            <w:hideMark/>
          </w:tcPr>
          <w:p w:rsidR="005C0B0B" w:rsidRPr="00E338CE" w:rsidRDefault="005C0B0B" w:rsidP="00844277">
            <w:pPr>
              <w:pStyle w:val="Tabele"/>
              <w:rPr>
                <w:sz w:val="17"/>
                <w:szCs w:val="17"/>
                <w:lang w:val="sq-AL"/>
              </w:rPr>
            </w:pPr>
          </w:p>
        </w:tc>
        <w:tc>
          <w:tcPr>
            <w:tcW w:w="476" w:type="pct"/>
            <w:tcBorders>
              <w:top w:val="nil"/>
              <w:left w:val="nil"/>
              <w:bottom w:val="nil"/>
              <w:right w:val="nil"/>
            </w:tcBorders>
            <w:shd w:val="clear" w:color="auto" w:fill="auto"/>
            <w:noWrap/>
            <w:vAlign w:val="bottom"/>
            <w:hideMark/>
          </w:tcPr>
          <w:p w:rsidR="005C0B0B" w:rsidRPr="00E338CE" w:rsidRDefault="005C0B0B" w:rsidP="00844277">
            <w:pPr>
              <w:pStyle w:val="Tabele"/>
              <w:rPr>
                <w:sz w:val="17"/>
                <w:szCs w:val="17"/>
                <w:lang w:val="sq-AL"/>
              </w:rPr>
            </w:pPr>
          </w:p>
        </w:tc>
        <w:tc>
          <w:tcPr>
            <w:tcW w:w="648" w:type="pct"/>
            <w:tcBorders>
              <w:top w:val="nil"/>
              <w:left w:val="nil"/>
              <w:bottom w:val="nil"/>
              <w:right w:val="nil"/>
            </w:tcBorders>
            <w:shd w:val="clear" w:color="auto" w:fill="auto"/>
            <w:noWrap/>
            <w:vAlign w:val="bottom"/>
            <w:hideMark/>
          </w:tcPr>
          <w:p w:rsidR="005C0B0B" w:rsidRPr="00E338CE" w:rsidRDefault="005C0B0B" w:rsidP="00844277">
            <w:pPr>
              <w:pStyle w:val="Tabele"/>
              <w:rPr>
                <w:sz w:val="17"/>
                <w:szCs w:val="17"/>
                <w:lang w:val="sq-AL"/>
              </w:rPr>
            </w:pPr>
          </w:p>
        </w:tc>
      </w:tr>
    </w:tbl>
    <w:p w:rsidR="005C0B0B" w:rsidRPr="00E338CE" w:rsidRDefault="005C0B0B" w:rsidP="005C0B0B">
      <w:pPr>
        <w:pStyle w:val="Paragrafi"/>
        <w:ind w:firstLine="0"/>
        <w:rPr>
          <w:sz w:val="21"/>
          <w:szCs w:val="21"/>
          <w:lang w:val="sq-AL"/>
        </w:rPr>
      </w:pPr>
    </w:p>
    <w:p w:rsidR="005C0B0B" w:rsidRPr="00E338CE" w:rsidRDefault="005C0B0B" w:rsidP="005C0B0B">
      <w:pPr>
        <w:pStyle w:val="Paragrafi"/>
        <w:rPr>
          <w:sz w:val="21"/>
          <w:szCs w:val="21"/>
          <w:lang w:val="sq-AL"/>
        </w:rPr>
      </w:pPr>
      <w:r w:rsidRPr="00E338CE">
        <w:rPr>
          <w:sz w:val="21"/>
          <w:szCs w:val="21"/>
          <w:lang w:val="sq-AL"/>
        </w:rPr>
        <w:t>Hapat për llogaritjen e ujit pa të ardhura dhe të humbjeve të ujit (llogaritja e bilancit të ujit):</w:t>
      </w:r>
    </w:p>
    <w:p w:rsidR="005C0B0B" w:rsidRPr="00E338CE" w:rsidRDefault="005C0B0B" w:rsidP="005C0B0B">
      <w:pPr>
        <w:pStyle w:val="Paragrafi"/>
        <w:rPr>
          <w:sz w:val="21"/>
          <w:szCs w:val="21"/>
          <w:lang w:val="sq-AL"/>
        </w:rPr>
      </w:pPr>
      <w:r w:rsidRPr="00E338CE">
        <w:rPr>
          <w:sz w:val="21"/>
          <w:szCs w:val="21"/>
          <w:lang w:val="sq-AL"/>
        </w:rPr>
        <w:t>Hapi I: Përcakto vëllimin e ujit të prodhuar që futet në sistem (tabela 1, kolona 1 ose tabela 2, rreshti 1)</w:t>
      </w:r>
    </w:p>
    <w:p w:rsidR="005C0B0B" w:rsidRPr="00E338CE" w:rsidRDefault="005C0B0B" w:rsidP="005C0B0B">
      <w:pPr>
        <w:pStyle w:val="Paragrafi"/>
        <w:rPr>
          <w:sz w:val="21"/>
          <w:szCs w:val="21"/>
          <w:lang w:val="sq-AL"/>
        </w:rPr>
      </w:pPr>
      <w:r w:rsidRPr="00E338CE">
        <w:rPr>
          <w:sz w:val="21"/>
          <w:szCs w:val="21"/>
          <w:lang w:val="sq-AL"/>
        </w:rPr>
        <w:t>Hapi II: Përcakto konsumin e matur të faturuar dhe konsumin e pamatur të faturuar (tabela 1, kolona 3, rreshti 1 ose tabela 2, rreshtat (2, 3, 4)), shumën vendose te konsumi i autorizuar i matur dhe tek uji me të ardhura.</w:t>
      </w:r>
    </w:p>
    <w:p w:rsidR="005C0B0B" w:rsidRPr="00E338CE" w:rsidRDefault="005C0B0B" w:rsidP="005C0B0B">
      <w:pPr>
        <w:pStyle w:val="Paragrafi"/>
        <w:rPr>
          <w:sz w:val="21"/>
          <w:szCs w:val="21"/>
          <w:lang w:val="sq-AL"/>
        </w:rPr>
      </w:pPr>
      <w:r w:rsidRPr="00E338CE">
        <w:rPr>
          <w:sz w:val="21"/>
          <w:szCs w:val="21"/>
          <w:lang w:val="sq-AL"/>
        </w:rPr>
        <w:t>Hapi III: Llogarit vëllimin e ujit pa të ardhura si diferencën e vëllimit të ujit të prodhuar që futet në sistem minus konsumin e autorizuar të faturuar (tabela 1, kolona 3, rreshtat 2, 3, 4 ose tabela 2, rreshtat (5 – 13)).</w:t>
      </w:r>
    </w:p>
    <w:p w:rsidR="005C0B0B" w:rsidRPr="00E338CE" w:rsidRDefault="005C0B0B" w:rsidP="005C0B0B">
      <w:pPr>
        <w:pStyle w:val="Paragrafi"/>
        <w:rPr>
          <w:sz w:val="21"/>
          <w:szCs w:val="21"/>
          <w:lang w:val="sq-AL"/>
        </w:rPr>
      </w:pPr>
      <w:r w:rsidRPr="00E338CE">
        <w:rPr>
          <w:sz w:val="21"/>
          <w:szCs w:val="21"/>
          <w:lang w:val="sq-AL"/>
        </w:rPr>
        <w:t>Hapi  IV: Përcakto konsumin e matur të pafaturuar dhe konsumin e pamatur të pafaturuar (tabela 1, kolona 3, rreshti 2 ose tabela 2, rreshti 5).</w:t>
      </w:r>
    </w:p>
    <w:p w:rsidR="005C0B0B" w:rsidRPr="00E338CE" w:rsidRDefault="005C0B0B" w:rsidP="005C0B0B">
      <w:pPr>
        <w:pStyle w:val="Paragrafi"/>
        <w:rPr>
          <w:sz w:val="21"/>
          <w:szCs w:val="21"/>
          <w:lang w:val="sq-AL"/>
        </w:rPr>
      </w:pPr>
      <w:r w:rsidRPr="00E338CE">
        <w:rPr>
          <w:sz w:val="21"/>
          <w:szCs w:val="21"/>
          <w:lang w:val="sq-AL"/>
        </w:rPr>
        <w:t xml:space="preserve">Hapi V: Shto vëllimet e konsumit të autorizuar të matur dhe të konsumit të autorizuar të pamatur, domethënë shumën (tabela 1, kolona 3, rreshti 1 ose tabela 2, rreshtat (2, 3, 4, 5)). </w:t>
      </w:r>
    </w:p>
    <w:p w:rsidR="005C0B0B" w:rsidRPr="00E338CE" w:rsidRDefault="005C0B0B" w:rsidP="005C0B0B">
      <w:pPr>
        <w:pStyle w:val="Paragrafi"/>
        <w:rPr>
          <w:sz w:val="21"/>
          <w:szCs w:val="21"/>
          <w:lang w:val="sq-AL"/>
        </w:rPr>
      </w:pPr>
      <w:r w:rsidRPr="00E338CE">
        <w:rPr>
          <w:sz w:val="21"/>
          <w:szCs w:val="21"/>
          <w:lang w:val="sq-AL"/>
        </w:rPr>
        <w:t>Hapi VI: Llogarit humbjet e ujit (tabela 1, kolona 2, rreshti 2 ose tabela 2, rreshtat (6 – 13)), si diferencën midis vëllimit të ujit të prodhuar që futet në sistem dhe konsumit të autorizuar (tabela 1).</w:t>
      </w:r>
    </w:p>
    <w:p w:rsidR="005C0B0B" w:rsidRPr="00E338CE" w:rsidRDefault="005C0B0B" w:rsidP="005C0B0B">
      <w:pPr>
        <w:pStyle w:val="Paragrafi"/>
        <w:rPr>
          <w:sz w:val="21"/>
          <w:szCs w:val="21"/>
          <w:lang w:val="sq-AL"/>
        </w:rPr>
      </w:pPr>
      <w:r w:rsidRPr="00E338CE">
        <w:rPr>
          <w:sz w:val="21"/>
          <w:szCs w:val="21"/>
          <w:lang w:val="sq-AL"/>
        </w:rPr>
        <w:t>Hapi VII: Vlerëso komponentët e konsumit të paautorizuar dhe pasaktësi në matjen e ujit (tabela 1, kolona 4, rreshtat (5, 6) ose tabela 2, rreshtat (6, 7, 8)) në</w:t>
      </w:r>
      <w:r>
        <w:rPr>
          <w:sz w:val="21"/>
          <w:szCs w:val="21"/>
          <w:lang w:val="sq-AL"/>
        </w:rPr>
        <w:t xml:space="preserve"> mënyrën më të mirë të mundshme</w:t>
      </w:r>
      <w:r w:rsidRPr="00E338CE">
        <w:rPr>
          <w:sz w:val="21"/>
          <w:szCs w:val="21"/>
          <w:lang w:val="sq-AL"/>
        </w:rPr>
        <w:t xml:space="preserve"> dhe shtoje shumën e tyre te humbjet e dukshme (tabela 1, kolona 3, rreshti 3). </w:t>
      </w:r>
    </w:p>
    <w:p w:rsidR="005C0B0B" w:rsidRPr="00E338CE" w:rsidRDefault="005C0B0B" w:rsidP="005C0B0B">
      <w:pPr>
        <w:pStyle w:val="Paragrafi"/>
        <w:rPr>
          <w:sz w:val="21"/>
          <w:szCs w:val="21"/>
          <w:lang w:val="sq-AL"/>
        </w:rPr>
      </w:pPr>
      <w:r w:rsidRPr="00E338CE">
        <w:rPr>
          <w:sz w:val="21"/>
          <w:szCs w:val="21"/>
          <w:lang w:val="sq-AL"/>
        </w:rPr>
        <w:t>Hapi VIII: Llogarit humbjet reale (tabela 1, kolona 3, rreshti 4 ose tabela 2, rreshti (9 – 13)), si diferencën e humbjeve të ujit minus humbjet e dukshme (tabela 1).</w:t>
      </w:r>
    </w:p>
    <w:p w:rsidR="005C0B0B" w:rsidRPr="00E338CE" w:rsidRDefault="005C0B0B" w:rsidP="005C0B0B">
      <w:pPr>
        <w:pStyle w:val="Paragrafi"/>
        <w:rPr>
          <w:sz w:val="21"/>
          <w:szCs w:val="21"/>
          <w:lang w:val="sq-AL"/>
        </w:rPr>
      </w:pPr>
      <w:r w:rsidRPr="00E338CE">
        <w:rPr>
          <w:sz w:val="21"/>
          <w:szCs w:val="21"/>
          <w:lang w:val="sq-AL"/>
        </w:rPr>
        <w:t>Hapi IX: Vlerëso komponentët e humbjeve reale (tabela 1, kolona 4, rreshtat (7, 8, 9) ose tabela 2, rreshtat (9 - 13)) në mënyrën më të mirë të mundshme</w:t>
      </w:r>
      <w:r>
        <w:rPr>
          <w:sz w:val="21"/>
          <w:szCs w:val="21"/>
          <w:lang w:val="sq-AL"/>
        </w:rPr>
        <w:t>,</w:t>
      </w:r>
      <w:r w:rsidRPr="00E338CE">
        <w:rPr>
          <w:sz w:val="21"/>
          <w:szCs w:val="21"/>
          <w:lang w:val="sq-AL"/>
        </w:rPr>
        <w:t xml:space="preserve"> shtoji këto dhe verifikoji me vëllimin e humbjeve reale tek (tabela 1, kolona 3, rreshti 4), i cili u përcaktua në hapin VIII.</w:t>
      </w:r>
    </w:p>
    <w:p w:rsidR="005C0B0B" w:rsidRPr="00E338CE" w:rsidRDefault="005C0B0B" w:rsidP="005C0B0B">
      <w:pPr>
        <w:pStyle w:val="Paragrafi"/>
        <w:rPr>
          <w:sz w:val="21"/>
          <w:szCs w:val="21"/>
          <w:lang w:val="sq-AL"/>
        </w:rPr>
      </w:pPr>
      <w:r w:rsidRPr="00E338CE">
        <w:rPr>
          <w:sz w:val="21"/>
          <w:szCs w:val="21"/>
          <w:lang w:val="sq-AL"/>
        </w:rPr>
        <w:t>1. Volumi i ujit që hyn në sistemin e furnizimit me ujë duhet të matet nga operatori me anë të ujëmatësve që instalohen në vendet e marrjes së ujit (pusetat e kaptazheve në burim, tubat e daljes në stacionet e pompave etj.). Këto matje duhet të regjistrohen çdo ditë me anë të një procesverbali zyrtar dhe duhet të dorëzohen në zyrat qendrore të operatorit. Gjithashtu, në zyrat qendrore duhet të dorëzohet çdo ditë edhe procesverbali i sasisë së ujit të blerë me shumicë nga klienti.</w:t>
      </w:r>
    </w:p>
    <w:p w:rsidR="005C0B0B" w:rsidRPr="00E338CE" w:rsidRDefault="005C0B0B" w:rsidP="005C0B0B">
      <w:pPr>
        <w:pStyle w:val="Paragrafi"/>
        <w:rPr>
          <w:sz w:val="21"/>
          <w:szCs w:val="21"/>
          <w:lang w:val="sq-AL"/>
        </w:rPr>
      </w:pPr>
      <w:r w:rsidRPr="00E338CE">
        <w:rPr>
          <w:sz w:val="21"/>
          <w:szCs w:val="21"/>
          <w:lang w:val="sq-AL"/>
        </w:rPr>
        <w:t>Në rastet kur nuk ka të instaluar matës uji në vendet e marrjes së ujit, duhet të bëhen vlerësime të sasisë së ujit të prodhuar në bazë të vrojtimeve ditore dhe eksperiencës së specialistëve përkatës. Sasia e ujit të vlerësuar duhet të regjistrohet çdo ditë dhe të dorëzohet në zyrat qendrore të operatorit. Një herë në muaj, specialistët duhet të bëjnë matjet dhe llogaritjet përkatëse në bazë të sipërfaqes tërthore të tubit të daljes dhe shpejtësisë së matur të ujit në këtë segment. Këto matje duhet të kontrollohen me sasinë e ujit të vlerësuar çdo ditë nga specialistët.</w:t>
      </w:r>
    </w:p>
    <w:p w:rsidR="005C0B0B" w:rsidRPr="00E338CE" w:rsidRDefault="005C0B0B" w:rsidP="005C0B0B">
      <w:pPr>
        <w:pStyle w:val="Paragrafi"/>
        <w:rPr>
          <w:sz w:val="21"/>
          <w:szCs w:val="21"/>
          <w:lang w:val="sq-AL"/>
        </w:rPr>
      </w:pPr>
      <w:r w:rsidRPr="00E338CE">
        <w:rPr>
          <w:sz w:val="21"/>
          <w:szCs w:val="21"/>
          <w:lang w:val="sq-AL"/>
        </w:rPr>
        <w:t>2. Konsumi i ujit të faturuar i matur duhet të matet me anë të ujëmatësve që instalohen te konsumatori. Këto matje duhet të regjistrohen çdo muaj me anë të një procesverbali zyrtar dhe duhet të dorëzohen në zyrat qendrore të operatorit, dega e shitjes.</w:t>
      </w:r>
    </w:p>
    <w:p w:rsidR="005C0B0B" w:rsidRPr="00E338CE" w:rsidRDefault="005C0B0B" w:rsidP="005C0B0B">
      <w:pPr>
        <w:pStyle w:val="Paragrafi"/>
        <w:rPr>
          <w:sz w:val="21"/>
          <w:szCs w:val="21"/>
          <w:lang w:val="sq-AL"/>
        </w:rPr>
      </w:pPr>
      <w:r w:rsidRPr="00E338CE">
        <w:rPr>
          <w:sz w:val="21"/>
          <w:szCs w:val="21"/>
          <w:lang w:val="sq-AL"/>
        </w:rPr>
        <w:t>3. Konsumi i ujit të faturuar i matur që u shitet të tretëve, duhet të matet me anë të ujëmatësve që instalohen në pikën e lidhjes ku jepet uji që u shitet klientëve të caktuar ose klientëve të caktuar jashtë zonës së shërbimit me tarifën e ujit me shumicë të aprovuar nga ERRU-ja. Këto matje duhet të regjistrohen çdo ditë me anë të një procesverbali zyrtar dhe duhet të dorëzohen në zyrat qendrore të operatorit, dega e shitjes. Dega e shitjes duhet të bëjë regjistrimin e tyre.</w:t>
      </w:r>
    </w:p>
    <w:p w:rsidR="005C0B0B" w:rsidRPr="00E338CE" w:rsidRDefault="005C0B0B" w:rsidP="005C0B0B">
      <w:pPr>
        <w:pStyle w:val="Paragrafi"/>
        <w:rPr>
          <w:sz w:val="21"/>
          <w:szCs w:val="21"/>
          <w:lang w:val="sq-AL"/>
        </w:rPr>
      </w:pPr>
      <w:r w:rsidRPr="00E338CE">
        <w:rPr>
          <w:sz w:val="21"/>
          <w:szCs w:val="21"/>
          <w:lang w:val="sq-AL"/>
        </w:rPr>
        <w:t xml:space="preserve">4. Konsumi i ujit të faturuar i pamatur duhet të vlerësohet nga specialistët e operatorit në bazë të anëtarëve të regjistruar të familjes së konsumatorit (anëtarët e regjistruar të familjes duhet të vërtetohen përmes regjistrit të gjendjes civile). </w:t>
      </w:r>
    </w:p>
    <w:p w:rsidR="005C0B0B" w:rsidRPr="00E338CE" w:rsidRDefault="005C0B0B" w:rsidP="005C0B0B">
      <w:pPr>
        <w:pStyle w:val="Paragrafi"/>
        <w:rPr>
          <w:sz w:val="21"/>
          <w:szCs w:val="21"/>
          <w:lang w:val="sq-AL"/>
        </w:rPr>
      </w:pPr>
      <w:r w:rsidRPr="00E338CE">
        <w:rPr>
          <w:sz w:val="21"/>
          <w:szCs w:val="21"/>
          <w:lang w:val="sq-AL"/>
        </w:rPr>
        <w:t>Konsumi i ujit, i vlerësuar në këtë rast, do të jetë i barabartë me sasinë e ujit prej 150 l/frymë në ditë (ose 4.5 m</w:t>
      </w:r>
      <w:r w:rsidRPr="00E338CE">
        <w:rPr>
          <w:sz w:val="21"/>
          <w:szCs w:val="21"/>
          <w:vertAlign w:val="superscript"/>
          <w:lang w:val="sq-AL"/>
        </w:rPr>
        <w:t>3</w:t>
      </w:r>
      <w:r w:rsidRPr="00E338CE">
        <w:rPr>
          <w:sz w:val="21"/>
          <w:szCs w:val="21"/>
          <w:lang w:val="sq-AL"/>
        </w:rPr>
        <w:t>/frymë në muaj) për konsumatorët familjarë. Përdoruesve të tjerë jofamiljarë, që nuk kanë të instaluar matës uji në muajin e parë, do t’u bëhet një vlerësim në bazë të normave të konsumit për llojin e aktivitetit që kryejnë. Në muajt e tjerë, këtyre klientëve duhet t’u instalohet matës uji në bazë të kërkesave të Kodit të Ujit.</w:t>
      </w:r>
    </w:p>
    <w:p w:rsidR="005C0B0B" w:rsidRPr="00E338CE" w:rsidRDefault="005C0B0B" w:rsidP="005C0B0B">
      <w:pPr>
        <w:pStyle w:val="Paragrafi"/>
        <w:rPr>
          <w:sz w:val="21"/>
          <w:szCs w:val="21"/>
          <w:lang w:val="sq-AL"/>
        </w:rPr>
      </w:pPr>
      <w:r w:rsidRPr="00E338CE">
        <w:rPr>
          <w:sz w:val="21"/>
          <w:szCs w:val="21"/>
          <w:lang w:val="sq-AL"/>
        </w:rPr>
        <w:t>Këto vlerësime duhet të regjistrohen çdo muaj me anë të një procesverbali zyrtar dhe duhet të dorëzohen në zyrat qendrore të operatorit, dega e shitjes. Dega e shitjes duhet të bëjë regjistrimin mujor të tyre.</w:t>
      </w:r>
    </w:p>
    <w:p w:rsidR="005C0B0B" w:rsidRPr="00E338CE" w:rsidRDefault="005C0B0B" w:rsidP="005C0B0B">
      <w:pPr>
        <w:pStyle w:val="Paragrafi"/>
        <w:rPr>
          <w:sz w:val="21"/>
          <w:szCs w:val="21"/>
          <w:lang w:val="sq-AL"/>
        </w:rPr>
      </w:pPr>
      <w:r w:rsidRPr="00E338CE">
        <w:rPr>
          <w:sz w:val="21"/>
          <w:szCs w:val="21"/>
          <w:lang w:val="sq-AL"/>
        </w:rPr>
        <w:t>5. Konsumi i ujit të pafaturuar që jepet nga operatori për qëllime dhe institucione të veçanta duhet të matet me anë të ujëmatësve që instalohen në pikat e lidhjeve të tyre. Këto matje duhet të regjistrohen çdo muaj me anë të një procesverbali zyrtar dhe duhet të dorëzohen në zyrat qendrore të operatorit, dega e shitjes. Dega e shitjes duhet të bëjë regjistrimin mujor të tyre.</w:t>
      </w:r>
    </w:p>
    <w:p w:rsidR="005C0B0B" w:rsidRPr="00E338CE" w:rsidRDefault="005C0B0B" w:rsidP="005C0B0B">
      <w:pPr>
        <w:pStyle w:val="Paragrafi"/>
        <w:rPr>
          <w:sz w:val="21"/>
          <w:szCs w:val="21"/>
          <w:lang w:val="sq-AL"/>
        </w:rPr>
      </w:pPr>
      <w:r w:rsidRPr="00E338CE">
        <w:rPr>
          <w:sz w:val="21"/>
          <w:szCs w:val="21"/>
          <w:lang w:val="sq-AL"/>
        </w:rPr>
        <w:t>Nëse kjo sasi nuk mund të matet (p.sh. sasia e ujit të përdorur nga hidrantët), operatori duhet të bëjë vlerësimin e tyre në bazë të normave dhe rregullave përkatëse (p.sh. sasia e ujit që përdoret nga një hidrant llogaritet të jetë 5 l/sek dhe koha e shuarjes së zjarrit llogaritet të jetë 3 orë).</w:t>
      </w:r>
    </w:p>
    <w:p w:rsidR="005C0B0B" w:rsidRPr="00E338CE" w:rsidRDefault="005C0B0B" w:rsidP="005C0B0B">
      <w:pPr>
        <w:pStyle w:val="Paragrafi"/>
        <w:rPr>
          <w:sz w:val="21"/>
          <w:szCs w:val="21"/>
          <w:lang w:val="sq-AL"/>
        </w:rPr>
      </w:pPr>
      <w:r w:rsidRPr="00E338CE">
        <w:rPr>
          <w:sz w:val="21"/>
          <w:szCs w:val="21"/>
          <w:lang w:val="sq-AL"/>
        </w:rPr>
        <w:t xml:space="preserve">6. Humbjet e ujit për shkak të lidhjeve të paligjshme në linjat e transmetimit janë humbje të dukshme që duhet të llogariten në bazë të diferencës së prurjeve të ujit në fillim dhe në mbarim të linjave të transmetimit, si dhe të investigimeve që duhet të bëjnë në terren specialistët e operatorit. Investigimi në terren duhet të bëhet të paktën një herë në muaj për të identifikuar lidhjet e paligjshme dhe kalimet e paautorizuara. Në bazë të diametrit të tubacionit, që është i lidhur te linja e transmetimit, mund të përcaktohen edhe sasia e ujit që humbet për shkak të këtyre lidhjeve. Nga eksperienca rezulton se: </w:t>
      </w:r>
    </w:p>
    <w:p w:rsidR="005C0B0B" w:rsidRPr="00E338CE" w:rsidRDefault="005C0B0B" w:rsidP="005C0B0B">
      <w:pPr>
        <w:pStyle w:val="Paragrafi"/>
        <w:rPr>
          <w:sz w:val="21"/>
          <w:szCs w:val="21"/>
          <w:lang w:val="sq-AL"/>
        </w:rPr>
      </w:pPr>
      <w:r w:rsidRPr="00E338CE">
        <w:rPr>
          <w:sz w:val="21"/>
          <w:szCs w:val="21"/>
          <w:lang w:val="sq-AL"/>
        </w:rPr>
        <w:t>- Për tubacione që punojnë me presion &lt;16 bar dhe diametër d&lt;100 mm</w:t>
      </w:r>
      <w:r>
        <w:rPr>
          <w:sz w:val="21"/>
          <w:szCs w:val="21"/>
          <w:lang w:val="sq-AL"/>
        </w:rPr>
        <w:t>,</w:t>
      </w:r>
      <w:r w:rsidRPr="00E338CE">
        <w:rPr>
          <w:sz w:val="21"/>
          <w:szCs w:val="21"/>
          <w:lang w:val="sq-AL"/>
        </w:rPr>
        <w:t xml:space="preserve"> këto humbje shkojnë deri në 20 m</w:t>
      </w:r>
      <w:r w:rsidRPr="00E338CE">
        <w:rPr>
          <w:sz w:val="21"/>
          <w:szCs w:val="21"/>
          <w:vertAlign w:val="superscript"/>
          <w:lang w:val="sq-AL"/>
        </w:rPr>
        <w:t>3</w:t>
      </w:r>
      <w:r w:rsidRPr="00E338CE">
        <w:rPr>
          <w:sz w:val="21"/>
          <w:szCs w:val="21"/>
          <w:lang w:val="sq-AL"/>
        </w:rPr>
        <w:t>/orë;</w:t>
      </w:r>
    </w:p>
    <w:p w:rsidR="005C0B0B" w:rsidRDefault="005C0B0B" w:rsidP="005C0B0B">
      <w:pPr>
        <w:pStyle w:val="Paragrafi"/>
        <w:rPr>
          <w:sz w:val="21"/>
          <w:szCs w:val="21"/>
          <w:lang w:val="sq-AL"/>
        </w:rPr>
      </w:pPr>
    </w:p>
    <w:p w:rsidR="005C0B0B" w:rsidRPr="00E338CE" w:rsidRDefault="005C0B0B" w:rsidP="005C0B0B">
      <w:pPr>
        <w:pStyle w:val="Paragrafi"/>
        <w:rPr>
          <w:sz w:val="21"/>
          <w:szCs w:val="21"/>
          <w:lang w:val="sq-AL"/>
        </w:rPr>
      </w:pPr>
      <w:r w:rsidRPr="00E338CE">
        <w:rPr>
          <w:sz w:val="21"/>
          <w:szCs w:val="21"/>
          <w:lang w:val="sq-AL"/>
        </w:rPr>
        <w:t>- Për tubacione që punojnë me presion &lt;16 bar dhe diametër 100&lt;d&lt;200 mm</w:t>
      </w:r>
      <w:r>
        <w:rPr>
          <w:sz w:val="21"/>
          <w:szCs w:val="21"/>
          <w:lang w:val="sq-AL"/>
        </w:rPr>
        <w:t>,</w:t>
      </w:r>
      <w:r w:rsidRPr="00E338CE">
        <w:rPr>
          <w:sz w:val="21"/>
          <w:szCs w:val="21"/>
          <w:lang w:val="sq-AL"/>
        </w:rPr>
        <w:t xml:space="preserve"> këto humbje shkojnë deri në 50 m</w:t>
      </w:r>
      <w:r w:rsidRPr="00E338CE">
        <w:rPr>
          <w:sz w:val="21"/>
          <w:szCs w:val="21"/>
          <w:vertAlign w:val="superscript"/>
          <w:lang w:val="sq-AL"/>
        </w:rPr>
        <w:t>3</w:t>
      </w:r>
      <w:r w:rsidRPr="00E338CE">
        <w:rPr>
          <w:sz w:val="21"/>
          <w:szCs w:val="21"/>
          <w:lang w:val="sq-AL"/>
        </w:rPr>
        <w:t>/orë.</w:t>
      </w:r>
    </w:p>
    <w:p w:rsidR="005C0B0B" w:rsidRPr="00E338CE" w:rsidRDefault="005C0B0B" w:rsidP="005C0B0B">
      <w:pPr>
        <w:pStyle w:val="Paragrafi"/>
        <w:rPr>
          <w:sz w:val="21"/>
          <w:szCs w:val="21"/>
          <w:lang w:val="sq-AL"/>
        </w:rPr>
      </w:pPr>
      <w:r w:rsidRPr="00E338CE">
        <w:rPr>
          <w:sz w:val="21"/>
          <w:szCs w:val="21"/>
          <w:lang w:val="sq-AL"/>
        </w:rPr>
        <w:t xml:space="preserve">7. Humbjet e ujit për shkak të lidhjeve të paligjshme në linjat e rrjetit shpërndarës janë humbje të dukshme, që duhet të llogariten në bazë të investigimeve që duhet të bëjnë në terren specialistët e operatorit. Investigimi në terren duhet të bëhet të paktën një herë në muaj në nënzona të përcaktuara mirë të rrjetit shpërndarës për të identifikuar lidhjet e paligjshme dhe kalimet e paautorizuara që dërgojnë ujë te konsumatorët e nënzonës. Në bazë të diametrit të tubacionit, që është i lidhur te linja e transmetimit, mund të përcaktohen edhe sasia e ujit që humbet për shkak të këtyre lidhjeve. </w:t>
      </w:r>
    </w:p>
    <w:p w:rsidR="005C0B0B" w:rsidRPr="00E338CE" w:rsidRDefault="005C0B0B" w:rsidP="005C0B0B">
      <w:pPr>
        <w:pStyle w:val="Paragrafi"/>
        <w:rPr>
          <w:sz w:val="21"/>
          <w:szCs w:val="21"/>
          <w:lang w:val="sq-AL"/>
        </w:rPr>
      </w:pPr>
      <w:r w:rsidRPr="00E338CE">
        <w:rPr>
          <w:sz w:val="21"/>
          <w:szCs w:val="21"/>
          <w:lang w:val="sq-AL"/>
        </w:rPr>
        <w:t>Duhet theksuar se këto humbje, nga vetë vështirësia dhe kompleksiteti i problematikës që kanë, duhet të vërehen dhe të analizohen me kujdes nga operatori (këto humbje nuk duhet të ngatërrohen me humbjet për shkak të rrjedhjeve) dhe më pas të regjistrohen në zyrën qendrore të operatorit, dega e shitjes. Analiza e këtyre humbjeve duhet të shikohet ngushtë edhe me problematikat e tjera që mund të ketë në nënzonë, siç mund të jetë përdorimi i ujit për qëllime ujitje</w:t>
      </w:r>
      <w:r>
        <w:rPr>
          <w:sz w:val="21"/>
          <w:szCs w:val="21"/>
          <w:lang w:val="sq-AL"/>
        </w:rPr>
        <w:t>je</w:t>
      </w:r>
      <w:r w:rsidRPr="00E338CE">
        <w:rPr>
          <w:sz w:val="21"/>
          <w:szCs w:val="21"/>
          <w:lang w:val="sq-AL"/>
        </w:rPr>
        <w:t xml:space="preserve">, niveli social dhe ekonomik i konsumatorëve të kësaj nënzone etj. </w:t>
      </w:r>
    </w:p>
    <w:p w:rsidR="005C0B0B" w:rsidRPr="00E338CE" w:rsidRDefault="005C0B0B" w:rsidP="005C0B0B">
      <w:pPr>
        <w:pStyle w:val="Paragrafi"/>
        <w:rPr>
          <w:sz w:val="21"/>
          <w:szCs w:val="21"/>
          <w:lang w:val="sq-AL"/>
        </w:rPr>
      </w:pPr>
      <w:r w:rsidRPr="00E338CE">
        <w:rPr>
          <w:sz w:val="21"/>
          <w:szCs w:val="21"/>
          <w:lang w:val="sq-AL"/>
        </w:rPr>
        <w:t>8. Humbjet e ujit për shkak të pasaktësive në matësit e ujit (në prodhim dhe te konsumatori janë humbje të dukshme që duhet të llogariten në bazë të shkallës së gabimit të dhënë nga vetë prodhuesi, si dhe duke marrë për bazë vjetërsinë dhe gjendjen aktuale të matësve të ujit të instaluar në sistem. Gjithashtu, specialistët e operatorit duhet të bëjnë investigime për gjendjen aktuale të paktën një herë në 6 muaj të matësve të instaluar dhe në rastet kur verifikojnë gabime të mëdha gjatë matjeve</w:t>
      </w:r>
      <w:r>
        <w:rPr>
          <w:sz w:val="21"/>
          <w:szCs w:val="21"/>
          <w:lang w:val="sq-AL"/>
        </w:rPr>
        <w:t>,</w:t>
      </w:r>
      <w:r w:rsidRPr="00E338CE">
        <w:rPr>
          <w:sz w:val="21"/>
          <w:szCs w:val="21"/>
          <w:lang w:val="sq-AL"/>
        </w:rPr>
        <w:t xml:space="preserve"> duhet të bëjnë kolaudimin ose zëvendësimin e tyre.</w:t>
      </w:r>
    </w:p>
    <w:p w:rsidR="005C0B0B" w:rsidRPr="00E338CE" w:rsidRDefault="005C0B0B" w:rsidP="005C0B0B">
      <w:pPr>
        <w:pStyle w:val="Paragrafi"/>
        <w:rPr>
          <w:sz w:val="21"/>
          <w:szCs w:val="21"/>
          <w:lang w:val="sq-AL"/>
        </w:rPr>
      </w:pPr>
      <w:r w:rsidRPr="00E338CE">
        <w:rPr>
          <w:sz w:val="21"/>
          <w:szCs w:val="21"/>
          <w:lang w:val="sq-AL"/>
        </w:rPr>
        <w:t>9. Humbjet e ujit nga rrjedhjet në linjat e transmetimit janë humbje reale, që përfshijnë të gjitha rrjedhjet reale që ndodhin në linjat e transmetimit. Këto humbje mund të llogariten si diferencë e prurjes në fillim dhe në fund të linjës së dërgimit minus humbjet për shkak të lidhjeve të paligjshme, të cilat janë humbje të dukshme dhe mund të investigohen në vend. Këto matje duhet të regjistrohen çdo muaj me anë të një procesverbali zyrtar dhe duhet të dorëzohen në zyrat qendrore të operatorit, dega e shitjes. Dega e shitjes duhet të bëjë regjistrimin mujor të tyre.</w:t>
      </w:r>
    </w:p>
    <w:p w:rsidR="005C0B0B" w:rsidRPr="00E338CE" w:rsidRDefault="005C0B0B" w:rsidP="005C0B0B">
      <w:pPr>
        <w:pStyle w:val="Paragrafi"/>
        <w:rPr>
          <w:sz w:val="21"/>
          <w:szCs w:val="21"/>
          <w:lang w:val="sq-AL"/>
        </w:rPr>
      </w:pPr>
      <w:r w:rsidRPr="00E338CE">
        <w:rPr>
          <w:sz w:val="21"/>
          <w:szCs w:val="21"/>
          <w:lang w:val="sq-AL"/>
        </w:rPr>
        <w:t>10. Humbjet e ujit nga rrjedhjet në burim dhe/ose stacionet e pompave janë humbje reale që përfshijnë sasinë e ujit që humbet për shkak të rrjedhjeve të valvolave të komandimit, pjesëve të veçanta të sistemit të pompave (gominave, defekteve etj.) ose derdhjeve në zonën e grumbullimit të ujit të burimit (pusetave grumbulluese, kaptazheve etj.). Matjet e këtyre humbjeve duhet të bëhen në bazë të investigimit në vend të specialistëve të operatorit dhe të regjistrohen çdo muaj me anë të një procesverbali zyrtar, i cili duhet të dorëzohet në zyrat qendrore të operatorit, dega e shitjes, e cila bën regjistrimin mujor të tyre. Informacioni për këto rrjedhje duhet të dërgohet te dega e operim-mirëmbajtjes për të marrë masa të shpejta për zvogëlimin e tyre.</w:t>
      </w:r>
    </w:p>
    <w:p w:rsidR="005C0B0B" w:rsidRPr="00E338CE" w:rsidRDefault="005C0B0B" w:rsidP="005C0B0B">
      <w:pPr>
        <w:pStyle w:val="Paragrafi"/>
        <w:rPr>
          <w:sz w:val="21"/>
          <w:szCs w:val="21"/>
          <w:lang w:val="sq-AL"/>
        </w:rPr>
      </w:pPr>
      <w:r w:rsidRPr="00E338CE">
        <w:rPr>
          <w:sz w:val="21"/>
          <w:szCs w:val="21"/>
          <w:lang w:val="sq-AL"/>
        </w:rPr>
        <w:t xml:space="preserve">11. Humbjet e ujit nga rrjedhjet në rezervuarët e ujit janë humbje reale që shkaktohen në rezervuarët e ujit, si rrjedhojë e defekteve të tepërplotësve, rrjedhjeve të vogla në muret e rezervuarëve (nëse ka), mosoperimit në kohën e duhur të valvolave të kontrollit të rezervuarëve etj. Në rast të defekteve të tepërplotësve apo rrjedhjeve në muret e rezervuarëve duhet të bëhen investigime dhe matje në terren, të paktën një herë në muaj. Këto humbje nuk duhet të jenë më shumë se 1 % e sasisë ditore të ujit që rezervohet në rezervuar. </w:t>
      </w:r>
    </w:p>
    <w:p w:rsidR="005C0B0B" w:rsidRPr="00E338CE" w:rsidRDefault="005C0B0B" w:rsidP="005C0B0B">
      <w:pPr>
        <w:pStyle w:val="Paragrafi"/>
        <w:rPr>
          <w:sz w:val="21"/>
          <w:szCs w:val="21"/>
          <w:lang w:val="sq-AL"/>
        </w:rPr>
      </w:pPr>
      <w:r w:rsidRPr="00E338CE">
        <w:rPr>
          <w:sz w:val="21"/>
          <w:szCs w:val="21"/>
          <w:lang w:val="sq-AL"/>
        </w:rPr>
        <w:t xml:space="preserve">Në rastet kur kalohet kjo shifër, duhet të merren masat për riparimin e këtyre defekteve. Matjet e këtyre humbjeve duhet të bëhen në bazë të investigimit në vend të specialistëve të operatorit dhe të regjistrohen çdo muaj me anë të një procesverbali zyrtar, i cili duhet të dorëzohet në zyrat qendrore të operatorit, dega e shitjes, e cila bën regjistrimin mujor të tyre. Informacioni për këto rrjedhje duhet të dërgohet te dega e operim-mirëmbajtjes për të marrë masa të shpejta për zvogëlimin e tyre. </w:t>
      </w:r>
    </w:p>
    <w:p w:rsidR="005C0B0B" w:rsidRPr="00E338CE" w:rsidRDefault="005C0B0B" w:rsidP="005C0B0B">
      <w:pPr>
        <w:pStyle w:val="Paragrafi"/>
        <w:rPr>
          <w:sz w:val="21"/>
          <w:szCs w:val="21"/>
          <w:lang w:val="sq-AL"/>
        </w:rPr>
      </w:pPr>
      <w:r w:rsidRPr="00E338CE">
        <w:rPr>
          <w:sz w:val="21"/>
          <w:szCs w:val="21"/>
          <w:lang w:val="sq-AL"/>
        </w:rPr>
        <w:t>Në rastet kur humbjet ndodhin për shkak të mosoperimit në kohën e duhur të valvolave duhet të bëhet regjistrimi i kohës së rrjedhjeve për shkak të këtij mosoperimi dhe, më pas, të bëhet llogaritja e sasisë së humbur të ujit në bazë të diametrit të tubit hyrës në rezervuar. Shpejtësia e ujit në këto raste mund të merret jo më shumë se 1 m/sek.</w:t>
      </w:r>
    </w:p>
    <w:p w:rsidR="005C0B0B" w:rsidRDefault="005C0B0B" w:rsidP="005C0B0B">
      <w:pPr>
        <w:pStyle w:val="Paragrafi"/>
        <w:rPr>
          <w:sz w:val="21"/>
          <w:szCs w:val="21"/>
          <w:lang w:val="sq-AL"/>
        </w:rPr>
      </w:pPr>
    </w:p>
    <w:p w:rsidR="005C0B0B" w:rsidRDefault="005C0B0B" w:rsidP="005C0B0B">
      <w:pPr>
        <w:pStyle w:val="Paragrafi"/>
        <w:rPr>
          <w:sz w:val="21"/>
          <w:szCs w:val="21"/>
          <w:lang w:val="sq-AL"/>
        </w:rPr>
      </w:pPr>
    </w:p>
    <w:p w:rsidR="005C0B0B" w:rsidRPr="00E338CE" w:rsidRDefault="005C0B0B" w:rsidP="005C0B0B">
      <w:pPr>
        <w:pStyle w:val="Paragrafi"/>
        <w:rPr>
          <w:sz w:val="21"/>
          <w:szCs w:val="21"/>
          <w:lang w:val="sq-AL"/>
        </w:rPr>
      </w:pPr>
      <w:r w:rsidRPr="00E338CE">
        <w:rPr>
          <w:sz w:val="21"/>
          <w:szCs w:val="21"/>
          <w:lang w:val="sq-AL"/>
        </w:rPr>
        <w:t xml:space="preserve">12. Humbjet e ujit nga rrjedhjet në linjat e rrjetit shpërndarës janë humbje reale që shkaktohen në linjat e rrjetit shpërndarës për shkak të rrjedhjeve të ujit, si pasojë e defekteve apo amortizimit të linjave të rrjetit shpërndarës nga rezervuarët e ujit deri te pika e lidhjes për konsumatorin. </w:t>
      </w:r>
    </w:p>
    <w:p w:rsidR="005C0B0B" w:rsidRPr="00E338CE" w:rsidRDefault="005C0B0B" w:rsidP="005C0B0B">
      <w:pPr>
        <w:pStyle w:val="Paragrafi"/>
        <w:rPr>
          <w:sz w:val="21"/>
          <w:szCs w:val="21"/>
          <w:lang w:val="sq-AL"/>
        </w:rPr>
      </w:pPr>
      <w:r w:rsidRPr="00E338CE">
        <w:rPr>
          <w:sz w:val="21"/>
          <w:szCs w:val="21"/>
          <w:lang w:val="sq-AL"/>
        </w:rPr>
        <w:t>Për sa më sipër, këto humbje mund të llogarit</w:t>
      </w:r>
      <w:r>
        <w:rPr>
          <w:sz w:val="21"/>
          <w:szCs w:val="21"/>
          <w:lang w:val="sq-AL"/>
        </w:rPr>
        <w:t>e</w:t>
      </w:r>
      <w:r w:rsidRPr="00E338CE">
        <w:rPr>
          <w:sz w:val="21"/>
          <w:szCs w:val="21"/>
          <w:lang w:val="sq-AL"/>
        </w:rPr>
        <w:t>n si diferencë e prurjes në fillim dhe në fund të linjës shpërndarëse minus humbjet për shkak të lidhjeve të paligjshme, të cilat janë humbje të dukshme dhe mund të investigohen në vend. Këto matje duhet të regjistrohen çdo muaj me anë të një procesverbali zyrtar dhe duhet të dorëzohen në zyrat qendrore të operatorit, dega e shitjes, e cila duhet të bëjë regjistrimin mujor të tyre.</w:t>
      </w:r>
    </w:p>
    <w:p w:rsidR="005C0B0B" w:rsidRPr="00E338CE" w:rsidRDefault="005C0B0B" w:rsidP="005C0B0B">
      <w:pPr>
        <w:pStyle w:val="Paragrafi"/>
        <w:rPr>
          <w:sz w:val="21"/>
          <w:szCs w:val="21"/>
          <w:lang w:val="sq-AL"/>
        </w:rPr>
      </w:pPr>
      <w:r w:rsidRPr="00E338CE">
        <w:rPr>
          <w:sz w:val="21"/>
          <w:szCs w:val="21"/>
          <w:lang w:val="sq-AL"/>
        </w:rPr>
        <w:t xml:space="preserve">13. Humbjet e ujit nga rrjedhjet gjatë riparimeve në linjat e sistemit të furnizimit me ujë janë humbje reale për shkak të rrjedhjeve gjatë riparimeve që kryhen në linjat e tubacioneve të sistemit të furnizimit me ujë. Kjo sasi varet nga gjatësia e kohës së riparimit, presioni i ujit, si dhe diametri i tubacionit ku kryhet ky riparim. Nga eksperienca rezulton se gjatë riparimeve që kryhen në linjat e sistemit të furnizimit me ujë:  </w:t>
      </w:r>
    </w:p>
    <w:p w:rsidR="005C0B0B" w:rsidRPr="00E338CE" w:rsidRDefault="005C0B0B" w:rsidP="005C0B0B">
      <w:pPr>
        <w:pStyle w:val="Paragrafi"/>
        <w:rPr>
          <w:sz w:val="21"/>
          <w:szCs w:val="21"/>
          <w:lang w:val="sq-AL"/>
        </w:rPr>
      </w:pPr>
      <w:r w:rsidRPr="00E338CE">
        <w:rPr>
          <w:sz w:val="21"/>
          <w:szCs w:val="21"/>
          <w:lang w:val="sq-AL"/>
        </w:rPr>
        <w:t>- Për tuba me presion &lt;10 bar dhe diametër d&lt;200 mm</w:t>
      </w:r>
      <w:r>
        <w:rPr>
          <w:sz w:val="21"/>
          <w:szCs w:val="21"/>
          <w:lang w:val="sq-AL"/>
        </w:rPr>
        <w:t>,</w:t>
      </w:r>
      <w:r w:rsidRPr="00E338CE">
        <w:rPr>
          <w:sz w:val="21"/>
          <w:szCs w:val="21"/>
          <w:lang w:val="sq-AL"/>
        </w:rPr>
        <w:t xml:space="preserve"> këto humbje shkojnë deri në 40 m</w:t>
      </w:r>
      <w:r w:rsidRPr="00E338CE">
        <w:rPr>
          <w:sz w:val="21"/>
          <w:szCs w:val="21"/>
          <w:vertAlign w:val="superscript"/>
          <w:lang w:val="sq-AL"/>
        </w:rPr>
        <w:t>3</w:t>
      </w:r>
      <w:r w:rsidRPr="00E338CE">
        <w:rPr>
          <w:sz w:val="21"/>
          <w:szCs w:val="21"/>
          <w:lang w:val="sq-AL"/>
        </w:rPr>
        <w:t>/orë;</w:t>
      </w:r>
    </w:p>
    <w:p w:rsidR="005C0B0B" w:rsidRPr="00E338CE" w:rsidRDefault="005C0B0B" w:rsidP="005C0B0B">
      <w:pPr>
        <w:pStyle w:val="Paragrafi"/>
        <w:rPr>
          <w:sz w:val="21"/>
          <w:szCs w:val="21"/>
          <w:lang w:val="sq-AL"/>
        </w:rPr>
      </w:pPr>
      <w:r w:rsidRPr="00E338CE">
        <w:rPr>
          <w:sz w:val="21"/>
          <w:szCs w:val="21"/>
          <w:lang w:val="sq-AL"/>
        </w:rPr>
        <w:t>- Për tuba me presion &lt;10 bar dhe diametër 200&lt;d&lt;400 mm</w:t>
      </w:r>
      <w:r>
        <w:rPr>
          <w:sz w:val="21"/>
          <w:szCs w:val="21"/>
          <w:lang w:val="sq-AL"/>
        </w:rPr>
        <w:t>,</w:t>
      </w:r>
      <w:r w:rsidRPr="00E338CE">
        <w:rPr>
          <w:sz w:val="21"/>
          <w:szCs w:val="21"/>
          <w:lang w:val="sq-AL"/>
        </w:rPr>
        <w:t xml:space="preserve"> këto humbje shkojnë deri në 400 m</w:t>
      </w:r>
      <w:r w:rsidRPr="00E338CE">
        <w:rPr>
          <w:sz w:val="21"/>
          <w:szCs w:val="21"/>
          <w:vertAlign w:val="superscript"/>
          <w:lang w:val="sq-AL"/>
        </w:rPr>
        <w:t>3</w:t>
      </w:r>
      <w:r w:rsidRPr="00E338CE">
        <w:rPr>
          <w:sz w:val="21"/>
          <w:szCs w:val="21"/>
          <w:lang w:val="sq-AL"/>
        </w:rPr>
        <w:t>/orë;</w:t>
      </w:r>
    </w:p>
    <w:p w:rsidR="005C0B0B" w:rsidRPr="00E338CE" w:rsidRDefault="005C0B0B" w:rsidP="005C0B0B">
      <w:pPr>
        <w:pStyle w:val="Paragrafi"/>
        <w:rPr>
          <w:sz w:val="21"/>
          <w:szCs w:val="21"/>
          <w:lang w:val="sq-AL"/>
        </w:rPr>
      </w:pPr>
      <w:r w:rsidRPr="00E338CE">
        <w:rPr>
          <w:sz w:val="21"/>
          <w:szCs w:val="21"/>
          <w:lang w:val="sq-AL"/>
        </w:rPr>
        <w:t>- Për tuba me presion &lt;10 bar dhe diametër 400&lt;d&lt;600 mm</w:t>
      </w:r>
      <w:r>
        <w:rPr>
          <w:sz w:val="21"/>
          <w:szCs w:val="21"/>
          <w:lang w:val="sq-AL"/>
        </w:rPr>
        <w:t>,</w:t>
      </w:r>
      <w:r w:rsidRPr="00E338CE">
        <w:rPr>
          <w:sz w:val="21"/>
          <w:szCs w:val="21"/>
          <w:lang w:val="sq-AL"/>
        </w:rPr>
        <w:t xml:space="preserve"> këto humbje shkojnë deri në 2000 m</w:t>
      </w:r>
      <w:r w:rsidRPr="00E338CE">
        <w:rPr>
          <w:sz w:val="21"/>
          <w:szCs w:val="21"/>
          <w:vertAlign w:val="superscript"/>
          <w:lang w:val="sq-AL"/>
        </w:rPr>
        <w:t>3</w:t>
      </w:r>
      <w:r w:rsidRPr="00E338CE">
        <w:rPr>
          <w:sz w:val="21"/>
          <w:szCs w:val="21"/>
          <w:lang w:val="sq-AL"/>
        </w:rPr>
        <w:t>/orë.</w:t>
      </w:r>
    </w:p>
    <w:p w:rsidR="005C0B0B" w:rsidRPr="00E338CE" w:rsidRDefault="0049108B" w:rsidP="005C0B0B">
      <w:pPr>
        <w:pStyle w:val="Paragrafi"/>
        <w:rPr>
          <w:sz w:val="21"/>
          <w:szCs w:val="21"/>
          <w:lang w:val="sq-AL"/>
        </w:rPr>
      </w:pPr>
      <w:r>
        <w:rPr>
          <w:noProof/>
          <w:sz w:val="21"/>
          <w:szCs w:val="21"/>
        </w:rPr>
        <w:drawing>
          <wp:anchor distT="0" distB="0" distL="114300" distR="114300" simplePos="0" relativeHeight="251657728" behindDoc="1" locked="0" layoutInCell="1" allowOverlap="1">
            <wp:simplePos x="0" y="0"/>
            <wp:positionH relativeFrom="column">
              <wp:posOffset>108585</wp:posOffset>
            </wp:positionH>
            <wp:positionV relativeFrom="paragraph">
              <wp:posOffset>223520</wp:posOffset>
            </wp:positionV>
            <wp:extent cx="5598795" cy="4518025"/>
            <wp:effectExtent l="0" t="0" r="1905" b="0"/>
            <wp:wrapTight wrapText="bothSides">
              <wp:wrapPolygon edited="0">
                <wp:start x="0" y="0"/>
                <wp:lineTo x="0" y="21494"/>
                <wp:lineTo x="21534" y="21494"/>
                <wp:lineTo x="21534" y="0"/>
                <wp:lineTo x="0" y="0"/>
              </wp:wrapPolygon>
            </wp:wrapTight>
            <wp:docPr id="5" name="Picture 1" descr="C:\Users\HP\AppData\Local\Microsoft\Windows\Temporary Internet Files\Content.Word\arkitektura-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Temporary Internet Files\Content.Word\arkitektura-Mod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98795" cy="4518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C0B0B" w:rsidRPr="00E338CE">
        <w:rPr>
          <w:sz w:val="21"/>
          <w:szCs w:val="21"/>
          <w:lang w:val="sq-AL"/>
        </w:rPr>
        <w:t>D. Skema principale e sistemit</w:t>
      </w:r>
    </w:p>
    <w:p w:rsidR="005C0B0B" w:rsidRPr="00E338CE" w:rsidRDefault="005C0B0B" w:rsidP="005C0B0B">
      <w:pPr>
        <w:pStyle w:val="Paragrafi"/>
        <w:rPr>
          <w:sz w:val="21"/>
          <w:szCs w:val="21"/>
          <w:lang w:val="sq-AL"/>
        </w:rPr>
        <w:sectPr w:rsidR="005C0B0B" w:rsidRPr="00E338CE" w:rsidSect="00D32E3B">
          <w:headerReference w:type="even" r:id="rId8"/>
          <w:footerReference w:type="even" r:id="rId9"/>
          <w:footerReference w:type="default" r:id="rId10"/>
          <w:pgSz w:w="11907" w:h="16840" w:code="9"/>
          <w:pgMar w:top="1418" w:right="1418" w:bottom="1418" w:left="1418" w:header="432" w:footer="432" w:gutter="0"/>
          <w:pgNumType w:start="9259"/>
          <w:cols w:space="720"/>
          <w:docGrid w:linePitch="360"/>
        </w:sectPr>
      </w:pPr>
    </w:p>
    <w:p w:rsidR="005C0B0B" w:rsidRPr="00E338CE" w:rsidRDefault="005C0B0B" w:rsidP="005C0B0B">
      <w:pPr>
        <w:pStyle w:val="Paragrafi"/>
        <w:rPr>
          <w:sz w:val="16"/>
          <w:szCs w:val="16"/>
          <w:lang w:val="sq-AL"/>
        </w:rPr>
      </w:pPr>
      <w:r w:rsidRPr="00E338CE">
        <w:rPr>
          <w:sz w:val="16"/>
          <w:szCs w:val="16"/>
          <w:lang w:val="sq-AL"/>
        </w:rPr>
        <w:t>E. Modeli tip i tabelës së “Bilancit të ujit” që duhet të plotësohet nga operatori</w:t>
      </w:r>
    </w:p>
    <w:p w:rsidR="005C0B0B" w:rsidRPr="00E338CE" w:rsidRDefault="005C0B0B" w:rsidP="005C0B0B">
      <w:pPr>
        <w:pStyle w:val="Paragrafi"/>
        <w:rPr>
          <w:sz w:val="16"/>
          <w:szCs w:val="16"/>
          <w:lang w:val="sq-AL"/>
        </w:rPr>
      </w:pPr>
      <w:r w:rsidRPr="00E338CE">
        <w:rPr>
          <w:sz w:val="16"/>
          <w:szCs w:val="16"/>
          <w:lang w:val="sq-AL"/>
        </w:rPr>
        <w:t>Tabela 2:</w:t>
      </w:r>
    </w:p>
    <w:p w:rsidR="005C0B0B" w:rsidRPr="00E338CE" w:rsidRDefault="005C0B0B" w:rsidP="005C0B0B">
      <w:pPr>
        <w:pStyle w:val="Paragrafi"/>
        <w:rPr>
          <w:sz w:val="16"/>
          <w:szCs w:val="16"/>
          <w:lang w:val="sq-AL"/>
        </w:rPr>
      </w:pPr>
      <w:r w:rsidRPr="00E338CE">
        <w:rPr>
          <w:sz w:val="16"/>
          <w:szCs w:val="16"/>
          <w:lang w:val="sq-AL"/>
        </w:rPr>
        <w:t>Emri i shoqërisë ujësjellës-kanalizime ________________________________</w:t>
      </w:r>
    </w:p>
    <w:tbl>
      <w:tblPr>
        <w:tblW w:w="5000" w:type="pct"/>
        <w:tblLayout w:type="fixed"/>
        <w:tblLook w:val="04A0" w:firstRow="1" w:lastRow="0" w:firstColumn="1" w:lastColumn="0" w:noHBand="0" w:noVBand="1"/>
      </w:tblPr>
      <w:tblGrid>
        <w:gridCol w:w="806"/>
        <w:gridCol w:w="7431"/>
        <w:gridCol w:w="1652"/>
        <w:gridCol w:w="850"/>
        <w:gridCol w:w="850"/>
        <w:gridCol w:w="546"/>
        <w:gridCol w:w="2085"/>
      </w:tblGrid>
      <w:tr w:rsidR="005C0B0B" w:rsidRPr="00E338CE" w:rsidTr="00844277">
        <w:trPr>
          <w:trHeight w:val="315"/>
        </w:trPr>
        <w:tc>
          <w:tcPr>
            <w:tcW w:w="2896" w:type="pct"/>
            <w:gridSpan w:val="2"/>
            <w:shd w:val="clear" w:color="auto" w:fill="auto"/>
            <w:noWrap/>
            <w:vAlign w:val="bottom"/>
            <w:hideMark/>
          </w:tcPr>
          <w:p w:rsidR="005C0B0B" w:rsidRPr="00E338CE" w:rsidRDefault="005C0B0B" w:rsidP="00844277">
            <w:pPr>
              <w:pStyle w:val="Tabele"/>
              <w:rPr>
                <w:sz w:val="16"/>
                <w:szCs w:val="16"/>
                <w:lang w:val="sq-AL"/>
              </w:rPr>
            </w:pPr>
          </w:p>
          <w:p w:rsidR="005C0B0B" w:rsidRPr="00E338CE" w:rsidRDefault="005C0B0B" w:rsidP="00844277">
            <w:pPr>
              <w:pStyle w:val="Tabele"/>
              <w:rPr>
                <w:sz w:val="16"/>
                <w:szCs w:val="16"/>
                <w:lang w:val="sq-AL"/>
              </w:rPr>
            </w:pPr>
            <w:r w:rsidRPr="00E338CE">
              <w:rPr>
                <w:sz w:val="16"/>
                <w:szCs w:val="16"/>
                <w:lang w:val="sq-AL"/>
              </w:rPr>
              <w:t xml:space="preserve">Nr. i popullsisë në zonën e shërbimit: </w:t>
            </w:r>
          </w:p>
        </w:tc>
        <w:tc>
          <w:tcPr>
            <w:tcW w:w="581" w:type="pct"/>
            <w:shd w:val="clear" w:color="auto" w:fill="auto"/>
            <w:noWrap/>
            <w:vAlign w:val="bottom"/>
            <w:hideMark/>
          </w:tcPr>
          <w:p w:rsidR="005C0B0B" w:rsidRPr="00E338CE" w:rsidRDefault="005C0B0B" w:rsidP="00844277">
            <w:pPr>
              <w:pStyle w:val="Tabele"/>
              <w:rPr>
                <w:sz w:val="16"/>
                <w:szCs w:val="16"/>
                <w:lang w:val="sq-AL"/>
              </w:rPr>
            </w:pPr>
          </w:p>
        </w:tc>
        <w:tc>
          <w:tcPr>
            <w:tcW w:w="299" w:type="pct"/>
            <w:shd w:val="clear" w:color="auto" w:fill="auto"/>
            <w:noWrap/>
            <w:vAlign w:val="bottom"/>
            <w:hideMark/>
          </w:tcPr>
          <w:p w:rsidR="005C0B0B" w:rsidRPr="00E338CE" w:rsidRDefault="005C0B0B" w:rsidP="00844277">
            <w:pPr>
              <w:pStyle w:val="Tabele"/>
              <w:rPr>
                <w:sz w:val="16"/>
                <w:szCs w:val="16"/>
                <w:lang w:val="sq-AL"/>
              </w:rPr>
            </w:pPr>
          </w:p>
        </w:tc>
        <w:tc>
          <w:tcPr>
            <w:tcW w:w="491" w:type="pct"/>
            <w:gridSpan w:val="2"/>
            <w:shd w:val="clear" w:color="auto" w:fill="auto"/>
            <w:noWrap/>
            <w:vAlign w:val="center"/>
            <w:hideMark/>
          </w:tcPr>
          <w:p w:rsidR="005C0B0B" w:rsidRPr="00E338CE" w:rsidRDefault="005C0B0B" w:rsidP="00844277">
            <w:pPr>
              <w:pStyle w:val="Tabele"/>
              <w:rPr>
                <w:sz w:val="16"/>
                <w:szCs w:val="16"/>
                <w:lang w:val="sq-AL"/>
              </w:rPr>
            </w:pPr>
          </w:p>
        </w:tc>
        <w:tc>
          <w:tcPr>
            <w:tcW w:w="733" w:type="pct"/>
            <w:shd w:val="clear" w:color="auto" w:fill="auto"/>
            <w:noWrap/>
            <w:vAlign w:val="bottom"/>
            <w:hideMark/>
          </w:tcPr>
          <w:p w:rsidR="005C0B0B" w:rsidRPr="00E338CE" w:rsidRDefault="005C0B0B" w:rsidP="00844277">
            <w:pPr>
              <w:pStyle w:val="Tabele"/>
              <w:rPr>
                <w:sz w:val="16"/>
                <w:szCs w:val="16"/>
                <w:lang w:val="sq-AL"/>
              </w:rPr>
            </w:pPr>
          </w:p>
        </w:tc>
      </w:tr>
      <w:tr w:rsidR="005C0B0B" w:rsidRPr="00E338CE" w:rsidTr="00844277">
        <w:trPr>
          <w:trHeight w:val="315"/>
        </w:trPr>
        <w:tc>
          <w:tcPr>
            <w:tcW w:w="2896" w:type="pct"/>
            <w:gridSpan w:val="2"/>
            <w:shd w:val="clear" w:color="auto" w:fill="auto"/>
            <w:noWrap/>
            <w:vAlign w:val="bottom"/>
            <w:hideMark/>
          </w:tcPr>
          <w:p w:rsidR="005C0B0B" w:rsidRPr="00E338CE" w:rsidRDefault="005C0B0B" w:rsidP="00844277">
            <w:pPr>
              <w:pStyle w:val="Tabele"/>
              <w:rPr>
                <w:sz w:val="16"/>
                <w:szCs w:val="16"/>
                <w:lang w:val="sq-AL"/>
              </w:rPr>
            </w:pPr>
            <w:r w:rsidRPr="00E338CE">
              <w:rPr>
                <w:sz w:val="16"/>
                <w:szCs w:val="16"/>
                <w:lang w:val="sq-AL"/>
              </w:rPr>
              <w:t xml:space="preserve">Nr. i popullsisë së shërbyer me furnizim me ujë: </w:t>
            </w:r>
          </w:p>
        </w:tc>
        <w:tc>
          <w:tcPr>
            <w:tcW w:w="581" w:type="pct"/>
            <w:shd w:val="clear" w:color="auto" w:fill="auto"/>
            <w:noWrap/>
            <w:vAlign w:val="bottom"/>
            <w:hideMark/>
          </w:tcPr>
          <w:p w:rsidR="005C0B0B" w:rsidRPr="00E338CE" w:rsidRDefault="005C0B0B" w:rsidP="00844277">
            <w:pPr>
              <w:pStyle w:val="Tabele"/>
              <w:rPr>
                <w:sz w:val="16"/>
                <w:szCs w:val="16"/>
                <w:lang w:val="sq-AL"/>
              </w:rPr>
            </w:pPr>
          </w:p>
        </w:tc>
        <w:tc>
          <w:tcPr>
            <w:tcW w:w="299" w:type="pct"/>
            <w:shd w:val="clear" w:color="auto" w:fill="auto"/>
            <w:noWrap/>
            <w:vAlign w:val="bottom"/>
            <w:hideMark/>
          </w:tcPr>
          <w:p w:rsidR="005C0B0B" w:rsidRPr="00E338CE" w:rsidRDefault="005C0B0B" w:rsidP="00844277">
            <w:pPr>
              <w:pStyle w:val="Tabele"/>
              <w:rPr>
                <w:sz w:val="16"/>
                <w:szCs w:val="16"/>
                <w:lang w:val="sq-AL"/>
              </w:rPr>
            </w:pPr>
          </w:p>
        </w:tc>
        <w:tc>
          <w:tcPr>
            <w:tcW w:w="1224" w:type="pct"/>
            <w:gridSpan w:val="3"/>
            <w:shd w:val="clear" w:color="auto" w:fill="auto"/>
            <w:noWrap/>
            <w:vAlign w:val="bottom"/>
            <w:hideMark/>
          </w:tcPr>
          <w:p w:rsidR="005C0B0B" w:rsidRPr="00E338CE" w:rsidRDefault="005C0B0B" w:rsidP="00844277">
            <w:pPr>
              <w:pStyle w:val="Tabele"/>
              <w:rPr>
                <w:sz w:val="16"/>
                <w:szCs w:val="16"/>
                <w:lang w:val="sq-AL"/>
              </w:rPr>
            </w:pPr>
            <w:r w:rsidRPr="00E338CE">
              <w:rPr>
                <w:sz w:val="16"/>
                <w:szCs w:val="16"/>
                <w:lang w:val="sq-AL"/>
              </w:rPr>
              <w:t>Muaji ______________Viti: _________</w:t>
            </w:r>
          </w:p>
        </w:tc>
      </w:tr>
      <w:tr w:rsidR="005C0B0B" w:rsidRPr="00E338CE" w:rsidTr="00844277">
        <w:trPr>
          <w:trHeight w:val="70"/>
        </w:trPr>
        <w:tc>
          <w:tcPr>
            <w:tcW w:w="283" w:type="pct"/>
            <w:tcBorders>
              <w:bottom w:val="single" w:sz="8" w:space="0" w:color="auto"/>
            </w:tcBorders>
            <w:shd w:val="clear" w:color="auto" w:fill="auto"/>
            <w:noWrap/>
            <w:vAlign w:val="bottom"/>
            <w:hideMark/>
          </w:tcPr>
          <w:p w:rsidR="005C0B0B" w:rsidRPr="00E338CE" w:rsidRDefault="005C0B0B" w:rsidP="00844277">
            <w:pPr>
              <w:pStyle w:val="Tabele"/>
              <w:rPr>
                <w:sz w:val="16"/>
                <w:szCs w:val="16"/>
                <w:lang w:val="sq-AL"/>
              </w:rPr>
            </w:pPr>
          </w:p>
        </w:tc>
        <w:tc>
          <w:tcPr>
            <w:tcW w:w="2613" w:type="pct"/>
            <w:tcBorders>
              <w:bottom w:val="single" w:sz="8" w:space="0" w:color="auto"/>
            </w:tcBorders>
            <w:shd w:val="clear" w:color="auto" w:fill="auto"/>
            <w:noWrap/>
            <w:vAlign w:val="bottom"/>
            <w:hideMark/>
          </w:tcPr>
          <w:p w:rsidR="005C0B0B" w:rsidRPr="00E338CE" w:rsidRDefault="005C0B0B" w:rsidP="00844277">
            <w:pPr>
              <w:pStyle w:val="Tabele"/>
              <w:rPr>
                <w:sz w:val="16"/>
                <w:szCs w:val="16"/>
                <w:lang w:val="sq-AL"/>
              </w:rPr>
            </w:pPr>
          </w:p>
        </w:tc>
        <w:tc>
          <w:tcPr>
            <w:tcW w:w="581" w:type="pct"/>
            <w:tcBorders>
              <w:bottom w:val="single" w:sz="8" w:space="0" w:color="auto"/>
            </w:tcBorders>
            <w:shd w:val="clear" w:color="auto" w:fill="auto"/>
            <w:noWrap/>
            <w:vAlign w:val="bottom"/>
            <w:hideMark/>
          </w:tcPr>
          <w:p w:rsidR="005C0B0B" w:rsidRPr="00E338CE" w:rsidRDefault="005C0B0B" w:rsidP="00844277">
            <w:pPr>
              <w:pStyle w:val="Tabele"/>
              <w:rPr>
                <w:sz w:val="16"/>
                <w:szCs w:val="16"/>
                <w:lang w:val="sq-AL"/>
              </w:rPr>
            </w:pPr>
          </w:p>
        </w:tc>
        <w:tc>
          <w:tcPr>
            <w:tcW w:w="299" w:type="pct"/>
            <w:tcBorders>
              <w:bottom w:val="single" w:sz="8" w:space="0" w:color="auto"/>
            </w:tcBorders>
            <w:shd w:val="clear" w:color="auto" w:fill="auto"/>
            <w:noWrap/>
            <w:vAlign w:val="bottom"/>
            <w:hideMark/>
          </w:tcPr>
          <w:p w:rsidR="005C0B0B" w:rsidRPr="00E338CE" w:rsidRDefault="005C0B0B" w:rsidP="00844277">
            <w:pPr>
              <w:pStyle w:val="Tabele"/>
              <w:rPr>
                <w:sz w:val="16"/>
                <w:szCs w:val="16"/>
                <w:lang w:val="sq-AL"/>
              </w:rPr>
            </w:pPr>
          </w:p>
        </w:tc>
        <w:tc>
          <w:tcPr>
            <w:tcW w:w="299" w:type="pct"/>
            <w:tcBorders>
              <w:bottom w:val="single" w:sz="8" w:space="0" w:color="auto"/>
            </w:tcBorders>
            <w:shd w:val="clear" w:color="auto" w:fill="auto"/>
            <w:noWrap/>
            <w:vAlign w:val="center"/>
            <w:hideMark/>
          </w:tcPr>
          <w:p w:rsidR="005C0B0B" w:rsidRPr="00E338CE" w:rsidRDefault="005C0B0B" w:rsidP="00844277">
            <w:pPr>
              <w:pStyle w:val="Tabele"/>
              <w:rPr>
                <w:sz w:val="16"/>
                <w:szCs w:val="16"/>
                <w:lang w:val="sq-AL"/>
              </w:rPr>
            </w:pPr>
          </w:p>
        </w:tc>
        <w:tc>
          <w:tcPr>
            <w:tcW w:w="925" w:type="pct"/>
            <w:gridSpan w:val="2"/>
            <w:tcBorders>
              <w:bottom w:val="single" w:sz="8" w:space="0" w:color="auto"/>
            </w:tcBorders>
            <w:shd w:val="clear" w:color="auto" w:fill="auto"/>
            <w:noWrap/>
            <w:vAlign w:val="bottom"/>
            <w:hideMark/>
          </w:tcPr>
          <w:p w:rsidR="005C0B0B" w:rsidRPr="00E338CE" w:rsidRDefault="005C0B0B" w:rsidP="00844277">
            <w:pPr>
              <w:pStyle w:val="Tabele"/>
              <w:rPr>
                <w:sz w:val="16"/>
                <w:szCs w:val="16"/>
                <w:lang w:val="sq-AL"/>
              </w:rPr>
            </w:pPr>
          </w:p>
        </w:tc>
      </w:tr>
      <w:tr w:rsidR="005C0B0B" w:rsidRPr="00E338CE" w:rsidTr="00844277">
        <w:trPr>
          <w:trHeight w:val="315"/>
        </w:trPr>
        <w:tc>
          <w:tcPr>
            <w:tcW w:w="283" w:type="pct"/>
            <w:vMerge w:val="restart"/>
            <w:tcBorders>
              <w:top w:val="single" w:sz="8" w:space="0" w:color="auto"/>
              <w:left w:val="single" w:sz="8" w:space="0" w:color="auto"/>
              <w:bottom w:val="single" w:sz="8" w:space="0" w:color="000000"/>
              <w:right w:val="single" w:sz="4" w:space="0" w:color="auto"/>
            </w:tcBorders>
            <w:shd w:val="clear" w:color="auto" w:fill="C6D9F1"/>
            <w:noWrap/>
            <w:vAlign w:val="center"/>
            <w:hideMark/>
          </w:tcPr>
          <w:p w:rsidR="005C0B0B" w:rsidRPr="00E338CE" w:rsidRDefault="005C0B0B" w:rsidP="00844277">
            <w:pPr>
              <w:pStyle w:val="Tabele"/>
              <w:jc w:val="center"/>
              <w:rPr>
                <w:b/>
                <w:sz w:val="16"/>
                <w:szCs w:val="16"/>
                <w:lang w:val="sq-AL"/>
              </w:rPr>
            </w:pPr>
            <w:r w:rsidRPr="00E338CE">
              <w:rPr>
                <w:b/>
                <w:sz w:val="16"/>
                <w:szCs w:val="16"/>
                <w:lang w:val="sq-AL"/>
              </w:rPr>
              <w:t>Nr.</w:t>
            </w:r>
          </w:p>
        </w:tc>
        <w:tc>
          <w:tcPr>
            <w:tcW w:w="3194" w:type="pct"/>
            <w:gridSpan w:val="2"/>
            <w:vMerge w:val="restart"/>
            <w:tcBorders>
              <w:top w:val="single" w:sz="8" w:space="0" w:color="auto"/>
              <w:left w:val="single" w:sz="4" w:space="0" w:color="auto"/>
              <w:bottom w:val="single" w:sz="8" w:space="0" w:color="000000"/>
              <w:right w:val="single" w:sz="4" w:space="0" w:color="000000"/>
            </w:tcBorders>
            <w:shd w:val="clear" w:color="auto" w:fill="C6D9F1"/>
            <w:noWrap/>
            <w:vAlign w:val="center"/>
            <w:hideMark/>
          </w:tcPr>
          <w:p w:rsidR="005C0B0B" w:rsidRPr="00E338CE" w:rsidRDefault="005C0B0B" w:rsidP="00844277">
            <w:pPr>
              <w:pStyle w:val="Tabele"/>
              <w:jc w:val="center"/>
              <w:rPr>
                <w:b/>
                <w:sz w:val="16"/>
                <w:szCs w:val="16"/>
                <w:lang w:val="sq-AL"/>
              </w:rPr>
            </w:pPr>
            <w:r w:rsidRPr="00E338CE">
              <w:rPr>
                <w:b/>
                <w:sz w:val="16"/>
                <w:szCs w:val="16"/>
                <w:lang w:val="sq-AL"/>
              </w:rPr>
              <w:t>Zëri</w:t>
            </w:r>
          </w:p>
        </w:tc>
        <w:tc>
          <w:tcPr>
            <w:tcW w:w="299" w:type="pct"/>
            <w:vMerge w:val="restart"/>
            <w:tcBorders>
              <w:top w:val="single" w:sz="8" w:space="0" w:color="auto"/>
              <w:left w:val="single" w:sz="4" w:space="0" w:color="auto"/>
              <w:bottom w:val="single" w:sz="8" w:space="0" w:color="000000"/>
              <w:right w:val="single" w:sz="4" w:space="0" w:color="auto"/>
            </w:tcBorders>
            <w:shd w:val="clear" w:color="auto" w:fill="C6D9F1"/>
            <w:noWrap/>
            <w:vAlign w:val="center"/>
            <w:hideMark/>
          </w:tcPr>
          <w:p w:rsidR="005C0B0B" w:rsidRPr="00E338CE" w:rsidRDefault="005C0B0B" w:rsidP="00844277">
            <w:pPr>
              <w:pStyle w:val="Tabele"/>
              <w:jc w:val="center"/>
              <w:rPr>
                <w:b/>
                <w:sz w:val="16"/>
                <w:szCs w:val="16"/>
                <w:lang w:val="sq-AL"/>
              </w:rPr>
            </w:pPr>
            <w:r w:rsidRPr="00E338CE">
              <w:rPr>
                <w:b/>
                <w:sz w:val="16"/>
                <w:szCs w:val="16"/>
                <w:lang w:val="sq-AL"/>
              </w:rPr>
              <w:t>Njësia</w:t>
            </w:r>
          </w:p>
        </w:tc>
        <w:tc>
          <w:tcPr>
            <w:tcW w:w="299" w:type="pct"/>
            <w:vMerge w:val="restart"/>
            <w:tcBorders>
              <w:top w:val="single" w:sz="8" w:space="0" w:color="auto"/>
              <w:left w:val="single" w:sz="4" w:space="0" w:color="auto"/>
              <w:bottom w:val="single" w:sz="8" w:space="0" w:color="000000"/>
              <w:right w:val="single" w:sz="4" w:space="0" w:color="auto"/>
            </w:tcBorders>
            <w:shd w:val="clear" w:color="auto" w:fill="C6D9F1"/>
            <w:noWrap/>
            <w:vAlign w:val="center"/>
            <w:hideMark/>
          </w:tcPr>
          <w:p w:rsidR="005C0B0B" w:rsidRPr="00E338CE" w:rsidRDefault="005C0B0B" w:rsidP="00844277">
            <w:pPr>
              <w:pStyle w:val="Tabele"/>
              <w:jc w:val="center"/>
              <w:rPr>
                <w:b/>
                <w:sz w:val="16"/>
                <w:szCs w:val="16"/>
                <w:lang w:val="sq-AL"/>
              </w:rPr>
            </w:pPr>
            <w:r w:rsidRPr="00E338CE">
              <w:rPr>
                <w:b/>
                <w:sz w:val="16"/>
                <w:szCs w:val="16"/>
                <w:lang w:val="sq-AL"/>
              </w:rPr>
              <w:t>Sasia</w:t>
            </w:r>
          </w:p>
        </w:tc>
        <w:tc>
          <w:tcPr>
            <w:tcW w:w="925" w:type="pct"/>
            <w:gridSpan w:val="2"/>
            <w:tcBorders>
              <w:top w:val="single" w:sz="8" w:space="0" w:color="auto"/>
              <w:left w:val="nil"/>
              <w:bottom w:val="single" w:sz="4" w:space="0" w:color="auto"/>
              <w:right w:val="single" w:sz="8" w:space="0" w:color="auto"/>
            </w:tcBorders>
            <w:shd w:val="clear" w:color="auto" w:fill="C6D9F1"/>
            <w:noWrap/>
            <w:vAlign w:val="center"/>
            <w:hideMark/>
          </w:tcPr>
          <w:p w:rsidR="005C0B0B" w:rsidRPr="00E338CE" w:rsidRDefault="005C0B0B" w:rsidP="00844277">
            <w:pPr>
              <w:pStyle w:val="Tabele"/>
              <w:jc w:val="center"/>
              <w:rPr>
                <w:b/>
                <w:sz w:val="16"/>
                <w:szCs w:val="16"/>
                <w:lang w:val="sq-AL"/>
              </w:rPr>
            </w:pPr>
            <w:r w:rsidRPr="00E338CE">
              <w:rPr>
                <w:b/>
                <w:sz w:val="16"/>
                <w:szCs w:val="16"/>
                <w:lang w:val="sq-AL"/>
              </w:rPr>
              <w:t>Vërejtje/komente</w:t>
            </w:r>
          </w:p>
        </w:tc>
      </w:tr>
      <w:tr w:rsidR="005C0B0B" w:rsidRPr="00E338CE" w:rsidTr="00844277">
        <w:trPr>
          <w:trHeight w:val="43"/>
        </w:trPr>
        <w:tc>
          <w:tcPr>
            <w:tcW w:w="283" w:type="pct"/>
            <w:vMerge/>
            <w:tcBorders>
              <w:top w:val="single" w:sz="8" w:space="0" w:color="auto"/>
              <w:left w:val="single" w:sz="8" w:space="0" w:color="auto"/>
              <w:bottom w:val="single" w:sz="8" w:space="0" w:color="000000"/>
              <w:right w:val="single" w:sz="4" w:space="0" w:color="auto"/>
            </w:tcBorders>
            <w:shd w:val="clear" w:color="auto" w:fill="C6D9F1"/>
            <w:vAlign w:val="center"/>
            <w:hideMark/>
          </w:tcPr>
          <w:p w:rsidR="005C0B0B" w:rsidRPr="00E338CE" w:rsidRDefault="005C0B0B" w:rsidP="00844277">
            <w:pPr>
              <w:pStyle w:val="Tabele"/>
              <w:rPr>
                <w:sz w:val="16"/>
                <w:szCs w:val="16"/>
                <w:lang w:val="sq-AL"/>
              </w:rPr>
            </w:pPr>
          </w:p>
        </w:tc>
        <w:tc>
          <w:tcPr>
            <w:tcW w:w="3194" w:type="pct"/>
            <w:gridSpan w:val="2"/>
            <w:vMerge/>
            <w:tcBorders>
              <w:top w:val="single" w:sz="8" w:space="0" w:color="auto"/>
              <w:left w:val="single" w:sz="4" w:space="0" w:color="auto"/>
              <w:bottom w:val="single" w:sz="8" w:space="0" w:color="000000"/>
              <w:right w:val="single" w:sz="4" w:space="0" w:color="000000"/>
            </w:tcBorders>
            <w:shd w:val="clear" w:color="auto" w:fill="C6D9F1"/>
            <w:vAlign w:val="center"/>
            <w:hideMark/>
          </w:tcPr>
          <w:p w:rsidR="005C0B0B" w:rsidRPr="00E338CE" w:rsidRDefault="005C0B0B" w:rsidP="00844277">
            <w:pPr>
              <w:pStyle w:val="Tabele"/>
              <w:rPr>
                <w:sz w:val="16"/>
                <w:szCs w:val="16"/>
                <w:lang w:val="sq-AL"/>
              </w:rPr>
            </w:pPr>
          </w:p>
        </w:tc>
        <w:tc>
          <w:tcPr>
            <w:tcW w:w="299" w:type="pct"/>
            <w:vMerge/>
            <w:tcBorders>
              <w:top w:val="single" w:sz="8" w:space="0" w:color="auto"/>
              <w:left w:val="single" w:sz="4" w:space="0" w:color="auto"/>
              <w:bottom w:val="single" w:sz="8" w:space="0" w:color="000000"/>
              <w:right w:val="single" w:sz="4" w:space="0" w:color="auto"/>
            </w:tcBorders>
            <w:shd w:val="clear" w:color="auto" w:fill="C6D9F1"/>
            <w:vAlign w:val="center"/>
            <w:hideMark/>
          </w:tcPr>
          <w:p w:rsidR="005C0B0B" w:rsidRPr="00E338CE" w:rsidRDefault="005C0B0B" w:rsidP="00844277">
            <w:pPr>
              <w:pStyle w:val="Tabele"/>
              <w:rPr>
                <w:sz w:val="16"/>
                <w:szCs w:val="16"/>
                <w:lang w:val="sq-AL"/>
              </w:rPr>
            </w:pPr>
          </w:p>
        </w:tc>
        <w:tc>
          <w:tcPr>
            <w:tcW w:w="299" w:type="pct"/>
            <w:vMerge/>
            <w:tcBorders>
              <w:top w:val="single" w:sz="8" w:space="0" w:color="auto"/>
              <w:left w:val="single" w:sz="4" w:space="0" w:color="auto"/>
              <w:bottom w:val="single" w:sz="8" w:space="0" w:color="000000"/>
              <w:right w:val="single" w:sz="4" w:space="0" w:color="auto"/>
            </w:tcBorders>
            <w:shd w:val="clear" w:color="auto" w:fill="C6D9F1"/>
            <w:vAlign w:val="center"/>
            <w:hideMark/>
          </w:tcPr>
          <w:p w:rsidR="005C0B0B" w:rsidRPr="00E338CE" w:rsidRDefault="005C0B0B" w:rsidP="00844277">
            <w:pPr>
              <w:pStyle w:val="Tabele"/>
              <w:rPr>
                <w:sz w:val="16"/>
                <w:szCs w:val="16"/>
                <w:lang w:val="sq-AL"/>
              </w:rPr>
            </w:pPr>
          </w:p>
        </w:tc>
        <w:tc>
          <w:tcPr>
            <w:tcW w:w="925" w:type="pct"/>
            <w:gridSpan w:val="2"/>
            <w:tcBorders>
              <w:top w:val="nil"/>
              <w:left w:val="nil"/>
              <w:bottom w:val="single" w:sz="8" w:space="0" w:color="auto"/>
              <w:right w:val="single" w:sz="8" w:space="0" w:color="auto"/>
            </w:tcBorders>
            <w:shd w:val="clear" w:color="auto" w:fill="C6D9F1"/>
            <w:noWrap/>
            <w:vAlign w:val="center"/>
            <w:hideMark/>
          </w:tcPr>
          <w:p w:rsidR="005C0B0B" w:rsidRPr="00A95B8A" w:rsidRDefault="005C0B0B" w:rsidP="00844277">
            <w:pPr>
              <w:pStyle w:val="Tabele"/>
              <w:jc w:val="center"/>
              <w:rPr>
                <w:b/>
                <w:sz w:val="16"/>
                <w:szCs w:val="16"/>
                <w:lang w:val="sq-AL"/>
              </w:rPr>
            </w:pPr>
            <w:r w:rsidRPr="00A95B8A">
              <w:rPr>
                <w:b/>
                <w:sz w:val="16"/>
                <w:szCs w:val="16"/>
                <w:lang w:val="sq-AL"/>
              </w:rPr>
              <w:t>(i matur/ i vlerësuar)</w:t>
            </w:r>
          </w:p>
        </w:tc>
      </w:tr>
      <w:tr w:rsidR="005C0B0B" w:rsidRPr="00E338CE" w:rsidTr="00844277">
        <w:trPr>
          <w:trHeight w:val="43"/>
        </w:trPr>
        <w:tc>
          <w:tcPr>
            <w:tcW w:w="283" w:type="pct"/>
            <w:vMerge w:val="restart"/>
            <w:tcBorders>
              <w:top w:val="nil"/>
              <w:left w:val="single" w:sz="8" w:space="0" w:color="auto"/>
              <w:bottom w:val="single" w:sz="4" w:space="0" w:color="000000"/>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1</w:t>
            </w:r>
          </w:p>
        </w:tc>
        <w:tc>
          <w:tcPr>
            <w:tcW w:w="26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Volumi i ujit të prodhuar që futet në sistem</w:t>
            </w:r>
          </w:p>
        </w:tc>
        <w:tc>
          <w:tcPr>
            <w:tcW w:w="581" w:type="pct"/>
            <w:tcBorders>
              <w:top w:val="single" w:sz="4" w:space="0" w:color="auto"/>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jc w:val="center"/>
              <w:rPr>
                <w:sz w:val="16"/>
                <w:szCs w:val="16"/>
                <w:lang w:val="sq-AL"/>
              </w:rPr>
            </w:pPr>
            <w:r w:rsidRPr="00E338CE">
              <w:rPr>
                <w:sz w:val="16"/>
                <w:szCs w:val="16"/>
                <w:lang w:val="sq-AL"/>
              </w:rPr>
              <w:t>i matur</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283" w:type="pct"/>
            <w:vMerge/>
            <w:tcBorders>
              <w:top w:val="nil"/>
              <w:left w:val="single" w:sz="8" w:space="0" w:color="auto"/>
              <w:bottom w:val="single" w:sz="4" w:space="0" w:color="000000"/>
              <w:right w:val="single" w:sz="4" w:space="0" w:color="auto"/>
            </w:tcBorders>
            <w:vAlign w:val="center"/>
            <w:hideMark/>
          </w:tcPr>
          <w:p w:rsidR="005C0B0B" w:rsidRPr="00E338CE" w:rsidRDefault="005C0B0B" w:rsidP="00844277">
            <w:pPr>
              <w:pStyle w:val="Tabele"/>
              <w:rPr>
                <w:sz w:val="16"/>
                <w:szCs w:val="16"/>
                <w:lang w:val="sq-AL"/>
              </w:rPr>
            </w:pPr>
          </w:p>
        </w:tc>
        <w:tc>
          <w:tcPr>
            <w:tcW w:w="2613" w:type="pct"/>
            <w:vMerge/>
            <w:tcBorders>
              <w:top w:val="nil"/>
              <w:left w:val="single" w:sz="4" w:space="0" w:color="auto"/>
              <w:bottom w:val="single" w:sz="4" w:space="0" w:color="000000"/>
              <w:right w:val="single" w:sz="4" w:space="0" w:color="auto"/>
            </w:tcBorders>
            <w:vAlign w:val="center"/>
            <w:hideMark/>
          </w:tcPr>
          <w:p w:rsidR="005C0B0B" w:rsidRPr="00E338CE" w:rsidRDefault="005C0B0B" w:rsidP="00844277">
            <w:pPr>
              <w:pStyle w:val="Tabele"/>
              <w:rPr>
                <w:sz w:val="16"/>
                <w:szCs w:val="16"/>
                <w:lang w:val="sq-AL"/>
              </w:rPr>
            </w:pPr>
          </w:p>
        </w:tc>
        <w:tc>
          <w:tcPr>
            <w:tcW w:w="581"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jc w:val="center"/>
              <w:rPr>
                <w:sz w:val="16"/>
                <w:szCs w:val="16"/>
                <w:lang w:val="sq-AL"/>
              </w:rPr>
            </w:pPr>
            <w:r w:rsidRPr="00E338CE">
              <w:rPr>
                <w:sz w:val="16"/>
                <w:szCs w:val="16"/>
                <w:lang w:val="sq-AL"/>
              </w:rPr>
              <w:t>i vlerësuar</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c>
          <w:tcPr>
            <w:tcW w:w="299"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283" w:type="pct"/>
            <w:tcBorders>
              <w:top w:val="nil"/>
              <w:left w:val="single" w:sz="8" w:space="0" w:color="auto"/>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2</w:t>
            </w:r>
          </w:p>
        </w:tc>
        <w:tc>
          <w:tcPr>
            <w:tcW w:w="3194"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xml:space="preserve">Konsumi i ujit të faturuar i matur </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283" w:type="pct"/>
            <w:tcBorders>
              <w:top w:val="nil"/>
              <w:left w:val="single" w:sz="8" w:space="0" w:color="auto"/>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3</w:t>
            </w:r>
          </w:p>
        </w:tc>
        <w:tc>
          <w:tcPr>
            <w:tcW w:w="3194"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Konsum i ujit të faturuar të matur që shitet te të tretët</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263"/>
        </w:trPr>
        <w:tc>
          <w:tcPr>
            <w:tcW w:w="283" w:type="pct"/>
            <w:tcBorders>
              <w:top w:val="nil"/>
              <w:left w:val="single" w:sz="8" w:space="0" w:color="auto"/>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4</w:t>
            </w:r>
          </w:p>
        </w:tc>
        <w:tc>
          <w:tcPr>
            <w:tcW w:w="3194"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Konsum i ujit të faturuar i pamatur</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253"/>
        </w:trPr>
        <w:tc>
          <w:tcPr>
            <w:tcW w:w="283" w:type="pct"/>
            <w:vMerge w:val="restart"/>
            <w:tcBorders>
              <w:top w:val="nil"/>
              <w:left w:val="single" w:sz="8"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5</w:t>
            </w:r>
          </w:p>
        </w:tc>
        <w:tc>
          <w:tcPr>
            <w:tcW w:w="2613" w:type="pct"/>
            <w:vMerge w:val="restart"/>
            <w:tcBorders>
              <w:top w:val="nil"/>
              <w:left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Konsumi i ujit i pafaturuar për sistemet zjarrfikës, inst. të veçanta, pastrim deposh</w:t>
            </w:r>
          </w:p>
        </w:tc>
        <w:tc>
          <w:tcPr>
            <w:tcW w:w="581"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jc w:val="center"/>
              <w:rPr>
                <w:sz w:val="16"/>
                <w:szCs w:val="16"/>
                <w:lang w:val="sq-AL"/>
              </w:rPr>
            </w:pPr>
            <w:r w:rsidRPr="00E338CE">
              <w:rPr>
                <w:sz w:val="16"/>
                <w:szCs w:val="16"/>
                <w:lang w:val="sq-AL"/>
              </w:rPr>
              <w:t>i matur</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217"/>
        </w:trPr>
        <w:tc>
          <w:tcPr>
            <w:tcW w:w="283" w:type="pct"/>
            <w:vMerge/>
            <w:tcBorders>
              <w:left w:val="single" w:sz="8" w:space="0" w:color="auto"/>
              <w:right w:val="single" w:sz="4" w:space="0" w:color="auto"/>
            </w:tcBorders>
            <w:vAlign w:val="center"/>
            <w:hideMark/>
          </w:tcPr>
          <w:p w:rsidR="005C0B0B" w:rsidRPr="00E338CE" w:rsidRDefault="005C0B0B" w:rsidP="00844277">
            <w:pPr>
              <w:pStyle w:val="Tabele"/>
              <w:rPr>
                <w:sz w:val="16"/>
                <w:szCs w:val="16"/>
                <w:lang w:val="sq-AL"/>
              </w:rPr>
            </w:pPr>
          </w:p>
        </w:tc>
        <w:tc>
          <w:tcPr>
            <w:tcW w:w="2613" w:type="pct"/>
            <w:vMerge/>
            <w:tcBorders>
              <w:left w:val="single" w:sz="4" w:space="0" w:color="auto"/>
              <w:bottom w:val="single" w:sz="4" w:space="0" w:color="000000"/>
              <w:right w:val="single" w:sz="4" w:space="0" w:color="auto"/>
            </w:tcBorders>
            <w:vAlign w:val="center"/>
            <w:hideMark/>
          </w:tcPr>
          <w:p w:rsidR="005C0B0B" w:rsidRPr="00E338CE" w:rsidRDefault="005C0B0B" w:rsidP="00844277">
            <w:pPr>
              <w:pStyle w:val="Tabele"/>
              <w:rPr>
                <w:sz w:val="16"/>
                <w:szCs w:val="16"/>
                <w:lang w:val="sq-AL"/>
              </w:rPr>
            </w:pPr>
          </w:p>
        </w:tc>
        <w:tc>
          <w:tcPr>
            <w:tcW w:w="581"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jc w:val="center"/>
              <w:rPr>
                <w:sz w:val="16"/>
                <w:szCs w:val="16"/>
                <w:lang w:val="sq-AL"/>
              </w:rPr>
            </w:pPr>
            <w:r w:rsidRPr="00E338CE">
              <w:rPr>
                <w:sz w:val="16"/>
                <w:szCs w:val="16"/>
                <w:lang w:val="sq-AL"/>
              </w:rPr>
              <w:t>i pamatur</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389"/>
        </w:trPr>
        <w:tc>
          <w:tcPr>
            <w:tcW w:w="283" w:type="pct"/>
            <w:vMerge/>
            <w:tcBorders>
              <w:left w:val="single" w:sz="8" w:space="0" w:color="auto"/>
              <w:right w:val="single" w:sz="4" w:space="0" w:color="auto"/>
            </w:tcBorders>
            <w:vAlign w:val="center"/>
            <w:hideMark/>
          </w:tcPr>
          <w:p w:rsidR="005C0B0B" w:rsidRPr="00E338CE" w:rsidRDefault="005C0B0B" w:rsidP="00844277">
            <w:pPr>
              <w:pStyle w:val="Tabele"/>
              <w:rPr>
                <w:sz w:val="16"/>
                <w:szCs w:val="16"/>
                <w:lang w:val="sq-AL"/>
              </w:rPr>
            </w:pPr>
          </w:p>
        </w:tc>
        <w:tc>
          <w:tcPr>
            <w:tcW w:w="3194"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a) sistemi zjarrfikës (nëse është vendosur të dhurohet)</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283" w:type="pct"/>
            <w:vMerge/>
            <w:tcBorders>
              <w:left w:val="single" w:sz="8" w:space="0" w:color="auto"/>
              <w:right w:val="single" w:sz="4" w:space="0" w:color="auto"/>
            </w:tcBorders>
            <w:vAlign w:val="center"/>
            <w:hideMark/>
          </w:tcPr>
          <w:p w:rsidR="005C0B0B" w:rsidRPr="00E338CE" w:rsidRDefault="005C0B0B" w:rsidP="00844277">
            <w:pPr>
              <w:pStyle w:val="Tabele"/>
              <w:rPr>
                <w:sz w:val="16"/>
                <w:szCs w:val="16"/>
                <w:lang w:val="sq-AL"/>
              </w:rPr>
            </w:pPr>
          </w:p>
        </w:tc>
        <w:tc>
          <w:tcPr>
            <w:tcW w:w="3194" w:type="pct"/>
            <w:gridSpan w:val="2"/>
            <w:tcBorders>
              <w:top w:val="single" w:sz="4" w:space="0" w:color="auto"/>
              <w:left w:val="nil"/>
              <w:bottom w:val="single" w:sz="4" w:space="0" w:color="auto"/>
              <w:right w:val="single" w:sz="4" w:space="0" w:color="000000"/>
            </w:tcBorders>
            <w:shd w:val="clear" w:color="000000" w:fill="FFFFFF"/>
            <w:vAlign w:val="center"/>
            <w:hideMark/>
          </w:tcPr>
          <w:p w:rsidR="005C0B0B" w:rsidRPr="00E338CE" w:rsidRDefault="005C0B0B" w:rsidP="00844277">
            <w:pPr>
              <w:pStyle w:val="Tabele"/>
              <w:rPr>
                <w:sz w:val="16"/>
                <w:szCs w:val="16"/>
                <w:lang w:val="sq-AL"/>
              </w:rPr>
            </w:pPr>
            <w:r w:rsidRPr="00E338CE">
              <w:rPr>
                <w:sz w:val="16"/>
                <w:szCs w:val="16"/>
                <w:lang w:val="sq-AL"/>
              </w:rPr>
              <w:t>b) institucionet fetare dhe bamirësie (kisha, xhami, jetimore, azil etj.) (nëse është vendosur nga këshilli mbikëqyrës të dhurohet)</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283" w:type="pct"/>
            <w:vMerge/>
            <w:tcBorders>
              <w:left w:val="single" w:sz="8" w:space="0" w:color="auto"/>
              <w:bottom w:val="single" w:sz="8" w:space="0" w:color="auto"/>
              <w:right w:val="single" w:sz="4" w:space="0" w:color="auto"/>
            </w:tcBorders>
            <w:vAlign w:val="center"/>
            <w:hideMark/>
          </w:tcPr>
          <w:p w:rsidR="005C0B0B" w:rsidRPr="00E338CE" w:rsidRDefault="005C0B0B" w:rsidP="00844277">
            <w:pPr>
              <w:pStyle w:val="Tabele"/>
              <w:rPr>
                <w:sz w:val="16"/>
                <w:szCs w:val="16"/>
                <w:lang w:val="sq-AL"/>
              </w:rPr>
            </w:pPr>
          </w:p>
        </w:tc>
        <w:tc>
          <w:tcPr>
            <w:tcW w:w="3194" w:type="pct"/>
            <w:gridSpan w:val="2"/>
            <w:tcBorders>
              <w:top w:val="single" w:sz="4" w:space="0" w:color="auto"/>
              <w:left w:val="nil"/>
              <w:bottom w:val="single" w:sz="8" w:space="0" w:color="auto"/>
              <w:right w:val="single" w:sz="4" w:space="0" w:color="000000"/>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c) pastrimi i depove dhe i rrugëve</w:t>
            </w:r>
          </w:p>
        </w:tc>
        <w:tc>
          <w:tcPr>
            <w:tcW w:w="299" w:type="pct"/>
            <w:tcBorders>
              <w:top w:val="nil"/>
              <w:left w:val="nil"/>
              <w:bottom w:val="single" w:sz="8"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tcBorders>
              <w:top w:val="nil"/>
              <w:left w:val="nil"/>
              <w:bottom w:val="single" w:sz="8"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8"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43"/>
        </w:trPr>
        <w:tc>
          <w:tcPr>
            <w:tcW w:w="283"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6</w:t>
            </w:r>
          </w:p>
        </w:tc>
        <w:tc>
          <w:tcPr>
            <w:tcW w:w="3194" w:type="pct"/>
            <w:gridSpan w:val="2"/>
            <w:tcBorders>
              <w:top w:val="single" w:sz="8" w:space="0" w:color="auto"/>
              <w:left w:val="nil"/>
              <w:bottom w:val="single" w:sz="8" w:space="0" w:color="auto"/>
              <w:right w:val="single" w:sz="4" w:space="0" w:color="000000"/>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Humbjet e ujit për shkak të lidhjeve të paligjshme në linjën e transmetimit</w:t>
            </w:r>
          </w:p>
        </w:tc>
        <w:tc>
          <w:tcPr>
            <w:tcW w:w="299" w:type="pct"/>
            <w:tcBorders>
              <w:top w:val="single" w:sz="8" w:space="0" w:color="auto"/>
              <w:left w:val="nil"/>
              <w:bottom w:val="single" w:sz="8"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tcBorders>
              <w:top w:val="single" w:sz="8" w:space="0" w:color="auto"/>
              <w:left w:val="nil"/>
              <w:bottom w:val="single" w:sz="8"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single" w:sz="8" w:space="0" w:color="auto"/>
              <w:left w:val="nil"/>
              <w:bottom w:val="single" w:sz="8"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bl>
    <w:p w:rsidR="005C0B0B" w:rsidRPr="00E338CE" w:rsidRDefault="005C0B0B" w:rsidP="005C0B0B">
      <w:pPr>
        <w:pStyle w:val="Paragrafi"/>
        <w:ind w:firstLine="0"/>
        <w:rPr>
          <w:sz w:val="21"/>
          <w:szCs w:val="21"/>
          <w:lang w:val="sq-AL"/>
        </w:rPr>
      </w:pPr>
    </w:p>
    <w:tbl>
      <w:tblPr>
        <w:tblW w:w="5000" w:type="pct"/>
        <w:tblLook w:val="04A0" w:firstRow="1" w:lastRow="0" w:firstColumn="1" w:lastColumn="0" w:noHBand="0" w:noVBand="1"/>
      </w:tblPr>
      <w:tblGrid>
        <w:gridCol w:w="871"/>
        <w:gridCol w:w="7233"/>
        <w:gridCol w:w="1450"/>
        <w:gridCol w:w="336"/>
        <w:gridCol w:w="850"/>
        <w:gridCol w:w="119"/>
        <w:gridCol w:w="731"/>
        <w:gridCol w:w="540"/>
        <w:gridCol w:w="2090"/>
      </w:tblGrid>
      <w:tr w:rsidR="005C0B0B" w:rsidRPr="00E338CE" w:rsidTr="00844277">
        <w:trPr>
          <w:trHeight w:val="43"/>
        </w:trPr>
        <w:tc>
          <w:tcPr>
            <w:tcW w:w="30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7</w:t>
            </w:r>
          </w:p>
        </w:tc>
        <w:tc>
          <w:tcPr>
            <w:tcW w:w="3171" w:type="pct"/>
            <w:gridSpan w:val="3"/>
            <w:tcBorders>
              <w:top w:val="single" w:sz="8" w:space="0" w:color="auto"/>
              <w:left w:val="nil"/>
              <w:bottom w:val="single" w:sz="4" w:space="0" w:color="auto"/>
              <w:right w:val="single" w:sz="4" w:space="0" w:color="000000"/>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Humbjet e ujit për shkak të lidhjeve të paligjshme në rrjetin shpërndarës</w:t>
            </w:r>
          </w:p>
        </w:tc>
        <w:tc>
          <w:tcPr>
            <w:tcW w:w="299" w:type="pct"/>
            <w:tcBorders>
              <w:top w:val="single" w:sz="8" w:space="0" w:color="auto"/>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gridSpan w:val="2"/>
            <w:tcBorders>
              <w:top w:val="single" w:sz="8" w:space="0" w:color="auto"/>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single" w:sz="8" w:space="0" w:color="auto"/>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306" w:type="pct"/>
            <w:vMerge w:val="restart"/>
            <w:tcBorders>
              <w:top w:val="nil"/>
              <w:left w:val="single" w:sz="8" w:space="0" w:color="auto"/>
              <w:bottom w:val="single" w:sz="4" w:space="0" w:color="000000"/>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8</w:t>
            </w:r>
          </w:p>
        </w:tc>
        <w:tc>
          <w:tcPr>
            <w:tcW w:w="2543" w:type="pct"/>
            <w:vMerge w:val="restart"/>
            <w:tcBorders>
              <w:top w:val="nil"/>
              <w:left w:val="nil"/>
              <w:bottom w:val="single" w:sz="4" w:space="0" w:color="000000"/>
              <w:right w:val="nil"/>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Humbjet e ujit nga pasaktësi në matjen e ujit</w:t>
            </w:r>
          </w:p>
        </w:tc>
        <w:tc>
          <w:tcPr>
            <w:tcW w:w="628" w:type="pct"/>
            <w:gridSpan w:val="2"/>
            <w:tcBorders>
              <w:top w:val="nil"/>
              <w:left w:val="single" w:sz="4" w:space="0" w:color="auto"/>
              <w:bottom w:val="single" w:sz="4" w:space="0" w:color="auto"/>
              <w:right w:val="single" w:sz="4" w:space="0" w:color="auto"/>
            </w:tcBorders>
            <w:shd w:val="clear" w:color="000000" w:fill="FFFFFF"/>
            <w:vAlign w:val="center"/>
            <w:hideMark/>
          </w:tcPr>
          <w:p w:rsidR="005C0B0B" w:rsidRPr="00E338CE" w:rsidRDefault="005C0B0B" w:rsidP="00844277">
            <w:pPr>
              <w:pStyle w:val="Tabele"/>
              <w:jc w:val="center"/>
              <w:rPr>
                <w:sz w:val="16"/>
                <w:szCs w:val="16"/>
                <w:lang w:val="sq-AL"/>
              </w:rPr>
            </w:pPr>
            <w:r w:rsidRPr="00E338CE">
              <w:rPr>
                <w:sz w:val="16"/>
                <w:szCs w:val="16"/>
                <w:lang w:val="sq-AL"/>
              </w:rPr>
              <w:t>në prodhim</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306" w:type="pct"/>
            <w:vMerge/>
            <w:tcBorders>
              <w:top w:val="nil"/>
              <w:left w:val="single" w:sz="8" w:space="0" w:color="auto"/>
              <w:bottom w:val="single" w:sz="4" w:space="0" w:color="000000"/>
              <w:right w:val="single" w:sz="4" w:space="0" w:color="auto"/>
            </w:tcBorders>
            <w:vAlign w:val="center"/>
            <w:hideMark/>
          </w:tcPr>
          <w:p w:rsidR="005C0B0B" w:rsidRPr="00E338CE" w:rsidRDefault="005C0B0B" w:rsidP="00844277">
            <w:pPr>
              <w:pStyle w:val="Tabele"/>
              <w:rPr>
                <w:sz w:val="16"/>
                <w:szCs w:val="16"/>
                <w:lang w:val="sq-AL"/>
              </w:rPr>
            </w:pPr>
          </w:p>
        </w:tc>
        <w:tc>
          <w:tcPr>
            <w:tcW w:w="2543" w:type="pct"/>
            <w:vMerge/>
            <w:tcBorders>
              <w:top w:val="nil"/>
              <w:left w:val="nil"/>
              <w:bottom w:val="single" w:sz="4" w:space="0" w:color="000000"/>
              <w:right w:val="nil"/>
            </w:tcBorders>
            <w:vAlign w:val="center"/>
            <w:hideMark/>
          </w:tcPr>
          <w:p w:rsidR="005C0B0B" w:rsidRPr="00E338CE" w:rsidRDefault="005C0B0B" w:rsidP="00844277">
            <w:pPr>
              <w:pStyle w:val="Tabele"/>
              <w:rPr>
                <w:sz w:val="16"/>
                <w:szCs w:val="16"/>
                <w:lang w:val="sq-AL"/>
              </w:rPr>
            </w:pPr>
          </w:p>
        </w:tc>
        <w:tc>
          <w:tcPr>
            <w:tcW w:w="628" w:type="pct"/>
            <w:gridSpan w:val="2"/>
            <w:tcBorders>
              <w:top w:val="nil"/>
              <w:left w:val="single" w:sz="4" w:space="0" w:color="auto"/>
              <w:bottom w:val="single" w:sz="4" w:space="0" w:color="auto"/>
              <w:right w:val="single" w:sz="4" w:space="0" w:color="auto"/>
            </w:tcBorders>
            <w:shd w:val="clear" w:color="000000" w:fill="FFFFFF"/>
            <w:vAlign w:val="center"/>
            <w:hideMark/>
          </w:tcPr>
          <w:p w:rsidR="005C0B0B" w:rsidRPr="00E338CE" w:rsidRDefault="005C0B0B" w:rsidP="00844277">
            <w:pPr>
              <w:pStyle w:val="Tabele"/>
              <w:jc w:val="center"/>
              <w:rPr>
                <w:sz w:val="16"/>
                <w:szCs w:val="16"/>
                <w:lang w:val="sq-AL"/>
              </w:rPr>
            </w:pPr>
            <w:r w:rsidRPr="00E338CE">
              <w:rPr>
                <w:sz w:val="16"/>
                <w:szCs w:val="16"/>
                <w:lang w:val="sq-AL"/>
              </w:rPr>
              <w:t>te konsumatori</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306" w:type="pct"/>
            <w:tcBorders>
              <w:top w:val="nil"/>
              <w:left w:val="single" w:sz="8" w:space="0" w:color="auto"/>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9</w:t>
            </w:r>
          </w:p>
        </w:tc>
        <w:tc>
          <w:tcPr>
            <w:tcW w:w="3171" w:type="pct"/>
            <w:gridSpan w:val="3"/>
            <w:tcBorders>
              <w:top w:val="single" w:sz="4" w:space="0" w:color="auto"/>
              <w:left w:val="nil"/>
              <w:bottom w:val="single" w:sz="4" w:space="0" w:color="auto"/>
              <w:right w:val="single" w:sz="4" w:space="0" w:color="000000"/>
            </w:tcBorders>
            <w:shd w:val="clear" w:color="000000" w:fill="FFFFFF"/>
            <w:vAlign w:val="center"/>
            <w:hideMark/>
          </w:tcPr>
          <w:p w:rsidR="005C0B0B" w:rsidRPr="00E338CE" w:rsidRDefault="005C0B0B" w:rsidP="00844277">
            <w:pPr>
              <w:pStyle w:val="Tabele"/>
              <w:rPr>
                <w:sz w:val="16"/>
                <w:szCs w:val="16"/>
                <w:lang w:val="sq-AL"/>
              </w:rPr>
            </w:pPr>
            <w:r w:rsidRPr="00E338CE">
              <w:rPr>
                <w:sz w:val="16"/>
                <w:szCs w:val="16"/>
                <w:lang w:val="sq-AL"/>
              </w:rPr>
              <w:t>Humbjet e ujit nga rrjedhjet në linjat e transmetimit (nga stacioni  i pompave deri në depo)</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306" w:type="pct"/>
            <w:tcBorders>
              <w:top w:val="nil"/>
              <w:left w:val="single" w:sz="8" w:space="0" w:color="auto"/>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10</w:t>
            </w:r>
          </w:p>
        </w:tc>
        <w:tc>
          <w:tcPr>
            <w:tcW w:w="3171" w:type="pct"/>
            <w:gridSpan w:val="3"/>
            <w:tcBorders>
              <w:top w:val="single" w:sz="4" w:space="0" w:color="auto"/>
              <w:left w:val="nil"/>
              <w:bottom w:val="single" w:sz="4" w:space="0" w:color="auto"/>
              <w:right w:val="single" w:sz="4" w:space="0" w:color="000000"/>
            </w:tcBorders>
            <w:shd w:val="clear" w:color="000000" w:fill="FFFFFF"/>
            <w:vAlign w:val="center"/>
            <w:hideMark/>
          </w:tcPr>
          <w:p w:rsidR="005C0B0B" w:rsidRPr="00E338CE" w:rsidRDefault="005C0B0B" w:rsidP="00844277">
            <w:pPr>
              <w:pStyle w:val="Tabele"/>
              <w:rPr>
                <w:sz w:val="16"/>
                <w:szCs w:val="16"/>
                <w:lang w:val="sq-AL"/>
              </w:rPr>
            </w:pPr>
            <w:r w:rsidRPr="00E338CE">
              <w:rPr>
                <w:sz w:val="16"/>
                <w:szCs w:val="16"/>
                <w:lang w:val="sq-AL"/>
              </w:rPr>
              <w:t>Humbjet e ujit nga rrjedhjet në stacionin e pompave, burim (rrjedhje të valvolave, pompave etj.)  (nëse ka)</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306" w:type="pct"/>
            <w:tcBorders>
              <w:top w:val="nil"/>
              <w:left w:val="single" w:sz="8" w:space="0" w:color="auto"/>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11</w:t>
            </w:r>
          </w:p>
        </w:tc>
        <w:tc>
          <w:tcPr>
            <w:tcW w:w="317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Humbjet e ujit për shkak të rrjedhjeve në depot e ujit</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306" w:type="pct"/>
            <w:tcBorders>
              <w:top w:val="nil"/>
              <w:left w:val="single" w:sz="8" w:space="0" w:color="auto"/>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12</w:t>
            </w:r>
          </w:p>
        </w:tc>
        <w:tc>
          <w:tcPr>
            <w:tcW w:w="317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Humbjet e ujit për shkak të rrjedhjeve në rrjetin e shpërndarjes</w:t>
            </w:r>
          </w:p>
        </w:tc>
        <w:tc>
          <w:tcPr>
            <w:tcW w:w="299" w:type="pct"/>
            <w:tcBorders>
              <w:top w:val="nil"/>
              <w:left w:val="nil"/>
              <w:bottom w:val="single" w:sz="4"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53"/>
        </w:trPr>
        <w:tc>
          <w:tcPr>
            <w:tcW w:w="306" w:type="pct"/>
            <w:tcBorders>
              <w:top w:val="nil"/>
              <w:left w:val="single" w:sz="8" w:space="0" w:color="auto"/>
              <w:bottom w:val="single" w:sz="8"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13</w:t>
            </w:r>
          </w:p>
        </w:tc>
        <w:tc>
          <w:tcPr>
            <w:tcW w:w="2543" w:type="pct"/>
            <w:tcBorders>
              <w:top w:val="nil"/>
              <w:left w:val="nil"/>
              <w:bottom w:val="single" w:sz="8" w:space="0" w:color="auto"/>
              <w:right w:val="nil"/>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Humbjet e ujit për shkak të riparimeve në linjat e sistemit të ujësjellësit</w:t>
            </w:r>
          </w:p>
        </w:tc>
        <w:tc>
          <w:tcPr>
            <w:tcW w:w="628" w:type="pct"/>
            <w:gridSpan w:val="2"/>
            <w:tcBorders>
              <w:top w:val="nil"/>
              <w:left w:val="nil"/>
              <w:bottom w:val="single" w:sz="8"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299" w:type="pct"/>
            <w:tcBorders>
              <w:top w:val="nil"/>
              <w:left w:val="nil"/>
              <w:bottom w:val="single" w:sz="8" w:space="0" w:color="auto"/>
              <w:right w:val="single" w:sz="4"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m</w:t>
            </w:r>
            <w:r w:rsidRPr="00E338CE">
              <w:rPr>
                <w:sz w:val="16"/>
                <w:szCs w:val="16"/>
                <w:vertAlign w:val="superscript"/>
                <w:lang w:val="sq-AL"/>
              </w:rPr>
              <w:t>3</w:t>
            </w:r>
          </w:p>
        </w:tc>
        <w:tc>
          <w:tcPr>
            <w:tcW w:w="299" w:type="pct"/>
            <w:gridSpan w:val="2"/>
            <w:tcBorders>
              <w:top w:val="nil"/>
              <w:left w:val="nil"/>
              <w:bottom w:val="single" w:sz="8" w:space="0" w:color="auto"/>
              <w:right w:val="single" w:sz="4" w:space="0" w:color="auto"/>
            </w:tcBorders>
            <w:shd w:val="clear" w:color="000000" w:fill="FFFFFF"/>
            <w:noWrap/>
            <w:vAlign w:val="center"/>
            <w:hideMark/>
          </w:tcPr>
          <w:p w:rsidR="005C0B0B" w:rsidRPr="00E338CE" w:rsidRDefault="005C0B0B" w:rsidP="00844277">
            <w:pPr>
              <w:pStyle w:val="Tabele"/>
              <w:rPr>
                <w:sz w:val="16"/>
                <w:szCs w:val="16"/>
                <w:lang w:val="sq-AL"/>
              </w:rPr>
            </w:pPr>
            <w:r w:rsidRPr="00E338CE">
              <w:rPr>
                <w:sz w:val="16"/>
                <w:szCs w:val="16"/>
                <w:lang w:val="sq-AL"/>
              </w:rPr>
              <w:t> </w:t>
            </w:r>
          </w:p>
        </w:tc>
        <w:tc>
          <w:tcPr>
            <w:tcW w:w="925" w:type="pct"/>
            <w:gridSpan w:val="2"/>
            <w:tcBorders>
              <w:top w:val="nil"/>
              <w:left w:val="nil"/>
              <w:bottom w:val="single" w:sz="8" w:space="0" w:color="auto"/>
              <w:right w:val="single" w:sz="8" w:space="0" w:color="auto"/>
            </w:tcBorders>
            <w:shd w:val="clear" w:color="000000" w:fill="FFFFFF"/>
            <w:noWrap/>
            <w:vAlign w:val="bottom"/>
            <w:hideMark/>
          </w:tcPr>
          <w:p w:rsidR="005C0B0B" w:rsidRPr="00E338CE" w:rsidRDefault="005C0B0B" w:rsidP="00844277">
            <w:pPr>
              <w:pStyle w:val="Tabele"/>
              <w:rPr>
                <w:sz w:val="16"/>
                <w:szCs w:val="16"/>
                <w:lang w:val="sq-AL"/>
              </w:rPr>
            </w:pPr>
            <w:r w:rsidRPr="00E338CE">
              <w:rPr>
                <w:sz w:val="16"/>
                <w:szCs w:val="16"/>
                <w:lang w:val="sq-AL"/>
              </w:rPr>
              <w:t> </w:t>
            </w:r>
          </w:p>
        </w:tc>
      </w:tr>
      <w:tr w:rsidR="005C0B0B" w:rsidRPr="00E338CE" w:rsidTr="00844277">
        <w:trPr>
          <w:trHeight w:val="150"/>
        </w:trPr>
        <w:tc>
          <w:tcPr>
            <w:tcW w:w="306" w:type="pct"/>
            <w:tcBorders>
              <w:top w:val="nil"/>
              <w:left w:val="nil"/>
              <w:bottom w:val="nil"/>
              <w:right w:val="nil"/>
            </w:tcBorders>
            <w:shd w:val="clear" w:color="auto" w:fill="auto"/>
            <w:noWrap/>
            <w:vAlign w:val="center"/>
            <w:hideMark/>
          </w:tcPr>
          <w:p w:rsidR="005C0B0B" w:rsidRPr="00E338CE" w:rsidRDefault="005C0B0B" w:rsidP="00844277">
            <w:pPr>
              <w:pStyle w:val="Tabele"/>
              <w:rPr>
                <w:sz w:val="16"/>
                <w:szCs w:val="16"/>
                <w:lang w:val="sq-AL"/>
              </w:rPr>
            </w:pPr>
          </w:p>
        </w:tc>
        <w:tc>
          <w:tcPr>
            <w:tcW w:w="2543" w:type="pct"/>
            <w:tcBorders>
              <w:top w:val="nil"/>
              <w:left w:val="nil"/>
              <w:bottom w:val="nil"/>
              <w:right w:val="nil"/>
            </w:tcBorders>
            <w:shd w:val="clear" w:color="auto" w:fill="auto"/>
            <w:noWrap/>
            <w:vAlign w:val="center"/>
            <w:hideMark/>
          </w:tcPr>
          <w:p w:rsidR="005C0B0B" w:rsidRPr="00E338CE" w:rsidRDefault="005C0B0B" w:rsidP="00844277">
            <w:pPr>
              <w:pStyle w:val="Tabele"/>
              <w:rPr>
                <w:sz w:val="16"/>
                <w:szCs w:val="16"/>
                <w:lang w:val="sq-AL"/>
              </w:rPr>
            </w:pPr>
          </w:p>
        </w:tc>
        <w:tc>
          <w:tcPr>
            <w:tcW w:w="628" w:type="pct"/>
            <w:gridSpan w:val="2"/>
            <w:tcBorders>
              <w:top w:val="nil"/>
              <w:left w:val="nil"/>
              <w:bottom w:val="nil"/>
              <w:right w:val="nil"/>
            </w:tcBorders>
            <w:shd w:val="clear" w:color="auto" w:fill="auto"/>
            <w:noWrap/>
            <w:vAlign w:val="center"/>
            <w:hideMark/>
          </w:tcPr>
          <w:p w:rsidR="005C0B0B" w:rsidRPr="00E338CE" w:rsidRDefault="005C0B0B" w:rsidP="00844277">
            <w:pPr>
              <w:pStyle w:val="Tabele"/>
              <w:rPr>
                <w:sz w:val="16"/>
                <w:szCs w:val="16"/>
                <w:lang w:val="sq-AL"/>
              </w:rPr>
            </w:pPr>
          </w:p>
        </w:tc>
        <w:tc>
          <w:tcPr>
            <w:tcW w:w="299" w:type="pct"/>
            <w:tcBorders>
              <w:top w:val="nil"/>
              <w:left w:val="nil"/>
              <w:bottom w:val="nil"/>
              <w:right w:val="nil"/>
            </w:tcBorders>
            <w:shd w:val="clear" w:color="auto" w:fill="auto"/>
            <w:noWrap/>
            <w:vAlign w:val="bottom"/>
            <w:hideMark/>
          </w:tcPr>
          <w:p w:rsidR="005C0B0B" w:rsidRPr="00E338CE" w:rsidRDefault="005C0B0B" w:rsidP="00844277">
            <w:pPr>
              <w:pStyle w:val="Tabele"/>
              <w:rPr>
                <w:sz w:val="16"/>
                <w:szCs w:val="16"/>
                <w:lang w:val="sq-AL"/>
              </w:rPr>
            </w:pPr>
          </w:p>
        </w:tc>
        <w:tc>
          <w:tcPr>
            <w:tcW w:w="299" w:type="pct"/>
            <w:gridSpan w:val="2"/>
            <w:tcBorders>
              <w:top w:val="nil"/>
              <w:left w:val="nil"/>
              <w:bottom w:val="nil"/>
              <w:right w:val="nil"/>
            </w:tcBorders>
            <w:shd w:val="clear" w:color="auto" w:fill="auto"/>
            <w:noWrap/>
            <w:vAlign w:val="center"/>
            <w:hideMark/>
          </w:tcPr>
          <w:p w:rsidR="005C0B0B" w:rsidRPr="00E338CE" w:rsidRDefault="005C0B0B" w:rsidP="00844277">
            <w:pPr>
              <w:pStyle w:val="Tabele"/>
              <w:rPr>
                <w:sz w:val="16"/>
                <w:szCs w:val="16"/>
                <w:lang w:val="sq-AL"/>
              </w:rPr>
            </w:pPr>
          </w:p>
        </w:tc>
        <w:tc>
          <w:tcPr>
            <w:tcW w:w="925" w:type="pct"/>
            <w:gridSpan w:val="2"/>
            <w:tcBorders>
              <w:top w:val="nil"/>
              <w:left w:val="nil"/>
              <w:bottom w:val="nil"/>
              <w:right w:val="nil"/>
            </w:tcBorders>
            <w:shd w:val="clear" w:color="auto" w:fill="auto"/>
            <w:noWrap/>
            <w:vAlign w:val="bottom"/>
            <w:hideMark/>
          </w:tcPr>
          <w:p w:rsidR="005C0B0B" w:rsidRPr="00E338CE" w:rsidRDefault="005C0B0B" w:rsidP="00844277">
            <w:pPr>
              <w:pStyle w:val="Tabele"/>
              <w:rPr>
                <w:sz w:val="16"/>
                <w:szCs w:val="16"/>
                <w:lang w:val="sq-AL"/>
              </w:rPr>
            </w:pPr>
          </w:p>
        </w:tc>
      </w:tr>
      <w:tr w:rsidR="005C0B0B" w:rsidRPr="00E338CE" w:rsidTr="00844277">
        <w:trPr>
          <w:trHeight w:val="70"/>
        </w:trPr>
        <w:tc>
          <w:tcPr>
            <w:tcW w:w="5000" w:type="pct"/>
            <w:gridSpan w:val="9"/>
            <w:tcBorders>
              <w:top w:val="nil"/>
              <w:left w:val="nil"/>
              <w:bottom w:val="nil"/>
              <w:right w:val="nil"/>
            </w:tcBorders>
            <w:shd w:val="clear" w:color="auto" w:fill="auto"/>
            <w:noWrap/>
            <w:vAlign w:val="bottom"/>
            <w:hideMark/>
          </w:tcPr>
          <w:p w:rsidR="005C0B0B" w:rsidRPr="00E338CE" w:rsidRDefault="005C0B0B" w:rsidP="00844277">
            <w:pPr>
              <w:pStyle w:val="Tabele"/>
              <w:rPr>
                <w:sz w:val="16"/>
                <w:szCs w:val="16"/>
                <w:lang w:val="sq-AL"/>
              </w:rPr>
            </w:pPr>
            <w:r w:rsidRPr="00E338CE">
              <w:rPr>
                <w:sz w:val="16"/>
                <w:szCs w:val="16"/>
                <w:lang w:val="sq-AL"/>
              </w:rPr>
              <w:t>Shënim. Të dhënat e zërit 1 (vëllimi vjetor i ujit të prodhuar) duhet të jenë të barabarta me shumën e zërave 2+3+4+5+6+7+8+9+10+11+12+13.</w:t>
            </w:r>
          </w:p>
        </w:tc>
      </w:tr>
      <w:tr w:rsidR="005C0B0B" w:rsidRPr="00E338CE" w:rsidTr="00844277">
        <w:trPr>
          <w:trHeight w:val="70"/>
        </w:trPr>
        <w:tc>
          <w:tcPr>
            <w:tcW w:w="5000" w:type="pct"/>
            <w:gridSpan w:val="9"/>
            <w:tcBorders>
              <w:top w:val="nil"/>
              <w:left w:val="nil"/>
              <w:bottom w:val="nil"/>
              <w:right w:val="nil"/>
            </w:tcBorders>
            <w:shd w:val="clear" w:color="auto" w:fill="auto"/>
            <w:noWrap/>
            <w:vAlign w:val="bottom"/>
            <w:hideMark/>
          </w:tcPr>
          <w:p w:rsidR="005C0B0B" w:rsidRPr="00E338CE" w:rsidRDefault="005C0B0B" w:rsidP="00844277">
            <w:pPr>
              <w:pStyle w:val="Tabele"/>
              <w:rPr>
                <w:sz w:val="16"/>
                <w:szCs w:val="16"/>
                <w:lang w:val="sq-AL"/>
              </w:rPr>
            </w:pPr>
            <w:r w:rsidRPr="00E338CE">
              <w:rPr>
                <w:sz w:val="16"/>
                <w:szCs w:val="16"/>
                <w:lang w:val="sq-AL"/>
              </w:rPr>
              <w:t xml:space="preserve">               Humbjet për shkak të riparimeve do të llogariten në bazë të numrit të riparimeve.</w:t>
            </w:r>
          </w:p>
        </w:tc>
      </w:tr>
      <w:tr w:rsidR="005C0B0B" w:rsidRPr="00E338CE" w:rsidTr="00844277">
        <w:trPr>
          <w:trHeight w:val="70"/>
        </w:trPr>
        <w:tc>
          <w:tcPr>
            <w:tcW w:w="3359" w:type="pct"/>
            <w:gridSpan w:val="3"/>
            <w:tcBorders>
              <w:top w:val="nil"/>
              <w:left w:val="nil"/>
              <w:bottom w:val="nil"/>
              <w:right w:val="nil"/>
            </w:tcBorders>
            <w:shd w:val="clear" w:color="auto" w:fill="auto"/>
            <w:noWrap/>
            <w:vAlign w:val="bottom"/>
            <w:hideMark/>
          </w:tcPr>
          <w:p w:rsidR="005C0B0B" w:rsidRPr="00E338CE" w:rsidRDefault="005C0B0B" w:rsidP="00844277">
            <w:pPr>
              <w:pStyle w:val="Tabele"/>
              <w:rPr>
                <w:sz w:val="16"/>
                <w:szCs w:val="16"/>
                <w:lang w:val="sq-AL"/>
              </w:rPr>
            </w:pPr>
            <w:r w:rsidRPr="00E338CE">
              <w:rPr>
                <w:sz w:val="16"/>
                <w:szCs w:val="16"/>
                <w:lang w:val="sq-AL"/>
              </w:rPr>
              <w:t xml:space="preserve">               Në konsumatorët jofamiljarë do të përfshihen konsumatorët privatë dhe institucionet. </w:t>
            </w:r>
          </w:p>
        </w:tc>
        <w:tc>
          <w:tcPr>
            <w:tcW w:w="459" w:type="pct"/>
            <w:gridSpan w:val="3"/>
            <w:tcBorders>
              <w:top w:val="nil"/>
              <w:left w:val="nil"/>
              <w:bottom w:val="nil"/>
              <w:right w:val="nil"/>
            </w:tcBorders>
            <w:shd w:val="clear" w:color="auto" w:fill="auto"/>
            <w:noWrap/>
            <w:vAlign w:val="bottom"/>
            <w:hideMark/>
          </w:tcPr>
          <w:p w:rsidR="005C0B0B" w:rsidRPr="00E338CE" w:rsidRDefault="005C0B0B" w:rsidP="00844277">
            <w:pPr>
              <w:pStyle w:val="Tabele"/>
              <w:rPr>
                <w:sz w:val="16"/>
                <w:szCs w:val="16"/>
                <w:lang w:val="sq-AL"/>
              </w:rPr>
            </w:pPr>
          </w:p>
        </w:tc>
        <w:tc>
          <w:tcPr>
            <w:tcW w:w="447" w:type="pct"/>
            <w:gridSpan w:val="2"/>
            <w:tcBorders>
              <w:top w:val="nil"/>
              <w:left w:val="nil"/>
              <w:bottom w:val="nil"/>
              <w:right w:val="nil"/>
            </w:tcBorders>
            <w:shd w:val="clear" w:color="auto" w:fill="auto"/>
            <w:noWrap/>
            <w:vAlign w:val="bottom"/>
            <w:hideMark/>
          </w:tcPr>
          <w:p w:rsidR="005C0B0B" w:rsidRPr="00E338CE" w:rsidRDefault="005C0B0B" w:rsidP="00844277">
            <w:pPr>
              <w:pStyle w:val="Tabele"/>
              <w:rPr>
                <w:sz w:val="16"/>
                <w:szCs w:val="16"/>
                <w:lang w:val="sq-AL"/>
              </w:rPr>
            </w:pPr>
          </w:p>
        </w:tc>
        <w:tc>
          <w:tcPr>
            <w:tcW w:w="735" w:type="pct"/>
            <w:tcBorders>
              <w:top w:val="nil"/>
              <w:left w:val="nil"/>
              <w:bottom w:val="nil"/>
              <w:right w:val="nil"/>
            </w:tcBorders>
            <w:shd w:val="clear" w:color="auto" w:fill="auto"/>
            <w:noWrap/>
            <w:vAlign w:val="bottom"/>
            <w:hideMark/>
          </w:tcPr>
          <w:p w:rsidR="005C0B0B" w:rsidRPr="00E338CE" w:rsidRDefault="005C0B0B" w:rsidP="00844277">
            <w:pPr>
              <w:pStyle w:val="Tabele"/>
              <w:rPr>
                <w:sz w:val="16"/>
                <w:szCs w:val="16"/>
                <w:lang w:val="sq-AL"/>
              </w:rPr>
            </w:pPr>
          </w:p>
        </w:tc>
      </w:tr>
    </w:tbl>
    <w:p w:rsidR="005C0B0B" w:rsidRPr="00E338CE" w:rsidRDefault="005C0B0B" w:rsidP="005C0B0B">
      <w:pPr>
        <w:pStyle w:val="Paragrafi"/>
        <w:ind w:firstLine="0"/>
        <w:rPr>
          <w:sz w:val="21"/>
          <w:szCs w:val="21"/>
          <w:lang w:val="sq-AL"/>
        </w:rPr>
        <w:sectPr w:rsidR="005C0B0B" w:rsidRPr="00E338CE" w:rsidSect="00844277">
          <w:headerReference w:type="even" r:id="rId11"/>
          <w:headerReference w:type="default" r:id="rId12"/>
          <w:footerReference w:type="even" r:id="rId13"/>
          <w:footerReference w:type="default" r:id="rId14"/>
          <w:pgSz w:w="16840" w:h="11907" w:orient="landscape" w:code="9"/>
          <w:pgMar w:top="1418" w:right="1418" w:bottom="1418" w:left="1418" w:header="1588" w:footer="1134" w:gutter="0"/>
          <w:pgNumType w:start="9269"/>
          <w:cols w:space="720"/>
          <w:docGrid w:linePitch="360"/>
        </w:sectPr>
      </w:pPr>
    </w:p>
    <w:p w:rsidR="006D7A07" w:rsidRDefault="006D7A07"/>
    <w:sectPr w:rsidR="006D7A07" w:rsidSect="006D7A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2EE" w:rsidRDefault="001742EE">
      <w:r>
        <w:separator/>
      </w:r>
    </w:p>
  </w:endnote>
  <w:endnote w:type="continuationSeparator" w:id="0">
    <w:p w:rsidR="001742EE" w:rsidRDefault="0017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277" w:rsidRPr="00900BAA" w:rsidRDefault="00844277">
    <w:pPr>
      <w:pStyle w:val="Footer"/>
      <w:rPr>
        <w:rFonts w:ascii="CG Times" w:hAnsi="CG Times"/>
        <w:sz w:val="22"/>
        <w:szCs w:val="22"/>
      </w:rPr>
    </w:pPr>
    <w:r w:rsidRPr="00900BAA">
      <w:rPr>
        <w:rFonts w:ascii="CG Times" w:hAnsi="CG Times"/>
        <w:sz w:val="22"/>
        <w:szCs w:val="22"/>
      </w:rPr>
      <w:fldChar w:fldCharType="begin"/>
    </w:r>
    <w:r w:rsidRPr="00900BAA">
      <w:rPr>
        <w:rFonts w:ascii="CG Times" w:hAnsi="CG Times"/>
        <w:sz w:val="22"/>
        <w:szCs w:val="22"/>
      </w:rPr>
      <w:instrText xml:space="preserve"> PAGE   \* MERGEFORMAT </w:instrText>
    </w:r>
    <w:r w:rsidRPr="00900BAA">
      <w:rPr>
        <w:rFonts w:ascii="CG Times" w:hAnsi="CG Times"/>
        <w:sz w:val="22"/>
        <w:szCs w:val="22"/>
      </w:rPr>
      <w:fldChar w:fldCharType="separate"/>
    </w:r>
    <w:r>
      <w:rPr>
        <w:rFonts w:ascii="CG Times" w:hAnsi="CG Times"/>
        <w:noProof/>
        <w:sz w:val="22"/>
        <w:szCs w:val="22"/>
      </w:rPr>
      <w:t>9268</w:t>
    </w:r>
    <w:r w:rsidRPr="00900BA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277" w:rsidRPr="00900BAA" w:rsidRDefault="00844277">
    <w:pPr>
      <w:pStyle w:val="Footer"/>
      <w:jc w:val="right"/>
      <w:rPr>
        <w:rFonts w:ascii="CG Times" w:hAnsi="CG Times"/>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277" w:rsidRDefault="00844277">
    <w:pPr>
      <w:pStyle w:val="Footer"/>
    </w:pPr>
    <w:r>
      <w:fldChar w:fldCharType="begin"/>
    </w:r>
    <w:r>
      <w:instrText xml:space="preserve"> PAGE   \* MERGEFORMAT </w:instrText>
    </w:r>
    <w:r>
      <w:fldChar w:fldCharType="separate"/>
    </w:r>
    <w:r>
      <w:rPr>
        <w:noProof/>
      </w:rPr>
      <w:t>9270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277" w:rsidRPr="007D48E7" w:rsidRDefault="00844277">
    <w:pPr>
      <w:pStyle w:val="Footer"/>
      <w:jc w:val="right"/>
      <w:rPr>
        <w:rFonts w:ascii="CG Times" w:hAnsi="CG Times"/>
        <w:sz w:val="22"/>
        <w:szCs w:val="22"/>
      </w:rPr>
    </w:pPr>
    <w:r w:rsidRPr="007D48E7">
      <w:rPr>
        <w:rFonts w:ascii="CG Times" w:hAnsi="CG Times"/>
        <w:sz w:val="22"/>
        <w:szCs w:val="22"/>
      </w:rPr>
      <w:fldChar w:fldCharType="begin"/>
    </w:r>
    <w:r w:rsidRPr="007D48E7">
      <w:rPr>
        <w:rFonts w:ascii="CG Times" w:hAnsi="CG Times"/>
        <w:sz w:val="22"/>
        <w:szCs w:val="22"/>
      </w:rPr>
      <w:instrText xml:space="preserve"> PAGE   \* MERGEFORMAT </w:instrText>
    </w:r>
    <w:r w:rsidRPr="007D48E7">
      <w:rPr>
        <w:rFonts w:ascii="CG Times" w:hAnsi="CG Times"/>
        <w:sz w:val="22"/>
        <w:szCs w:val="22"/>
      </w:rPr>
      <w:fldChar w:fldCharType="separate"/>
    </w:r>
    <w:r w:rsidR="00D32E3B">
      <w:rPr>
        <w:rFonts w:ascii="CG Times" w:hAnsi="CG Times"/>
        <w:noProof/>
        <w:sz w:val="22"/>
        <w:szCs w:val="22"/>
      </w:rPr>
      <w:t>9270</w:t>
    </w:r>
    <w:r w:rsidRPr="007D48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2EE" w:rsidRDefault="001742EE">
      <w:r>
        <w:separator/>
      </w:r>
    </w:p>
  </w:footnote>
  <w:footnote w:type="continuationSeparator" w:id="0">
    <w:p w:rsidR="001742EE" w:rsidRDefault="001742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277" w:rsidRDefault="0049108B" w:rsidP="00844277">
    <w:pPr>
      <w:pStyle w:val="Header"/>
    </w:pPr>
    <w:r>
      <w:rPr>
        <w:noProof/>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44277" w:rsidRPr="00AE7784" w:rsidRDefault="00844277" w:rsidP="00844277">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277" w:rsidRDefault="0049108B" w:rsidP="00844277">
    <w:pPr>
      <w:pStyle w:val="Header"/>
    </w:pPr>
    <w:r>
      <w:rPr>
        <w:noProof/>
      </w:rPr>
      <w:drawing>
        <wp:inline distT="0" distB="0" distL="0" distR="0">
          <wp:extent cx="1600200" cy="400050"/>
          <wp:effectExtent l="0" t="0" r="0"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44277" w:rsidRPr="00AE7784" w:rsidRDefault="00844277" w:rsidP="00844277">
    <w:pPr>
      <w:pStyle w:val="Header"/>
      <w:pBdr>
        <w:top w:val="single" w:sz="2" w:space="1" w:color="auto"/>
      </w:pBdr>
      <w:tabs>
        <w:tab w:val="clear" w:pos="9360"/>
      </w:tabs>
      <w:ind w:right="-1369"/>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277" w:rsidRDefault="0049108B" w:rsidP="00844277">
    <w:pPr>
      <w:pStyle w:val="Header"/>
      <w:tabs>
        <w:tab w:val="clear" w:pos="4680"/>
        <w:tab w:val="clear" w:pos="9360"/>
      </w:tabs>
      <w:ind w:right="1134"/>
      <w:jc w:val="right"/>
    </w:pPr>
    <w:r>
      <w:rPr>
        <w:noProof/>
      </w:rPr>
      <w:drawing>
        <wp:inline distT="0" distB="0" distL="0" distR="0">
          <wp:extent cx="1314450" cy="400050"/>
          <wp:effectExtent l="0" t="0" r="0" b="0"/>
          <wp:docPr id="3" name="Picture 3"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44277" w:rsidRPr="00213FDE" w:rsidRDefault="00844277" w:rsidP="00844277">
    <w:pPr>
      <w:pStyle w:val="Header"/>
      <w:pBdr>
        <w:top w:val="single" w:sz="2" w:space="1" w:color="auto"/>
      </w:pBdr>
      <w:tabs>
        <w:tab w:val="clear" w:pos="4680"/>
        <w:tab w:val="clear" w:pos="9360"/>
      </w:tabs>
      <w:ind w:left="-1418"/>
      <w:jc w:val="righ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C0B0B"/>
    <w:rsid w:val="001742EE"/>
    <w:rsid w:val="0049108B"/>
    <w:rsid w:val="005C0B0B"/>
    <w:rsid w:val="006D7A07"/>
    <w:rsid w:val="00844277"/>
    <w:rsid w:val="00D32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6A72492-407F-4076-B0D0-FBDAB2A07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B0B"/>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C0B0B"/>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5C0B0B"/>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5C0B0B"/>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5C0B0B"/>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5C0B0B"/>
    <w:rPr>
      <w:rFonts w:ascii="CG Times" w:eastAsia="MS Mincho" w:hAnsi="CG Times" w:cs="CG Times"/>
      <w:b/>
      <w:bCs/>
      <w:sz w:val="22"/>
      <w:szCs w:val="22"/>
      <w:lang w:val="en-GB" w:eastAsia="en-US" w:bidi="ar-SA"/>
    </w:rPr>
  </w:style>
  <w:style w:type="paragraph" w:customStyle="1" w:styleId="Paragrafi">
    <w:name w:val="Paragrafi"/>
    <w:link w:val="ParagrafiChar"/>
    <w:rsid w:val="005C0B0B"/>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5C0B0B"/>
    <w:rPr>
      <w:rFonts w:ascii="CG Times" w:eastAsia="MS Mincho" w:hAnsi="CG Times" w:cs="CG Times"/>
      <w:sz w:val="22"/>
      <w:szCs w:val="22"/>
      <w:lang w:val="en-US" w:eastAsia="en-US" w:bidi="ar-SA"/>
    </w:rPr>
  </w:style>
  <w:style w:type="paragraph" w:customStyle="1" w:styleId="Tabele">
    <w:name w:val="Tabele"/>
    <w:rsid w:val="005C0B0B"/>
    <w:rPr>
      <w:rFonts w:ascii="CG Times" w:eastAsia="MS Mincho" w:hAnsi="CG Times" w:cs="CG Times"/>
      <w:sz w:val="22"/>
      <w:szCs w:val="22"/>
      <w:lang w:val="en-GB"/>
    </w:rPr>
  </w:style>
  <w:style w:type="paragraph" w:customStyle="1" w:styleId="Titulli">
    <w:name w:val="Titulli"/>
    <w:next w:val="Normal"/>
    <w:link w:val="TitulliChar"/>
    <w:rsid w:val="005C0B0B"/>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5C0B0B"/>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5C0B0B"/>
    <w:rPr>
      <w:rFonts w:ascii="CG Times" w:eastAsia="MS Mincho" w:hAnsi="CG Times" w:cs="CG Times"/>
      <w:caps/>
      <w:sz w:val="22"/>
      <w:szCs w:val="22"/>
      <w:lang w:val="en-GB" w:eastAsia="en-US" w:bidi="ar-SA"/>
    </w:rPr>
  </w:style>
  <w:style w:type="paragraph" w:styleId="Footer">
    <w:name w:val="footer"/>
    <w:aliases w:val="Pata"/>
    <w:basedOn w:val="Normal"/>
    <w:link w:val="FooterChar"/>
    <w:uiPriority w:val="99"/>
    <w:rsid w:val="005C0B0B"/>
    <w:pPr>
      <w:tabs>
        <w:tab w:val="center" w:pos="4320"/>
        <w:tab w:val="right" w:pos="8640"/>
      </w:tabs>
    </w:pPr>
  </w:style>
  <w:style w:type="character" w:customStyle="1" w:styleId="FooterChar">
    <w:name w:val="Footer Char"/>
    <w:aliases w:val="Pata Char"/>
    <w:link w:val="Footer"/>
    <w:uiPriority w:val="99"/>
    <w:rsid w:val="005C0B0B"/>
    <w:rPr>
      <w:rFonts w:ascii="Times New Roman" w:eastAsia="MS Mincho" w:hAnsi="Times New Roman" w:cs="Times New Roman"/>
      <w:sz w:val="24"/>
      <w:szCs w:val="24"/>
    </w:rPr>
  </w:style>
  <w:style w:type="paragraph" w:styleId="Header">
    <w:name w:val="header"/>
    <w:basedOn w:val="Normal"/>
    <w:link w:val="HeaderChar"/>
    <w:rsid w:val="005C0B0B"/>
    <w:pPr>
      <w:tabs>
        <w:tab w:val="center" w:pos="4680"/>
        <w:tab w:val="right" w:pos="9360"/>
      </w:tabs>
    </w:pPr>
  </w:style>
  <w:style w:type="character" w:customStyle="1" w:styleId="HeaderChar">
    <w:name w:val="Header Char"/>
    <w:link w:val="Header"/>
    <w:rsid w:val="005C0B0B"/>
    <w:rPr>
      <w:rFonts w:ascii="Times New Roman" w:eastAsia="MS Mincho" w:hAnsi="Times New Roman" w:cs="Times New Roman"/>
      <w:sz w:val="24"/>
      <w:szCs w:val="24"/>
    </w:rPr>
  </w:style>
  <w:style w:type="character" w:customStyle="1" w:styleId="TitulliChar">
    <w:name w:val="Titulli Char"/>
    <w:link w:val="Titulli"/>
    <w:rsid w:val="005C0B0B"/>
    <w:rPr>
      <w:rFonts w:ascii="CG Times" w:eastAsia="MS Mincho" w:hAnsi="CG Times" w:cs="CG Times"/>
      <w:b/>
      <w:bCs/>
      <w:caps/>
      <w:sz w:val="22"/>
      <w:szCs w:val="22"/>
      <w:lang w:val="en-GB" w:eastAsia="en-US" w:bidi="ar-SA"/>
    </w:rPr>
  </w:style>
  <w:style w:type="character" w:customStyle="1" w:styleId="AutoritetiChar">
    <w:name w:val="Autoriteti Char"/>
    <w:link w:val="Autoriteti"/>
    <w:locked/>
    <w:rsid w:val="005C0B0B"/>
    <w:rPr>
      <w:rFonts w:ascii="CG Times" w:eastAsia="MS Mincho" w:hAnsi="CG Times" w:cs="CG Times"/>
      <w:caps/>
      <w:sz w:val="22"/>
      <w:szCs w:val="22"/>
      <w:lang w:val="en-GB" w:eastAsia="en-US" w:bidi="ar-SA"/>
    </w:rPr>
  </w:style>
  <w:style w:type="character" w:customStyle="1" w:styleId="AktiChar">
    <w:name w:val="Akti Char"/>
    <w:link w:val="Akti"/>
    <w:rsid w:val="005C0B0B"/>
    <w:rPr>
      <w:rFonts w:ascii="CG Times" w:eastAsia="MS Mincho" w:hAnsi="CG Times" w:cs="CG Times"/>
      <w:b/>
      <w:bCs/>
      <w:caps/>
      <w:color w:val="000000"/>
      <w:sz w:val="22"/>
      <w:szCs w:val="22"/>
      <w:lang w:val="en-GB" w:eastAsia="en-US" w:bidi="ar-SA"/>
    </w:rPr>
  </w:style>
  <w:style w:type="paragraph" w:styleId="BalloonText">
    <w:name w:val="Balloon Text"/>
    <w:basedOn w:val="Normal"/>
    <w:link w:val="BalloonTextChar"/>
    <w:uiPriority w:val="99"/>
    <w:semiHidden/>
    <w:unhideWhenUsed/>
    <w:rsid w:val="005C0B0B"/>
    <w:rPr>
      <w:rFonts w:ascii="Tahoma" w:hAnsi="Tahoma" w:cs="Tahoma"/>
      <w:sz w:val="16"/>
      <w:szCs w:val="16"/>
    </w:rPr>
  </w:style>
  <w:style w:type="character" w:customStyle="1" w:styleId="BalloonTextChar">
    <w:name w:val="Balloon Text Char"/>
    <w:link w:val="BalloonText"/>
    <w:uiPriority w:val="99"/>
    <w:semiHidden/>
    <w:rsid w:val="005C0B0B"/>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3540</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2019-03-18T14:31:00Z</dcterms:created>
  <dcterms:modified xsi:type="dcterms:W3CDTF">2019-03-18T14:31:00Z</dcterms:modified>
</cp:coreProperties>
</file>