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C7" w:rsidRPr="00EC08C7" w:rsidRDefault="00EC08C7" w:rsidP="00EC08C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EC08C7" w:rsidRPr="00EC08C7" w:rsidRDefault="00EC08C7" w:rsidP="00EC08C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u w:val="single"/>
          <w:lang w:val="sq-AL"/>
        </w:rPr>
      </w:pPr>
      <w:r w:rsidRPr="00EC08C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56, datë 29.12.2017</w:t>
      </w:r>
    </w:p>
    <w:p w:rsidR="00EC08C7" w:rsidRPr="00EC08C7" w:rsidRDefault="00EC08C7" w:rsidP="00EC08C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EC08C7" w:rsidRPr="00EC08C7" w:rsidRDefault="00EC08C7" w:rsidP="00EC08C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MIRATIMIN E TARIFAVE TË SHËRBIMIT TË FURNIZIMIT ME UJË DHE LARGIMIT E PËRPUNIMIT TË UJËRAVE TË NDOTURA PËR SHOQËRINË UJËSJELLËS-KANALIZIME KORÇË SHA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ab/>
        <w:t>Në mbështetje të nenit 14 dhe 21, të ligjit nr. 8102, datë 28.3.1996, “Për kuadrin rregullator të sektorit të furnizimit me ujë dhe largimit e përpunimit të ujërave të ndotura”, të ndryshuar; të vendimit të Komisionit Kombëtar Rregullator nr. 39, datë 9.12.2015, “Për miratimin e politikës tarifore për shërbimin e furnizimit me ujë dhe largimit e përpunimit të ujërave të ndotura”; të vendimit të Komisionit Kombëtar Rregullator nr. 40, datë 9.12.2015, “Për miratimin e dokumentacionit mbështetës për miratimin e tarifave për shërbimin e furnizimit me ujë, largimin e përpunimin e ujërave të ndotura”; të vendimit të Komisionit Kombëtar Rregullator nr. 41, datë 9.12.2015, “Për miratimin e procesit të miratimit të tarifave për shërbimin e furnizimit me ujë, largimin e përpunimin e ujërave të ndotura” dhe të vendimit të Komisionit Kombëtar Rregullator nr. 42, datë 9.12.2015, “Për miratimin e metodologjisë për vendosjen e tarifave për shërbimin e furnizimit me ujë dhe largimin e përpunimin e ujërave të ndotura”, Komisioni Kombëtar Rregullator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EC08C7" w:rsidRPr="00EC08C7" w:rsidRDefault="00EC08C7" w:rsidP="00EC08C7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1. Miratimin e tarifave për shoqërinë Ujësjellës-Kanalizime Korçë sh.a.: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a) Për shërbimin e furnizimit me ujë, largimin dhe trajtimin e ujërave të ndotura, për zonën ekzistuese si më poshtë: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  <w:sectPr w:rsidR="00EC08C7" w:rsidRPr="00EC08C7" w:rsidSect="00EC08C7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3455"/>
          <w:cols w:space="454"/>
          <w:docGrid w:linePitch="360"/>
        </w:sect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6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EC08C7" w:rsidRPr="00EC08C7" w:rsidTr="006515D6">
        <w:trPr>
          <w:trHeight w:val="160"/>
          <w:jc w:val="center"/>
        </w:trPr>
        <w:tc>
          <w:tcPr>
            <w:tcW w:w="1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Kategoria e klientëve</w:t>
            </w:r>
          </w:p>
        </w:tc>
        <w:tc>
          <w:tcPr>
            <w:tcW w:w="25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Tarifa volumetrike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Tarifa fikse</w:t>
            </w:r>
          </w:p>
        </w:tc>
      </w:tr>
      <w:tr w:rsidR="00EC08C7" w:rsidRPr="00EC08C7" w:rsidTr="006515D6">
        <w:trPr>
          <w:trHeight w:val="385"/>
          <w:jc w:val="center"/>
        </w:trPr>
        <w:tc>
          <w:tcPr>
            <w:tcW w:w="1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Furnizim me ujë (lekë/m³)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Largimi i ujërave të ndotura (lekë/m³)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b/>
                <w:sz w:val="20"/>
                <w:szCs w:val="20"/>
                <w:lang w:val="sq-AL"/>
              </w:rPr>
              <w:t>(lekë/klient/muaj)</w:t>
            </w:r>
          </w:p>
        </w:tc>
      </w:tr>
      <w:tr w:rsidR="00EC08C7" w:rsidRPr="00EC08C7" w:rsidTr="006515D6">
        <w:trPr>
          <w:trHeight w:val="232"/>
          <w:jc w:val="center"/>
        </w:trPr>
        <w:tc>
          <w:tcPr>
            <w:tcW w:w="1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Klientë familjarë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140</w:t>
            </w:r>
          </w:p>
        </w:tc>
      </w:tr>
      <w:tr w:rsidR="00EC08C7" w:rsidRPr="00EC08C7" w:rsidTr="006515D6">
        <w:trPr>
          <w:trHeight w:val="187"/>
          <w:jc w:val="center"/>
        </w:trPr>
        <w:tc>
          <w:tcPr>
            <w:tcW w:w="1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Klientë publikë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117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140</w:t>
            </w:r>
          </w:p>
        </w:tc>
      </w:tr>
      <w:tr w:rsidR="00EC08C7" w:rsidRPr="00EC08C7" w:rsidTr="006515D6">
        <w:trPr>
          <w:trHeight w:val="160"/>
          <w:jc w:val="center"/>
        </w:trPr>
        <w:tc>
          <w:tcPr>
            <w:tcW w:w="1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Klientë privatë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140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Calibri" w:hAnsi="Garamond" w:cs="CG Times"/>
                <w:sz w:val="20"/>
                <w:szCs w:val="20"/>
                <w:lang w:val="sq-AL"/>
              </w:rPr>
              <w:t>140</w:t>
            </w:r>
          </w:p>
        </w:tc>
      </w:tr>
    </w:tbl>
    <w:p w:rsidR="0088360C" w:rsidRDefault="0088360C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  <w:r w:rsidRPr="00EC08C7">
        <w:rPr>
          <w:rFonts w:ascii="Garamond" w:eastAsia="MS Mincho" w:hAnsi="Garamond" w:cs="CG Times"/>
          <w:sz w:val="24"/>
          <w:lang w:val="sq-AL"/>
        </w:rPr>
        <w:t>b) Për shërbimin e furnizimit me ujë për zonat e reja: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1"/>
        <w:gridCol w:w="2351"/>
        <w:gridCol w:w="1849"/>
        <w:gridCol w:w="1378"/>
        <w:gridCol w:w="1198"/>
        <w:gridCol w:w="1279"/>
        <w:gridCol w:w="1279"/>
      </w:tblGrid>
      <w:tr w:rsidR="00EC08C7" w:rsidRPr="00EC08C7" w:rsidTr="006515D6">
        <w:trPr>
          <w:trHeight w:val="315"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26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Njësitë administrative</w:t>
            </w:r>
          </w:p>
        </w:tc>
      </w:tr>
      <w:tr w:rsidR="00EC08C7" w:rsidRPr="00EC08C7" w:rsidTr="006515D6">
        <w:trPr>
          <w:trHeight w:val="1145"/>
          <w:jc w:val="center"/>
        </w:trPr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Mollaj, Bulgarec Qendër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Voskop, Komuna Vithkuq, Bulgarec (të tjerat)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Drenovë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Voskopojë</w:t>
            </w:r>
          </w:p>
        </w:tc>
      </w:tr>
      <w:tr w:rsidR="00EC08C7" w:rsidRPr="00EC08C7" w:rsidTr="006515D6">
        <w:trPr>
          <w:trHeight w:val="2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Konsumatorë familjarë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lekë/m</w:t>
            </w:r>
            <w:r w:rsidRPr="00EC08C7">
              <w:rPr>
                <w:rFonts w:ascii="Garamond" w:eastAsia="MS Mincho" w:hAnsi="Garamond" w:cs="CG Times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38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28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28</w:t>
            </w:r>
          </w:p>
        </w:tc>
      </w:tr>
      <w:tr w:rsidR="00EC08C7" w:rsidRPr="00EC08C7" w:rsidTr="006515D6">
        <w:trPr>
          <w:trHeight w:val="287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Konsumatorë publikë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lekë/m</w:t>
            </w:r>
            <w:r w:rsidRPr="00EC08C7">
              <w:rPr>
                <w:rFonts w:ascii="Garamond" w:eastAsia="MS Mincho" w:hAnsi="Garamond" w:cs="CG Times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110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110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110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110</w:t>
            </w:r>
          </w:p>
        </w:tc>
      </w:tr>
      <w:tr w:rsidR="00EC08C7" w:rsidRPr="00EC08C7" w:rsidTr="006515D6">
        <w:trPr>
          <w:trHeight w:val="233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Konsumatorë privatë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lekë/m</w:t>
            </w:r>
            <w:r w:rsidRPr="00EC08C7">
              <w:rPr>
                <w:rFonts w:ascii="Garamond" w:eastAsia="MS Mincho" w:hAnsi="Garamond" w:cs="CG Times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100</w:t>
            </w:r>
          </w:p>
        </w:tc>
      </w:tr>
      <w:tr w:rsidR="00EC08C7" w:rsidRPr="00EC08C7" w:rsidTr="006515D6">
        <w:trPr>
          <w:trHeight w:val="26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4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Tarifë fikse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lekë/muaj/klient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100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100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100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lang w:val="sq-AL"/>
              </w:rPr>
            </w:pPr>
            <w:r w:rsidRPr="00EC08C7">
              <w:rPr>
                <w:rFonts w:ascii="Garamond" w:eastAsia="MS Mincho" w:hAnsi="Garamond" w:cs="CG Times"/>
                <w:lang w:val="sq-AL"/>
              </w:rPr>
              <w:t>100</w:t>
            </w:r>
          </w:p>
        </w:tc>
      </w:tr>
    </w:tbl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C08C7">
        <w:rPr>
          <w:rFonts w:ascii="Garamond" w:eastAsia="MS Mincho" w:hAnsi="Garamond" w:cs="CG Times"/>
          <w:sz w:val="24"/>
          <w:lang w:val="sq-AL"/>
        </w:rPr>
        <w:t>2. Objektivat e treguesve kryesorë të performancës për vitin 2018 janë si më poshtë:</w:t>
      </w:r>
    </w:p>
    <w:tbl>
      <w:tblPr>
        <w:tblW w:w="5170" w:type="dxa"/>
        <w:jc w:val="center"/>
        <w:tblLook w:val="04A0" w:firstRow="1" w:lastRow="0" w:firstColumn="1" w:lastColumn="0" w:noHBand="0" w:noVBand="1"/>
      </w:tblPr>
      <w:tblGrid>
        <w:gridCol w:w="3160"/>
        <w:gridCol w:w="2010"/>
      </w:tblGrid>
      <w:tr w:rsidR="00EC08C7" w:rsidRPr="00EC08C7" w:rsidTr="006515D6">
        <w:trPr>
          <w:trHeight w:val="332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Treguesit e performancës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Viti 2018</w:t>
            </w:r>
          </w:p>
        </w:tc>
      </w:tr>
      <w:tr w:rsidR="00EC08C7" w:rsidRPr="00EC08C7" w:rsidTr="006515D6">
        <w:trPr>
          <w:trHeight w:val="138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 xml:space="preserve">Mbulimi me ujë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93%</w:t>
            </w:r>
          </w:p>
        </w:tc>
      </w:tr>
      <w:tr w:rsidR="00EC08C7" w:rsidRPr="00EC08C7" w:rsidTr="006515D6">
        <w:trPr>
          <w:trHeight w:val="185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Mbulimi me kanalizime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73%</w:t>
            </w:r>
          </w:p>
        </w:tc>
      </w:tr>
      <w:tr w:rsidR="00EC08C7" w:rsidRPr="00EC08C7" w:rsidTr="006515D6">
        <w:trPr>
          <w:trHeight w:val="88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Niveli i matjes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91%</w:t>
            </w:r>
          </w:p>
        </w:tc>
      </w:tr>
      <w:tr w:rsidR="00EC08C7" w:rsidRPr="00EC08C7" w:rsidTr="006515D6">
        <w:trPr>
          <w:trHeight w:val="134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Uji pa të ardhura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25%</w:t>
            </w:r>
          </w:p>
        </w:tc>
      </w:tr>
      <w:tr w:rsidR="00EC08C7" w:rsidRPr="00EC08C7" w:rsidTr="006515D6">
        <w:trPr>
          <w:trHeight w:val="195"/>
          <w:jc w:val="center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Norma e arkëtimit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8C7" w:rsidRPr="00EC08C7" w:rsidRDefault="00EC08C7" w:rsidP="00EC08C7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EC08C7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94%</w:t>
            </w:r>
          </w:p>
        </w:tc>
      </w:tr>
    </w:tbl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6"/>
          <w:lang w:val="sq-AL"/>
        </w:rPr>
        <w:sectPr w:rsidR="00EC08C7" w:rsidRPr="00EC08C7" w:rsidSect="00061973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EC08C7">
        <w:rPr>
          <w:rFonts w:ascii="Garamond" w:eastAsia="MS Mincho" w:hAnsi="Garamond" w:cs="CG Times"/>
          <w:sz w:val="24"/>
          <w:lang w:val="sq-AL"/>
        </w:rPr>
        <w:lastRenderedPageBreak/>
        <w:t xml:space="preserve">3. Pagesa rregullatore vjetore për shoqërinë Ujësjellës-Kanalizime Korçë sh.a. do të jetë 0.6% e të ardhurave vjetore të parashikuara nga aktiviteti. 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4. Vendimi i Komisionit Kombëtar Rregullator nr. 42, datë 23.12.2013, “Për miratimin e tarifave të ujit për konsum publik për sh.a. UK Korçë”, shfuqizohet.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5. Ky vendim hyn në fuqi më 1.1.2018 dhe është i vlefshëm deri në miratimin e tarifave të reja.</w:t>
      </w:r>
      <w:r w:rsidRPr="00EC08C7">
        <w:rPr>
          <w:rFonts w:ascii="Garamond" w:eastAsia="MS Mincho" w:hAnsi="Garamond" w:cs="CG Times"/>
          <w:spacing w:val="-4"/>
          <w:sz w:val="24"/>
          <w:lang w:val="sq-AL"/>
        </w:rPr>
        <w:tab/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EC08C7" w:rsidRPr="00EC08C7" w:rsidRDefault="00EC08C7" w:rsidP="00EC08C7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EC08C7" w:rsidRPr="00EC08C7" w:rsidRDefault="00EC08C7" w:rsidP="00EC08C7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EC08C7">
        <w:rPr>
          <w:rFonts w:ascii="Garamond" w:eastAsia="MS Mincho" w:hAnsi="Garamond" w:cs="CG Times"/>
          <w:b/>
          <w:spacing w:val="-4"/>
          <w:sz w:val="24"/>
          <w:lang w:val="sq-AL"/>
        </w:rPr>
        <w:t>Ndriçim Shani</w:t>
      </w:r>
    </w:p>
    <w:p w:rsidR="003C43C2" w:rsidRDefault="003C43C2"/>
    <w:sectPr w:rsidR="003C4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053888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715F5" w:rsidRPr="00B4283E" w:rsidRDefault="0088360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13456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F5" w:rsidRPr="005B4361" w:rsidRDefault="0088360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5135697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715F5" w:rsidRPr="00833610" w:rsidRDefault="0088360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715F5" w:rsidRDefault="0088360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715F5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715F5" w:rsidRPr="00EB260B" w:rsidRDefault="0088360C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9715F5" w:rsidRPr="00EB260B" w:rsidRDefault="008836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DF72496" wp14:editId="2D434DCF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715F5" w:rsidRPr="00EB260B" w:rsidRDefault="008836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245</w:t>
          </w:r>
        </w:p>
      </w:tc>
    </w:tr>
  </w:tbl>
  <w:p w:rsidR="009715F5" w:rsidRPr="00385E2C" w:rsidRDefault="0088360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F5" w:rsidRDefault="008836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F5" w:rsidRDefault="0088360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C7"/>
    <w:rsid w:val="003C43C2"/>
    <w:rsid w:val="0088360C"/>
    <w:rsid w:val="00E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08C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C08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C08C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C08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08C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C08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C08C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C08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2018-01-18T15:19:00Z</dcterms:created>
  <dcterms:modified xsi:type="dcterms:W3CDTF">2018-01-18T15:20:00Z</dcterms:modified>
</cp:coreProperties>
</file>