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2CD" w:rsidRPr="00F014E5" w:rsidRDefault="006852CD" w:rsidP="006852CD">
      <w:pPr>
        <w:pStyle w:val="NeniTitull"/>
        <w:keepNext w:val="0"/>
        <w:rPr>
          <w:lang w:val="sq-AL"/>
        </w:rPr>
      </w:pPr>
      <w:r w:rsidRPr="00F014E5">
        <w:rPr>
          <w:lang w:val="sq-AL"/>
        </w:rPr>
        <w:t>VENDIM</w:t>
      </w:r>
    </w:p>
    <w:p w:rsidR="006852CD" w:rsidRPr="00F014E5" w:rsidRDefault="006852CD" w:rsidP="006852CD">
      <w:pPr>
        <w:pStyle w:val="NeniTitull"/>
        <w:keepNext w:val="0"/>
        <w:rPr>
          <w:lang w:val="sq-AL"/>
        </w:rPr>
      </w:pPr>
      <w:r w:rsidRPr="00F014E5">
        <w:rPr>
          <w:lang w:val="sq-AL"/>
        </w:rPr>
        <w:t xml:space="preserve">Nr. </w:t>
      </w:r>
      <w:bookmarkStart w:id="0" w:name="_GoBack"/>
      <w:r w:rsidRPr="00F014E5">
        <w:rPr>
          <w:lang w:val="sq-AL"/>
        </w:rPr>
        <w:t>75, datë 19.10.2018</w:t>
      </w:r>
      <w:bookmarkEnd w:id="0"/>
    </w:p>
    <w:p w:rsidR="006852CD" w:rsidRPr="00F014E5" w:rsidRDefault="006852CD" w:rsidP="006852CD">
      <w:pPr>
        <w:pStyle w:val="NeniTitull"/>
        <w:keepNext w:val="0"/>
        <w:rPr>
          <w:sz w:val="14"/>
          <w:lang w:val="sq-AL"/>
        </w:rPr>
      </w:pPr>
    </w:p>
    <w:p w:rsidR="006852CD" w:rsidRPr="00F014E5" w:rsidRDefault="006852CD" w:rsidP="006852CD">
      <w:pPr>
        <w:pStyle w:val="NeniTitull"/>
        <w:keepNext w:val="0"/>
        <w:rPr>
          <w:lang w:val="sq-AL"/>
        </w:rPr>
      </w:pPr>
      <w:r w:rsidRPr="00F014E5">
        <w:rPr>
          <w:lang w:val="sq-AL"/>
        </w:rPr>
        <w:t xml:space="preserve">PËR MIRATIMIN E TARIFAVE TË SHËRBIMIT TË FURNIZIMIT ME UJË DHE LARGIMIT TË UJËRAVE TË NDOTURA, PËR SHOQËRINË UJËSJELLËS-KANALIZIME LIBRAZHD, PËRRENJAS SHA   </w:t>
      </w:r>
    </w:p>
    <w:p w:rsidR="006852CD" w:rsidRPr="00F014E5" w:rsidRDefault="006852CD" w:rsidP="006852CD">
      <w:pPr>
        <w:pStyle w:val="Paragrafi"/>
        <w:rPr>
          <w:sz w:val="14"/>
          <w:lang w:val="sq-AL"/>
        </w:rPr>
      </w:pPr>
    </w:p>
    <w:p w:rsidR="006852CD" w:rsidRPr="00F014E5" w:rsidRDefault="006852CD" w:rsidP="006852CD">
      <w:pPr>
        <w:pStyle w:val="Paragrafi"/>
        <w:rPr>
          <w:lang w:val="sq-AL"/>
        </w:rPr>
      </w:pPr>
      <w:r w:rsidRPr="00F014E5">
        <w:rPr>
          <w:lang w:val="sq-AL"/>
        </w:rPr>
        <w:t xml:space="preserve">Në mbështetje të neneve 13, 14, 21 dhe 22, të ligjit nr. 8102, datë 28.3.1996, “Për kuadrin rregullator të sektorit të furnizimit me ujë dhe largimit e përpunimit të ujërave të ndotura”, të ndryshuar (ligji nr. 8102); të vendimit të Komisionit Kombëtar Rregullator nr. 39, datë 9.12.2015, “Për miratimin e politikës tarifore për shërbimin e furnizimit me ujë dhe largimit e përpunimit të ujërave të ndotura” (vendimi nr. 39); të vendimit të Komisionit Kombëtar Rregullator nr. 40, datë 9.12.2015, “Për miratimin e dokumentacionit mbështetës për miratimin e tarifave për shërbimin e furnizimit me ujë, largimin e përpunimin e ujërave të ndotura” (vendimi nr. 40); të vendimit të Komisionit Kombëtar rregullator nr. 41, datë 9.12.2015, “Për miratimin e procesit të miratimit të tarifave për shërbimin e furnizimit me ujë, largimin e përpunimin e ujërave të ndotura” (vendimi nr. 41); të vendimit të Komisionit Kombëtar Rregullator nr. 42, datë 9.12.2015, “Për miratimin e metodologjisë për vendosjen e tarifave për shërbimin e furnizimit me ujë dhe largimin e përpunimin e ujërave të ndotura” (vendimi nr. 42), </w:t>
      </w:r>
    </w:p>
    <w:p w:rsidR="006852CD" w:rsidRPr="00F014E5" w:rsidRDefault="006852CD" w:rsidP="006852CD">
      <w:pPr>
        <w:pStyle w:val="NeniNr"/>
        <w:keepNext w:val="0"/>
        <w:rPr>
          <w:sz w:val="14"/>
          <w:lang w:val="sq-AL"/>
        </w:rPr>
      </w:pPr>
    </w:p>
    <w:p w:rsidR="006852CD" w:rsidRPr="00F014E5" w:rsidRDefault="006852CD" w:rsidP="006852CD">
      <w:pPr>
        <w:pStyle w:val="NeniNr"/>
        <w:keepNext w:val="0"/>
        <w:rPr>
          <w:lang w:val="sq-AL"/>
        </w:rPr>
      </w:pPr>
      <w:r w:rsidRPr="00F014E5">
        <w:rPr>
          <w:lang w:val="sq-AL"/>
        </w:rPr>
        <w:t>KOMISIONI KOMBËTAR RREGULLATOR,</w:t>
      </w:r>
    </w:p>
    <w:p w:rsidR="006852CD" w:rsidRPr="00F014E5" w:rsidRDefault="006852CD" w:rsidP="006852CD">
      <w:pPr>
        <w:pStyle w:val="Paragrafi"/>
        <w:rPr>
          <w:sz w:val="14"/>
          <w:lang w:val="sq-AL"/>
        </w:rPr>
      </w:pPr>
    </w:p>
    <w:p w:rsidR="006852CD" w:rsidRPr="00F014E5" w:rsidRDefault="006852CD" w:rsidP="006852CD">
      <w:pPr>
        <w:pStyle w:val="Paragrafi"/>
        <w:rPr>
          <w:lang w:val="sq-AL"/>
        </w:rPr>
      </w:pPr>
      <w:r w:rsidRPr="00F014E5">
        <w:rPr>
          <w:lang w:val="sq-AL"/>
        </w:rPr>
        <w:t>në mbledhjen e datës 19.10.2018, pasi shqyrtoi dokumentacionin e paraqitur nga Drejtoria Tekniko-Ekonomike, mbi kërkesën e Ujësjellës-Kanalizime Librazhd, Përrenjas sh.a. për miratimin e tarifave të shërbimit të furnizimit me ujë dhe kanalizime,</w:t>
      </w:r>
    </w:p>
    <w:p w:rsidR="006852CD" w:rsidRPr="00F014E5" w:rsidRDefault="006852CD" w:rsidP="006852CD">
      <w:pPr>
        <w:pStyle w:val="Paragrafi"/>
        <w:rPr>
          <w:sz w:val="14"/>
          <w:lang w:val="sq-AL"/>
        </w:rPr>
      </w:pPr>
    </w:p>
    <w:p w:rsidR="006852CD" w:rsidRPr="00F014E5" w:rsidRDefault="006852CD" w:rsidP="006852CD">
      <w:pPr>
        <w:pStyle w:val="NeniNr"/>
        <w:keepNext w:val="0"/>
        <w:rPr>
          <w:lang w:val="sq-AL"/>
        </w:rPr>
      </w:pPr>
      <w:r w:rsidRPr="00F014E5">
        <w:rPr>
          <w:lang w:val="sq-AL"/>
        </w:rPr>
        <w:t>VËREN SE:</w:t>
      </w:r>
    </w:p>
    <w:p w:rsidR="006852CD" w:rsidRPr="00F014E5" w:rsidRDefault="006852CD" w:rsidP="006852CD">
      <w:pPr>
        <w:pStyle w:val="Paragrafi"/>
        <w:rPr>
          <w:sz w:val="14"/>
          <w:lang w:val="sq-AL"/>
        </w:rPr>
      </w:pPr>
    </w:p>
    <w:p w:rsidR="006852CD" w:rsidRPr="00F014E5" w:rsidRDefault="006852CD" w:rsidP="006852CD">
      <w:pPr>
        <w:pStyle w:val="Paragrafi"/>
        <w:rPr>
          <w:lang w:val="sq-AL"/>
        </w:rPr>
      </w:pPr>
      <w:r w:rsidRPr="00F014E5">
        <w:rPr>
          <w:lang w:val="sq-AL"/>
        </w:rPr>
        <w:t>1. Shoqëria Ujësjellës-Kanalizime Librazhd, Përrenjas (UK Librazhd, Përrenjas), me shkresën nr. 171 prot., datë 29.6.2018, me lëndë: “Kërkesë për ndryshimin e tarifave të shërbimit për furnizimin me ujë të pijshëm dhe largimin e ujërave të ndotura dhe tarifë fikse mirëmbajtjeje rrjeti të ujësjellësit”, ka paraqitur kërkesën pranë Entit Rregullator të Sektorit të Furnizimit me Ujë dhe Largimit e Përpunimit të Ujërave të Ndotura (ERRU), për miratimin e tarifave në të gjithë zonën e shërbimit, të shoqëruar me dokumentacionin sipas përcaktimeve të parashikuara në ligjin nr. 8102 dhe në vendimin nr. 40.</w:t>
      </w:r>
    </w:p>
    <w:p w:rsidR="006852CD" w:rsidRPr="00F014E5" w:rsidRDefault="006852CD" w:rsidP="006852CD">
      <w:pPr>
        <w:pStyle w:val="Paragrafi"/>
        <w:rPr>
          <w:lang w:val="sq-AL"/>
        </w:rPr>
      </w:pPr>
      <w:r w:rsidRPr="00F014E5">
        <w:rPr>
          <w:lang w:val="sq-AL"/>
        </w:rPr>
        <w:t>2. Komisioni Kombëtar Rregullator (KKRR), pasi e gjeti paraqitjen e kërkesës për vendosjen e tarifave të shërbimit për furnizimin me ujë të pijshëm dhe largimin e ujërave të ndotura dhe tarifë fikse mirëmbajtjeje rrjeti të ujësjellësit të UK Librazhd, Përrenjas, në përputhje me përcaktimet dhe procedurën e parashikuar në vendimin nr. 40, me vendimin nr. 57, datë 20.7.2018, vendosi fillimin e procedurës për shqyrtimin e aplikimit për propozimin e bërë nga UK Librazhd, Përrenjas, për nivelin e ri tarifor për shërbimet UK, për të gjithë zonën e riorganizuar në zbatim të vendimit të Këshillit të Ministrave nr. 63, datë 27.1.2016, “Për riorganizimin e operatorëve që ofrojnë shërbimin e furnizimit me ujë të pijshëm, grumbullimin, largimin dhe trajtimin e ujërave të ndotura”.</w:t>
      </w:r>
    </w:p>
    <w:p w:rsidR="006852CD" w:rsidRPr="00F014E5" w:rsidRDefault="006852CD" w:rsidP="006852CD">
      <w:pPr>
        <w:pStyle w:val="Paragrafi"/>
        <w:rPr>
          <w:spacing w:val="-4"/>
          <w:lang w:val="sq-AL"/>
        </w:rPr>
      </w:pPr>
      <w:r w:rsidRPr="00F014E5">
        <w:rPr>
          <w:lang w:val="sq-AL"/>
        </w:rPr>
        <w:t>3. UK Librazhd, Përrenjas, nëpërmjet shkresës nr. 171 prot., datë 29.6.2018, me lëndë: “Kërkesë për vendosjen e tarifave të shërbimit për furnizimin me ujë të pijshëm dhe largimin e ujërave të ndotura dhe tarifë fikse mirëmbajtjeje rrjeti të ujësjellësit”, ka paraqitur kërkesën pranë ERRU-së për ndryshimin e tarifave për zonën urbane dhe zonën rurale, sipas tabelës:</w:t>
      </w:r>
    </w:p>
    <w:p w:rsidR="006852CD" w:rsidRPr="00F014E5" w:rsidRDefault="006852CD" w:rsidP="006852CD">
      <w:pPr>
        <w:pStyle w:val="NoSpacing"/>
        <w:widowControl w:val="0"/>
        <w:jc w:val="both"/>
        <w:rPr>
          <w:rFonts w:ascii="Garamond" w:hAnsi="Garamond"/>
        </w:rPr>
        <w:sectPr w:rsidR="006852CD" w:rsidRPr="00F014E5" w:rsidSect="006852CD">
          <w:pgSz w:w="11907" w:h="16840" w:code="9"/>
          <w:pgMar w:top="720" w:right="1134" w:bottom="720" w:left="1134" w:header="851" w:footer="851" w:gutter="0"/>
          <w:cols w:space="454"/>
          <w:docGrid w:linePitch="360"/>
        </w:sectPr>
      </w:pPr>
    </w:p>
    <w:p w:rsidR="006852CD" w:rsidRPr="00F014E5" w:rsidRDefault="006852CD" w:rsidP="006852CD">
      <w:pPr>
        <w:pStyle w:val="NoSpacing"/>
        <w:widowControl w:val="0"/>
        <w:jc w:val="both"/>
        <w:rPr>
          <w:rFonts w:ascii="Garamond" w:hAnsi="Garamond"/>
          <w:sz w:val="14"/>
        </w:rPr>
      </w:pPr>
    </w:p>
    <w:tbl>
      <w:tblPr>
        <w:tblStyle w:val="TableGrid"/>
        <w:tblW w:w="5000" w:type="pct"/>
        <w:jc w:val="center"/>
        <w:tblLook w:val="04A0" w:firstRow="1" w:lastRow="0" w:firstColumn="1" w:lastColumn="0" w:noHBand="0" w:noVBand="1"/>
      </w:tblPr>
      <w:tblGrid>
        <w:gridCol w:w="3735"/>
        <w:gridCol w:w="1571"/>
        <w:gridCol w:w="1475"/>
        <w:gridCol w:w="2848"/>
      </w:tblGrid>
      <w:tr w:rsidR="006852CD" w:rsidRPr="00DC7B64" w:rsidTr="007A33C7">
        <w:trPr>
          <w:trHeight w:val="302"/>
          <w:jc w:val="center"/>
        </w:trPr>
        <w:tc>
          <w:tcPr>
            <w:tcW w:w="1939" w:type="pct"/>
            <w:vMerge w:val="restart"/>
            <w:vAlign w:val="center"/>
          </w:tcPr>
          <w:p w:rsidR="006852CD" w:rsidRPr="00DC7B64" w:rsidRDefault="006852CD" w:rsidP="007A33C7">
            <w:pPr>
              <w:widowControl w:val="0"/>
              <w:ind w:firstLine="0"/>
              <w:contextualSpacing/>
              <w:jc w:val="center"/>
              <w:rPr>
                <w:rFonts w:ascii="Garamond" w:hAnsi="Garamond"/>
                <w:sz w:val="22"/>
                <w:szCs w:val="22"/>
                <w:lang w:val="sq-AL"/>
              </w:rPr>
            </w:pPr>
            <w:bookmarkStart w:id="1" w:name="_Hlk526247645"/>
            <w:r w:rsidRPr="00DC7B64">
              <w:rPr>
                <w:rFonts w:ascii="Garamond" w:hAnsi="Garamond"/>
                <w:b/>
                <w:bCs/>
                <w:color w:val="000000"/>
                <w:sz w:val="22"/>
                <w:szCs w:val="22"/>
                <w:lang w:val="sq-AL"/>
              </w:rPr>
              <w:t>Kategoria</w:t>
            </w:r>
          </w:p>
        </w:tc>
        <w:tc>
          <w:tcPr>
            <w:tcW w:w="1582" w:type="pct"/>
            <w:gridSpan w:val="2"/>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b/>
                <w:bCs/>
                <w:color w:val="000000"/>
                <w:sz w:val="22"/>
                <w:szCs w:val="22"/>
                <w:lang w:val="sq-AL"/>
              </w:rPr>
              <w:t>Tarifat volumetrike</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b/>
                <w:bCs/>
                <w:color w:val="000000"/>
                <w:sz w:val="22"/>
                <w:szCs w:val="22"/>
                <w:lang w:val="sq-AL"/>
              </w:rPr>
              <w:t>Tarifa fikse shërbimi</w:t>
            </w:r>
          </w:p>
        </w:tc>
      </w:tr>
      <w:tr w:rsidR="006852CD" w:rsidRPr="00DC7B64" w:rsidTr="007A33C7">
        <w:trPr>
          <w:trHeight w:val="302"/>
          <w:jc w:val="center"/>
        </w:trPr>
        <w:tc>
          <w:tcPr>
            <w:tcW w:w="1939" w:type="pct"/>
            <w:vMerge/>
          </w:tcPr>
          <w:p w:rsidR="006852CD" w:rsidRPr="00DC7B64" w:rsidRDefault="006852CD" w:rsidP="007A33C7">
            <w:pPr>
              <w:widowControl w:val="0"/>
              <w:ind w:firstLine="0"/>
              <w:contextualSpacing/>
              <w:jc w:val="center"/>
              <w:rPr>
                <w:rFonts w:ascii="Garamond" w:hAnsi="Garamond"/>
                <w:sz w:val="22"/>
                <w:szCs w:val="22"/>
                <w:lang w:val="sq-AL"/>
              </w:rPr>
            </w:pPr>
          </w:p>
        </w:tc>
        <w:tc>
          <w:tcPr>
            <w:tcW w:w="816"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Zona urbane</w:t>
            </w:r>
          </w:p>
        </w:tc>
        <w:tc>
          <w:tcPr>
            <w:tcW w:w="765"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Zona rurale</w:t>
            </w:r>
          </w:p>
        </w:tc>
        <w:tc>
          <w:tcPr>
            <w:tcW w:w="1480"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Zonat urbane dhe rurale</w:t>
            </w:r>
          </w:p>
        </w:tc>
      </w:tr>
      <w:tr w:rsidR="006852CD" w:rsidRPr="00DC7B64" w:rsidTr="007A33C7">
        <w:trPr>
          <w:trHeight w:val="302"/>
          <w:jc w:val="center"/>
        </w:trPr>
        <w:tc>
          <w:tcPr>
            <w:tcW w:w="1939" w:type="pct"/>
            <w:vAlign w:val="center"/>
          </w:tcPr>
          <w:p w:rsidR="006852CD" w:rsidRPr="00DC7B64" w:rsidRDefault="006852CD" w:rsidP="007A33C7">
            <w:pPr>
              <w:widowControl w:val="0"/>
              <w:ind w:firstLine="0"/>
              <w:contextualSpacing/>
              <w:jc w:val="left"/>
              <w:rPr>
                <w:rFonts w:ascii="Garamond" w:hAnsi="Garamond"/>
                <w:sz w:val="22"/>
                <w:szCs w:val="22"/>
                <w:lang w:val="sq-AL"/>
              </w:rPr>
            </w:pPr>
            <w:r w:rsidRPr="00DC7B64">
              <w:rPr>
                <w:rFonts w:ascii="Garamond" w:hAnsi="Garamond"/>
                <w:b/>
                <w:bCs/>
                <w:color w:val="000000"/>
                <w:sz w:val="22"/>
                <w:szCs w:val="22"/>
                <w:lang w:val="sq-AL"/>
              </w:rPr>
              <w:t xml:space="preserve">a) </w:t>
            </w:r>
            <w:r w:rsidRPr="00DC7B64">
              <w:rPr>
                <w:rFonts w:ascii="Garamond" w:hAnsi="Garamond"/>
                <w:b/>
                <w:bCs/>
                <w:i/>
                <w:iCs/>
                <w:color w:val="000000"/>
                <w:sz w:val="22"/>
                <w:szCs w:val="22"/>
                <w:lang w:val="sq-AL"/>
              </w:rPr>
              <w:t>Për shërbimin e furnizimit me ujë</w:t>
            </w:r>
          </w:p>
        </w:tc>
        <w:tc>
          <w:tcPr>
            <w:tcW w:w="816"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Lekë/m</w:t>
            </w:r>
            <w:r w:rsidRPr="00DC7B64">
              <w:rPr>
                <w:rFonts w:ascii="Garamond" w:hAnsi="Garamond"/>
                <w:b/>
                <w:sz w:val="22"/>
                <w:szCs w:val="22"/>
                <w:vertAlign w:val="superscript"/>
                <w:lang w:val="sq-AL"/>
              </w:rPr>
              <w:t>3</w:t>
            </w:r>
          </w:p>
        </w:tc>
        <w:tc>
          <w:tcPr>
            <w:tcW w:w="765"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Lekë/m</w:t>
            </w:r>
            <w:r w:rsidRPr="00DC7B64">
              <w:rPr>
                <w:rFonts w:ascii="Garamond" w:hAnsi="Garamond"/>
                <w:b/>
                <w:sz w:val="22"/>
                <w:szCs w:val="22"/>
                <w:vertAlign w:val="superscript"/>
                <w:lang w:val="sq-AL"/>
              </w:rPr>
              <w:t>3</w:t>
            </w:r>
          </w:p>
        </w:tc>
        <w:tc>
          <w:tcPr>
            <w:tcW w:w="1480" w:type="pct"/>
            <w:vAlign w:val="center"/>
          </w:tcPr>
          <w:p w:rsidR="006852CD" w:rsidRPr="00DC7B64" w:rsidRDefault="006852CD" w:rsidP="007A33C7">
            <w:pPr>
              <w:widowControl w:val="0"/>
              <w:ind w:firstLine="0"/>
              <w:contextualSpacing/>
              <w:jc w:val="center"/>
              <w:rPr>
                <w:rFonts w:ascii="Garamond" w:hAnsi="Garamond"/>
                <w:b/>
                <w:sz w:val="22"/>
                <w:szCs w:val="22"/>
                <w:lang w:val="sq-AL"/>
              </w:rPr>
            </w:pPr>
            <w:r w:rsidRPr="00DC7B64">
              <w:rPr>
                <w:rFonts w:ascii="Garamond" w:hAnsi="Garamond"/>
                <w:b/>
                <w:sz w:val="22"/>
                <w:szCs w:val="22"/>
                <w:lang w:val="sq-AL"/>
              </w:rPr>
              <w:t>Lekë/muaj/klient</w:t>
            </w:r>
          </w:p>
        </w:tc>
      </w:tr>
      <w:tr w:rsidR="006852CD" w:rsidRPr="00DC7B64" w:rsidTr="007A33C7">
        <w:trPr>
          <w:trHeight w:val="282"/>
          <w:jc w:val="center"/>
        </w:trPr>
        <w:tc>
          <w:tcPr>
            <w:tcW w:w="1939" w:type="pct"/>
            <w:vAlign w:val="center"/>
          </w:tcPr>
          <w:p w:rsidR="006852CD" w:rsidRPr="00DC7B64" w:rsidRDefault="006852CD" w:rsidP="007A33C7">
            <w:pPr>
              <w:widowControl w:val="0"/>
              <w:ind w:firstLine="0"/>
              <w:contextualSpacing/>
              <w:rPr>
                <w:rFonts w:ascii="Garamond" w:hAnsi="Garamond"/>
                <w:sz w:val="22"/>
                <w:szCs w:val="22"/>
                <w:lang w:val="sq-AL"/>
              </w:rPr>
            </w:pPr>
            <w:r w:rsidRPr="00DC7B64">
              <w:rPr>
                <w:rFonts w:ascii="Garamond" w:hAnsi="Garamond"/>
                <w:color w:val="000000"/>
                <w:sz w:val="22"/>
                <w:szCs w:val="22"/>
                <w:lang w:val="sq-AL"/>
              </w:rPr>
              <w:t>1. Konsumator familjar</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42</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26</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tr w:rsidR="006852CD" w:rsidRPr="00DC7B64" w:rsidTr="007A33C7">
        <w:trPr>
          <w:trHeight w:val="258"/>
          <w:jc w:val="center"/>
        </w:trPr>
        <w:tc>
          <w:tcPr>
            <w:tcW w:w="1939" w:type="pct"/>
            <w:vAlign w:val="center"/>
          </w:tcPr>
          <w:p w:rsidR="006852CD" w:rsidRPr="00DC7B64" w:rsidRDefault="006852CD" w:rsidP="007A33C7">
            <w:pPr>
              <w:widowControl w:val="0"/>
              <w:ind w:firstLine="0"/>
              <w:contextualSpacing/>
              <w:rPr>
                <w:rFonts w:ascii="Garamond" w:hAnsi="Garamond"/>
                <w:sz w:val="22"/>
                <w:szCs w:val="22"/>
                <w:lang w:val="sq-AL"/>
              </w:rPr>
            </w:pPr>
            <w:r w:rsidRPr="00DC7B64">
              <w:rPr>
                <w:rFonts w:ascii="Garamond" w:hAnsi="Garamond"/>
                <w:color w:val="000000"/>
                <w:sz w:val="22"/>
                <w:szCs w:val="22"/>
                <w:lang w:val="sq-AL"/>
              </w:rPr>
              <w:t>2. Konsumator publik</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60</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tr w:rsidR="006852CD" w:rsidRPr="00DC7B64" w:rsidTr="007A33C7">
        <w:trPr>
          <w:trHeight w:val="290"/>
          <w:jc w:val="center"/>
        </w:trPr>
        <w:tc>
          <w:tcPr>
            <w:tcW w:w="1939" w:type="pct"/>
            <w:vAlign w:val="center"/>
          </w:tcPr>
          <w:p w:rsidR="006852CD" w:rsidRPr="00DC7B64" w:rsidRDefault="006852CD" w:rsidP="007A33C7">
            <w:pPr>
              <w:widowControl w:val="0"/>
              <w:ind w:firstLine="0"/>
              <w:contextualSpacing/>
              <w:rPr>
                <w:rFonts w:ascii="Garamond" w:hAnsi="Garamond"/>
                <w:sz w:val="22"/>
                <w:szCs w:val="22"/>
                <w:lang w:val="sq-AL"/>
              </w:rPr>
            </w:pPr>
            <w:r w:rsidRPr="00DC7B64">
              <w:rPr>
                <w:rFonts w:ascii="Garamond" w:hAnsi="Garamond"/>
                <w:color w:val="000000"/>
                <w:sz w:val="22"/>
                <w:szCs w:val="22"/>
                <w:lang w:val="sq-AL"/>
              </w:rPr>
              <w:t>3. Konsumator privat</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60</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tr w:rsidR="006852CD" w:rsidRPr="00DC7B64" w:rsidTr="007A33C7">
        <w:trPr>
          <w:trHeight w:val="266"/>
          <w:jc w:val="center"/>
        </w:trPr>
        <w:tc>
          <w:tcPr>
            <w:tcW w:w="1939" w:type="pct"/>
            <w:vAlign w:val="center"/>
          </w:tcPr>
          <w:p w:rsidR="006852CD" w:rsidRPr="00DC7B64" w:rsidRDefault="006852CD" w:rsidP="007A33C7">
            <w:pPr>
              <w:widowControl w:val="0"/>
              <w:ind w:firstLine="0"/>
              <w:contextualSpacing/>
              <w:rPr>
                <w:rFonts w:ascii="Garamond" w:hAnsi="Garamond"/>
                <w:sz w:val="22"/>
                <w:szCs w:val="22"/>
                <w:lang w:val="sq-AL"/>
              </w:rPr>
            </w:pPr>
            <w:r w:rsidRPr="00DC7B64">
              <w:rPr>
                <w:rFonts w:ascii="Garamond" w:hAnsi="Garamond"/>
                <w:b/>
                <w:color w:val="000000"/>
                <w:sz w:val="22"/>
                <w:szCs w:val="22"/>
                <w:lang w:val="sq-AL"/>
              </w:rPr>
              <w:t>b</w:t>
            </w:r>
            <w:r w:rsidRPr="00DC7B64">
              <w:rPr>
                <w:rFonts w:ascii="Garamond" w:hAnsi="Garamond"/>
                <w:b/>
                <w:bCs/>
                <w:color w:val="000000"/>
                <w:sz w:val="22"/>
                <w:szCs w:val="22"/>
                <w:lang w:val="sq-AL"/>
              </w:rPr>
              <w:t xml:space="preserve">) </w:t>
            </w:r>
            <w:r w:rsidRPr="00DC7B64">
              <w:rPr>
                <w:rFonts w:ascii="Garamond" w:hAnsi="Garamond"/>
                <w:b/>
                <w:bCs/>
                <w:i/>
                <w:iCs/>
                <w:color w:val="000000"/>
                <w:sz w:val="22"/>
                <w:szCs w:val="22"/>
                <w:lang w:val="sq-AL"/>
              </w:rPr>
              <w:t>Për shërbimin e kanalizimeve</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b/>
                <w:sz w:val="22"/>
                <w:szCs w:val="22"/>
                <w:lang w:val="sq-AL"/>
              </w:rPr>
              <w:t>Lekë/m</w:t>
            </w:r>
            <w:r w:rsidRPr="00DC7B64">
              <w:rPr>
                <w:rFonts w:ascii="Garamond" w:hAnsi="Garamond"/>
                <w:b/>
                <w:sz w:val="22"/>
                <w:szCs w:val="22"/>
                <w:vertAlign w:val="superscript"/>
                <w:lang w:val="sq-AL"/>
              </w:rPr>
              <w:t>3</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b/>
                <w:sz w:val="22"/>
                <w:szCs w:val="22"/>
                <w:lang w:val="sq-AL"/>
              </w:rPr>
              <w:t>Lekë/m</w:t>
            </w:r>
            <w:r w:rsidRPr="00DC7B64">
              <w:rPr>
                <w:rFonts w:ascii="Garamond" w:hAnsi="Garamond"/>
                <w:b/>
                <w:sz w:val="22"/>
                <w:szCs w:val="22"/>
                <w:vertAlign w:val="superscript"/>
                <w:lang w:val="sq-AL"/>
              </w:rPr>
              <w:t>3</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b/>
                <w:sz w:val="22"/>
                <w:szCs w:val="22"/>
                <w:lang w:val="sq-AL"/>
              </w:rPr>
              <w:t>Lekë/muaj/klient</w:t>
            </w:r>
          </w:p>
        </w:tc>
      </w:tr>
      <w:tr w:rsidR="006852CD" w:rsidRPr="00DC7B64" w:rsidTr="007A33C7">
        <w:trPr>
          <w:trHeight w:val="302"/>
          <w:jc w:val="center"/>
        </w:trPr>
        <w:tc>
          <w:tcPr>
            <w:tcW w:w="1939" w:type="pct"/>
            <w:vAlign w:val="center"/>
          </w:tcPr>
          <w:p w:rsidR="006852CD" w:rsidRPr="00DC7B64" w:rsidRDefault="006852CD" w:rsidP="007A33C7">
            <w:pPr>
              <w:widowControl w:val="0"/>
              <w:ind w:firstLine="0"/>
              <w:contextualSpacing/>
              <w:rPr>
                <w:rFonts w:ascii="Garamond" w:hAnsi="Garamond"/>
                <w:sz w:val="22"/>
                <w:szCs w:val="22"/>
                <w:lang w:val="sq-AL"/>
              </w:rPr>
            </w:pPr>
            <w:r w:rsidRPr="00DC7B64">
              <w:rPr>
                <w:rFonts w:ascii="Garamond" w:hAnsi="Garamond"/>
                <w:color w:val="000000"/>
                <w:sz w:val="22"/>
                <w:szCs w:val="22"/>
                <w:lang w:val="sq-AL"/>
              </w:rPr>
              <w:t>1. Konsumator familjar</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15</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tr w:rsidR="006852CD" w:rsidRPr="00DC7B64" w:rsidTr="007A33C7">
        <w:trPr>
          <w:trHeight w:val="276"/>
          <w:jc w:val="center"/>
        </w:trPr>
        <w:tc>
          <w:tcPr>
            <w:tcW w:w="1939" w:type="pct"/>
            <w:vAlign w:val="center"/>
          </w:tcPr>
          <w:p w:rsidR="006852CD" w:rsidRPr="00DC7B64" w:rsidRDefault="006852CD" w:rsidP="007A33C7">
            <w:pPr>
              <w:widowControl w:val="0"/>
              <w:ind w:firstLine="0"/>
              <w:contextualSpacing/>
              <w:rPr>
                <w:rFonts w:ascii="Garamond" w:hAnsi="Garamond"/>
                <w:color w:val="000000"/>
                <w:sz w:val="22"/>
                <w:szCs w:val="22"/>
                <w:lang w:val="sq-AL"/>
              </w:rPr>
            </w:pPr>
            <w:r w:rsidRPr="00DC7B64">
              <w:rPr>
                <w:rFonts w:ascii="Garamond" w:hAnsi="Garamond"/>
                <w:color w:val="000000"/>
                <w:sz w:val="22"/>
                <w:szCs w:val="22"/>
                <w:lang w:val="sq-AL"/>
              </w:rPr>
              <w:t>2. Konsumator publik</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25</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tr w:rsidR="006852CD" w:rsidRPr="00DC7B64" w:rsidTr="007A33C7">
        <w:trPr>
          <w:trHeight w:val="237"/>
          <w:jc w:val="center"/>
        </w:trPr>
        <w:tc>
          <w:tcPr>
            <w:tcW w:w="1939" w:type="pct"/>
            <w:vAlign w:val="center"/>
          </w:tcPr>
          <w:p w:rsidR="006852CD" w:rsidRPr="00DC7B64" w:rsidRDefault="006852CD" w:rsidP="007A33C7">
            <w:pPr>
              <w:widowControl w:val="0"/>
              <w:ind w:firstLine="0"/>
              <w:contextualSpacing/>
              <w:rPr>
                <w:rFonts w:ascii="Garamond" w:hAnsi="Garamond"/>
                <w:color w:val="000000"/>
                <w:sz w:val="22"/>
                <w:szCs w:val="22"/>
                <w:lang w:val="sq-AL"/>
              </w:rPr>
            </w:pPr>
            <w:r w:rsidRPr="00DC7B64">
              <w:rPr>
                <w:rFonts w:ascii="Garamond" w:hAnsi="Garamond"/>
                <w:color w:val="000000"/>
                <w:sz w:val="22"/>
                <w:szCs w:val="22"/>
                <w:lang w:val="sq-AL"/>
              </w:rPr>
              <w:t>3. Konsumator privat</w:t>
            </w:r>
          </w:p>
        </w:tc>
        <w:tc>
          <w:tcPr>
            <w:tcW w:w="816"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26</w:t>
            </w:r>
          </w:p>
        </w:tc>
        <w:tc>
          <w:tcPr>
            <w:tcW w:w="765"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w:t>
            </w:r>
          </w:p>
        </w:tc>
        <w:tc>
          <w:tcPr>
            <w:tcW w:w="1480" w:type="pct"/>
            <w:vAlign w:val="center"/>
          </w:tcPr>
          <w:p w:rsidR="006852CD" w:rsidRPr="00DC7B64" w:rsidRDefault="006852CD" w:rsidP="007A33C7">
            <w:pPr>
              <w:widowControl w:val="0"/>
              <w:ind w:firstLine="0"/>
              <w:contextualSpacing/>
              <w:jc w:val="center"/>
              <w:rPr>
                <w:rFonts w:ascii="Garamond" w:hAnsi="Garamond"/>
                <w:sz w:val="22"/>
                <w:szCs w:val="22"/>
                <w:lang w:val="sq-AL"/>
              </w:rPr>
            </w:pPr>
            <w:r w:rsidRPr="00DC7B64">
              <w:rPr>
                <w:rFonts w:ascii="Garamond" w:hAnsi="Garamond"/>
                <w:sz w:val="22"/>
                <w:szCs w:val="22"/>
                <w:lang w:val="sq-AL"/>
              </w:rPr>
              <w:t>100</w:t>
            </w:r>
          </w:p>
        </w:tc>
      </w:tr>
      <w:bookmarkEnd w:id="1"/>
    </w:tbl>
    <w:p w:rsidR="006852CD" w:rsidRPr="00F014E5" w:rsidRDefault="006852CD" w:rsidP="006852CD">
      <w:pPr>
        <w:widowControl w:val="0"/>
        <w:spacing w:after="0" w:line="240" w:lineRule="auto"/>
        <w:ind w:firstLine="0"/>
        <w:rPr>
          <w:rFonts w:ascii="Garamond" w:hAnsi="Garamond"/>
          <w:sz w:val="24"/>
          <w:szCs w:val="24"/>
          <w:lang w:val="sq-AL"/>
        </w:rPr>
      </w:pPr>
    </w:p>
    <w:p w:rsidR="006852CD" w:rsidRDefault="006852CD" w:rsidP="006852CD">
      <w:pPr>
        <w:pStyle w:val="Paragrafi"/>
        <w:rPr>
          <w:sz w:val="14"/>
          <w:lang w:val="sq-AL"/>
        </w:rPr>
      </w:pPr>
    </w:p>
    <w:p w:rsidR="006852CD" w:rsidRDefault="006852CD" w:rsidP="006852CD">
      <w:pPr>
        <w:pStyle w:val="Paragrafi"/>
        <w:rPr>
          <w:sz w:val="14"/>
          <w:lang w:val="sq-AL"/>
        </w:rPr>
      </w:pPr>
    </w:p>
    <w:p w:rsidR="006852CD" w:rsidRPr="00DC7B64" w:rsidRDefault="006852CD" w:rsidP="006852CD">
      <w:pPr>
        <w:pStyle w:val="Paragrafi"/>
        <w:rPr>
          <w:sz w:val="14"/>
          <w:lang w:val="sq-AL"/>
        </w:rPr>
        <w:sectPr w:rsidR="006852CD" w:rsidRPr="00DC7B64" w:rsidSect="006852CD">
          <w:type w:val="continuous"/>
          <w:pgSz w:w="11907" w:h="16840" w:code="9"/>
          <w:pgMar w:top="720" w:right="1134" w:bottom="720" w:left="1134" w:header="851" w:footer="851" w:gutter="0"/>
          <w:cols w:space="720"/>
          <w:docGrid w:linePitch="360"/>
        </w:sectPr>
      </w:pPr>
    </w:p>
    <w:p w:rsidR="006852CD" w:rsidRPr="00DC7B64" w:rsidRDefault="006852CD" w:rsidP="006852CD">
      <w:pPr>
        <w:pStyle w:val="Paragrafi"/>
        <w:rPr>
          <w:spacing w:val="-4"/>
          <w:lang w:val="sq-AL"/>
        </w:rPr>
      </w:pPr>
      <w:r w:rsidRPr="00DC7B64">
        <w:rPr>
          <w:spacing w:val="-4"/>
          <w:lang w:val="sq-AL"/>
        </w:rPr>
        <w:lastRenderedPageBreak/>
        <w:t>4. Referuar kërkesës dhe dokumentacionit shoqërues, rezulton se:</w:t>
      </w:r>
    </w:p>
    <w:p w:rsidR="006852CD" w:rsidRPr="00DC7B64" w:rsidRDefault="006852CD" w:rsidP="006852CD">
      <w:pPr>
        <w:pStyle w:val="Paragrafi"/>
        <w:rPr>
          <w:color w:val="000000" w:themeColor="text1"/>
          <w:spacing w:val="-4"/>
          <w:lang w:val="sq-AL"/>
        </w:rPr>
      </w:pPr>
      <w:r w:rsidRPr="00DC7B64">
        <w:rPr>
          <w:color w:val="000000" w:themeColor="text1"/>
          <w:spacing w:val="-4"/>
          <w:lang w:val="sq-AL"/>
        </w:rPr>
        <w:t>a) Shoqëria UK Librazhd, Përrenjas, në vitin 2017 mbulon 88% të kostove totale, ndërkohë për arsye të zgjerimit të zonës në vitin 2018 (i pritshëm), ky tregues bie në masën 83%. Për vitin 2019, si rezultat i rritjes së të ardhurave nga tarifat dhe përmirësimi i menaxhimit është parashikuar që mbulimi i kostove totale të jetë 102%.</w:t>
      </w:r>
    </w:p>
    <w:p w:rsidR="006852CD" w:rsidRPr="00DC7B64" w:rsidRDefault="006852CD" w:rsidP="006852CD">
      <w:pPr>
        <w:pStyle w:val="Paragrafi"/>
        <w:rPr>
          <w:color w:val="000000" w:themeColor="text1"/>
          <w:spacing w:val="-4"/>
          <w:lang w:val="sq-AL"/>
        </w:rPr>
      </w:pPr>
      <w:r w:rsidRPr="00DC7B64">
        <w:rPr>
          <w:color w:val="000000" w:themeColor="text1"/>
          <w:spacing w:val="-4"/>
          <w:lang w:val="sq-AL"/>
        </w:rPr>
        <w:t>b) Për vitin 2019 shoqëria ka propozuar një rritje të kostove me rreth 6% krahasuar me vitin 2018, ndërsa të ardhurat nga aktiviteti janë parashikuar të rriten me 30%, si rezultat i</w:t>
      </w:r>
      <w:r w:rsidRPr="00DC7B64">
        <w:rPr>
          <w:spacing w:val="-4"/>
          <w:lang w:val="sq-AL"/>
        </w:rPr>
        <w:t xml:space="preserve"> rritjes së treguesit të normës së faturimit, mbledhjes së borxheve dhe si rezultat i evidentimit të lidhjeve të paligjshme dhe legalizimit të tyre me kontrata.</w:t>
      </w:r>
    </w:p>
    <w:p w:rsidR="006852CD" w:rsidRPr="00DC7B64" w:rsidRDefault="006852CD" w:rsidP="006852CD">
      <w:pPr>
        <w:pStyle w:val="Paragrafi"/>
        <w:rPr>
          <w:spacing w:val="-4"/>
          <w:lang w:val="sq-AL"/>
        </w:rPr>
      </w:pPr>
      <w:r w:rsidRPr="00DC7B64">
        <w:rPr>
          <w:color w:val="000000" w:themeColor="text1"/>
          <w:spacing w:val="-4"/>
          <w:lang w:val="sq-AL"/>
        </w:rPr>
        <w:t>c) Uji pa</w:t>
      </w:r>
      <w:r w:rsidRPr="00DC7B64">
        <w:rPr>
          <w:spacing w:val="-4"/>
          <w:lang w:val="sq-AL"/>
        </w:rPr>
        <w:t xml:space="preserve"> të ardhura parashikohet që në vitin 2019 të jetë në nivelin 71%, me pak ndryshim pozitiv krahasuar me vitin 2017, sepse sistemi i furnizimit me ujë nuk është me ngritje mekanike (me vetërrjedhje), por që, gjithsesi, është nivel i papranueshëm i këtij treguesi.</w:t>
      </w:r>
    </w:p>
    <w:p w:rsidR="006852CD" w:rsidRPr="00DC7B64" w:rsidRDefault="006852CD" w:rsidP="006852CD">
      <w:pPr>
        <w:pStyle w:val="Paragrafi"/>
        <w:rPr>
          <w:spacing w:val="-4"/>
          <w:lang w:val="sq-AL"/>
        </w:rPr>
      </w:pPr>
      <w:r w:rsidRPr="00DC7B64">
        <w:rPr>
          <w:spacing w:val="-4"/>
          <w:lang w:val="sq-AL"/>
        </w:rPr>
        <w:t>d) Niveli i matjes parashikohet të jetë 100% në vitin 2019 krahasuar me 96% që është aktualisht.</w:t>
      </w:r>
    </w:p>
    <w:p w:rsidR="006852CD" w:rsidRPr="00DC7B64" w:rsidRDefault="006852CD" w:rsidP="006852CD">
      <w:pPr>
        <w:pStyle w:val="Paragrafi"/>
        <w:rPr>
          <w:spacing w:val="-4"/>
          <w:lang w:val="sq-AL"/>
        </w:rPr>
      </w:pPr>
      <w:r w:rsidRPr="00DC7B64">
        <w:rPr>
          <w:spacing w:val="-4"/>
          <w:lang w:val="sq-AL"/>
        </w:rPr>
        <w:t>e) Kohëzgjatja mesatare e orëve të furnizimit me ujë është 24 orë në ditë për të gjitha zonat ku ekzistojnë sisteme inxhinierike të furnizimit me ujë.</w:t>
      </w:r>
    </w:p>
    <w:p w:rsidR="006852CD" w:rsidRPr="00DC7B64" w:rsidRDefault="006852CD" w:rsidP="006852CD">
      <w:pPr>
        <w:pStyle w:val="Paragrafi"/>
        <w:rPr>
          <w:spacing w:val="-4"/>
          <w:lang w:val="sq-AL"/>
        </w:rPr>
      </w:pPr>
      <w:r w:rsidRPr="00DC7B64">
        <w:rPr>
          <w:spacing w:val="-4"/>
          <w:lang w:val="sq-AL"/>
        </w:rPr>
        <w:t>f) Norma e arkëtimit parashikohet të për-mirësohet me rreth 9% krahasuar me vitin 2017. Shoqëria raporton se ka një plan veprimi lidhur me eficiencën e mbledhjes së të ardhurave.</w:t>
      </w:r>
    </w:p>
    <w:p w:rsidR="006852CD" w:rsidRPr="00DC7B64" w:rsidRDefault="006852CD" w:rsidP="006852CD">
      <w:pPr>
        <w:pStyle w:val="Paragrafi"/>
        <w:rPr>
          <w:b/>
          <w:spacing w:val="-4"/>
          <w:lang w:val="sq-AL"/>
        </w:rPr>
      </w:pPr>
      <w:r w:rsidRPr="00DC7B64">
        <w:rPr>
          <w:spacing w:val="-4"/>
          <w:lang w:val="sq-AL"/>
        </w:rPr>
        <w:t>g) Nga 76.615 banorë të regjistruar në regjistrin e gjendjes civile përfitojnë shërbimin e furnizimit me ujë të pijshëm nëpërmjet rrjetit të ujësjellësit rreth 18.752 banorë ose rreth 24% e popullsisë.</w:t>
      </w:r>
    </w:p>
    <w:p w:rsidR="006852CD" w:rsidRPr="00DC7B64" w:rsidRDefault="006852CD" w:rsidP="006852CD">
      <w:pPr>
        <w:pStyle w:val="Paragrafi"/>
        <w:rPr>
          <w:spacing w:val="-4"/>
          <w:lang w:val="sq-AL"/>
        </w:rPr>
      </w:pPr>
      <w:r w:rsidRPr="00DC7B64">
        <w:rPr>
          <w:spacing w:val="-4"/>
          <w:lang w:val="sq-AL"/>
        </w:rPr>
        <w:t>h) Shërbimi i largimit të ujërave të ndotura ofrohet vetëm në zonën urbane dhe përfitues janë 20% të popullsisë totale të regjistruar në regjistrin e gjendjes civile. Viti 2019 është parashikuar me një rritje minimale prej 1%.</w:t>
      </w:r>
    </w:p>
    <w:p w:rsidR="006852CD" w:rsidRPr="008139D0" w:rsidRDefault="006852CD" w:rsidP="006852CD">
      <w:pPr>
        <w:pStyle w:val="Paragrafi"/>
        <w:rPr>
          <w:spacing w:val="-4"/>
          <w:lang w:val="sq-AL"/>
        </w:rPr>
      </w:pPr>
      <w:r w:rsidRPr="00DC7B64">
        <w:rPr>
          <w:spacing w:val="-4"/>
          <w:lang w:val="sq-AL"/>
        </w:rPr>
        <w:t xml:space="preserve">i) Treguesi i efikasitetit të stafit, për vitin 2019, parashikohet të përmirësohet dhe në mbyllje të vitit 2019 të jetë 4.68 punonjës për 1000 lidhje nga 6.34 </w:t>
      </w:r>
      <w:r w:rsidRPr="008139D0">
        <w:rPr>
          <w:spacing w:val="-4"/>
          <w:lang w:val="sq-AL"/>
        </w:rPr>
        <w:t>që ishte në vitin 2017, përmirësim i cili do të vijë nga reduktimi i stafit që merret me aktivitetin e shoqërisë.</w:t>
      </w:r>
    </w:p>
    <w:p w:rsidR="006852CD" w:rsidRPr="008139D0" w:rsidRDefault="006852CD" w:rsidP="006852CD">
      <w:pPr>
        <w:pStyle w:val="Paragrafi"/>
        <w:rPr>
          <w:spacing w:val="-4"/>
          <w:lang w:val="sq-AL"/>
        </w:rPr>
      </w:pPr>
      <w:r w:rsidRPr="008139D0">
        <w:rPr>
          <w:spacing w:val="-4"/>
          <w:lang w:val="sq-AL"/>
        </w:rPr>
        <w:t>5. Nevoja e ndryshimit të tarifave nga ana e UK Librazhd, Përrenjas argumentohet, me:</w:t>
      </w:r>
    </w:p>
    <w:p w:rsidR="006852CD" w:rsidRPr="008139D0" w:rsidRDefault="006852CD" w:rsidP="006852CD">
      <w:pPr>
        <w:pStyle w:val="Paragrafi"/>
        <w:rPr>
          <w:spacing w:val="-4"/>
          <w:lang w:val="sq-AL"/>
        </w:rPr>
      </w:pPr>
      <w:r w:rsidRPr="008139D0">
        <w:rPr>
          <w:spacing w:val="-4"/>
          <w:lang w:val="sq-AL"/>
        </w:rPr>
        <w:t>a) Pas zgjerimit të zonës së shërbimit shoqëria aplikon për herë të parë, sipas metodologjisë, “Për vendosjen e tarifave për shërbimin e furnizimit me ujë dhe largimin e përpunimin e ujërave të ndotura”, miratuar nga Komisioni Kombëtar Rregullator, me vendimin nr. 42, datë 9.12.2015, bazuar në analizën e gjendjes teknike dhe ekonomike të saj, konkretisht, analizën e kostove dhe të ardhurave për shërbimet e ofruara dhe më pas përcaktimi i objektivave për treguesit e performancës.</w:t>
      </w:r>
    </w:p>
    <w:p w:rsidR="006852CD" w:rsidRPr="008139D0" w:rsidRDefault="006852CD" w:rsidP="006852CD">
      <w:pPr>
        <w:pStyle w:val="Paragrafi"/>
        <w:rPr>
          <w:spacing w:val="-4"/>
          <w:lang w:val="sq-AL"/>
        </w:rPr>
      </w:pPr>
      <w:r w:rsidRPr="008139D0">
        <w:rPr>
          <w:spacing w:val="-4"/>
          <w:lang w:val="sq-AL"/>
        </w:rPr>
        <w:t>b) Shoqëria përfshin në zonën e saj të shërbimit territorin administrativ të Bashkisë Përrenjas dhe të Bashkisë Librazhd, pas reformës administrative territoriale.</w:t>
      </w:r>
    </w:p>
    <w:p w:rsidR="006852CD" w:rsidRPr="008139D0" w:rsidRDefault="006852CD" w:rsidP="006852CD">
      <w:pPr>
        <w:pStyle w:val="Paragrafi"/>
        <w:rPr>
          <w:spacing w:val="-4"/>
          <w:lang w:val="sq-AL"/>
        </w:rPr>
      </w:pPr>
      <w:r w:rsidRPr="008139D0">
        <w:rPr>
          <w:spacing w:val="-4"/>
          <w:lang w:val="sq-AL"/>
        </w:rPr>
        <w:t>c) Shoqëria paraqitet mjaft problematike në drejtim të shtrirjes së shërbimeve UK. Mbulohet me shërbimin e furnizimit me ujë vetëm 82% e popullsisë së zonës urbane. Në zonën rurale vetëm 5% e popullsisë së regjistruar në juridiksion janë përfitues të furnizimit me ujë të pijshëm. Shërbimi i kanalizimeve ofrohet vetëm për zonën urbane. Rritja e tarifave të shërbimit të furnizimit me ujë dhe kanalizimeve të ujërave të ndotura paraqitet më se e domosdoshme, në mënyrë që gradualisht të arrihen të përmbushen nevojat për investime fizike, kryesisht për të mbuluar nevojat për zonat e pambuluara me shërbim.</w:t>
      </w:r>
    </w:p>
    <w:p w:rsidR="006852CD" w:rsidRPr="008139D0" w:rsidRDefault="006852CD" w:rsidP="006852CD">
      <w:pPr>
        <w:pStyle w:val="Paragrafi"/>
        <w:rPr>
          <w:spacing w:val="-4"/>
          <w:lang w:val="sq-AL"/>
        </w:rPr>
      </w:pPr>
      <w:r w:rsidRPr="008139D0">
        <w:rPr>
          <w:spacing w:val="-4"/>
          <w:lang w:val="sq-AL"/>
        </w:rPr>
        <w:t>6. ERRU-ja, gjatë procesit të analizës teknike-ekonomike, sipas metodologjisë së llogaritjes së tarifave të përcaktuar në vendimin nr. 42, ka kërkuar nga UK Librazhd, Përrenjas, informacion shtesë, si dhe verifikim të saktësisë së të dhënave, të cilat janë vënë në dispozicion.</w:t>
      </w:r>
    </w:p>
    <w:p w:rsidR="006852CD" w:rsidRPr="008139D0" w:rsidRDefault="006852CD" w:rsidP="006852CD">
      <w:pPr>
        <w:pStyle w:val="Paragrafi"/>
        <w:rPr>
          <w:spacing w:val="-4"/>
          <w:lang w:val="sq-AL"/>
        </w:rPr>
      </w:pPr>
      <w:r w:rsidRPr="008139D0">
        <w:rPr>
          <w:spacing w:val="-4"/>
          <w:lang w:val="sq-AL"/>
        </w:rPr>
        <w:t>7. ERRU-ja, në vlerësimin e tarifave të propozuara dhe treguesve të performancës, si dhe në analizën ekonomike-financiare, ka marrë në konsideratë përmbushjen nga ana e UK Librazhd, Përrenjas, të:</w:t>
      </w:r>
    </w:p>
    <w:p w:rsidR="006852CD" w:rsidRPr="008139D0" w:rsidRDefault="006852CD" w:rsidP="006852CD">
      <w:pPr>
        <w:pStyle w:val="Paragrafi"/>
        <w:rPr>
          <w:spacing w:val="-4"/>
          <w:lang w:val="sq-AL"/>
        </w:rPr>
      </w:pPr>
      <w:r w:rsidRPr="008139D0">
        <w:rPr>
          <w:spacing w:val="-4"/>
          <w:lang w:val="sq-AL"/>
        </w:rPr>
        <w:t>a) Kërkesave të ligjit nr. 8102, si dhe të akteve nënligjore dhe kuadrit rregullator në fuqi, në mënyrë të veçantë mbrojtjen e konsumatorëve nga çmimet monopol;</w:t>
      </w:r>
    </w:p>
    <w:p w:rsidR="006852CD" w:rsidRPr="008139D0" w:rsidRDefault="006852CD" w:rsidP="006852CD">
      <w:pPr>
        <w:pStyle w:val="Paragrafi"/>
        <w:rPr>
          <w:spacing w:val="-4"/>
          <w:lang w:val="sq-AL"/>
        </w:rPr>
      </w:pPr>
      <w:r w:rsidRPr="008139D0">
        <w:rPr>
          <w:spacing w:val="-4"/>
          <w:lang w:val="sq-AL"/>
        </w:rPr>
        <w:t>b) Kërkesave të ligjit nr. 9121, datë 28.7.2003, “Për mbrojtjen e konkurrencës”, të ndryshuar (ligji nr. 9121), për moslejimin e abuzimit me pozitën dominuese në treg të ndërmarrjes nëpërmjet vendosjes, në mënyrë të drejtpërdrejtë ose të tërthortë, të çmimeve të padrejta të shitjes apo të kushteve të tjera të tregtimit;</w:t>
      </w:r>
    </w:p>
    <w:p w:rsidR="006852CD" w:rsidRPr="008139D0" w:rsidRDefault="006852CD" w:rsidP="006852CD">
      <w:pPr>
        <w:pStyle w:val="Paragrafi"/>
        <w:rPr>
          <w:spacing w:val="-4"/>
          <w:lang w:val="sq-AL"/>
        </w:rPr>
      </w:pPr>
      <w:r w:rsidRPr="008139D0">
        <w:rPr>
          <w:spacing w:val="-4"/>
          <w:lang w:val="sq-AL"/>
        </w:rPr>
        <w:t>c) Kërkesave të ligjit nr. 9902, datë 17.4.2008, “Për mbrojtjen e konsumatorëve”, të ndryshuar (ligji nr. 9902);</w:t>
      </w:r>
    </w:p>
    <w:p w:rsidR="006852CD" w:rsidRPr="008139D0" w:rsidRDefault="006852CD" w:rsidP="006852CD">
      <w:pPr>
        <w:pStyle w:val="Paragrafi"/>
        <w:rPr>
          <w:spacing w:val="-4"/>
          <w:lang w:val="sq-AL"/>
        </w:rPr>
      </w:pPr>
      <w:r w:rsidRPr="008139D0">
        <w:rPr>
          <w:spacing w:val="-4"/>
          <w:lang w:val="sq-AL"/>
        </w:rPr>
        <w:t>d) Mbulimit të kostove totale për të dyja shërbimet, pasi, aktualisht shoqëria bën pjesë në grupin e shoqërive që duhet të arrijnë të mbulojnë këto kosto;</w:t>
      </w:r>
    </w:p>
    <w:p w:rsidR="006852CD" w:rsidRPr="008139D0" w:rsidRDefault="006852CD" w:rsidP="006852CD">
      <w:pPr>
        <w:pStyle w:val="Paragrafi"/>
        <w:rPr>
          <w:spacing w:val="-4"/>
          <w:lang w:val="sq-AL"/>
        </w:rPr>
      </w:pPr>
      <w:r w:rsidRPr="008139D0">
        <w:rPr>
          <w:spacing w:val="-4"/>
          <w:lang w:val="sq-AL"/>
        </w:rPr>
        <w:t>e) Tarifat e propozuara nga operatori të jenë në përputhje të plotë me parimin ligjor rregullator mbi përballueshmërinë, sipas të cilit tarifat duhet të jenë të përballueshme për nevojat bazë të konsumit për konsumatorët me të ardhura të ulëta.</w:t>
      </w:r>
    </w:p>
    <w:p w:rsidR="006852CD" w:rsidRPr="008139D0" w:rsidRDefault="006852CD" w:rsidP="006852CD">
      <w:pPr>
        <w:pStyle w:val="Paragrafi"/>
        <w:rPr>
          <w:color w:val="000000" w:themeColor="text1"/>
          <w:spacing w:val="-4"/>
          <w:lang w:val="sq-AL"/>
        </w:rPr>
      </w:pPr>
      <w:r w:rsidRPr="008139D0">
        <w:rPr>
          <w:color w:val="000000" w:themeColor="text1"/>
          <w:spacing w:val="-4"/>
          <w:lang w:val="sq-AL"/>
        </w:rPr>
        <w:t xml:space="preserve">8. Komisioni Kombëtar Rregullator shqyrtoi dhe konsideroi vendimin e Autoritetit të Konkurrencës nr. </w:t>
      </w:r>
      <w:r w:rsidRPr="008139D0">
        <w:rPr>
          <w:color w:val="000000" w:themeColor="text1"/>
          <w:spacing w:val="-4"/>
          <w:lang w:val="sq-AL"/>
        </w:rPr>
        <w:lastRenderedPageBreak/>
        <w:t>557, datë 8.10.2018, “Mbi vlerësimin e projektvendimit të Entit Rregullator të Ujit, lidhur me aplikimin për ndryshimin e nivelit tarifor për Ujësjellës-Kanalizime Librazhd, Përrenjas”.</w:t>
      </w:r>
    </w:p>
    <w:p w:rsidR="006852CD" w:rsidRPr="008139D0" w:rsidRDefault="006852CD" w:rsidP="006852CD">
      <w:pPr>
        <w:pStyle w:val="Paragrafi"/>
        <w:rPr>
          <w:spacing w:val="-4"/>
          <w:lang w:val="sq-AL"/>
        </w:rPr>
      </w:pPr>
      <w:r w:rsidRPr="008139D0">
        <w:rPr>
          <w:spacing w:val="-4"/>
          <w:lang w:val="sq-AL"/>
        </w:rPr>
        <w:t>9. ERRU-ja, në bazë të analizës, verifikimeve dhe komunikimit me stafin drejtues të shoqërisë, i konsideron të arritshëm objektivat mbi treguesit e performancës dhe për këtë rekomandon:</w:t>
      </w:r>
    </w:p>
    <w:p w:rsidR="006852CD" w:rsidRPr="008139D0" w:rsidRDefault="006852CD" w:rsidP="006852CD">
      <w:pPr>
        <w:pStyle w:val="Paragrafi"/>
        <w:rPr>
          <w:spacing w:val="-4"/>
          <w:lang w:val="sq-AL"/>
        </w:rPr>
      </w:pPr>
      <w:r w:rsidRPr="008139D0">
        <w:rPr>
          <w:spacing w:val="-4"/>
          <w:lang w:val="sq-AL"/>
        </w:rPr>
        <w:t>- Shoqëria duhet të tregojë kujdes në hartimin e bilancit të ujit në drejtim të dhënies së argumenteve për secilin nënzë të humbjeve administrative dhe humbjeve fizike, si dhe që të dhënat e raportuara nga Departamenti i Klientëve të jenë të përputhshme me ato të bilancit të ujit nga dega teknike.</w:t>
      </w:r>
    </w:p>
    <w:p w:rsidR="006852CD" w:rsidRPr="008139D0" w:rsidRDefault="006852CD" w:rsidP="006852CD">
      <w:pPr>
        <w:pStyle w:val="Paragrafi"/>
        <w:rPr>
          <w:spacing w:val="-4"/>
          <w:lang w:val="sq-AL"/>
        </w:rPr>
      </w:pPr>
      <w:r w:rsidRPr="008139D0">
        <w:rPr>
          <w:spacing w:val="-4"/>
          <w:lang w:val="sq-AL"/>
        </w:rPr>
        <w:t>- Shoqëria ka një planbiznesi (2017–2021), por që nuk është i përditësuar me ndryshimet e ndodhura në kuadër të riorganizimit të shoqërisë sipas vendimit të Këshillit të Ministrave nr. 63, datë 27.1.2016 dhe duhet të hartojë brenda vitit 2019, planin e biznesit 5-vjeçar për të gjithë zonën e shërbimit.</w:t>
      </w:r>
    </w:p>
    <w:p w:rsidR="006852CD" w:rsidRPr="008139D0" w:rsidRDefault="006852CD" w:rsidP="006852CD">
      <w:pPr>
        <w:pStyle w:val="Paragrafi"/>
        <w:rPr>
          <w:spacing w:val="-4"/>
          <w:lang w:val="sq-AL"/>
        </w:rPr>
      </w:pPr>
      <w:r w:rsidRPr="008139D0">
        <w:rPr>
          <w:spacing w:val="-4"/>
          <w:lang w:val="sq-AL"/>
        </w:rPr>
        <w:t>- Shoqëria duhet të hartojë një program për të ulur humbjet fizike, si dhe një plan kontrolli dhe disiplinimi të konsumatorëve abuzivë dhe lidhjeve të paligjshme.</w:t>
      </w:r>
    </w:p>
    <w:p w:rsidR="006852CD" w:rsidRPr="008139D0" w:rsidRDefault="006852CD" w:rsidP="006852CD">
      <w:pPr>
        <w:pStyle w:val="Paragrafi"/>
        <w:rPr>
          <w:spacing w:val="-4"/>
          <w:lang w:val="sq-AL"/>
        </w:rPr>
      </w:pPr>
      <w:r w:rsidRPr="008139D0">
        <w:rPr>
          <w:spacing w:val="-4"/>
          <w:lang w:val="sq-AL"/>
        </w:rPr>
        <w:t>- Shoqëria duhet të hartojë një plan masash të detajuar për vjeljen e debive të prapambetura.</w:t>
      </w:r>
    </w:p>
    <w:p w:rsidR="006852CD" w:rsidRPr="008139D0" w:rsidRDefault="006852CD" w:rsidP="006852CD">
      <w:pPr>
        <w:pStyle w:val="Paragrafi"/>
        <w:rPr>
          <w:spacing w:val="-4"/>
          <w:lang w:val="sq-AL"/>
        </w:rPr>
      </w:pPr>
      <w:r w:rsidRPr="008139D0">
        <w:rPr>
          <w:spacing w:val="-4"/>
          <w:lang w:val="sq-AL"/>
        </w:rPr>
        <w:t xml:space="preserve">- Shoqëria duhet urgjentisht të përditësojë dhe të saktësojë </w:t>
      </w:r>
      <w:r w:rsidRPr="008139D0">
        <w:rPr>
          <w:i/>
          <w:spacing w:val="-4"/>
          <w:lang w:val="sq-AL"/>
        </w:rPr>
        <w:t>database</w:t>
      </w:r>
      <w:r w:rsidRPr="008139D0">
        <w:rPr>
          <w:spacing w:val="-4"/>
          <w:lang w:val="sq-AL"/>
        </w:rPr>
        <w:t xml:space="preserve"> të klientëve, duke ndaluar së faturuari klientët të cilët nuk ekzistojnë më, si dhe të hartojë një plan pune për të saktësuar shoqëritë që kanë ndërruar adresa ose janë larguar përfundimisht.</w:t>
      </w:r>
    </w:p>
    <w:p w:rsidR="006852CD" w:rsidRDefault="006852CD" w:rsidP="006852CD">
      <w:pPr>
        <w:pStyle w:val="Paragrafi"/>
        <w:rPr>
          <w:spacing w:val="-4"/>
          <w:lang w:val="sq-AL"/>
        </w:rPr>
      </w:pPr>
      <w:r w:rsidRPr="008139D0">
        <w:rPr>
          <w:spacing w:val="-4"/>
          <w:lang w:val="sq-AL"/>
        </w:rPr>
        <w:t>Për gjithë sa më sipër, Komisioni Kombëtar Rregullator, pasi arriti në përfundimin se tarifat e propozuara janë të justifikuara ligjërisht, nuk janë abuzive dhe plotësojnë kërkesat ligjore të parashikuara në ligjin nr. 9121, “Për mbrojtjen e konkurrencës”, ligjin nr. 9902, “Për mbrojtjen e konsumatorëve”, si edhe kuadrin rregullator në fuqi,</w:t>
      </w:r>
    </w:p>
    <w:p w:rsidR="006852CD" w:rsidRPr="008139D0" w:rsidRDefault="006852CD" w:rsidP="006852CD">
      <w:pPr>
        <w:pStyle w:val="Paragrafi"/>
        <w:rPr>
          <w:spacing w:val="-4"/>
          <w:lang w:val="sq-AL"/>
        </w:rPr>
      </w:pPr>
    </w:p>
    <w:p w:rsidR="006852CD" w:rsidRPr="008139D0" w:rsidRDefault="006852CD" w:rsidP="006852CD">
      <w:pPr>
        <w:pStyle w:val="NeniNr"/>
        <w:keepNext w:val="0"/>
        <w:rPr>
          <w:spacing w:val="-4"/>
          <w:lang w:val="sq-AL"/>
        </w:rPr>
      </w:pPr>
      <w:r w:rsidRPr="008139D0">
        <w:rPr>
          <w:spacing w:val="-4"/>
          <w:lang w:val="sq-AL"/>
        </w:rPr>
        <w:t>VENDOSI:</w:t>
      </w:r>
    </w:p>
    <w:p w:rsidR="006852CD" w:rsidRPr="008139D0" w:rsidRDefault="006852CD" w:rsidP="006852CD">
      <w:pPr>
        <w:widowControl w:val="0"/>
        <w:spacing w:after="0" w:line="240" w:lineRule="auto"/>
        <w:ind w:firstLine="0"/>
        <w:rPr>
          <w:rFonts w:ascii="Garamond" w:hAnsi="Garamond"/>
          <w:b/>
          <w:spacing w:val="-4"/>
          <w:sz w:val="8"/>
          <w:szCs w:val="24"/>
          <w:lang w:val="sq-AL"/>
        </w:rPr>
      </w:pPr>
    </w:p>
    <w:p w:rsidR="006852CD" w:rsidRPr="008139D0" w:rsidRDefault="006852CD" w:rsidP="006852CD">
      <w:pPr>
        <w:pStyle w:val="Paragrafi"/>
        <w:rPr>
          <w:spacing w:val="-4"/>
          <w:lang w:val="sq-AL"/>
        </w:rPr>
      </w:pPr>
      <w:r w:rsidRPr="008139D0">
        <w:rPr>
          <w:spacing w:val="-4"/>
          <w:lang w:val="sq-AL"/>
        </w:rPr>
        <w:t>1. Miratimin e tarifave për shoqërinë Ujësjellës-Kanalizime Librazhd, Përrenjas, si më poshtë:</w:t>
      </w:r>
    </w:p>
    <w:p w:rsidR="006852CD" w:rsidRPr="00F014E5" w:rsidRDefault="006852CD" w:rsidP="006852CD">
      <w:pPr>
        <w:pStyle w:val="Paragrafi"/>
        <w:ind w:firstLine="0"/>
        <w:rPr>
          <w:lang w:val="sq-AL"/>
        </w:rPr>
        <w:sectPr w:rsidR="006852CD" w:rsidRPr="00F014E5" w:rsidSect="006852CD">
          <w:type w:val="continuous"/>
          <w:pgSz w:w="11907" w:h="16840" w:code="9"/>
          <w:pgMar w:top="720" w:right="1134" w:bottom="720" w:left="1134" w:header="851" w:footer="851" w:gutter="0"/>
          <w:cols w:space="454"/>
          <w:docGrid w:linePitch="360"/>
        </w:sectPr>
      </w:pPr>
    </w:p>
    <w:p w:rsidR="006852CD" w:rsidRPr="00F014E5" w:rsidRDefault="006852CD" w:rsidP="006852CD">
      <w:pPr>
        <w:pStyle w:val="Paragrafi"/>
        <w:rPr>
          <w:sz w:val="4"/>
          <w:lang w:val="sq-AL"/>
        </w:rPr>
      </w:pPr>
    </w:p>
    <w:tbl>
      <w:tblPr>
        <w:tblStyle w:val="TableGrid"/>
        <w:tblW w:w="0" w:type="auto"/>
        <w:jc w:val="center"/>
        <w:tblLook w:val="04A0" w:firstRow="1" w:lastRow="0" w:firstColumn="1" w:lastColumn="0" w:noHBand="0" w:noVBand="1"/>
      </w:tblPr>
      <w:tblGrid>
        <w:gridCol w:w="4037"/>
        <w:gridCol w:w="1440"/>
        <w:gridCol w:w="1350"/>
        <w:gridCol w:w="2610"/>
      </w:tblGrid>
      <w:tr w:rsidR="006852CD" w:rsidRPr="008139D0" w:rsidTr="007A33C7">
        <w:trPr>
          <w:trHeight w:val="245"/>
          <w:jc w:val="center"/>
        </w:trPr>
        <w:tc>
          <w:tcPr>
            <w:tcW w:w="4037" w:type="dxa"/>
            <w:vMerge w:val="restart"/>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bCs/>
                <w:color w:val="000000"/>
                <w:sz w:val="24"/>
                <w:szCs w:val="24"/>
                <w:lang w:val="sq-AL"/>
              </w:rPr>
              <w:t>Kategoria</w:t>
            </w:r>
          </w:p>
        </w:tc>
        <w:tc>
          <w:tcPr>
            <w:tcW w:w="2790" w:type="dxa"/>
            <w:gridSpan w:val="2"/>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bCs/>
                <w:color w:val="000000"/>
                <w:sz w:val="24"/>
                <w:szCs w:val="24"/>
                <w:lang w:val="sq-AL"/>
              </w:rPr>
              <w:t>Tarifat volumetrike</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bCs/>
                <w:color w:val="000000"/>
                <w:sz w:val="24"/>
                <w:szCs w:val="24"/>
                <w:lang w:val="sq-AL"/>
              </w:rPr>
              <w:t>Tarifa fikse shërbimi</w:t>
            </w:r>
          </w:p>
        </w:tc>
      </w:tr>
      <w:tr w:rsidR="006852CD" w:rsidRPr="008139D0" w:rsidTr="007A33C7">
        <w:trPr>
          <w:trHeight w:val="220"/>
          <w:jc w:val="center"/>
        </w:trPr>
        <w:tc>
          <w:tcPr>
            <w:tcW w:w="4037" w:type="dxa"/>
            <w:vMerge/>
          </w:tcPr>
          <w:p w:rsidR="006852CD" w:rsidRPr="008139D0" w:rsidRDefault="006852CD" w:rsidP="007A33C7">
            <w:pPr>
              <w:widowControl w:val="0"/>
              <w:ind w:firstLine="0"/>
              <w:contextualSpacing/>
              <w:jc w:val="center"/>
              <w:rPr>
                <w:rFonts w:ascii="Garamond" w:hAnsi="Garamond"/>
                <w:sz w:val="24"/>
                <w:szCs w:val="24"/>
                <w:lang w:val="sq-AL"/>
              </w:rPr>
            </w:pPr>
          </w:p>
        </w:tc>
        <w:tc>
          <w:tcPr>
            <w:tcW w:w="144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Zona urbane</w:t>
            </w:r>
          </w:p>
        </w:tc>
        <w:tc>
          <w:tcPr>
            <w:tcW w:w="135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Zona rurale</w:t>
            </w:r>
          </w:p>
        </w:tc>
        <w:tc>
          <w:tcPr>
            <w:tcW w:w="261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Zonat urbane dhe rurale</w:t>
            </w:r>
          </w:p>
        </w:tc>
      </w:tr>
      <w:tr w:rsidR="006852CD" w:rsidRPr="008139D0" w:rsidTr="007A33C7">
        <w:trPr>
          <w:trHeight w:val="302"/>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b/>
                <w:bCs/>
                <w:color w:val="000000"/>
                <w:sz w:val="24"/>
                <w:szCs w:val="24"/>
                <w:lang w:val="sq-AL"/>
              </w:rPr>
              <w:t xml:space="preserve">a) </w:t>
            </w:r>
            <w:r w:rsidRPr="008139D0">
              <w:rPr>
                <w:rFonts w:ascii="Garamond" w:hAnsi="Garamond"/>
                <w:b/>
                <w:bCs/>
                <w:i/>
                <w:iCs/>
                <w:color w:val="000000"/>
                <w:sz w:val="24"/>
                <w:szCs w:val="24"/>
                <w:lang w:val="sq-AL"/>
              </w:rPr>
              <w:t>Për shërbimin e furnizimit me ujë</w:t>
            </w:r>
          </w:p>
        </w:tc>
        <w:tc>
          <w:tcPr>
            <w:tcW w:w="144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Lekë/m</w:t>
            </w:r>
            <w:r w:rsidRPr="008139D0">
              <w:rPr>
                <w:rFonts w:ascii="Garamond" w:hAnsi="Garamond"/>
                <w:b/>
                <w:sz w:val="24"/>
                <w:szCs w:val="24"/>
                <w:vertAlign w:val="superscript"/>
                <w:lang w:val="sq-AL"/>
              </w:rPr>
              <w:t>3</w:t>
            </w:r>
          </w:p>
        </w:tc>
        <w:tc>
          <w:tcPr>
            <w:tcW w:w="135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Lekë/m</w:t>
            </w:r>
            <w:r w:rsidRPr="008139D0">
              <w:rPr>
                <w:rFonts w:ascii="Garamond" w:hAnsi="Garamond"/>
                <w:b/>
                <w:sz w:val="24"/>
                <w:szCs w:val="24"/>
                <w:vertAlign w:val="superscript"/>
                <w:lang w:val="sq-AL"/>
              </w:rPr>
              <w:t>3</w:t>
            </w:r>
          </w:p>
        </w:tc>
        <w:tc>
          <w:tcPr>
            <w:tcW w:w="2610" w:type="dxa"/>
            <w:vAlign w:val="center"/>
          </w:tcPr>
          <w:p w:rsidR="006852CD" w:rsidRPr="008139D0" w:rsidRDefault="006852CD" w:rsidP="007A33C7">
            <w:pPr>
              <w:widowControl w:val="0"/>
              <w:ind w:firstLine="0"/>
              <w:contextualSpacing/>
              <w:jc w:val="center"/>
              <w:rPr>
                <w:rFonts w:ascii="Garamond" w:hAnsi="Garamond"/>
                <w:b/>
                <w:sz w:val="24"/>
                <w:szCs w:val="24"/>
                <w:lang w:val="sq-AL"/>
              </w:rPr>
            </w:pPr>
            <w:r w:rsidRPr="008139D0">
              <w:rPr>
                <w:rFonts w:ascii="Garamond" w:hAnsi="Garamond"/>
                <w:b/>
                <w:sz w:val="24"/>
                <w:szCs w:val="24"/>
                <w:lang w:val="sq-AL"/>
              </w:rPr>
              <w:t>Lekë/muaj/klient</w:t>
            </w:r>
          </w:p>
        </w:tc>
      </w:tr>
      <w:tr w:rsidR="006852CD" w:rsidRPr="008139D0" w:rsidTr="007A33C7">
        <w:trPr>
          <w:trHeight w:val="172"/>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color w:val="000000"/>
                <w:sz w:val="24"/>
                <w:szCs w:val="24"/>
                <w:lang w:val="sq-AL"/>
              </w:rPr>
              <w:t>1. Konsumator familjar</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42</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26</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r w:rsidR="006852CD" w:rsidRPr="008139D0" w:rsidTr="007A33C7">
        <w:trPr>
          <w:trHeight w:val="134"/>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color w:val="000000"/>
                <w:sz w:val="24"/>
                <w:szCs w:val="24"/>
                <w:lang w:val="sq-AL"/>
              </w:rPr>
              <w:t>2. Konsumator publik</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60</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r w:rsidR="006852CD" w:rsidRPr="008139D0" w:rsidTr="007A33C7">
        <w:trPr>
          <w:trHeight w:val="253"/>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color w:val="000000"/>
                <w:sz w:val="24"/>
                <w:szCs w:val="24"/>
                <w:lang w:val="sq-AL"/>
              </w:rPr>
              <w:t>3. Konsumator privat</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60</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r w:rsidR="006852CD" w:rsidRPr="008139D0" w:rsidTr="007A33C7">
        <w:trPr>
          <w:trHeight w:val="302"/>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b/>
                <w:color w:val="000000"/>
                <w:sz w:val="24"/>
                <w:szCs w:val="24"/>
                <w:lang w:val="sq-AL"/>
              </w:rPr>
              <w:t>b</w:t>
            </w:r>
            <w:r w:rsidRPr="008139D0">
              <w:rPr>
                <w:rFonts w:ascii="Garamond" w:hAnsi="Garamond"/>
                <w:b/>
                <w:bCs/>
                <w:color w:val="000000"/>
                <w:sz w:val="24"/>
                <w:szCs w:val="24"/>
                <w:lang w:val="sq-AL"/>
              </w:rPr>
              <w:t xml:space="preserve">) </w:t>
            </w:r>
            <w:r w:rsidRPr="008139D0">
              <w:rPr>
                <w:rFonts w:ascii="Garamond" w:hAnsi="Garamond"/>
                <w:b/>
                <w:bCs/>
                <w:i/>
                <w:iCs/>
                <w:color w:val="000000"/>
                <w:sz w:val="24"/>
                <w:szCs w:val="24"/>
                <w:lang w:val="sq-AL"/>
              </w:rPr>
              <w:t>Për shërbimin e kanalizimeve</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sz w:val="24"/>
                <w:szCs w:val="24"/>
                <w:lang w:val="sq-AL"/>
              </w:rPr>
              <w:t>Lekë/m</w:t>
            </w:r>
            <w:r w:rsidRPr="008139D0">
              <w:rPr>
                <w:rFonts w:ascii="Garamond" w:hAnsi="Garamond"/>
                <w:b/>
                <w:sz w:val="24"/>
                <w:szCs w:val="24"/>
                <w:vertAlign w:val="superscript"/>
                <w:lang w:val="sq-AL"/>
              </w:rPr>
              <w:t>3</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sz w:val="24"/>
                <w:szCs w:val="24"/>
                <w:lang w:val="sq-AL"/>
              </w:rPr>
              <w:t>Lekë/m</w:t>
            </w:r>
            <w:r w:rsidRPr="008139D0">
              <w:rPr>
                <w:rFonts w:ascii="Garamond" w:hAnsi="Garamond"/>
                <w:b/>
                <w:sz w:val="24"/>
                <w:szCs w:val="24"/>
                <w:vertAlign w:val="superscript"/>
                <w:lang w:val="sq-AL"/>
              </w:rPr>
              <w:t>3</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b/>
                <w:sz w:val="24"/>
                <w:szCs w:val="24"/>
                <w:lang w:val="sq-AL"/>
              </w:rPr>
              <w:t>Lekë/muaj/klient</w:t>
            </w:r>
          </w:p>
        </w:tc>
      </w:tr>
      <w:tr w:rsidR="006852CD" w:rsidRPr="008139D0" w:rsidTr="007A33C7">
        <w:trPr>
          <w:trHeight w:val="191"/>
          <w:jc w:val="center"/>
        </w:trPr>
        <w:tc>
          <w:tcPr>
            <w:tcW w:w="4037" w:type="dxa"/>
            <w:vAlign w:val="center"/>
          </w:tcPr>
          <w:p w:rsidR="006852CD" w:rsidRPr="008139D0" w:rsidRDefault="006852CD" w:rsidP="007A33C7">
            <w:pPr>
              <w:widowControl w:val="0"/>
              <w:ind w:firstLine="0"/>
              <w:contextualSpacing/>
              <w:rPr>
                <w:rFonts w:ascii="Garamond" w:hAnsi="Garamond"/>
                <w:sz w:val="24"/>
                <w:szCs w:val="24"/>
                <w:lang w:val="sq-AL"/>
              </w:rPr>
            </w:pPr>
            <w:r w:rsidRPr="008139D0">
              <w:rPr>
                <w:rFonts w:ascii="Garamond" w:hAnsi="Garamond"/>
                <w:color w:val="000000"/>
                <w:sz w:val="24"/>
                <w:szCs w:val="24"/>
                <w:lang w:val="sq-AL"/>
              </w:rPr>
              <w:t>1. Konsumator familjar</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15</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r w:rsidR="006852CD" w:rsidRPr="008139D0" w:rsidTr="007A33C7">
        <w:trPr>
          <w:trHeight w:val="222"/>
          <w:jc w:val="center"/>
        </w:trPr>
        <w:tc>
          <w:tcPr>
            <w:tcW w:w="4037" w:type="dxa"/>
            <w:vAlign w:val="center"/>
          </w:tcPr>
          <w:p w:rsidR="006852CD" w:rsidRPr="008139D0" w:rsidRDefault="006852CD" w:rsidP="007A33C7">
            <w:pPr>
              <w:widowControl w:val="0"/>
              <w:ind w:firstLine="0"/>
              <w:contextualSpacing/>
              <w:rPr>
                <w:rFonts w:ascii="Garamond" w:hAnsi="Garamond"/>
                <w:color w:val="000000"/>
                <w:sz w:val="24"/>
                <w:szCs w:val="24"/>
                <w:lang w:val="sq-AL"/>
              </w:rPr>
            </w:pPr>
            <w:r w:rsidRPr="008139D0">
              <w:rPr>
                <w:rFonts w:ascii="Garamond" w:hAnsi="Garamond"/>
                <w:color w:val="000000"/>
                <w:sz w:val="24"/>
                <w:szCs w:val="24"/>
                <w:lang w:val="sq-AL"/>
              </w:rPr>
              <w:t>2. Konsumator publik</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25</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r w:rsidR="006852CD" w:rsidRPr="008139D0" w:rsidTr="007A33C7">
        <w:trPr>
          <w:trHeight w:val="302"/>
          <w:jc w:val="center"/>
        </w:trPr>
        <w:tc>
          <w:tcPr>
            <w:tcW w:w="4037" w:type="dxa"/>
            <w:vAlign w:val="center"/>
          </w:tcPr>
          <w:p w:rsidR="006852CD" w:rsidRPr="008139D0" w:rsidRDefault="006852CD" w:rsidP="007A33C7">
            <w:pPr>
              <w:widowControl w:val="0"/>
              <w:ind w:firstLine="0"/>
              <w:contextualSpacing/>
              <w:rPr>
                <w:rFonts w:ascii="Garamond" w:hAnsi="Garamond"/>
                <w:color w:val="000000"/>
                <w:sz w:val="24"/>
                <w:szCs w:val="24"/>
                <w:lang w:val="sq-AL"/>
              </w:rPr>
            </w:pPr>
            <w:r w:rsidRPr="008139D0">
              <w:rPr>
                <w:rFonts w:ascii="Garamond" w:hAnsi="Garamond"/>
                <w:color w:val="000000"/>
                <w:sz w:val="24"/>
                <w:szCs w:val="24"/>
                <w:lang w:val="sq-AL"/>
              </w:rPr>
              <w:t>3. Konsumator privat</w:t>
            </w:r>
          </w:p>
        </w:tc>
        <w:tc>
          <w:tcPr>
            <w:tcW w:w="144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26</w:t>
            </w:r>
          </w:p>
        </w:tc>
        <w:tc>
          <w:tcPr>
            <w:tcW w:w="135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w:t>
            </w:r>
          </w:p>
        </w:tc>
        <w:tc>
          <w:tcPr>
            <w:tcW w:w="2610" w:type="dxa"/>
            <w:vAlign w:val="center"/>
          </w:tcPr>
          <w:p w:rsidR="006852CD" w:rsidRPr="008139D0" w:rsidRDefault="006852CD" w:rsidP="007A33C7">
            <w:pPr>
              <w:widowControl w:val="0"/>
              <w:ind w:firstLine="0"/>
              <w:contextualSpacing/>
              <w:jc w:val="center"/>
              <w:rPr>
                <w:rFonts w:ascii="Garamond" w:hAnsi="Garamond"/>
                <w:sz w:val="24"/>
                <w:szCs w:val="24"/>
                <w:lang w:val="sq-AL"/>
              </w:rPr>
            </w:pPr>
            <w:r w:rsidRPr="008139D0">
              <w:rPr>
                <w:rFonts w:ascii="Garamond" w:hAnsi="Garamond"/>
                <w:sz w:val="24"/>
                <w:szCs w:val="24"/>
                <w:lang w:val="sq-AL"/>
              </w:rPr>
              <w:t>100</w:t>
            </w:r>
          </w:p>
        </w:tc>
      </w:tr>
    </w:tbl>
    <w:p w:rsidR="006852CD" w:rsidRPr="00F014E5" w:rsidRDefault="006852CD" w:rsidP="006852CD">
      <w:pPr>
        <w:widowControl w:val="0"/>
        <w:spacing w:after="0" w:line="240" w:lineRule="auto"/>
        <w:ind w:firstLine="0"/>
        <w:rPr>
          <w:rFonts w:ascii="Garamond" w:hAnsi="Garamond"/>
          <w:sz w:val="14"/>
          <w:szCs w:val="24"/>
          <w:lang w:val="sq-AL"/>
        </w:rPr>
      </w:pPr>
    </w:p>
    <w:p w:rsidR="006852CD" w:rsidRPr="00F014E5" w:rsidRDefault="006852CD" w:rsidP="006852CD">
      <w:pPr>
        <w:pStyle w:val="Paragrafi"/>
        <w:rPr>
          <w:lang w:val="sq-AL"/>
        </w:rPr>
      </w:pPr>
      <w:r w:rsidRPr="00F014E5">
        <w:rPr>
          <w:lang w:val="sq-AL"/>
        </w:rPr>
        <w:t>2. Objektivat e treguesve kryesorë të performancës për vitin 2019 të jenë:</w:t>
      </w:r>
    </w:p>
    <w:p w:rsidR="006852CD" w:rsidRPr="00B5789B" w:rsidRDefault="006852CD" w:rsidP="006852CD">
      <w:pPr>
        <w:pStyle w:val="Paragrafi"/>
        <w:rPr>
          <w:sz w:val="16"/>
          <w:szCs w:val="24"/>
          <w:lang w:val="sq-AL"/>
        </w:rPr>
      </w:pPr>
    </w:p>
    <w:tbl>
      <w:tblPr>
        <w:tblStyle w:val="TableGrid"/>
        <w:tblW w:w="4822" w:type="pct"/>
        <w:jc w:val="center"/>
        <w:tblLook w:val="04A0" w:firstRow="1" w:lastRow="0" w:firstColumn="1" w:lastColumn="0" w:noHBand="0" w:noVBand="1"/>
      </w:tblPr>
      <w:tblGrid>
        <w:gridCol w:w="2843"/>
        <w:gridCol w:w="1781"/>
        <w:gridCol w:w="1885"/>
        <w:gridCol w:w="2777"/>
      </w:tblGrid>
      <w:tr w:rsidR="006852CD" w:rsidRPr="008139D0" w:rsidTr="007A33C7">
        <w:trPr>
          <w:cantSplit/>
          <w:trHeight w:hRule="exact" w:val="542"/>
          <w:jc w:val="center"/>
        </w:trPr>
        <w:tc>
          <w:tcPr>
            <w:tcW w:w="1531" w:type="pct"/>
            <w:shd w:val="clear" w:color="auto" w:fill="FFFFFF" w:themeFill="background1"/>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Treguesit kryesorë të performancës</w:t>
            </w:r>
          </w:p>
        </w:tc>
        <w:tc>
          <w:tcPr>
            <w:tcW w:w="959" w:type="pct"/>
            <w:shd w:val="clear" w:color="auto" w:fill="FFFFFF" w:themeFill="background1"/>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Njësia</w:t>
            </w:r>
          </w:p>
        </w:tc>
        <w:tc>
          <w:tcPr>
            <w:tcW w:w="1015" w:type="pct"/>
            <w:shd w:val="clear" w:color="auto" w:fill="FFFFFF" w:themeFill="background1"/>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TKP</w:t>
            </w:r>
          </w:p>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(viti 2017)</w:t>
            </w:r>
          </w:p>
        </w:tc>
        <w:tc>
          <w:tcPr>
            <w:tcW w:w="1495" w:type="pct"/>
            <w:shd w:val="clear" w:color="auto" w:fill="FFFFFF" w:themeFill="background1"/>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 xml:space="preserve">Objektivat e vlerësuara/ </w:t>
            </w:r>
          </w:p>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të aprovuara (viti 2019)</w:t>
            </w:r>
          </w:p>
        </w:tc>
      </w:tr>
      <w:tr w:rsidR="006852CD" w:rsidRPr="008139D0" w:rsidTr="007A33C7">
        <w:trPr>
          <w:cantSplit/>
          <w:trHeight w:hRule="exact" w:val="280"/>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Uji pa të ardhura</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75.5%</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60%</w:t>
            </w:r>
          </w:p>
        </w:tc>
      </w:tr>
      <w:tr w:rsidR="006852CD" w:rsidRPr="008139D0" w:rsidTr="007A33C7">
        <w:trPr>
          <w:cantSplit/>
          <w:trHeight w:hRule="exact" w:val="30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Mbulimi i kostove O&amp;M</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108%</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126%</w:t>
            </w:r>
          </w:p>
        </w:tc>
      </w:tr>
      <w:tr w:rsidR="006852CD" w:rsidRPr="008139D0" w:rsidTr="007A33C7">
        <w:trPr>
          <w:cantSplit/>
          <w:trHeight w:hRule="exact" w:val="30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Mbulimi i kostove totale</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88%</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102%</w:t>
            </w:r>
          </w:p>
        </w:tc>
      </w:tr>
      <w:tr w:rsidR="006852CD" w:rsidRPr="008139D0" w:rsidTr="007A33C7">
        <w:trPr>
          <w:cantSplit/>
          <w:trHeight w:hRule="exact" w:val="30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Niveli i matjes</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96%</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100%</w:t>
            </w:r>
          </w:p>
        </w:tc>
      </w:tr>
      <w:tr w:rsidR="006852CD" w:rsidRPr="008139D0" w:rsidTr="007A33C7">
        <w:trPr>
          <w:cantSplit/>
          <w:trHeight w:hRule="exact" w:val="30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 xml:space="preserve">Vazhdimësia e FU-së </w:t>
            </w:r>
          </w:p>
          <w:p w:rsidR="006852CD" w:rsidRPr="008139D0" w:rsidRDefault="006852CD" w:rsidP="007A33C7">
            <w:pPr>
              <w:widowControl w:val="0"/>
              <w:ind w:firstLine="0"/>
              <w:rPr>
                <w:rFonts w:ascii="Garamond" w:hAnsi="Garamond"/>
                <w:color w:val="000000" w:themeColor="text1"/>
                <w:sz w:val="24"/>
                <w:szCs w:val="24"/>
                <w:lang w:val="sq-AL"/>
              </w:rPr>
            </w:pP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orë/ditë</w:t>
            </w:r>
          </w:p>
        </w:tc>
        <w:tc>
          <w:tcPr>
            <w:tcW w:w="1015"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24</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color w:val="000000" w:themeColor="text1"/>
                <w:sz w:val="24"/>
                <w:szCs w:val="24"/>
                <w:lang w:val="sq-AL"/>
              </w:rPr>
              <w:t>24</w:t>
            </w:r>
          </w:p>
        </w:tc>
      </w:tr>
      <w:tr w:rsidR="006852CD" w:rsidRPr="008139D0" w:rsidTr="007A33C7">
        <w:trPr>
          <w:cantSplit/>
          <w:trHeight w:hRule="exact" w:val="310"/>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Efikasiteti i stafit</w:t>
            </w:r>
          </w:p>
          <w:p w:rsidR="006852CD" w:rsidRPr="008139D0" w:rsidRDefault="006852CD" w:rsidP="007A33C7">
            <w:pPr>
              <w:widowControl w:val="0"/>
              <w:ind w:firstLine="0"/>
              <w:rPr>
                <w:rFonts w:ascii="Garamond" w:hAnsi="Garamond"/>
                <w:color w:val="000000" w:themeColor="text1"/>
                <w:sz w:val="24"/>
                <w:szCs w:val="24"/>
                <w:lang w:val="sq-AL"/>
              </w:rPr>
            </w:pP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staf/1000 lidhje</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6.34</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4.68</w:t>
            </w:r>
          </w:p>
        </w:tc>
      </w:tr>
      <w:tr w:rsidR="006852CD" w:rsidRPr="008139D0" w:rsidTr="007A33C7">
        <w:trPr>
          <w:cantSplit/>
          <w:trHeight w:hRule="exact" w:val="286"/>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Mbulimi me ujë</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24%</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25%</w:t>
            </w:r>
          </w:p>
        </w:tc>
      </w:tr>
      <w:tr w:rsidR="006852CD" w:rsidRPr="008139D0" w:rsidTr="007A33C7">
        <w:trPr>
          <w:cantSplit/>
          <w:trHeight w:hRule="exact" w:val="26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Mbulimi me KUN</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20%</w:t>
            </w: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21%</w:t>
            </w:r>
          </w:p>
        </w:tc>
      </w:tr>
      <w:tr w:rsidR="006852CD" w:rsidRPr="008139D0" w:rsidTr="007A33C7">
        <w:trPr>
          <w:cantSplit/>
          <w:trHeight w:hRule="exact" w:val="302"/>
          <w:jc w:val="center"/>
        </w:trPr>
        <w:tc>
          <w:tcPr>
            <w:tcW w:w="1531" w:type="pct"/>
            <w:vAlign w:val="center"/>
          </w:tcPr>
          <w:p w:rsidR="006852CD" w:rsidRPr="008139D0" w:rsidRDefault="006852CD" w:rsidP="007A33C7">
            <w:pPr>
              <w:widowControl w:val="0"/>
              <w:ind w:firstLine="0"/>
              <w:rPr>
                <w:rFonts w:ascii="Garamond" w:hAnsi="Garamond"/>
                <w:color w:val="000000" w:themeColor="text1"/>
                <w:sz w:val="24"/>
                <w:szCs w:val="24"/>
                <w:lang w:val="sq-AL"/>
              </w:rPr>
            </w:pPr>
            <w:r w:rsidRPr="008139D0">
              <w:rPr>
                <w:rFonts w:ascii="Garamond" w:hAnsi="Garamond"/>
                <w:color w:val="000000" w:themeColor="text1"/>
                <w:sz w:val="24"/>
                <w:szCs w:val="24"/>
                <w:lang w:val="sq-AL"/>
              </w:rPr>
              <w:t>Norma e arkëtimit</w:t>
            </w:r>
          </w:p>
        </w:tc>
        <w:tc>
          <w:tcPr>
            <w:tcW w:w="959" w:type="pct"/>
            <w:vAlign w:val="center"/>
          </w:tcPr>
          <w:p w:rsidR="006852CD" w:rsidRPr="008139D0" w:rsidRDefault="006852CD" w:rsidP="007A33C7">
            <w:pPr>
              <w:widowControl w:val="0"/>
              <w:ind w:firstLine="0"/>
              <w:jc w:val="center"/>
              <w:rPr>
                <w:rFonts w:ascii="Garamond" w:hAnsi="Garamond"/>
                <w:color w:val="000000" w:themeColor="text1"/>
                <w:sz w:val="24"/>
                <w:szCs w:val="24"/>
                <w:lang w:val="sq-AL"/>
              </w:rPr>
            </w:pPr>
            <w:r w:rsidRPr="008139D0">
              <w:rPr>
                <w:rFonts w:ascii="Garamond" w:hAnsi="Garamond"/>
                <w:color w:val="000000" w:themeColor="text1"/>
                <w:sz w:val="24"/>
                <w:szCs w:val="24"/>
                <w:lang w:val="sq-AL"/>
              </w:rPr>
              <w:t>%</w:t>
            </w:r>
          </w:p>
        </w:tc>
        <w:tc>
          <w:tcPr>
            <w:tcW w:w="1015" w:type="pct"/>
            <w:vAlign w:val="center"/>
          </w:tcPr>
          <w:p w:rsidR="006852CD" w:rsidRPr="008139D0" w:rsidRDefault="006852CD" w:rsidP="007A33C7">
            <w:pPr>
              <w:widowControl w:val="0"/>
              <w:ind w:firstLine="0"/>
              <w:jc w:val="center"/>
              <w:rPr>
                <w:rFonts w:ascii="Garamond" w:hAnsi="Garamond"/>
                <w:sz w:val="24"/>
                <w:szCs w:val="24"/>
                <w:lang w:val="sq-AL"/>
              </w:rPr>
            </w:pPr>
            <w:r w:rsidRPr="008139D0">
              <w:rPr>
                <w:rFonts w:ascii="Garamond" w:hAnsi="Garamond"/>
                <w:sz w:val="24"/>
                <w:szCs w:val="24"/>
                <w:lang w:val="sq-AL"/>
              </w:rPr>
              <w:t>86%</w:t>
            </w:r>
          </w:p>
          <w:p w:rsidR="006852CD" w:rsidRPr="008139D0" w:rsidRDefault="006852CD" w:rsidP="007A33C7">
            <w:pPr>
              <w:widowControl w:val="0"/>
              <w:ind w:firstLine="0"/>
              <w:jc w:val="center"/>
              <w:rPr>
                <w:rFonts w:ascii="Garamond" w:hAnsi="Garamond"/>
                <w:sz w:val="24"/>
                <w:szCs w:val="24"/>
                <w:lang w:val="sq-AL"/>
              </w:rPr>
            </w:pPr>
          </w:p>
          <w:p w:rsidR="006852CD" w:rsidRPr="008139D0" w:rsidRDefault="006852CD" w:rsidP="007A33C7">
            <w:pPr>
              <w:widowControl w:val="0"/>
              <w:ind w:firstLine="0"/>
              <w:jc w:val="center"/>
              <w:rPr>
                <w:rFonts w:ascii="Garamond" w:hAnsi="Garamond"/>
                <w:sz w:val="24"/>
                <w:szCs w:val="24"/>
                <w:lang w:val="sq-AL"/>
              </w:rPr>
            </w:pPr>
          </w:p>
        </w:tc>
        <w:tc>
          <w:tcPr>
            <w:tcW w:w="1495" w:type="pct"/>
            <w:vAlign w:val="center"/>
          </w:tcPr>
          <w:p w:rsidR="006852CD" w:rsidRPr="008139D0" w:rsidRDefault="006852CD" w:rsidP="007A33C7">
            <w:pPr>
              <w:widowControl w:val="0"/>
              <w:ind w:firstLine="0"/>
              <w:jc w:val="center"/>
              <w:rPr>
                <w:rFonts w:ascii="Garamond" w:hAnsi="Garamond"/>
                <w:b/>
                <w:color w:val="000000" w:themeColor="text1"/>
                <w:sz w:val="24"/>
                <w:szCs w:val="24"/>
                <w:lang w:val="sq-AL"/>
              </w:rPr>
            </w:pPr>
            <w:r w:rsidRPr="008139D0">
              <w:rPr>
                <w:rFonts w:ascii="Garamond" w:hAnsi="Garamond"/>
                <w:b/>
                <w:sz w:val="24"/>
                <w:szCs w:val="24"/>
                <w:lang w:val="sq-AL"/>
              </w:rPr>
              <w:t>95%</w:t>
            </w:r>
          </w:p>
        </w:tc>
      </w:tr>
    </w:tbl>
    <w:p w:rsidR="006852CD" w:rsidRPr="00F014E5" w:rsidRDefault="006852CD" w:rsidP="006852CD">
      <w:pPr>
        <w:pStyle w:val="Paragrafi"/>
        <w:ind w:firstLine="0"/>
        <w:rPr>
          <w:lang w:val="sq-AL"/>
        </w:rPr>
        <w:sectPr w:rsidR="006852CD" w:rsidRPr="00F014E5" w:rsidSect="006852CD">
          <w:type w:val="continuous"/>
          <w:pgSz w:w="11907" w:h="16840" w:code="9"/>
          <w:pgMar w:top="720" w:right="1134" w:bottom="720" w:left="1134" w:header="851" w:footer="851" w:gutter="0"/>
          <w:cols w:space="720"/>
          <w:docGrid w:linePitch="360"/>
        </w:sectPr>
      </w:pPr>
    </w:p>
    <w:p w:rsidR="006852CD" w:rsidRDefault="006852CD" w:rsidP="006852CD">
      <w:pPr>
        <w:pStyle w:val="Paragrafi"/>
        <w:ind w:firstLine="0"/>
        <w:rPr>
          <w:spacing w:val="-4"/>
          <w:lang w:val="sq-AL"/>
        </w:rPr>
      </w:pPr>
    </w:p>
    <w:p w:rsidR="006852CD" w:rsidRPr="00F014E5" w:rsidRDefault="006852CD" w:rsidP="006852CD">
      <w:pPr>
        <w:pStyle w:val="Paragrafi"/>
        <w:rPr>
          <w:spacing w:val="-4"/>
          <w:lang w:val="sq-AL"/>
        </w:rPr>
      </w:pPr>
      <w:r w:rsidRPr="00F014E5">
        <w:rPr>
          <w:spacing w:val="-4"/>
          <w:lang w:val="sq-AL"/>
        </w:rPr>
        <w:t xml:space="preserve">3. Pagesa rregullatore vjetore për shoqërinë Ujësjellës-Kanalizime Librazhd Përrenjas sh.a. do të jetë 0,6% e të ardhurave vjetore të parashikuara nga aktiviteti. </w:t>
      </w:r>
    </w:p>
    <w:p w:rsidR="006852CD" w:rsidRPr="00F014E5" w:rsidRDefault="006852CD" w:rsidP="006852CD">
      <w:pPr>
        <w:pStyle w:val="Paragrafi"/>
        <w:rPr>
          <w:spacing w:val="-4"/>
          <w:lang w:val="sq-AL"/>
        </w:rPr>
      </w:pPr>
      <w:r w:rsidRPr="00F014E5">
        <w:rPr>
          <w:spacing w:val="-4"/>
          <w:lang w:val="sq-AL"/>
        </w:rPr>
        <w:t>4. Lidhjen e kontratës me Ujësjellës-Kanalizime Librazhd, Përrenjas, brenda 30 ditëve nga data e njoftimit sipas pikës 4, të nenit 22, të ligjit nr. 8102.</w:t>
      </w:r>
    </w:p>
    <w:p w:rsidR="006852CD" w:rsidRPr="00F014E5" w:rsidRDefault="006852CD" w:rsidP="006852CD">
      <w:pPr>
        <w:pStyle w:val="Paragrafi"/>
        <w:rPr>
          <w:spacing w:val="-4"/>
          <w:lang w:val="sq-AL"/>
        </w:rPr>
      </w:pPr>
      <w:r w:rsidRPr="00F014E5">
        <w:rPr>
          <w:spacing w:val="-4"/>
          <w:lang w:val="sq-AL"/>
        </w:rPr>
        <w:t>5. Vendimi nr. 4, datë 29.2.2012, “Për miratimin e tarifave të ujit për konsum publik për shoqërinë UK Librazhd, shfuqizohet.</w:t>
      </w:r>
    </w:p>
    <w:p w:rsidR="006852CD" w:rsidRPr="00F014E5" w:rsidRDefault="006852CD" w:rsidP="006852CD">
      <w:pPr>
        <w:pStyle w:val="Paragrafi"/>
        <w:rPr>
          <w:spacing w:val="-4"/>
          <w:lang w:val="sq-AL"/>
        </w:rPr>
      </w:pPr>
      <w:r w:rsidRPr="00F014E5">
        <w:rPr>
          <w:spacing w:val="-4"/>
          <w:lang w:val="sq-AL"/>
        </w:rPr>
        <w:t>6. Ky vendim hyn në fuqi në datën 1.12.2018 dhe është i vlefshëm deri në miratimin e tarifave të reja.</w:t>
      </w:r>
    </w:p>
    <w:p w:rsidR="006852CD" w:rsidRPr="00F014E5" w:rsidRDefault="006852CD" w:rsidP="006852CD">
      <w:pPr>
        <w:pStyle w:val="Paragrafi"/>
        <w:rPr>
          <w:spacing w:val="-4"/>
          <w:lang w:val="sq-AL"/>
        </w:rPr>
      </w:pPr>
      <w:r w:rsidRPr="00F014E5">
        <w:rPr>
          <w:spacing w:val="-4"/>
          <w:lang w:val="sq-AL"/>
        </w:rPr>
        <w:t>Ky vendim botohet në Fletoren Zyrtare.</w:t>
      </w:r>
    </w:p>
    <w:p w:rsidR="006852CD" w:rsidRPr="00F014E5" w:rsidRDefault="006852CD" w:rsidP="006852CD">
      <w:pPr>
        <w:widowControl w:val="0"/>
        <w:spacing w:after="0" w:line="240" w:lineRule="auto"/>
        <w:ind w:firstLine="0"/>
        <w:rPr>
          <w:rFonts w:ascii="Garamond" w:hAnsi="Garamond"/>
          <w:b/>
          <w:spacing w:val="-4"/>
          <w:sz w:val="14"/>
          <w:szCs w:val="24"/>
          <w:lang w:val="sq-AL"/>
        </w:rPr>
      </w:pPr>
    </w:p>
    <w:p w:rsidR="006852CD" w:rsidRPr="00F014E5" w:rsidRDefault="006852CD" w:rsidP="006852CD">
      <w:pPr>
        <w:widowControl w:val="0"/>
        <w:spacing w:after="0" w:line="240" w:lineRule="auto"/>
        <w:ind w:firstLine="0"/>
        <w:contextualSpacing/>
        <w:jc w:val="right"/>
        <w:rPr>
          <w:rFonts w:ascii="Garamond" w:hAnsi="Garamond"/>
          <w:spacing w:val="-4"/>
          <w:sz w:val="24"/>
          <w:szCs w:val="24"/>
          <w:lang w:val="sq-AL"/>
        </w:rPr>
      </w:pPr>
      <w:r w:rsidRPr="00F014E5">
        <w:rPr>
          <w:rFonts w:ascii="Garamond" w:hAnsi="Garamond"/>
          <w:spacing w:val="-4"/>
          <w:sz w:val="24"/>
          <w:szCs w:val="24"/>
          <w:lang w:val="sq-AL"/>
        </w:rPr>
        <w:t>KRYETARI</w:t>
      </w:r>
    </w:p>
    <w:p w:rsidR="006852CD" w:rsidRPr="00F014E5" w:rsidRDefault="006852CD" w:rsidP="006852CD">
      <w:pPr>
        <w:widowControl w:val="0"/>
        <w:spacing w:after="0" w:line="240" w:lineRule="auto"/>
        <w:ind w:firstLine="0"/>
        <w:contextualSpacing/>
        <w:jc w:val="right"/>
        <w:rPr>
          <w:rFonts w:ascii="Garamond" w:hAnsi="Garamond"/>
          <w:b/>
          <w:spacing w:val="-4"/>
          <w:sz w:val="24"/>
          <w:szCs w:val="24"/>
          <w:lang w:val="sq-AL"/>
        </w:rPr>
      </w:pPr>
      <w:r w:rsidRPr="00F014E5">
        <w:rPr>
          <w:rFonts w:ascii="Garamond" w:hAnsi="Garamond"/>
          <w:b/>
          <w:spacing w:val="-4"/>
          <w:sz w:val="24"/>
          <w:szCs w:val="24"/>
          <w:lang w:val="sq-AL"/>
        </w:rPr>
        <w:t>Ndriçim Shani</w:t>
      </w:r>
    </w:p>
    <w:p w:rsidR="00412066" w:rsidRDefault="00412066"/>
    <w:sectPr w:rsidR="00412066" w:rsidSect="00685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1013864"/>
    <w:multiLevelType w:val="hybridMultilevel"/>
    <w:tmpl w:val="20965B30"/>
    <w:styleLink w:val="ImportedStyle1"/>
    <w:lvl w:ilvl="0" w:tplc="D144D0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988B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E2E6772">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02E214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60DED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8D6D82A">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68F0275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3C2C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BC0542">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373CBF"/>
    <w:multiLevelType w:val="hybridMultilevel"/>
    <w:tmpl w:val="EFAE944C"/>
    <w:lvl w:ilvl="0" w:tplc="87401604">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CD"/>
    <w:rsid w:val="00412066"/>
    <w:rsid w:val="00685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CF38B-A2E4-46CD-840D-F28E722C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2CD"/>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6852CD"/>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qFormat/>
    <w:rsid w:val="006852CD"/>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6852CD"/>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6852CD"/>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6852CD"/>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6852CD"/>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6852CD"/>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6852CD"/>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6852CD"/>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6852CD"/>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6852C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6852C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852C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52C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52CD"/>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6852CD"/>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6852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852CD"/>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6852C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852C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85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852CD"/>
    <w:rPr>
      <w:rFonts w:ascii="Tahoma" w:eastAsia="Calibri" w:hAnsi="Tahoma" w:cs="Tahoma"/>
      <w:sz w:val="16"/>
      <w:szCs w:val="16"/>
    </w:rPr>
  </w:style>
  <w:style w:type="paragraph" w:styleId="Header">
    <w:name w:val="header"/>
    <w:basedOn w:val="Normal"/>
    <w:link w:val="HeaderChar"/>
    <w:uiPriority w:val="99"/>
    <w:unhideWhenUsed/>
    <w:rsid w:val="00685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CD"/>
    <w:rPr>
      <w:rFonts w:ascii="Calibri" w:eastAsia="Calibri" w:hAnsi="Calibri" w:cs="Times New Roman"/>
    </w:rPr>
  </w:style>
  <w:style w:type="paragraph" w:styleId="Footer">
    <w:name w:val="footer"/>
    <w:basedOn w:val="Normal"/>
    <w:link w:val="FooterChar"/>
    <w:uiPriority w:val="99"/>
    <w:unhideWhenUsed/>
    <w:rsid w:val="00685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CD"/>
    <w:rPr>
      <w:rFonts w:ascii="Calibri" w:eastAsia="Calibri" w:hAnsi="Calibri" w:cs="Times New Roman"/>
    </w:rPr>
  </w:style>
  <w:style w:type="paragraph" w:customStyle="1" w:styleId="Akti">
    <w:name w:val="Akti"/>
    <w:link w:val="AktiChar"/>
    <w:rsid w:val="006852C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52C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52CD"/>
    <w:rPr>
      <w:rFonts w:ascii="Garamond" w:eastAsia="MS Mincho" w:hAnsi="Garamond" w:cs="CG Times"/>
      <w:b/>
      <w:bCs/>
      <w:sz w:val="24"/>
      <w:lang w:val="en-GB"/>
    </w:rPr>
  </w:style>
  <w:style w:type="paragraph" w:customStyle="1" w:styleId="Paragrafi">
    <w:name w:val="Paragrafi"/>
    <w:link w:val="ParagrafiChar"/>
    <w:rsid w:val="006852C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852CD"/>
    <w:rPr>
      <w:rFonts w:ascii="Garamond" w:eastAsia="MS Mincho" w:hAnsi="Garamond" w:cs="CG Times"/>
      <w:sz w:val="24"/>
    </w:rPr>
  </w:style>
  <w:style w:type="paragraph" w:customStyle="1" w:styleId="Titulli">
    <w:name w:val="Titulli"/>
    <w:next w:val="Normal"/>
    <w:link w:val="TitulliChar"/>
    <w:rsid w:val="006852C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52CD"/>
    <w:rPr>
      <w:rFonts w:ascii="Garamond" w:eastAsia="MS Mincho" w:hAnsi="Garamond" w:cs="CG Times"/>
      <w:b/>
      <w:bCs/>
      <w:caps/>
      <w:sz w:val="24"/>
      <w:lang w:val="en-GB"/>
    </w:rPr>
  </w:style>
  <w:style w:type="character" w:customStyle="1" w:styleId="AktiChar">
    <w:name w:val="Akti Char"/>
    <w:basedOn w:val="DefaultParagraphFont"/>
    <w:link w:val="Akti"/>
    <w:rsid w:val="006852CD"/>
    <w:rPr>
      <w:rFonts w:ascii="Garamond" w:eastAsia="MS Mincho" w:hAnsi="Garamond" w:cs="CG Times"/>
      <w:b/>
      <w:bCs/>
      <w:caps/>
      <w:color w:val="000000"/>
      <w:sz w:val="24"/>
      <w:lang w:val="en-GB"/>
    </w:rPr>
  </w:style>
  <w:style w:type="paragraph" w:customStyle="1" w:styleId="NeniNr">
    <w:name w:val="Neni_Nr"/>
    <w:next w:val="Normal"/>
    <w:link w:val="NeniNrChar"/>
    <w:rsid w:val="006852C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52C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52CD"/>
    <w:rPr>
      <w:rFonts w:ascii="Garamond" w:eastAsia="MS Mincho" w:hAnsi="Garamond" w:cs="CG Times"/>
      <w:sz w:val="24"/>
      <w:lang w:val="en-GB"/>
    </w:rPr>
  </w:style>
  <w:style w:type="paragraph" w:customStyle="1" w:styleId="Autoriteti">
    <w:name w:val="Autoriteti"/>
    <w:next w:val="Normal"/>
    <w:link w:val="AutoritetiChar"/>
    <w:rsid w:val="006852C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852C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852CD"/>
    <w:rPr>
      <w:rFonts w:ascii="Garamond" w:eastAsia="MS Mincho" w:hAnsi="Garamond" w:cs="CG Times"/>
      <w:caps/>
      <w:sz w:val="24"/>
      <w:lang w:val="en-GB"/>
    </w:rPr>
  </w:style>
  <w:style w:type="character" w:customStyle="1" w:styleId="AutoritetiEmerChar">
    <w:name w:val="Autoriteti_Emer Char"/>
    <w:link w:val="AutoritetiEmer"/>
    <w:locked/>
    <w:rsid w:val="006852CD"/>
    <w:rPr>
      <w:rFonts w:ascii="Garamond" w:eastAsia="MS Mincho" w:hAnsi="Garamond" w:cs="Times New Roman"/>
      <w:b/>
      <w:bCs/>
      <w:sz w:val="24"/>
      <w:lang w:val="en-GB"/>
    </w:rPr>
  </w:style>
  <w:style w:type="paragraph" w:customStyle="1" w:styleId="Titull-Titull">
    <w:name w:val="Titull-Titull"/>
    <w:basedOn w:val="Paragrafi"/>
    <w:qFormat/>
    <w:rsid w:val="006852CD"/>
    <w:pPr>
      <w:ind w:firstLine="0"/>
      <w:jc w:val="center"/>
    </w:pPr>
    <w:rPr>
      <w:caps/>
      <w:szCs w:val="24"/>
    </w:rPr>
  </w:style>
  <w:style w:type="paragraph" w:customStyle="1" w:styleId="Vendosi">
    <w:name w:val="Vendosi"/>
    <w:basedOn w:val="Titull-Titull"/>
    <w:qFormat/>
    <w:rsid w:val="006852CD"/>
  </w:style>
  <w:style w:type="paragraph" w:customStyle="1" w:styleId="Hapesira7">
    <w:name w:val="Hapesira 7"/>
    <w:basedOn w:val="Paragrafi"/>
    <w:qFormat/>
    <w:rsid w:val="006852CD"/>
    <w:rPr>
      <w:sz w:val="14"/>
      <w:szCs w:val="24"/>
    </w:rPr>
  </w:style>
  <w:style w:type="paragraph" w:styleId="ListParagraph">
    <w:name w:val="List Paragraph"/>
    <w:aliases w:val="List Paragraph2"/>
    <w:basedOn w:val="Normal"/>
    <w:link w:val="ListParagraphChar"/>
    <w:qFormat/>
    <w:rsid w:val="006852CD"/>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locked/>
    <w:rsid w:val="006852CD"/>
    <w:rPr>
      <w:rFonts w:ascii="Calibri" w:eastAsia="Times New Roman" w:hAnsi="Calibri" w:cs="Times New Roman"/>
      <w:lang w:val="x-none" w:eastAsia="x-none"/>
    </w:rPr>
  </w:style>
  <w:style w:type="paragraph" w:customStyle="1" w:styleId="Style1">
    <w:name w:val="Style1"/>
    <w:basedOn w:val="Akti"/>
    <w:qFormat/>
    <w:rsid w:val="006852CD"/>
    <w:rPr>
      <w:rFonts w:ascii="CG Times" w:hAnsi="CG Times"/>
      <w:sz w:val="21"/>
    </w:rPr>
  </w:style>
  <w:style w:type="character" w:customStyle="1" w:styleId="Heading2Char1">
    <w:name w:val="Heading 2 Char1"/>
    <w:link w:val="Heading2"/>
    <w:uiPriority w:val="1"/>
    <w:locked/>
    <w:rsid w:val="006852CD"/>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6852CD"/>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6852C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852CD"/>
    <w:pPr>
      <w:spacing w:after="0" w:line="240" w:lineRule="auto"/>
      <w:jc w:val="both"/>
    </w:pPr>
    <w:rPr>
      <w:rFonts w:ascii="CG Times" w:eastAsia="MS Mincho" w:hAnsi="CG Times" w:cs="CG Times"/>
      <w:sz w:val="21"/>
      <w:lang w:val="en-GB"/>
    </w:rPr>
  </w:style>
  <w:style w:type="paragraph" w:customStyle="1" w:styleId="AneksiNr">
    <w:name w:val="Aneksi_Nr"/>
    <w:next w:val="Normal"/>
    <w:rsid w:val="006852C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852C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6852C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6852CD"/>
    <w:rPr>
      <w:rFonts w:ascii="Arial" w:eastAsia="Times New Roman" w:hAnsi="Arial" w:cs="Arial"/>
      <w:color w:val="000000"/>
      <w:sz w:val="24"/>
      <w:szCs w:val="24"/>
    </w:rPr>
  </w:style>
  <w:style w:type="paragraph" w:customStyle="1" w:styleId="BazLigjPropozues">
    <w:name w:val="Baz_Ligj_Propozues"/>
    <w:rsid w:val="006852C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852C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852CD"/>
    <w:rPr>
      <w:rFonts w:ascii="Times New Roman" w:eastAsia="Times New Roman" w:hAnsi="Times New Roman" w:cs="Times New Roman"/>
      <w:caps/>
      <w:sz w:val="26"/>
      <w:szCs w:val="26"/>
      <w:lang w:val="en-GB"/>
    </w:rPr>
  </w:style>
  <w:style w:type="character" w:customStyle="1" w:styleId="apple-converted-space">
    <w:name w:val="apple-converted-space"/>
    <w:rsid w:val="006852CD"/>
  </w:style>
  <w:style w:type="character" w:styleId="Hyperlink">
    <w:name w:val="Hyperlink"/>
    <w:uiPriority w:val="99"/>
    <w:unhideWhenUsed/>
    <w:rsid w:val="006852CD"/>
    <w:rPr>
      <w:color w:val="0000FF"/>
      <w:u w:val="single"/>
    </w:rPr>
  </w:style>
  <w:style w:type="character" w:styleId="FollowedHyperlink">
    <w:name w:val="FollowedHyperlink"/>
    <w:uiPriority w:val="99"/>
    <w:unhideWhenUsed/>
    <w:rsid w:val="006852CD"/>
    <w:rPr>
      <w:color w:val="800080"/>
      <w:u w:val="single"/>
    </w:rPr>
  </w:style>
  <w:style w:type="paragraph" w:customStyle="1" w:styleId="font5">
    <w:name w:val="font5"/>
    <w:basedOn w:val="Normal"/>
    <w:rsid w:val="006852C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852C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852C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852C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852C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852C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852C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852C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852C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852C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852C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852C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852CD"/>
    <w:pPr>
      <w:pageBreakBefore/>
      <w:spacing w:after="0" w:line="240" w:lineRule="auto"/>
      <w:jc w:val="both"/>
    </w:pPr>
    <w:rPr>
      <w:rFonts w:ascii="CG Times" w:eastAsia="MS Mincho" w:hAnsi="CG Times" w:cs="CG Times"/>
      <w:b/>
      <w:bCs/>
      <w:sz w:val="21"/>
    </w:rPr>
  </w:style>
  <w:style w:type="paragraph" w:customStyle="1" w:styleId="KapitulliNr">
    <w:name w:val="Kapitulli_Nr"/>
    <w:rsid w:val="006852C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852C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852C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852C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852C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852C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852C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852C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852C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852C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852C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852C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852C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852C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852C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852C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852C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852C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852C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852C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852C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852C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852C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852C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852CD"/>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6852C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852C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852C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852C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852C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852C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852C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852C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852C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852C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852C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852C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852C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852C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852C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852C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852C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852C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852C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852C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852C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852C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852C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852C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852C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852C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852C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852C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852C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852C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852C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852C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6852C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852C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6852CD"/>
    <w:rPr>
      <w:b/>
      <w:bCs/>
    </w:rPr>
  </w:style>
  <w:style w:type="paragraph" w:customStyle="1" w:styleId="xl136">
    <w:name w:val="xl136"/>
    <w:basedOn w:val="Normal"/>
    <w:rsid w:val="006852C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852C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852C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852C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852C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852C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852C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852C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852C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852C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852C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852C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852C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852C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852C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852C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852C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852C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852C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8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852CD"/>
  </w:style>
  <w:style w:type="paragraph" w:styleId="Title">
    <w:name w:val="Title"/>
    <w:basedOn w:val="Heading1"/>
    <w:next w:val="Normal"/>
    <w:link w:val="TitleChar"/>
    <w:qFormat/>
    <w:rsid w:val="006852CD"/>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6852C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852CD"/>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99"/>
    <w:unhideWhenUsed/>
    <w:qFormat/>
    <w:rsid w:val="006852C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852C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852C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852CD"/>
    <w:pPr>
      <w:spacing w:after="100"/>
      <w:ind w:left="660" w:firstLine="0"/>
      <w:jc w:val="left"/>
    </w:pPr>
    <w:rPr>
      <w:rFonts w:eastAsia="Times New Roman"/>
    </w:rPr>
  </w:style>
  <w:style w:type="paragraph" w:styleId="TOC5">
    <w:name w:val="toc 5"/>
    <w:basedOn w:val="Normal"/>
    <w:next w:val="Normal"/>
    <w:autoRedefine/>
    <w:unhideWhenUsed/>
    <w:rsid w:val="006852CD"/>
    <w:pPr>
      <w:spacing w:after="100"/>
      <w:ind w:left="880" w:firstLine="0"/>
      <w:jc w:val="left"/>
    </w:pPr>
    <w:rPr>
      <w:rFonts w:eastAsia="Times New Roman"/>
    </w:rPr>
  </w:style>
  <w:style w:type="paragraph" w:styleId="TOC6">
    <w:name w:val="toc 6"/>
    <w:basedOn w:val="Normal"/>
    <w:next w:val="Normal"/>
    <w:autoRedefine/>
    <w:unhideWhenUsed/>
    <w:rsid w:val="006852CD"/>
    <w:pPr>
      <w:spacing w:after="100"/>
      <w:ind w:left="1100" w:firstLine="0"/>
      <w:jc w:val="left"/>
    </w:pPr>
    <w:rPr>
      <w:rFonts w:eastAsia="Times New Roman"/>
    </w:rPr>
  </w:style>
  <w:style w:type="paragraph" w:styleId="TOC7">
    <w:name w:val="toc 7"/>
    <w:basedOn w:val="Normal"/>
    <w:next w:val="Normal"/>
    <w:autoRedefine/>
    <w:unhideWhenUsed/>
    <w:rsid w:val="006852CD"/>
    <w:pPr>
      <w:spacing w:after="100"/>
      <w:ind w:left="1320" w:firstLine="0"/>
      <w:jc w:val="left"/>
    </w:pPr>
    <w:rPr>
      <w:rFonts w:eastAsia="Times New Roman"/>
    </w:rPr>
  </w:style>
  <w:style w:type="paragraph" w:styleId="TOC8">
    <w:name w:val="toc 8"/>
    <w:basedOn w:val="Normal"/>
    <w:next w:val="Normal"/>
    <w:autoRedefine/>
    <w:unhideWhenUsed/>
    <w:rsid w:val="006852CD"/>
    <w:pPr>
      <w:spacing w:after="100"/>
      <w:ind w:left="1540" w:firstLine="0"/>
      <w:jc w:val="left"/>
    </w:pPr>
    <w:rPr>
      <w:rFonts w:eastAsia="Times New Roman"/>
    </w:rPr>
  </w:style>
  <w:style w:type="paragraph" w:styleId="TOC9">
    <w:name w:val="toc 9"/>
    <w:basedOn w:val="Normal"/>
    <w:next w:val="Normal"/>
    <w:autoRedefine/>
    <w:unhideWhenUsed/>
    <w:rsid w:val="006852CD"/>
    <w:pPr>
      <w:spacing w:after="100"/>
      <w:ind w:left="1760" w:firstLine="0"/>
      <w:jc w:val="left"/>
    </w:pPr>
    <w:rPr>
      <w:rFonts w:eastAsia="Times New Roman"/>
    </w:rPr>
  </w:style>
  <w:style w:type="paragraph" w:styleId="BodyTextIndent">
    <w:name w:val="Body Text Indent"/>
    <w:basedOn w:val="Normal"/>
    <w:link w:val="BodyTextIndentChar"/>
    <w:unhideWhenUsed/>
    <w:rsid w:val="006852CD"/>
    <w:pPr>
      <w:spacing w:after="120"/>
      <w:ind w:left="360"/>
    </w:pPr>
  </w:style>
  <w:style w:type="character" w:customStyle="1" w:styleId="BodyTextIndentChar">
    <w:name w:val="Body Text Indent Char"/>
    <w:basedOn w:val="DefaultParagraphFont"/>
    <w:link w:val="BodyTextIndent"/>
    <w:rsid w:val="006852CD"/>
    <w:rPr>
      <w:rFonts w:ascii="Calibri" w:eastAsia="Calibri" w:hAnsi="Calibri" w:cs="Times New Roman"/>
    </w:rPr>
  </w:style>
  <w:style w:type="paragraph" w:customStyle="1" w:styleId="numridata0">
    <w:name w:val="numridata"/>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852C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852C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852CD"/>
    <w:rPr>
      <w:rFonts w:ascii="Times New Roman" w:eastAsia="Times New Roman" w:hAnsi="Times New Roman" w:cs="Times New Roman"/>
      <w:sz w:val="16"/>
      <w:szCs w:val="16"/>
    </w:rPr>
  </w:style>
  <w:style w:type="paragraph" w:customStyle="1" w:styleId="s32b251d">
    <w:name w:val="s32b251d"/>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852CD"/>
  </w:style>
  <w:style w:type="paragraph" w:customStyle="1" w:styleId="s30eec3f8">
    <w:name w:val="s30eec3f8"/>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852CD"/>
    <w:rPr>
      <w:sz w:val="24"/>
      <w:lang w:val="en-GB" w:eastAsia="fr-FR"/>
    </w:rPr>
  </w:style>
  <w:style w:type="paragraph" w:customStyle="1" w:styleId="JuPara">
    <w:name w:val="Ju_Para"/>
    <w:basedOn w:val="Normal"/>
    <w:link w:val="JuParaCar"/>
    <w:rsid w:val="006852C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852C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852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6852C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6852C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6852CD"/>
    <w:rPr>
      <w:vertAlign w:val="superscript"/>
    </w:rPr>
  </w:style>
  <w:style w:type="paragraph" w:customStyle="1" w:styleId="ju-005fpara">
    <w:name w:val="ju-005fpara"/>
    <w:basedOn w:val="Normal"/>
    <w:rsid w:val="006852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852CD"/>
  </w:style>
  <w:style w:type="character" w:customStyle="1" w:styleId="s7d2086b4">
    <w:name w:val="s7d2086b4"/>
    <w:basedOn w:val="DefaultParagraphFont"/>
    <w:uiPriority w:val="99"/>
    <w:rsid w:val="006852CD"/>
  </w:style>
  <w:style w:type="character" w:customStyle="1" w:styleId="hps">
    <w:name w:val="hps"/>
    <w:basedOn w:val="DefaultParagraphFont"/>
    <w:rsid w:val="006852CD"/>
  </w:style>
  <w:style w:type="paragraph" w:customStyle="1" w:styleId="paragrafi0">
    <w:name w:val="paragrafi"/>
    <w:basedOn w:val="Normal"/>
    <w:rsid w:val="006852C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852C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852CD"/>
    <w:rPr>
      <w:rFonts w:cs="Times New Roman"/>
    </w:rPr>
  </w:style>
  <w:style w:type="paragraph" w:customStyle="1" w:styleId="titulli0">
    <w:name w:val="titulli"/>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852CD"/>
  </w:style>
  <w:style w:type="paragraph" w:customStyle="1" w:styleId="akti0">
    <w:name w:val="akti"/>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852C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852CD"/>
  </w:style>
  <w:style w:type="paragraph" w:customStyle="1" w:styleId="CM49">
    <w:name w:val="CM49"/>
    <w:basedOn w:val="Normal"/>
    <w:next w:val="Normal"/>
    <w:rsid w:val="006852C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852C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852C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852CD"/>
    <w:pPr>
      <w:widowControl w:val="0"/>
    </w:pPr>
    <w:rPr>
      <w:rFonts w:ascii="Helvetica" w:eastAsia="Times New Roman" w:hAnsi="Helvetica" w:cs="Helvetica"/>
      <w:lang w:val="sq-AL"/>
    </w:rPr>
  </w:style>
  <w:style w:type="paragraph" w:customStyle="1" w:styleId="CM57">
    <w:name w:val="CM57"/>
    <w:basedOn w:val="Normal"/>
    <w:next w:val="Normal"/>
    <w:rsid w:val="006852C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852C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852C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852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6852C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852CD"/>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6852CD"/>
    <w:rPr>
      <w:rFonts w:ascii="Cambria" w:eastAsia="MS Mincho" w:hAnsi="Cambria" w:cs="Cambria"/>
      <w:b/>
      <w:bCs/>
      <w:i/>
      <w:iCs/>
      <w:color w:val="7F7F7F"/>
      <w:sz w:val="24"/>
      <w:szCs w:val="24"/>
    </w:rPr>
  </w:style>
  <w:style w:type="paragraph" w:customStyle="1" w:styleId="tableheaders">
    <w:name w:val="table headers"/>
    <w:rsid w:val="006852C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852CD"/>
    <w:rPr>
      <w:b w:val="0"/>
    </w:rPr>
  </w:style>
  <w:style w:type="paragraph" w:styleId="PlainText">
    <w:name w:val="Plain Text"/>
    <w:basedOn w:val="Normal"/>
    <w:link w:val="PlainTextChar"/>
    <w:uiPriority w:val="99"/>
    <w:unhideWhenUsed/>
    <w:rsid w:val="006852CD"/>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6852CD"/>
    <w:rPr>
      <w:rFonts w:ascii="Consolas" w:eastAsia="Calibri" w:hAnsi="Consolas" w:cs="Times New Roman"/>
      <w:sz w:val="21"/>
      <w:szCs w:val="21"/>
      <w:lang w:val="sq-AL" w:eastAsia="x-none"/>
    </w:rPr>
  </w:style>
  <w:style w:type="paragraph" w:customStyle="1" w:styleId="StyleStyle1Bold">
    <w:name w:val="Style Style1 + Bold"/>
    <w:basedOn w:val="Style1"/>
    <w:rsid w:val="006852C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852CD"/>
    <w:rPr>
      <w:rFonts w:ascii="EUAlbertina" w:hAnsi="EUAlbertina"/>
      <w:color w:val="auto"/>
    </w:rPr>
  </w:style>
  <w:style w:type="paragraph" w:customStyle="1" w:styleId="CM4">
    <w:name w:val="CM4"/>
    <w:basedOn w:val="Normal"/>
    <w:next w:val="Normal"/>
    <w:rsid w:val="006852C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852C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852CD"/>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6852CD"/>
    <w:rPr>
      <w:rFonts w:ascii="Tahoma" w:eastAsia="Times New Roman" w:hAnsi="Tahoma" w:cs="Times New Roman"/>
      <w:sz w:val="16"/>
      <w:szCs w:val="16"/>
      <w:lang w:val="sq-AL" w:eastAsia="x-none"/>
    </w:rPr>
  </w:style>
  <w:style w:type="numbering" w:customStyle="1" w:styleId="NoList3">
    <w:name w:val="No List3"/>
    <w:next w:val="NoList"/>
    <w:semiHidden/>
    <w:rsid w:val="006852CD"/>
  </w:style>
  <w:style w:type="numbering" w:customStyle="1" w:styleId="NoList4">
    <w:name w:val="No List4"/>
    <w:next w:val="NoList"/>
    <w:semiHidden/>
    <w:rsid w:val="006852CD"/>
  </w:style>
  <w:style w:type="paragraph" w:customStyle="1" w:styleId="Point1">
    <w:name w:val="Point 1"/>
    <w:basedOn w:val="Normal"/>
    <w:link w:val="Point1Char"/>
    <w:rsid w:val="006852C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852CD"/>
    <w:rPr>
      <w:rFonts w:ascii="Calibri" w:eastAsia="Times New Roman" w:hAnsi="Calibri" w:cs="Times New Roman"/>
      <w:sz w:val="24"/>
      <w:szCs w:val="24"/>
      <w:lang w:val="en-GB" w:eastAsia="en-GB"/>
    </w:rPr>
  </w:style>
  <w:style w:type="character" w:customStyle="1" w:styleId="longtext">
    <w:name w:val="long_text"/>
    <w:rsid w:val="006852CD"/>
    <w:rPr>
      <w:rFonts w:ascii="Comic Sans MS" w:hAnsi="Comic Sans MS"/>
      <w:b/>
      <w:sz w:val="96"/>
      <w:szCs w:val="24"/>
      <w:lang w:val="pl-PL" w:eastAsia="pl-PL" w:bidi="ar-SA"/>
    </w:rPr>
  </w:style>
  <w:style w:type="paragraph" w:customStyle="1" w:styleId="Text1">
    <w:name w:val="Text 1"/>
    <w:basedOn w:val="Normal"/>
    <w:link w:val="Text1Char"/>
    <w:rsid w:val="006852C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852C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852C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852C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852C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852CD"/>
  </w:style>
  <w:style w:type="character" w:customStyle="1" w:styleId="SectionTitleCharCharChar">
    <w:name w:val="SectionTitle Char Char Char"/>
    <w:link w:val="SectionTitleCharChar"/>
    <w:rsid w:val="006852C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852CD"/>
    <w:rPr>
      <w:rFonts w:ascii="Calibri" w:eastAsia="Times New Roman" w:hAnsi="Calibri" w:cs="Times New Roman"/>
      <w:b/>
      <w:bCs/>
      <w:smallCaps/>
      <w:sz w:val="28"/>
      <w:szCs w:val="28"/>
      <w:lang w:val="en-GB" w:eastAsia="en-GB"/>
    </w:rPr>
  </w:style>
  <w:style w:type="character" w:customStyle="1" w:styleId="Text1Char">
    <w:name w:val="Text 1 Char"/>
    <w:link w:val="Text1"/>
    <w:rsid w:val="006852CD"/>
    <w:rPr>
      <w:rFonts w:ascii="Calibri" w:eastAsia="Times New Roman" w:hAnsi="Calibri" w:cs="Times New Roman"/>
      <w:sz w:val="24"/>
      <w:szCs w:val="24"/>
      <w:lang w:val="en-GB" w:eastAsia="en-GB"/>
    </w:rPr>
  </w:style>
  <w:style w:type="character" w:customStyle="1" w:styleId="Point1CharChar">
    <w:name w:val="Point 1 Char Char"/>
    <w:rsid w:val="006852CD"/>
    <w:rPr>
      <w:sz w:val="24"/>
      <w:szCs w:val="24"/>
      <w:lang w:val="en-GB" w:eastAsia="en-GB" w:bidi="ar-SA"/>
    </w:rPr>
  </w:style>
  <w:style w:type="paragraph" w:customStyle="1" w:styleId="Point0">
    <w:name w:val="Point 0"/>
    <w:basedOn w:val="Normal"/>
    <w:rsid w:val="006852C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852C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852C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852C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852C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852C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852C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852C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852C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852CD"/>
    <w:rPr>
      <w:rFonts w:ascii="CG Times" w:hAnsi="CG Times"/>
      <w:sz w:val="22"/>
      <w:lang w:val="en-US" w:eastAsia="en-US" w:bidi="ar-SA"/>
    </w:rPr>
  </w:style>
  <w:style w:type="paragraph" w:customStyle="1" w:styleId="SectionTitle">
    <w:name w:val="SectionTitle"/>
    <w:basedOn w:val="Normal"/>
    <w:next w:val="Heading1"/>
    <w:rsid w:val="006852C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852CD"/>
  </w:style>
  <w:style w:type="paragraph" w:styleId="TableofFigures">
    <w:name w:val="table of figures"/>
    <w:basedOn w:val="Normal"/>
    <w:next w:val="Normal"/>
    <w:rsid w:val="006852C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852C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852C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852C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852C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852C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852C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852C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852C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852C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852C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852C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852C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852C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852C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852C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852CD"/>
    <w:pPr>
      <w:spacing w:after="0" w:line="360" w:lineRule="auto"/>
      <w:ind w:firstLine="0"/>
      <w:jc w:val="left"/>
    </w:pPr>
    <w:rPr>
      <w:rFonts w:ascii="Tahoma" w:eastAsia="Times New Roman" w:hAnsi="Tahoma"/>
      <w:lang w:val="de-AT" w:eastAsia="de-DE"/>
    </w:rPr>
  </w:style>
  <w:style w:type="paragraph" w:styleId="List">
    <w:name w:val="List"/>
    <w:basedOn w:val="Normal"/>
    <w:rsid w:val="006852C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852C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852C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852C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852C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852C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852C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852C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852C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852C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852C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852C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852CD"/>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6852CD"/>
    <w:rPr>
      <w:sz w:val="16"/>
      <w:szCs w:val="16"/>
    </w:rPr>
  </w:style>
  <w:style w:type="paragraph" w:styleId="CommentText">
    <w:name w:val="annotation text"/>
    <w:aliases w:val=" Char"/>
    <w:basedOn w:val="Normal"/>
    <w:link w:val="CommentTextChar"/>
    <w:uiPriority w:val="99"/>
    <w:unhideWhenUsed/>
    <w:rsid w:val="006852CD"/>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6852C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852CD"/>
    <w:rPr>
      <w:b/>
      <w:bCs/>
    </w:rPr>
  </w:style>
  <w:style w:type="character" w:customStyle="1" w:styleId="CommentSubjectChar">
    <w:name w:val="Comment Subject Char"/>
    <w:basedOn w:val="CommentTextChar"/>
    <w:link w:val="CommentSubject"/>
    <w:uiPriority w:val="99"/>
    <w:rsid w:val="006852CD"/>
    <w:rPr>
      <w:rFonts w:ascii="Calibri" w:eastAsia="MS Mincho" w:hAnsi="Calibri" w:cs="Times New Roman"/>
      <w:b/>
      <w:bCs/>
      <w:sz w:val="20"/>
      <w:szCs w:val="20"/>
      <w:lang w:val="sq-AL"/>
    </w:rPr>
  </w:style>
  <w:style w:type="paragraph" w:styleId="ListNumber4">
    <w:name w:val="List Number 4"/>
    <w:basedOn w:val="Normal"/>
    <w:rsid w:val="006852C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852C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852CD"/>
  </w:style>
  <w:style w:type="paragraph" w:styleId="MacroText">
    <w:name w:val="macro"/>
    <w:link w:val="MacroTextChar"/>
    <w:semiHidden/>
    <w:rsid w:val="006852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852CD"/>
    <w:rPr>
      <w:rFonts w:ascii="Courier New" w:eastAsia="Times New Roman" w:hAnsi="Courier New" w:cs="Times New Roman"/>
      <w:lang w:val="de-DE" w:eastAsia="de-DE"/>
    </w:rPr>
  </w:style>
  <w:style w:type="paragraph" w:styleId="NormalIndent">
    <w:name w:val="Normal Indent"/>
    <w:basedOn w:val="Normal"/>
    <w:link w:val="NormalIndentChar"/>
    <w:rsid w:val="006852C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852C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852C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852CD"/>
    <w:rPr>
      <w:rFonts w:ascii="Tahoma" w:hAnsi="Tahoma"/>
      <w:sz w:val="22"/>
    </w:rPr>
  </w:style>
  <w:style w:type="paragraph" w:styleId="BlockText">
    <w:name w:val="Block Text"/>
    <w:basedOn w:val="Normal"/>
    <w:rsid w:val="006852C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852C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852CD"/>
    <w:rPr>
      <w:rFonts w:ascii="Tahoma" w:eastAsia="Times New Roman" w:hAnsi="Tahoma" w:cs="Times New Roman"/>
      <w:lang w:val="de-AT" w:eastAsia="de-DE"/>
    </w:rPr>
  </w:style>
  <w:style w:type="character" w:customStyle="1" w:styleId="Emphasis1">
    <w:name w:val="Emphasis1"/>
    <w:semiHidden/>
    <w:rsid w:val="006852CD"/>
  </w:style>
  <w:style w:type="paragraph" w:styleId="NoteHeading">
    <w:name w:val="Note Heading"/>
    <w:basedOn w:val="Normal"/>
    <w:next w:val="Normal"/>
    <w:link w:val="NoteHeadingChar"/>
    <w:rsid w:val="006852C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852CD"/>
    <w:rPr>
      <w:rFonts w:ascii="Tahoma" w:eastAsia="Times New Roman" w:hAnsi="Tahoma" w:cs="Times New Roman"/>
      <w:lang w:val="de-AT" w:eastAsia="de-DE"/>
    </w:rPr>
  </w:style>
  <w:style w:type="paragraph" w:styleId="MessageHeader">
    <w:name w:val="Message Header"/>
    <w:basedOn w:val="Normal"/>
    <w:link w:val="MessageHeaderChar"/>
    <w:semiHidden/>
    <w:rsid w:val="006852C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852C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852C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852C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6852CD"/>
    <w:rPr>
      <w:rFonts w:ascii="Tahoma" w:eastAsia="Times New Roman" w:hAnsi="Tahoma" w:cs="Times New Roman"/>
      <w:sz w:val="20"/>
      <w:szCs w:val="20"/>
    </w:rPr>
  </w:style>
  <w:style w:type="character" w:styleId="EndnoteReference">
    <w:name w:val="endnote reference"/>
    <w:uiPriority w:val="99"/>
    <w:semiHidden/>
    <w:unhideWhenUsed/>
    <w:rsid w:val="006852CD"/>
    <w:rPr>
      <w:vertAlign w:val="superscript"/>
    </w:rPr>
  </w:style>
  <w:style w:type="paragraph" w:styleId="BodyTextFirstIndent2">
    <w:name w:val="Body Text First Indent 2"/>
    <w:basedOn w:val="BodyTextIndent"/>
    <w:link w:val="BodyTextFirstIndent2Char"/>
    <w:semiHidden/>
    <w:rsid w:val="006852C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852CD"/>
    <w:rPr>
      <w:rFonts w:ascii="Tahoma" w:eastAsia="Times New Roman" w:hAnsi="Tahoma" w:cs="Times New Roman"/>
      <w:lang w:val="de-AT" w:eastAsia="de-DE"/>
    </w:rPr>
  </w:style>
  <w:style w:type="numbering" w:styleId="111111">
    <w:name w:val="Outline List 2"/>
    <w:basedOn w:val="NoList"/>
    <w:semiHidden/>
    <w:rsid w:val="006852CD"/>
    <w:pPr>
      <w:numPr>
        <w:numId w:val="14"/>
      </w:numPr>
    </w:pPr>
  </w:style>
  <w:style w:type="paragraph" w:customStyle="1" w:styleId="Zusatz2">
    <w:name w:val="Zusatz 2"/>
    <w:basedOn w:val="Normal"/>
    <w:next w:val="Normal"/>
    <w:semiHidden/>
    <w:rsid w:val="006852C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852C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852CD"/>
    <w:pPr>
      <w:numPr>
        <w:numId w:val="15"/>
      </w:numPr>
    </w:pPr>
  </w:style>
  <w:style w:type="paragraph" w:styleId="Salutation">
    <w:name w:val="Salutation"/>
    <w:basedOn w:val="Normal"/>
    <w:next w:val="Normal"/>
    <w:link w:val="SalutationChar"/>
    <w:semiHidden/>
    <w:rsid w:val="006852C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852CD"/>
    <w:rPr>
      <w:rFonts w:ascii="Tahoma" w:eastAsia="Times New Roman" w:hAnsi="Tahoma" w:cs="Times New Roman"/>
      <w:lang w:val="de-AT" w:eastAsia="de-DE"/>
    </w:rPr>
  </w:style>
  <w:style w:type="numbering" w:styleId="ArticleSection">
    <w:name w:val="Outline List 3"/>
    <w:basedOn w:val="NoList"/>
    <w:semiHidden/>
    <w:rsid w:val="006852CD"/>
    <w:pPr>
      <w:numPr>
        <w:numId w:val="16"/>
      </w:numPr>
    </w:pPr>
  </w:style>
  <w:style w:type="paragraph" w:styleId="Closing">
    <w:name w:val="Closing"/>
    <w:basedOn w:val="Normal"/>
    <w:link w:val="ClosingChar"/>
    <w:semiHidden/>
    <w:rsid w:val="006852C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852CD"/>
    <w:rPr>
      <w:rFonts w:ascii="Tahoma" w:eastAsia="Times New Roman" w:hAnsi="Tahoma" w:cs="Times New Roman"/>
      <w:lang w:val="de-AT" w:eastAsia="de-DE"/>
    </w:rPr>
  </w:style>
  <w:style w:type="character" w:styleId="Emphasis">
    <w:name w:val="Emphasis"/>
    <w:uiPriority w:val="20"/>
    <w:qFormat/>
    <w:rsid w:val="006852CD"/>
    <w:rPr>
      <w:i/>
      <w:iCs/>
    </w:rPr>
  </w:style>
  <w:style w:type="paragraph" w:styleId="HTMLAddress">
    <w:name w:val="HTML Address"/>
    <w:basedOn w:val="Normal"/>
    <w:link w:val="HTMLAddressChar"/>
    <w:semiHidden/>
    <w:rsid w:val="006852C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852CD"/>
    <w:rPr>
      <w:rFonts w:ascii="Tahoma" w:eastAsia="Times New Roman" w:hAnsi="Tahoma" w:cs="Times New Roman"/>
      <w:i/>
      <w:iCs/>
      <w:lang w:val="de-AT" w:eastAsia="de-DE"/>
    </w:rPr>
  </w:style>
  <w:style w:type="character" w:styleId="HTMLAcronym">
    <w:name w:val="HTML Acronym"/>
    <w:semiHidden/>
    <w:rsid w:val="006852CD"/>
  </w:style>
  <w:style w:type="character" w:styleId="HTMLSample">
    <w:name w:val="HTML Sample"/>
    <w:semiHidden/>
    <w:rsid w:val="006852CD"/>
    <w:rPr>
      <w:rFonts w:ascii="Courier New" w:hAnsi="Courier New" w:cs="Courier New"/>
    </w:rPr>
  </w:style>
  <w:style w:type="character" w:styleId="HTMLCode">
    <w:name w:val="HTML Code"/>
    <w:semiHidden/>
    <w:rsid w:val="006852CD"/>
    <w:rPr>
      <w:rFonts w:ascii="Courier New" w:hAnsi="Courier New" w:cs="Courier New"/>
      <w:sz w:val="20"/>
      <w:szCs w:val="20"/>
    </w:rPr>
  </w:style>
  <w:style w:type="character" w:styleId="HTMLDefinition">
    <w:name w:val="HTML Definition"/>
    <w:semiHidden/>
    <w:rsid w:val="006852CD"/>
    <w:rPr>
      <w:i/>
      <w:iCs/>
    </w:rPr>
  </w:style>
  <w:style w:type="character" w:styleId="HTMLTypewriter">
    <w:name w:val="HTML Typewriter"/>
    <w:semiHidden/>
    <w:rsid w:val="006852CD"/>
    <w:rPr>
      <w:rFonts w:ascii="Courier New" w:hAnsi="Courier New" w:cs="Courier New"/>
      <w:sz w:val="20"/>
      <w:szCs w:val="20"/>
    </w:rPr>
  </w:style>
  <w:style w:type="character" w:styleId="HTMLKeyboard">
    <w:name w:val="HTML Keyboard"/>
    <w:semiHidden/>
    <w:rsid w:val="006852CD"/>
    <w:rPr>
      <w:rFonts w:ascii="Courier New" w:hAnsi="Courier New" w:cs="Courier New"/>
      <w:sz w:val="20"/>
      <w:szCs w:val="20"/>
    </w:rPr>
  </w:style>
  <w:style w:type="character" w:styleId="HTMLVariable">
    <w:name w:val="HTML Variable"/>
    <w:semiHidden/>
    <w:rsid w:val="006852CD"/>
    <w:rPr>
      <w:i/>
      <w:iCs/>
    </w:rPr>
  </w:style>
  <w:style w:type="paragraph" w:styleId="HTMLPreformatted">
    <w:name w:val="HTML Preformatted"/>
    <w:basedOn w:val="Normal"/>
    <w:link w:val="HTMLPreformattedChar"/>
    <w:semiHidden/>
    <w:rsid w:val="006852C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852CD"/>
    <w:rPr>
      <w:rFonts w:ascii="Courier New" w:eastAsia="Times New Roman" w:hAnsi="Courier New" w:cs="Times New Roman"/>
      <w:sz w:val="20"/>
      <w:lang w:val="de-AT" w:eastAsia="de-DE"/>
    </w:rPr>
  </w:style>
  <w:style w:type="character" w:styleId="HTMLCite">
    <w:name w:val="HTML Cite"/>
    <w:semiHidden/>
    <w:rsid w:val="006852CD"/>
    <w:rPr>
      <w:i/>
      <w:iCs/>
    </w:rPr>
  </w:style>
  <w:style w:type="table" w:styleId="Table3Deffects1">
    <w:name w:val="Table 3D effects 1"/>
    <w:basedOn w:val="TableNormal"/>
    <w:semiHidden/>
    <w:rsid w:val="006852CD"/>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52CD"/>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52CD"/>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852CD"/>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52CD"/>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852CD"/>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852CD"/>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52CD"/>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52CD"/>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52CD"/>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852C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852CD"/>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52CD"/>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52C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52C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52CD"/>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52C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52C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852C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52CD"/>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52CD"/>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52CD"/>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52C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52CD"/>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52CD"/>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852CD"/>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52CD"/>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52CD"/>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52CD"/>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52CD"/>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852CD"/>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52CD"/>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852CD"/>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52CD"/>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52CD"/>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852CD"/>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6852CD"/>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6852C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852CD"/>
    <w:rPr>
      <w:rFonts w:ascii="Tahoma" w:eastAsia="Times New Roman" w:hAnsi="Tahoma" w:cs="Times New Roman"/>
      <w:lang w:val="de-AT" w:eastAsia="de-DE"/>
    </w:rPr>
  </w:style>
  <w:style w:type="paragraph" w:styleId="E-mailSignature">
    <w:name w:val="E-mail Signature"/>
    <w:basedOn w:val="Normal"/>
    <w:link w:val="E-mailSignatureChar"/>
    <w:rsid w:val="006852C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852CD"/>
    <w:rPr>
      <w:rFonts w:ascii="Tahoma" w:eastAsia="Times New Roman" w:hAnsi="Tahoma" w:cs="Times New Roman"/>
      <w:lang w:val="de-AT" w:eastAsia="de-DE"/>
    </w:rPr>
  </w:style>
  <w:style w:type="paragraph" w:styleId="BodyText2">
    <w:name w:val="Body Text 2"/>
    <w:basedOn w:val="Normal"/>
    <w:link w:val="BodyText2Char"/>
    <w:rsid w:val="006852C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852CD"/>
    <w:rPr>
      <w:rFonts w:ascii="Tahoma" w:eastAsia="Times New Roman" w:hAnsi="Tahoma" w:cs="Times New Roman"/>
      <w:lang w:val="de-AT" w:eastAsia="de-DE"/>
    </w:rPr>
  </w:style>
  <w:style w:type="paragraph" w:styleId="BodyTextIndent2">
    <w:name w:val="Body Text Indent 2"/>
    <w:basedOn w:val="Normal"/>
    <w:link w:val="BodyTextIndent2Char"/>
    <w:rsid w:val="006852C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852CD"/>
    <w:rPr>
      <w:rFonts w:ascii="Tahoma" w:eastAsia="Times New Roman" w:hAnsi="Tahoma" w:cs="Times New Roman"/>
      <w:lang w:val="de-AT" w:eastAsia="de-DE"/>
    </w:rPr>
  </w:style>
  <w:style w:type="paragraph" w:styleId="BodyTextIndent3">
    <w:name w:val="Body Text Indent 3"/>
    <w:basedOn w:val="Normal"/>
    <w:link w:val="BodyTextIndent3Char"/>
    <w:rsid w:val="006852C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852C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852C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852C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852C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852C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852CD"/>
    <w:rPr>
      <w:rFonts w:ascii="CG Times" w:eastAsia="Times New Roman" w:hAnsi="CG Times" w:cs="Times New Roman"/>
      <w:b/>
      <w:szCs w:val="24"/>
    </w:rPr>
  </w:style>
  <w:style w:type="character" w:customStyle="1" w:styleId="SubtitleChar1">
    <w:name w:val="Subtitle Char1"/>
    <w:locked/>
    <w:rsid w:val="006852CD"/>
    <w:rPr>
      <w:rFonts w:ascii="Cambria" w:hAnsi="Cambria"/>
      <w:sz w:val="24"/>
      <w:szCs w:val="24"/>
    </w:rPr>
  </w:style>
  <w:style w:type="paragraph" w:customStyle="1" w:styleId="Char1">
    <w:name w:val="Char1"/>
    <w:basedOn w:val="Normal"/>
    <w:rsid w:val="006852C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852CD"/>
    <w:rPr>
      <w:rFonts w:ascii="Tahoma" w:hAnsi="Tahoma" w:cs="Tahoma"/>
      <w:i/>
      <w:iCs/>
      <w:sz w:val="22"/>
      <w:szCs w:val="22"/>
      <w:lang w:val="de-AT" w:eastAsia="de-DE" w:bidi="ar-SA"/>
    </w:rPr>
  </w:style>
  <w:style w:type="character" w:customStyle="1" w:styleId="CharChar36">
    <w:name w:val="Char Char36"/>
    <w:locked/>
    <w:rsid w:val="006852CD"/>
    <w:rPr>
      <w:rFonts w:ascii="Arial" w:hAnsi="Arial" w:cs="Arial"/>
      <w:b/>
      <w:bCs/>
      <w:kern w:val="32"/>
      <w:sz w:val="32"/>
      <w:szCs w:val="32"/>
      <w:lang w:val="sq-AL" w:eastAsia="en-US" w:bidi="ar-SA"/>
    </w:rPr>
  </w:style>
  <w:style w:type="character" w:customStyle="1" w:styleId="CharChar35">
    <w:name w:val="Char Char35"/>
    <w:locked/>
    <w:rsid w:val="006852CD"/>
    <w:rPr>
      <w:rFonts w:ascii="Arial" w:hAnsi="Arial" w:cs="Arial"/>
      <w:b/>
      <w:bCs/>
      <w:i/>
      <w:iCs/>
      <w:sz w:val="28"/>
      <w:szCs w:val="28"/>
      <w:lang w:val="sq-AL" w:eastAsia="en-US" w:bidi="ar-SA"/>
    </w:rPr>
  </w:style>
  <w:style w:type="character" w:customStyle="1" w:styleId="CharChar34">
    <w:name w:val="Char Char34"/>
    <w:locked/>
    <w:rsid w:val="006852CD"/>
    <w:rPr>
      <w:rFonts w:ascii="Tahoma" w:hAnsi="Tahoma"/>
      <w:b/>
      <w:kern w:val="28"/>
      <w:sz w:val="24"/>
      <w:szCs w:val="28"/>
      <w:lang w:val="de-AT" w:eastAsia="de-DE" w:bidi="ar-SA"/>
    </w:rPr>
  </w:style>
  <w:style w:type="character" w:customStyle="1" w:styleId="CharChar33">
    <w:name w:val="Char Char33"/>
    <w:locked/>
    <w:rsid w:val="006852CD"/>
    <w:rPr>
      <w:rFonts w:ascii="Tahoma" w:hAnsi="Tahoma"/>
      <w:b/>
      <w:i/>
      <w:kern w:val="28"/>
      <w:sz w:val="22"/>
      <w:szCs w:val="22"/>
      <w:lang w:val="de-AT" w:eastAsia="de-DE" w:bidi="ar-SA"/>
    </w:rPr>
  </w:style>
  <w:style w:type="character" w:customStyle="1" w:styleId="CharChar32">
    <w:name w:val="Char Char32"/>
    <w:locked/>
    <w:rsid w:val="006852CD"/>
    <w:rPr>
      <w:rFonts w:ascii="Tahoma" w:hAnsi="Tahoma"/>
      <w:b/>
      <w:i/>
      <w:kern w:val="28"/>
      <w:sz w:val="22"/>
      <w:szCs w:val="22"/>
      <w:lang w:val="de-AT" w:eastAsia="de-DE" w:bidi="ar-SA"/>
    </w:rPr>
  </w:style>
  <w:style w:type="character" w:customStyle="1" w:styleId="CharChar31">
    <w:name w:val="Char Char31"/>
    <w:locked/>
    <w:rsid w:val="006852CD"/>
    <w:rPr>
      <w:rFonts w:ascii="Tahoma" w:hAnsi="Tahoma"/>
      <w:b/>
      <w:i/>
      <w:kern w:val="28"/>
      <w:sz w:val="22"/>
      <w:szCs w:val="22"/>
      <w:lang w:val="de-AT" w:eastAsia="de-DE" w:bidi="ar-SA"/>
    </w:rPr>
  </w:style>
  <w:style w:type="character" w:customStyle="1" w:styleId="CharChar10">
    <w:name w:val="Char Char10"/>
    <w:semiHidden/>
    <w:locked/>
    <w:rsid w:val="006852CD"/>
    <w:rPr>
      <w:rFonts w:ascii="Courier New" w:hAnsi="Courier New" w:cs="Courier New"/>
      <w:szCs w:val="22"/>
      <w:lang w:val="de-AT" w:eastAsia="de-DE" w:bidi="ar-SA"/>
    </w:rPr>
  </w:style>
  <w:style w:type="character" w:customStyle="1" w:styleId="CharChar30">
    <w:name w:val="Char Char30"/>
    <w:locked/>
    <w:rsid w:val="006852CD"/>
    <w:rPr>
      <w:rFonts w:ascii="Tahoma" w:hAnsi="Tahoma"/>
      <w:b/>
      <w:i/>
      <w:kern w:val="28"/>
      <w:sz w:val="22"/>
      <w:szCs w:val="22"/>
      <w:lang w:val="de-AT" w:eastAsia="de-DE" w:bidi="ar-SA"/>
    </w:rPr>
  </w:style>
  <w:style w:type="character" w:customStyle="1" w:styleId="CharChar29">
    <w:name w:val="Char Char29"/>
    <w:locked/>
    <w:rsid w:val="006852CD"/>
    <w:rPr>
      <w:rFonts w:ascii="Tahoma" w:hAnsi="Tahoma"/>
      <w:b/>
      <w:i/>
      <w:kern w:val="28"/>
      <w:sz w:val="22"/>
      <w:szCs w:val="22"/>
      <w:lang w:val="de-AT" w:eastAsia="de-DE" w:bidi="ar-SA"/>
    </w:rPr>
  </w:style>
  <w:style w:type="character" w:customStyle="1" w:styleId="CharChar28">
    <w:name w:val="Char Char28"/>
    <w:locked/>
    <w:rsid w:val="006852CD"/>
    <w:rPr>
      <w:rFonts w:ascii="Tahoma" w:hAnsi="Tahoma"/>
      <w:b/>
      <w:i/>
      <w:kern w:val="28"/>
      <w:sz w:val="22"/>
      <w:szCs w:val="22"/>
      <w:lang w:val="de-AT" w:eastAsia="de-DE" w:bidi="ar-SA"/>
    </w:rPr>
  </w:style>
  <w:style w:type="character" w:customStyle="1" w:styleId="CharChar27">
    <w:name w:val="Char Char27"/>
    <w:locked/>
    <w:rsid w:val="006852CD"/>
    <w:rPr>
      <w:rFonts w:ascii="Calibri" w:eastAsia="Calibri" w:hAnsi="Calibri"/>
      <w:lang w:val="sq-AL" w:eastAsia="en-US" w:bidi="ar-SA"/>
    </w:rPr>
  </w:style>
  <w:style w:type="character" w:customStyle="1" w:styleId="CharChar24">
    <w:name w:val="Char Char24"/>
    <w:locked/>
    <w:rsid w:val="006852CD"/>
    <w:rPr>
      <w:rFonts w:ascii="Tahoma" w:hAnsi="Tahoma" w:cs="Tahoma"/>
      <w:sz w:val="22"/>
      <w:szCs w:val="22"/>
      <w:lang w:val="de-AT" w:eastAsia="de-DE" w:bidi="ar-SA"/>
    </w:rPr>
  </w:style>
  <w:style w:type="character" w:customStyle="1" w:styleId="CharChar23">
    <w:name w:val="Char Char23"/>
    <w:locked/>
    <w:rsid w:val="006852CD"/>
    <w:rPr>
      <w:rFonts w:ascii="Tahoma" w:hAnsi="Tahoma" w:cs="Tahoma"/>
      <w:sz w:val="22"/>
      <w:szCs w:val="22"/>
      <w:lang w:val="de-AT" w:eastAsia="de-DE" w:bidi="ar-SA"/>
    </w:rPr>
  </w:style>
  <w:style w:type="character" w:customStyle="1" w:styleId="CharChar22">
    <w:name w:val="Char Char22"/>
    <w:semiHidden/>
    <w:locked/>
    <w:rsid w:val="006852CD"/>
    <w:rPr>
      <w:rFonts w:ascii="Courier New" w:hAnsi="Courier New" w:cs="Courier New"/>
      <w:sz w:val="22"/>
      <w:szCs w:val="22"/>
      <w:lang w:val="de-DE" w:eastAsia="de-DE" w:bidi="ar-SA"/>
    </w:rPr>
  </w:style>
  <w:style w:type="character" w:customStyle="1" w:styleId="CharChar21">
    <w:name w:val="Char Char21"/>
    <w:locked/>
    <w:rsid w:val="006852CD"/>
    <w:rPr>
      <w:rFonts w:ascii="Tahoma" w:hAnsi="Tahoma" w:cs="Tahoma"/>
      <w:b/>
      <w:kern w:val="28"/>
      <w:sz w:val="36"/>
      <w:szCs w:val="36"/>
      <w:lang w:val="de-AT" w:eastAsia="de-DE" w:bidi="ar-SA"/>
    </w:rPr>
  </w:style>
  <w:style w:type="character" w:customStyle="1" w:styleId="CharChar12">
    <w:name w:val="Char Char12"/>
    <w:semiHidden/>
    <w:locked/>
    <w:rsid w:val="006852CD"/>
    <w:rPr>
      <w:rFonts w:ascii="Tahoma" w:hAnsi="Tahoma" w:cs="Tahoma"/>
      <w:sz w:val="22"/>
      <w:szCs w:val="22"/>
      <w:lang w:val="de-AT" w:eastAsia="de-DE" w:bidi="ar-SA"/>
    </w:rPr>
  </w:style>
  <w:style w:type="character" w:customStyle="1" w:styleId="CharChar9">
    <w:name w:val="Char Char9"/>
    <w:semiHidden/>
    <w:locked/>
    <w:rsid w:val="006852CD"/>
    <w:rPr>
      <w:rFonts w:ascii="Tahoma" w:hAnsi="Tahoma" w:cs="Tahoma"/>
      <w:sz w:val="22"/>
      <w:szCs w:val="22"/>
      <w:lang w:val="de-AT" w:eastAsia="de-DE" w:bidi="ar-SA"/>
    </w:rPr>
  </w:style>
  <w:style w:type="character" w:customStyle="1" w:styleId="CharChar25">
    <w:name w:val="Char Char25"/>
    <w:semiHidden/>
    <w:locked/>
    <w:rsid w:val="006852CD"/>
    <w:rPr>
      <w:rFonts w:ascii="Tahoma" w:hAnsi="Tahoma" w:cs="Tahoma"/>
      <w:sz w:val="22"/>
      <w:szCs w:val="22"/>
      <w:lang w:val="de-AT" w:eastAsia="de-DE" w:bidi="ar-SA"/>
    </w:rPr>
  </w:style>
  <w:style w:type="character" w:customStyle="1" w:styleId="CharChar15">
    <w:name w:val="Char Char15"/>
    <w:semiHidden/>
    <w:locked/>
    <w:rsid w:val="006852CD"/>
    <w:rPr>
      <w:rFonts w:ascii="Tahoma" w:hAnsi="Tahoma" w:cs="Tahoma"/>
      <w:sz w:val="22"/>
      <w:szCs w:val="22"/>
      <w:lang w:val="de-AT" w:eastAsia="de-DE" w:bidi="ar-SA"/>
    </w:rPr>
  </w:style>
  <w:style w:type="character" w:customStyle="1" w:styleId="CharChar16">
    <w:name w:val="Char Char16"/>
    <w:semiHidden/>
    <w:locked/>
    <w:rsid w:val="006852CD"/>
    <w:rPr>
      <w:rFonts w:ascii="Tahoma" w:hAnsi="Tahoma" w:cs="Arial"/>
      <w:sz w:val="24"/>
      <w:szCs w:val="24"/>
      <w:lang w:val="de-AT" w:eastAsia="de-DE" w:bidi="ar-SA"/>
    </w:rPr>
  </w:style>
  <w:style w:type="character" w:customStyle="1" w:styleId="CharChar20">
    <w:name w:val="Char Char20"/>
    <w:locked/>
    <w:rsid w:val="006852CD"/>
    <w:rPr>
      <w:rFonts w:ascii="Tahoma" w:hAnsi="Tahoma" w:cs="Tahoma"/>
      <w:b/>
      <w:kern w:val="28"/>
      <w:sz w:val="32"/>
      <w:szCs w:val="36"/>
      <w:lang w:val="de-AT" w:eastAsia="de-DE" w:bidi="ar-SA"/>
    </w:rPr>
  </w:style>
  <w:style w:type="character" w:customStyle="1" w:styleId="CharChar13">
    <w:name w:val="Char Char13"/>
    <w:semiHidden/>
    <w:locked/>
    <w:rsid w:val="006852CD"/>
    <w:rPr>
      <w:rFonts w:ascii="Tahoma" w:hAnsi="Tahoma" w:cs="Tahoma"/>
      <w:sz w:val="22"/>
      <w:szCs w:val="22"/>
      <w:lang w:val="de-AT" w:eastAsia="de-DE" w:bidi="ar-SA"/>
    </w:rPr>
  </w:style>
  <w:style w:type="character" w:customStyle="1" w:styleId="CharChar19">
    <w:name w:val="Char Char19"/>
    <w:semiHidden/>
    <w:locked/>
    <w:rsid w:val="006852CD"/>
    <w:rPr>
      <w:rFonts w:ascii="Tahoma" w:hAnsi="Tahoma" w:cs="Tahoma"/>
      <w:sz w:val="22"/>
      <w:szCs w:val="22"/>
      <w:lang w:val="de-AT" w:eastAsia="de-DE" w:bidi="ar-SA"/>
    </w:rPr>
  </w:style>
  <w:style w:type="character" w:customStyle="1" w:styleId="CharChar3">
    <w:name w:val="Char Char3"/>
    <w:semiHidden/>
    <w:locked/>
    <w:rsid w:val="006852CD"/>
  </w:style>
  <w:style w:type="character" w:customStyle="1" w:styleId="CharChar14">
    <w:name w:val="Char Char14"/>
    <w:semiHidden/>
    <w:locked/>
    <w:rsid w:val="006852CD"/>
  </w:style>
  <w:style w:type="character" w:customStyle="1" w:styleId="CharChar17">
    <w:name w:val="Char Char17"/>
    <w:locked/>
    <w:rsid w:val="006852CD"/>
    <w:rPr>
      <w:rFonts w:ascii="Tahoma" w:hAnsi="Tahoma" w:cs="Tahoma"/>
      <w:sz w:val="22"/>
      <w:szCs w:val="22"/>
      <w:lang w:val="de-AT" w:eastAsia="de-DE" w:bidi="ar-SA"/>
    </w:rPr>
  </w:style>
  <w:style w:type="character" w:customStyle="1" w:styleId="CharChar7">
    <w:name w:val="Char Char7"/>
    <w:semiHidden/>
    <w:locked/>
    <w:rsid w:val="006852CD"/>
    <w:rPr>
      <w:rFonts w:ascii="Tahoma" w:hAnsi="Tahoma" w:cs="Tahoma"/>
      <w:sz w:val="22"/>
      <w:szCs w:val="22"/>
      <w:lang w:val="de-AT" w:eastAsia="de-DE" w:bidi="ar-SA"/>
    </w:rPr>
  </w:style>
  <w:style w:type="character" w:customStyle="1" w:styleId="CharChar6">
    <w:name w:val="Char Char6"/>
    <w:semiHidden/>
    <w:locked/>
    <w:rsid w:val="006852CD"/>
    <w:rPr>
      <w:rFonts w:ascii="Tahoma" w:hAnsi="Tahoma" w:cs="Tahoma"/>
      <w:sz w:val="16"/>
      <w:szCs w:val="16"/>
      <w:lang w:val="de-AT" w:eastAsia="de-DE" w:bidi="ar-SA"/>
    </w:rPr>
  </w:style>
  <w:style w:type="character" w:customStyle="1" w:styleId="CharChar5">
    <w:name w:val="Char Char5"/>
    <w:semiHidden/>
    <w:locked/>
    <w:rsid w:val="006852CD"/>
    <w:rPr>
      <w:rFonts w:ascii="Tahoma" w:hAnsi="Tahoma" w:cs="Tahoma"/>
      <w:sz w:val="22"/>
      <w:szCs w:val="22"/>
      <w:lang w:val="de-AT" w:eastAsia="de-DE" w:bidi="ar-SA"/>
    </w:rPr>
  </w:style>
  <w:style w:type="character" w:customStyle="1" w:styleId="CharChar4">
    <w:name w:val="Char Char4"/>
    <w:semiHidden/>
    <w:locked/>
    <w:rsid w:val="006852CD"/>
    <w:rPr>
      <w:rFonts w:ascii="Tahoma" w:hAnsi="Tahoma" w:cs="Tahoma"/>
      <w:sz w:val="16"/>
      <w:szCs w:val="16"/>
      <w:lang w:val="de-AT" w:eastAsia="de-DE" w:bidi="ar-SA"/>
    </w:rPr>
  </w:style>
  <w:style w:type="character" w:customStyle="1" w:styleId="CharChar18">
    <w:name w:val="Char Char18"/>
    <w:semiHidden/>
    <w:locked/>
    <w:rsid w:val="006852CD"/>
    <w:rPr>
      <w:rFonts w:ascii="Tahoma" w:hAnsi="Tahoma" w:cs="Tahoma"/>
      <w:sz w:val="22"/>
      <w:szCs w:val="22"/>
      <w:lang w:val="de-AT" w:eastAsia="de-DE" w:bidi="ar-SA"/>
    </w:rPr>
  </w:style>
  <w:style w:type="character" w:customStyle="1" w:styleId="CharChar8">
    <w:name w:val="Char Char8"/>
    <w:locked/>
    <w:rsid w:val="006852CD"/>
    <w:rPr>
      <w:rFonts w:ascii="Tahoma" w:hAnsi="Tahoma" w:cs="Tahoma"/>
      <w:sz w:val="22"/>
      <w:szCs w:val="22"/>
      <w:lang w:val="de-AT" w:eastAsia="de-DE" w:bidi="ar-SA"/>
    </w:rPr>
  </w:style>
  <w:style w:type="character" w:customStyle="1" w:styleId="CharChar2">
    <w:name w:val="Char Char2"/>
    <w:locked/>
    <w:rsid w:val="006852CD"/>
    <w:rPr>
      <w:rFonts w:ascii="Calibri" w:eastAsia="Calibri" w:hAnsi="Calibri" w:cs="Times New Roman"/>
      <w:b/>
      <w:bCs/>
      <w:sz w:val="20"/>
      <w:szCs w:val="20"/>
      <w:lang w:val="sq-AL" w:eastAsia="en-US" w:bidi="ar-SA"/>
    </w:rPr>
  </w:style>
  <w:style w:type="character" w:customStyle="1" w:styleId="CharChar26">
    <w:name w:val="Char Char26"/>
    <w:semiHidden/>
    <w:locked/>
    <w:rsid w:val="006852CD"/>
    <w:rPr>
      <w:rFonts w:ascii="Tahoma" w:hAnsi="Tahoma" w:cs="Tahoma"/>
      <w:sz w:val="16"/>
      <w:szCs w:val="16"/>
      <w:lang w:val="sq-AL" w:eastAsia="en-US" w:bidi="ar-SA"/>
    </w:rPr>
  </w:style>
  <w:style w:type="character" w:customStyle="1" w:styleId="CommentTextChar11">
    <w:name w:val="Comment Text Char11"/>
    <w:aliases w:val="Char Char37"/>
    <w:semiHidden/>
    <w:rsid w:val="006852CD"/>
    <w:rPr>
      <w:rFonts w:ascii="Calibri" w:hAnsi="Calibri" w:hint="default"/>
      <w:lang w:val="sq-AL"/>
    </w:rPr>
  </w:style>
  <w:style w:type="character" w:customStyle="1" w:styleId="NormalIndentChar">
    <w:name w:val="Normal Indent Char"/>
    <w:link w:val="NormalIndent"/>
    <w:rsid w:val="006852C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852C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852CD"/>
    <w:pPr>
      <w:tabs>
        <w:tab w:val="num" w:pos="360"/>
        <w:tab w:val="num" w:pos="1935"/>
        <w:tab w:val="num" w:pos="2563"/>
        <w:tab w:val="num" w:pos="3474"/>
      </w:tabs>
      <w:ind w:left="1935" w:hanging="360"/>
      <w:outlineLvl w:val="6"/>
    </w:pPr>
  </w:style>
  <w:style w:type="character" w:customStyle="1" w:styleId="AODefHeadChar">
    <w:name w:val="AODefHead Char"/>
    <w:link w:val="AODefHead"/>
    <w:rsid w:val="006852CD"/>
    <w:rPr>
      <w:rFonts w:ascii="Times New Roman" w:eastAsia="Times New Roman" w:hAnsi="Times New Roman" w:cs="Times New Roman"/>
      <w:szCs w:val="20"/>
      <w:lang w:val="sq-AL" w:eastAsia="sq-AL" w:bidi="sq-AL"/>
    </w:rPr>
  </w:style>
  <w:style w:type="paragraph" w:customStyle="1" w:styleId="PARA">
    <w:name w:val="PARA"/>
    <w:basedOn w:val="Normal"/>
    <w:locked/>
    <w:rsid w:val="006852C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852C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852C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852C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852C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852CD"/>
    <w:rPr>
      <w:color w:val="0000FF"/>
      <w:spacing w:val="0"/>
      <w:u w:val="double"/>
    </w:rPr>
  </w:style>
  <w:style w:type="paragraph" w:customStyle="1" w:styleId="dia">
    <w:name w:val="di(a)"/>
    <w:basedOn w:val="Normal"/>
    <w:rsid w:val="006852C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852C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852C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852CD"/>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6852CD"/>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6852C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852CD"/>
    <w:rPr>
      <w:rFonts w:cs="Times New Roman"/>
      <w:color w:val="808080"/>
    </w:rPr>
  </w:style>
  <w:style w:type="character" w:customStyle="1" w:styleId="az12">
    <w:name w:val="az12"/>
    <w:uiPriority w:val="99"/>
    <w:rsid w:val="006852C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852C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852CD"/>
    <w:rPr>
      <w:rFonts w:ascii="Calibri" w:eastAsia="Times New Roman" w:hAnsi="Calibri" w:cs="Times New Roman"/>
      <w:sz w:val="24"/>
      <w:szCs w:val="24"/>
      <w:lang w:val="en-GB" w:eastAsia="en-GB"/>
    </w:rPr>
  </w:style>
  <w:style w:type="paragraph" w:customStyle="1" w:styleId="Paragraf02">
    <w:name w:val="Paragraf 0.2"/>
    <w:basedOn w:val="Paragrafi"/>
    <w:qFormat/>
    <w:rsid w:val="006852CD"/>
    <w:pPr>
      <w:tabs>
        <w:tab w:val="left" w:pos="6575"/>
      </w:tabs>
    </w:pPr>
    <w:rPr>
      <w:spacing w:val="-4"/>
    </w:rPr>
  </w:style>
  <w:style w:type="table" w:customStyle="1" w:styleId="TableGrid30">
    <w:name w:val="Table Grid3"/>
    <w:basedOn w:val="TableNormal"/>
    <w:next w:val="TableGrid"/>
    <w:uiPriority w:val="59"/>
    <w:rsid w:val="00685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852CD"/>
  </w:style>
  <w:style w:type="character" w:styleId="BookTitle">
    <w:name w:val="Book Title"/>
    <w:uiPriority w:val="33"/>
    <w:qFormat/>
    <w:rsid w:val="006852CD"/>
    <w:rPr>
      <w:b/>
      <w:bCs/>
      <w:smallCaps/>
      <w:spacing w:val="5"/>
    </w:rPr>
  </w:style>
  <w:style w:type="paragraph" w:customStyle="1" w:styleId="Cover1">
    <w:name w:val="Cover1"/>
    <w:basedOn w:val="Normal"/>
    <w:next w:val="Normal"/>
    <w:rsid w:val="006852C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852C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852C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852C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852CD"/>
    <w:rPr>
      <w:rFonts w:ascii="Times New Roman" w:eastAsia="Times New Roman" w:hAnsi="Times New Roman" w:cs="Times New Roman"/>
      <w:szCs w:val="20"/>
      <w:lang w:val="sq-AL"/>
    </w:rPr>
  </w:style>
  <w:style w:type="character" w:customStyle="1" w:styleId="Bodytext0">
    <w:name w:val="Body text_"/>
    <w:link w:val="BodyText1"/>
    <w:rsid w:val="006852CD"/>
    <w:rPr>
      <w:rFonts w:ascii="Times New Roman" w:hAnsi="Times New Roman"/>
      <w:sz w:val="21"/>
      <w:szCs w:val="21"/>
      <w:shd w:val="clear" w:color="auto" w:fill="FFFFFF"/>
    </w:rPr>
  </w:style>
  <w:style w:type="paragraph" w:customStyle="1" w:styleId="BodyText1">
    <w:name w:val="Body Text1"/>
    <w:basedOn w:val="Normal"/>
    <w:link w:val="Bodytext0"/>
    <w:rsid w:val="006852C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852C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852C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6852C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852C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852C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852C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852C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852CD"/>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685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68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
    <w:name w:val="Style"/>
    <w:rsid w:val="006852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ListParagraph1">
    <w:name w:val="List Paragraph1"/>
    <w:basedOn w:val="Normal"/>
    <w:uiPriority w:val="34"/>
    <w:qFormat/>
    <w:rsid w:val="006852CD"/>
    <w:pPr>
      <w:ind w:left="720" w:firstLine="0"/>
      <w:contextualSpacing/>
    </w:pPr>
  </w:style>
  <w:style w:type="character" w:customStyle="1" w:styleId="alt-edited1">
    <w:name w:val="alt-edited1"/>
    <w:basedOn w:val="DefaultParagraphFont"/>
    <w:rsid w:val="006852CD"/>
    <w:rPr>
      <w:color w:val="4D90F0"/>
    </w:rPr>
  </w:style>
  <w:style w:type="numbering" w:customStyle="1" w:styleId="ImportedStyle1">
    <w:name w:val="Imported Style 1"/>
    <w:rsid w:val="006852CD"/>
    <w:pPr>
      <w:numPr>
        <w:numId w:val="17"/>
      </w:numPr>
    </w:pPr>
  </w:style>
  <w:style w:type="paragraph" w:customStyle="1" w:styleId="ColorfulList-Accent11">
    <w:name w:val="Colorful List - Accent 11"/>
    <w:rsid w:val="006852CD"/>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1839</Words>
  <Characters>10487</Characters>
  <Application>Microsoft Office Word</Application>
  <DocSecurity>0</DocSecurity>
  <Lines>87</Lines>
  <Paragraphs>24</Paragraphs>
  <ScaleCrop>false</ScaleCrop>
  <Company/>
  <LinksUpToDate>false</LinksUpToDate>
  <CharactersWithSpaces>12302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2018-11-21T14:28:00Z</dcterms:created>
  <dcterms:modified xsi:type="dcterms:W3CDTF">2018-11-21T14:29:00Z</dcterms:modified>
</cp:coreProperties>
</file>