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C39" w:rsidRPr="00EE4E37" w:rsidRDefault="00B36C39" w:rsidP="00B36C39">
      <w:pPr>
        <w:pStyle w:val="NeniTitull"/>
        <w:ind w:firstLine="284"/>
        <w:rPr>
          <w:spacing w:val="-4"/>
          <w:szCs w:val="24"/>
          <w:lang w:val="sq-AL"/>
        </w:rPr>
      </w:pPr>
      <w:r w:rsidRPr="00EE4E37">
        <w:rPr>
          <w:spacing w:val="-4"/>
          <w:szCs w:val="24"/>
          <w:lang w:val="sq-AL"/>
        </w:rPr>
        <w:t>VENDIM</w:t>
      </w:r>
    </w:p>
    <w:p w:rsidR="00B36C39" w:rsidRPr="00EE4E37" w:rsidRDefault="00B36C39" w:rsidP="00B36C39">
      <w:pPr>
        <w:pStyle w:val="NeniTitull"/>
        <w:ind w:firstLine="284"/>
        <w:rPr>
          <w:spacing w:val="-4"/>
          <w:szCs w:val="24"/>
          <w:lang w:val="sq-AL"/>
        </w:rPr>
      </w:pPr>
      <w:bookmarkStart w:id="0" w:name="_GoBack"/>
      <w:r w:rsidRPr="00EE4E37">
        <w:rPr>
          <w:spacing w:val="-4"/>
          <w:szCs w:val="24"/>
          <w:lang w:val="sq-AL"/>
        </w:rPr>
        <w:t>Nr. 7, datë 8.2.2019</w:t>
      </w:r>
    </w:p>
    <w:bookmarkEnd w:id="0"/>
    <w:p w:rsidR="00B36C39" w:rsidRPr="00EE4E37" w:rsidRDefault="00B36C39" w:rsidP="00B36C39">
      <w:pPr>
        <w:pStyle w:val="NeniTitull"/>
        <w:ind w:firstLine="284"/>
        <w:rPr>
          <w:spacing w:val="-4"/>
          <w:szCs w:val="24"/>
          <w:lang w:val="sq-AL"/>
        </w:rPr>
      </w:pPr>
    </w:p>
    <w:p w:rsidR="00B36C39" w:rsidRPr="00EE4E37" w:rsidRDefault="00B36C39" w:rsidP="00B36C39">
      <w:pPr>
        <w:pStyle w:val="NeniTitull"/>
        <w:ind w:firstLine="284"/>
        <w:rPr>
          <w:spacing w:val="-4"/>
          <w:szCs w:val="24"/>
          <w:lang w:val="sq-AL"/>
        </w:rPr>
      </w:pPr>
      <w:r w:rsidRPr="00EE4E37">
        <w:rPr>
          <w:spacing w:val="-4"/>
          <w:szCs w:val="24"/>
          <w:lang w:val="sq-AL"/>
        </w:rPr>
        <w:t>PËR MIRATIMIN E TARIFAVE TË SHËRBIMIT TË FURNIZIMIT ME UJË DHE LARGIMIN E UJËRAVE TË NDOTURA PËR SHOQËRINË UJËSJELLËS  KANALIZIME GJIROKASTËR SHA</w:t>
      </w:r>
    </w:p>
    <w:p w:rsidR="00B36C39" w:rsidRPr="00EE4E37" w:rsidRDefault="00B36C39" w:rsidP="00B36C39">
      <w:pPr>
        <w:pStyle w:val="Paragrafi"/>
        <w:rPr>
          <w:spacing w:val="-4"/>
          <w:szCs w:val="24"/>
          <w:lang w:val="sq-AL"/>
        </w:rPr>
      </w:pPr>
    </w:p>
    <w:p w:rsidR="00B36C39" w:rsidRPr="00EE4E37" w:rsidRDefault="00B36C39" w:rsidP="00B36C39">
      <w:pPr>
        <w:pStyle w:val="Paragrafi"/>
        <w:rPr>
          <w:spacing w:val="-4"/>
          <w:szCs w:val="24"/>
          <w:lang w:val="sq-AL"/>
        </w:rPr>
      </w:pPr>
      <w:r w:rsidRPr="00EE4E37">
        <w:rPr>
          <w:spacing w:val="-4"/>
          <w:szCs w:val="24"/>
          <w:lang w:val="sq-AL"/>
        </w:rPr>
        <w:t xml:space="preserve">Në mbështetje të neneve 13, 14, 21 dhe 22, të ligjit </w:t>
      </w:r>
      <w:bookmarkStart w:id="1" w:name="_Hlk524920"/>
      <w:r w:rsidRPr="00EE4E37">
        <w:rPr>
          <w:spacing w:val="-4"/>
          <w:szCs w:val="24"/>
          <w:lang w:val="sq-AL"/>
        </w:rPr>
        <w:t xml:space="preserve">nr. 8102, datë 28.3.1996 </w:t>
      </w:r>
      <w:r>
        <w:rPr>
          <w:spacing w:val="-4"/>
          <w:szCs w:val="24"/>
          <w:lang w:val="sq-AL"/>
        </w:rPr>
        <w:t>“</w:t>
      </w:r>
      <w:r w:rsidRPr="00EE4E37">
        <w:rPr>
          <w:spacing w:val="-4"/>
          <w:szCs w:val="24"/>
          <w:lang w:val="sq-AL"/>
        </w:rPr>
        <w:t>Për kuadrin rregullator të sektorit të furnizimit me ujë dhe largimit e përpunimit të ujërave të ndotura</w:t>
      </w:r>
      <w:r>
        <w:rPr>
          <w:spacing w:val="-4"/>
          <w:szCs w:val="24"/>
          <w:lang w:val="sq-AL"/>
        </w:rPr>
        <w:t>”</w:t>
      </w:r>
      <w:r w:rsidRPr="00EE4E37">
        <w:rPr>
          <w:spacing w:val="-4"/>
          <w:szCs w:val="24"/>
          <w:lang w:val="sq-AL"/>
        </w:rPr>
        <w:t xml:space="preserve">, të ndryshuar </w:t>
      </w:r>
      <w:bookmarkEnd w:id="1"/>
      <w:r w:rsidRPr="00EE4E37">
        <w:rPr>
          <w:spacing w:val="-4"/>
          <w:szCs w:val="24"/>
          <w:lang w:val="sq-AL"/>
        </w:rPr>
        <w:t xml:space="preserve">(ligji nr. 8102), vendimit të Komisionit Kombëtar Rregullator nr. 39, datë 9.12.2015 </w:t>
      </w:r>
      <w:r>
        <w:rPr>
          <w:spacing w:val="-4"/>
          <w:szCs w:val="24"/>
          <w:lang w:val="sq-AL"/>
        </w:rPr>
        <w:t>“</w:t>
      </w:r>
      <w:r w:rsidRPr="00EE4E37">
        <w:rPr>
          <w:spacing w:val="-4"/>
          <w:szCs w:val="24"/>
          <w:lang w:val="sq-AL"/>
        </w:rPr>
        <w:t>Për miratimin e politikës tarifore për shërbimin e furnizimit me ujë dhe largimit e përpunimit të ujërave të ndotura</w:t>
      </w:r>
      <w:r>
        <w:rPr>
          <w:spacing w:val="-4"/>
          <w:szCs w:val="24"/>
          <w:lang w:val="sq-AL"/>
        </w:rPr>
        <w:t>”</w:t>
      </w:r>
      <w:r w:rsidRPr="00EE4E37">
        <w:rPr>
          <w:spacing w:val="-4"/>
          <w:szCs w:val="24"/>
          <w:lang w:val="sq-AL"/>
        </w:rPr>
        <w:t xml:space="preserve"> (vendimi nr. 39), vendimit të Komisionit Kombëtar Rregullator nr. 40, datë 9.12.2015 </w:t>
      </w:r>
      <w:r>
        <w:rPr>
          <w:spacing w:val="-4"/>
          <w:szCs w:val="24"/>
          <w:lang w:val="sq-AL"/>
        </w:rPr>
        <w:t>“</w:t>
      </w:r>
      <w:r w:rsidRPr="00EE4E37">
        <w:rPr>
          <w:spacing w:val="-4"/>
          <w:szCs w:val="24"/>
          <w:lang w:val="sq-AL"/>
        </w:rPr>
        <w:t>Për miratimin e dokumentacionit mbështetës për miratimin e tarifave për shërbimin e furnizimit me ujë, largimin e përpunimin e ujërave të ndotura</w:t>
      </w:r>
      <w:r>
        <w:rPr>
          <w:spacing w:val="-4"/>
          <w:szCs w:val="24"/>
          <w:lang w:val="sq-AL"/>
        </w:rPr>
        <w:t>”</w:t>
      </w:r>
      <w:r w:rsidRPr="00EE4E37">
        <w:rPr>
          <w:spacing w:val="-4"/>
          <w:szCs w:val="24"/>
          <w:lang w:val="sq-AL"/>
        </w:rPr>
        <w:t xml:space="preserve"> (vendimi nr. 40), vendimit të Komisionit Kombëtar Rregullator nr. 41, datë 9.12. 2015 </w:t>
      </w:r>
      <w:r>
        <w:rPr>
          <w:spacing w:val="-4"/>
          <w:szCs w:val="24"/>
          <w:lang w:val="sq-AL"/>
        </w:rPr>
        <w:t>“</w:t>
      </w:r>
      <w:r w:rsidRPr="00EE4E37">
        <w:rPr>
          <w:spacing w:val="-4"/>
          <w:szCs w:val="24"/>
          <w:lang w:val="sq-AL"/>
        </w:rPr>
        <w:t>Për miratimin e procesit të miratimit të tarifave për shërbimin e furnizimit me ujë, largimin e përpunimin e ujërave të ndotura</w:t>
      </w:r>
      <w:r>
        <w:rPr>
          <w:spacing w:val="-4"/>
          <w:szCs w:val="24"/>
          <w:lang w:val="sq-AL"/>
        </w:rPr>
        <w:t>”</w:t>
      </w:r>
      <w:r w:rsidRPr="00EE4E37">
        <w:rPr>
          <w:spacing w:val="-4"/>
          <w:szCs w:val="24"/>
          <w:lang w:val="sq-AL"/>
        </w:rPr>
        <w:t xml:space="preserve"> (vendimi nr. 41), vendimit të Komisionit Kombëtar Rregullator nr. 42, datë 9.12.2015 </w:t>
      </w:r>
      <w:r>
        <w:rPr>
          <w:spacing w:val="-4"/>
          <w:szCs w:val="24"/>
          <w:lang w:val="sq-AL"/>
        </w:rPr>
        <w:t>“</w:t>
      </w:r>
      <w:r w:rsidRPr="00EE4E37">
        <w:rPr>
          <w:spacing w:val="-4"/>
          <w:szCs w:val="24"/>
          <w:lang w:val="sq-AL"/>
        </w:rPr>
        <w:t>Për miratimin e metodologjisë për vendosjen e tarifave për shërbimin e furnizimit me ujë dhe largim e përpunimin e ujërave të ndotura</w:t>
      </w:r>
      <w:r>
        <w:rPr>
          <w:spacing w:val="-4"/>
          <w:szCs w:val="24"/>
          <w:lang w:val="sq-AL"/>
        </w:rPr>
        <w:t>”</w:t>
      </w:r>
      <w:r w:rsidRPr="00EE4E37">
        <w:rPr>
          <w:spacing w:val="-4"/>
          <w:szCs w:val="24"/>
          <w:lang w:val="sq-AL"/>
        </w:rPr>
        <w:t xml:space="preserve"> (vendimi nr. 42), </w:t>
      </w:r>
    </w:p>
    <w:p w:rsidR="00B36C39" w:rsidRPr="00EE4E37" w:rsidRDefault="00B36C39" w:rsidP="00B36C39">
      <w:pPr>
        <w:pStyle w:val="Paragrafi"/>
        <w:rPr>
          <w:spacing w:val="-4"/>
          <w:szCs w:val="24"/>
          <w:lang w:val="sq-AL"/>
        </w:rPr>
      </w:pPr>
      <w:r w:rsidRPr="00EE4E37">
        <w:rPr>
          <w:spacing w:val="-4"/>
          <w:szCs w:val="24"/>
          <w:lang w:val="sq-AL"/>
        </w:rPr>
        <w:t>Komisioni Kombëtar Rregullator,</w:t>
      </w:r>
    </w:p>
    <w:p w:rsidR="00B36C39" w:rsidRPr="00EE4E37" w:rsidRDefault="00B36C39" w:rsidP="00B36C39">
      <w:pPr>
        <w:pStyle w:val="Paragrafi"/>
        <w:rPr>
          <w:spacing w:val="-4"/>
          <w:szCs w:val="24"/>
          <w:lang w:val="sq-AL"/>
        </w:rPr>
      </w:pPr>
      <w:r w:rsidRPr="00EE4E37">
        <w:rPr>
          <w:spacing w:val="-4"/>
          <w:szCs w:val="24"/>
          <w:lang w:val="sq-AL"/>
        </w:rPr>
        <w:t>në mbledhjen e datës 8.2.2019, pasi shqyrtoi dokumentacionin e paraqitur nga Drejtoria Tekniko-Ekonomike mbi kërkesën e Ujësjellës -</w:t>
      </w:r>
      <w:r>
        <w:rPr>
          <w:spacing w:val="-4"/>
          <w:szCs w:val="24"/>
          <w:lang w:val="sq-AL"/>
        </w:rPr>
        <w:t>Kanalizime Gjirokastër sh.</w:t>
      </w:r>
      <w:r w:rsidRPr="00EE4E37">
        <w:rPr>
          <w:spacing w:val="-4"/>
          <w:szCs w:val="24"/>
          <w:lang w:val="sq-AL"/>
        </w:rPr>
        <w:t>a., për miratimin e tarifave të shërbimit të furnizimit me ujë dhe kanalizime,</w:t>
      </w:r>
    </w:p>
    <w:p w:rsidR="00B36C39" w:rsidRPr="00EE4E37" w:rsidRDefault="00B36C39" w:rsidP="00B36C39">
      <w:pPr>
        <w:pStyle w:val="NeniNr"/>
        <w:rPr>
          <w:lang w:val="sq-AL"/>
        </w:rPr>
      </w:pPr>
      <w:r w:rsidRPr="00EE4E37">
        <w:rPr>
          <w:lang w:val="sq-AL"/>
        </w:rPr>
        <w:t>VËREN SE:</w:t>
      </w:r>
    </w:p>
    <w:p w:rsidR="00B36C39" w:rsidRPr="00EE4E37" w:rsidRDefault="00B36C39" w:rsidP="00B36C39">
      <w:pPr>
        <w:pStyle w:val="Paragrafi"/>
        <w:rPr>
          <w:spacing w:val="-4"/>
          <w:szCs w:val="24"/>
          <w:lang w:val="sq-AL"/>
        </w:rPr>
      </w:pPr>
    </w:p>
    <w:p w:rsidR="00B36C39" w:rsidRPr="00EE4E37" w:rsidRDefault="00B36C39" w:rsidP="00B36C39">
      <w:pPr>
        <w:pStyle w:val="Paragrafi"/>
        <w:rPr>
          <w:spacing w:val="-4"/>
          <w:szCs w:val="24"/>
          <w:lang w:val="sq-AL"/>
        </w:rPr>
      </w:pPr>
      <w:r w:rsidRPr="00EE4E37">
        <w:rPr>
          <w:spacing w:val="-4"/>
          <w:szCs w:val="24"/>
          <w:lang w:val="sq-AL"/>
        </w:rPr>
        <w:t xml:space="preserve">1. Shoqëria </w:t>
      </w:r>
      <w:r>
        <w:rPr>
          <w:spacing w:val="-4"/>
          <w:szCs w:val="24"/>
          <w:lang w:val="sq-AL"/>
        </w:rPr>
        <w:t>“</w:t>
      </w:r>
      <w:r w:rsidRPr="00EE4E37">
        <w:rPr>
          <w:spacing w:val="-4"/>
          <w:szCs w:val="24"/>
          <w:lang w:val="sq-AL"/>
        </w:rPr>
        <w:t>Ujësjellës-Kanalizime Gjirokastër</w:t>
      </w:r>
      <w:r>
        <w:rPr>
          <w:spacing w:val="-4"/>
          <w:szCs w:val="24"/>
          <w:lang w:val="sq-AL"/>
        </w:rPr>
        <w:t>”</w:t>
      </w:r>
      <w:r w:rsidRPr="00EE4E37">
        <w:rPr>
          <w:spacing w:val="-4"/>
          <w:szCs w:val="24"/>
          <w:lang w:val="sq-AL"/>
        </w:rPr>
        <w:t xml:space="preserve"> (UK Gjirokastër), me shkresën nr. 983 prot.</w:t>
      </w:r>
      <w:r>
        <w:rPr>
          <w:spacing w:val="-4"/>
          <w:szCs w:val="24"/>
          <w:lang w:val="sq-AL"/>
        </w:rPr>
        <w:t>,</w:t>
      </w:r>
      <w:r w:rsidRPr="00EE4E37">
        <w:rPr>
          <w:spacing w:val="-4"/>
          <w:szCs w:val="24"/>
          <w:lang w:val="sq-AL"/>
        </w:rPr>
        <w:t xml:space="preserve"> datë 20.7.2018, me lëndë </w:t>
      </w:r>
      <w:r>
        <w:rPr>
          <w:spacing w:val="-4"/>
          <w:szCs w:val="24"/>
          <w:lang w:val="sq-AL"/>
        </w:rPr>
        <w:t>“</w:t>
      </w:r>
      <w:r w:rsidRPr="00EE4E37">
        <w:rPr>
          <w:spacing w:val="-4"/>
          <w:szCs w:val="24"/>
          <w:lang w:val="sq-AL"/>
        </w:rPr>
        <w:t>Kërkesë për nivel të ri të tarifave të shërbimit për furnizimin me ujë dhe largimin e ujërave të ndotura dhe tarifë fikse mirëmbajtje rrjeti të ujësjellësit</w:t>
      </w:r>
      <w:r>
        <w:rPr>
          <w:spacing w:val="-4"/>
          <w:szCs w:val="24"/>
          <w:lang w:val="sq-AL"/>
        </w:rPr>
        <w:t>”</w:t>
      </w:r>
      <w:r w:rsidRPr="00EE4E37">
        <w:rPr>
          <w:spacing w:val="-4"/>
          <w:szCs w:val="24"/>
          <w:lang w:val="sq-AL"/>
        </w:rPr>
        <w:t xml:space="preserve"> ka paraqitur kërkesën pranë Entit Rregullator të Sektorit të Furnizimit me Ujë dhe Largimit e Përpunimit të Ujërave të Ndotura (ERRU) për rritjen e tarifave në zonën urbane të shërbimit dhe caktimin e tarifës fikse për zonën rurale të shërbimit, të shoqëruar me dokumentacionin sipas përcaktimeve të parashikuara në ligjin nr. 8102 dhe vendimin nr. 40.</w:t>
      </w:r>
    </w:p>
    <w:p w:rsidR="00B36C39" w:rsidRPr="00EE4E37" w:rsidRDefault="00B36C39" w:rsidP="00B36C39">
      <w:pPr>
        <w:pStyle w:val="Paragrafi"/>
        <w:rPr>
          <w:spacing w:val="-4"/>
          <w:szCs w:val="24"/>
          <w:lang w:val="sq-AL"/>
        </w:rPr>
      </w:pPr>
      <w:r w:rsidRPr="00EE4E37">
        <w:rPr>
          <w:spacing w:val="-4"/>
          <w:szCs w:val="24"/>
          <w:lang w:val="sq-AL"/>
        </w:rPr>
        <w:t xml:space="preserve">2. Komisioni Kombëtar Rregullator (KKRR), pasi e gjeti paraqitjen e kërkesës për vendosjen e tarifave të shërbimit për furnizimin me ujë dhe largimin e ujërave të ndotura dhe tarife fikse të shoqërisë UK Gjirokastër në përputhje me përcaktimet dhe procedurën e parashikuar në vendimin nr. 40,  me vendim nr. 59, datë 20.7.2018 vendosi fillimin e procedurës për shqyrtimin e aplikimit për propozimin e bërë nga UK Gjirokastër për nivelin e ri tarifor për shërbimet UK për të gjithë zonën e riorganizuar të shërbimit në zbatim të vendimit të Këshillit të Ministrave  nr. 63, datë 27.1.2016 </w:t>
      </w:r>
      <w:r>
        <w:rPr>
          <w:spacing w:val="-4"/>
          <w:szCs w:val="24"/>
          <w:lang w:val="sq-AL"/>
        </w:rPr>
        <w:t>“</w:t>
      </w:r>
      <w:r w:rsidRPr="00EE4E37">
        <w:rPr>
          <w:spacing w:val="-4"/>
          <w:szCs w:val="24"/>
          <w:lang w:val="sq-AL"/>
        </w:rPr>
        <w:t>Për riorganizimin e operatorëve që ofrojnë shërbimin e furnizimit me ujë, grumbullimin, largimin dhe trajtimin e ujërave të ndotura</w:t>
      </w:r>
      <w:r>
        <w:rPr>
          <w:spacing w:val="-4"/>
          <w:szCs w:val="24"/>
          <w:lang w:val="sq-AL"/>
        </w:rPr>
        <w:t>”</w:t>
      </w:r>
      <w:r w:rsidRPr="00EE4E37">
        <w:rPr>
          <w:spacing w:val="-4"/>
          <w:szCs w:val="24"/>
          <w:lang w:val="sq-AL"/>
        </w:rPr>
        <w:t>.</w:t>
      </w:r>
    </w:p>
    <w:p w:rsidR="00B36C39" w:rsidRDefault="00B36C39" w:rsidP="00B36C39">
      <w:pPr>
        <w:pStyle w:val="Paragrafi"/>
        <w:rPr>
          <w:spacing w:val="-4"/>
          <w:szCs w:val="24"/>
          <w:lang w:val="sq-AL"/>
        </w:rPr>
      </w:pPr>
      <w:r w:rsidRPr="00EE4E37">
        <w:rPr>
          <w:spacing w:val="-4"/>
          <w:szCs w:val="24"/>
          <w:lang w:val="sq-AL"/>
        </w:rPr>
        <w:t xml:space="preserve">3. UK Gjirokastër, nëpërmjet shkresës nr. 983 prot., datë 20.7.2018, me lëndë </w:t>
      </w:r>
      <w:r>
        <w:rPr>
          <w:spacing w:val="-4"/>
          <w:szCs w:val="24"/>
          <w:lang w:val="sq-AL"/>
        </w:rPr>
        <w:t>“</w:t>
      </w:r>
      <w:r w:rsidRPr="00EE4E37">
        <w:rPr>
          <w:spacing w:val="-4"/>
          <w:szCs w:val="24"/>
          <w:lang w:val="sq-AL"/>
        </w:rPr>
        <w:t>Kërkesë për vendosjen e tarifave të shërbimit për furnizimin me ujë dhe largimin e ujërave të ndotura dhe tarifë fikse mirëmbajtje rrjeti të ujësjellësit</w:t>
      </w:r>
      <w:r>
        <w:rPr>
          <w:spacing w:val="-4"/>
          <w:szCs w:val="24"/>
          <w:lang w:val="sq-AL"/>
        </w:rPr>
        <w:t>”</w:t>
      </w:r>
      <w:r w:rsidRPr="00EE4E37">
        <w:rPr>
          <w:spacing w:val="-4"/>
          <w:szCs w:val="24"/>
          <w:lang w:val="sq-AL"/>
        </w:rPr>
        <w:t>, ka paraqitur kërkesën pranë ERRU-s-së për rritje të tarifave në zonën urbane të shërbimit dhe aplikimin e tarifës fikse për zonën rurale, sipas tabelës:</w:t>
      </w:r>
    </w:p>
    <w:p w:rsidR="00B36C39" w:rsidRDefault="00B36C39" w:rsidP="00B36C39">
      <w:pPr>
        <w:pStyle w:val="Paragrafi"/>
        <w:rPr>
          <w:szCs w:val="24"/>
          <w:lang w:val="sq-AL"/>
        </w:rPr>
      </w:pPr>
    </w:p>
    <w:p w:rsidR="00B36C39" w:rsidRDefault="00B36C39" w:rsidP="00B36C39">
      <w:pPr>
        <w:pStyle w:val="Paragrafi"/>
        <w:rPr>
          <w:szCs w:val="24"/>
          <w:lang w:val="sq-AL"/>
        </w:rPr>
      </w:pPr>
    </w:p>
    <w:p w:rsidR="00B36C39" w:rsidRPr="00EE4E37" w:rsidRDefault="00B36C39" w:rsidP="00B36C39">
      <w:pPr>
        <w:pStyle w:val="Paragrafi"/>
        <w:rPr>
          <w:szCs w:val="24"/>
          <w:lang w:val="sq-AL"/>
        </w:rPr>
      </w:pPr>
    </w:p>
    <w:p w:rsidR="00B36C39" w:rsidRPr="00EE4E37" w:rsidRDefault="00B36C39" w:rsidP="00B36C39">
      <w:pPr>
        <w:pStyle w:val="Paragrafi"/>
        <w:rPr>
          <w:szCs w:val="24"/>
          <w:lang w:val="sq-AL"/>
        </w:rPr>
      </w:pPr>
    </w:p>
    <w:tbl>
      <w:tblPr>
        <w:tblW w:w="10327" w:type="dxa"/>
        <w:jc w:val="center"/>
        <w:tblLayout w:type="fixed"/>
        <w:tblLook w:val="04A0" w:firstRow="1" w:lastRow="0" w:firstColumn="1" w:lastColumn="0" w:noHBand="0" w:noVBand="1"/>
      </w:tblPr>
      <w:tblGrid>
        <w:gridCol w:w="2790"/>
        <w:gridCol w:w="1804"/>
        <w:gridCol w:w="2111"/>
        <w:gridCol w:w="1766"/>
        <w:gridCol w:w="1856"/>
      </w:tblGrid>
      <w:tr w:rsidR="00B36C39" w:rsidRPr="00EE4E37" w:rsidTr="003C2DC0">
        <w:trPr>
          <w:trHeight w:val="300"/>
          <w:jc w:val="center"/>
        </w:trPr>
        <w:tc>
          <w:tcPr>
            <w:tcW w:w="2790" w:type="dxa"/>
            <w:vMerge w:val="restart"/>
            <w:tcBorders>
              <w:top w:val="single" w:sz="4" w:space="0" w:color="auto"/>
              <w:left w:val="single" w:sz="4" w:space="0" w:color="auto"/>
              <w:right w:val="single" w:sz="4" w:space="0" w:color="auto"/>
            </w:tcBorders>
            <w:shd w:val="clear" w:color="auto" w:fill="FFFFFF" w:themeFill="background1"/>
            <w:noWrap/>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lastRenderedPageBreak/>
              <w:t>Kategoritë e klientëve</w:t>
            </w:r>
          </w:p>
        </w:tc>
        <w:tc>
          <w:tcPr>
            <w:tcW w:w="3915" w:type="dxa"/>
            <w:gridSpan w:val="2"/>
            <w:tcBorders>
              <w:top w:val="single" w:sz="4" w:space="0" w:color="auto"/>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Tarifat aktuale</w:t>
            </w:r>
          </w:p>
        </w:tc>
        <w:tc>
          <w:tcPr>
            <w:tcW w:w="3622" w:type="dxa"/>
            <w:gridSpan w:val="2"/>
            <w:tcBorders>
              <w:top w:val="single" w:sz="4" w:space="0" w:color="auto"/>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Tarifat e propozuara</w:t>
            </w:r>
          </w:p>
        </w:tc>
      </w:tr>
      <w:tr w:rsidR="00B36C39" w:rsidRPr="00EE4E37" w:rsidTr="003C2DC0">
        <w:trPr>
          <w:trHeight w:val="374"/>
          <w:jc w:val="center"/>
        </w:trPr>
        <w:tc>
          <w:tcPr>
            <w:tcW w:w="2790" w:type="dxa"/>
            <w:vMerge/>
            <w:tcBorders>
              <w:left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p>
        </w:tc>
        <w:tc>
          <w:tcPr>
            <w:tcW w:w="1804"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Zona urbane</w:t>
            </w:r>
          </w:p>
        </w:tc>
        <w:tc>
          <w:tcPr>
            <w:tcW w:w="2111"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Zona rurale</w:t>
            </w:r>
          </w:p>
        </w:tc>
        <w:tc>
          <w:tcPr>
            <w:tcW w:w="1766"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Zona urbane</w:t>
            </w:r>
          </w:p>
        </w:tc>
        <w:tc>
          <w:tcPr>
            <w:tcW w:w="1856"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Zona rurale</w:t>
            </w:r>
          </w:p>
        </w:tc>
      </w:tr>
      <w:tr w:rsidR="00B36C39" w:rsidRPr="00EE4E37" w:rsidTr="003C2DC0">
        <w:trPr>
          <w:trHeight w:hRule="exact" w:val="729"/>
          <w:jc w:val="center"/>
        </w:trPr>
        <w:tc>
          <w:tcPr>
            <w:tcW w:w="2790" w:type="dxa"/>
            <w:vMerge/>
            <w:tcBorders>
              <w:left w:val="single" w:sz="4" w:space="0" w:color="auto"/>
              <w:bottom w:val="single" w:sz="4" w:space="0" w:color="auto"/>
              <w:right w:val="single" w:sz="4" w:space="0" w:color="auto"/>
            </w:tcBorders>
            <w:shd w:val="clear" w:color="auto" w:fill="FFFFFF" w:themeFill="background1"/>
            <w:vAlign w:val="center"/>
          </w:tcPr>
          <w:p w:rsidR="00B36C39" w:rsidRPr="00EE4E37" w:rsidRDefault="00B36C39" w:rsidP="003C2DC0">
            <w:pPr>
              <w:spacing w:after="0" w:line="240" w:lineRule="auto"/>
              <w:ind w:firstLine="0"/>
              <w:jc w:val="center"/>
              <w:rPr>
                <w:rFonts w:ascii="Garamond" w:hAnsi="Garamond"/>
                <w:b/>
                <w:bCs/>
                <w:sz w:val="20"/>
                <w:szCs w:val="20"/>
                <w:lang w:val="sq-AL"/>
              </w:rPr>
            </w:pPr>
          </w:p>
        </w:tc>
        <w:tc>
          <w:tcPr>
            <w:tcW w:w="1804" w:type="dxa"/>
            <w:tcBorders>
              <w:top w:val="nil"/>
              <w:left w:val="nil"/>
              <w:bottom w:val="single" w:sz="4" w:space="0" w:color="auto"/>
              <w:right w:val="single" w:sz="4" w:space="0" w:color="auto"/>
            </w:tcBorders>
            <w:shd w:val="clear" w:color="auto" w:fill="FFFFFF" w:themeFill="background1"/>
            <w:vAlign w:val="center"/>
          </w:tcPr>
          <w:p w:rsidR="00B36C39" w:rsidRPr="00EE4E37" w:rsidRDefault="00B36C39" w:rsidP="003C2DC0">
            <w:pPr>
              <w:spacing w:after="0" w:line="240" w:lineRule="auto"/>
              <w:ind w:firstLine="0"/>
              <w:jc w:val="center"/>
              <w:rPr>
                <w:rFonts w:ascii="Garamond" w:hAnsi="Garamond"/>
                <w:bCs/>
                <w:sz w:val="20"/>
                <w:szCs w:val="20"/>
                <w:lang w:val="sq-AL"/>
              </w:rPr>
            </w:pPr>
            <w:r w:rsidRPr="00EE4E37">
              <w:rPr>
                <w:rFonts w:ascii="Garamond" w:hAnsi="Garamond"/>
                <w:bCs/>
                <w:sz w:val="20"/>
                <w:szCs w:val="20"/>
                <w:lang w:val="sq-AL"/>
              </w:rPr>
              <w:t>Gjirokastër</w:t>
            </w:r>
          </w:p>
        </w:tc>
        <w:tc>
          <w:tcPr>
            <w:tcW w:w="2111" w:type="dxa"/>
            <w:tcBorders>
              <w:top w:val="nil"/>
              <w:left w:val="nil"/>
              <w:bottom w:val="single" w:sz="4" w:space="0" w:color="auto"/>
              <w:right w:val="single" w:sz="4" w:space="0" w:color="auto"/>
            </w:tcBorders>
            <w:shd w:val="clear" w:color="auto" w:fill="FFFFFF" w:themeFill="background1"/>
            <w:vAlign w:val="center"/>
          </w:tcPr>
          <w:p w:rsidR="00B36C39" w:rsidRPr="00EE4E37" w:rsidRDefault="00B36C39" w:rsidP="003C2DC0">
            <w:pPr>
              <w:autoSpaceDE w:val="0"/>
              <w:autoSpaceDN w:val="0"/>
              <w:adjustRightInd w:val="0"/>
              <w:spacing w:after="0" w:line="240" w:lineRule="auto"/>
              <w:ind w:firstLine="0"/>
              <w:jc w:val="center"/>
              <w:rPr>
                <w:rFonts w:ascii="Garamond" w:hAnsi="Garamond"/>
                <w:sz w:val="20"/>
                <w:szCs w:val="20"/>
                <w:lang w:val="sq-AL"/>
              </w:rPr>
            </w:pPr>
            <w:r w:rsidRPr="00EE4E37">
              <w:rPr>
                <w:rFonts w:ascii="Garamond" w:hAnsi="Garamond"/>
                <w:sz w:val="20"/>
                <w:szCs w:val="20"/>
                <w:lang w:val="sq-AL"/>
              </w:rPr>
              <w:t>Cepo, Picar, Lazarat, Lunxhëri, Antigone, Odrie</w:t>
            </w:r>
          </w:p>
          <w:p w:rsidR="00B36C39" w:rsidRPr="00EE4E37" w:rsidRDefault="00B36C39" w:rsidP="003C2DC0">
            <w:pPr>
              <w:spacing w:after="0" w:line="240" w:lineRule="auto"/>
              <w:ind w:firstLine="0"/>
              <w:rPr>
                <w:rFonts w:ascii="Garamond" w:hAnsi="Garamond"/>
                <w:b/>
                <w:bCs/>
                <w:sz w:val="20"/>
                <w:szCs w:val="20"/>
                <w:lang w:val="sq-AL"/>
              </w:rPr>
            </w:pPr>
          </w:p>
        </w:tc>
        <w:tc>
          <w:tcPr>
            <w:tcW w:w="1766" w:type="dxa"/>
            <w:tcBorders>
              <w:top w:val="nil"/>
              <w:left w:val="nil"/>
              <w:bottom w:val="single" w:sz="4" w:space="0" w:color="auto"/>
              <w:right w:val="single" w:sz="4" w:space="0" w:color="auto"/>
            </w:tcBorders>
            <w:shd w:val="clear" w:color="auto" w:fill="FFFFFF" w:themeFill="background1"/>
            <w:vAlign w:val="center"/>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Cs/>
                <w:sz w:val="20"/>
                <w:szCs w:val="20"/>
                <w:lang w:val="sq-AL"/>
              </w:rPr>
              <w:t>Gjirokastër</w:t>
            </w:r>
          </w:p>
        </w:tc>
        <w:tc>
          <w:tcPr>
            <w:tcW w:w="1856" w:type="dxa"/>
            <w:tcBorders>
              <w:top w:val="nil"/>
              <w:left w:val="nil"/>
              <w:bottom w:val="single" w:sz="4" w:space="0" w:color="auto"/>
              <w:right w:val="single" w:sz="4" w:space="0" w:color="auto"/>
            </w:tcBorders>
            <w:shd w:val="clear" w:color="auto" w:fill="FFFFFF" w:themeFill="background1"/>
            <w:vAlign w:val="center"/>
          </w:tcPr>
          <w:p w:rsidR="00B36C39" w:rsidRPr="00EE4E37" w:rsidRDefault="00B36C39" w:rsidP="003C2DC0">
            <w:pPr>
              <w:autoSpaceDE w:val="0"/>
              <w:autoSpaceDN w:val="0"/>
              <w:adjustRightInd w:val="0"/>
              <w:spacing w:after="0" w:line="240" w:lineRule="auto"/>
              <w:ind w:firstLine="0"/>
              <w:jc w:val="center"/>
              <w:rPr>
                <w:rFonts w:ascii="Garamond" w:hAnsi="Garamond"/>
                <w:sz w:val="20"/>
                <w:szCs w:val="20"/>
                <w:lang w:val="sq-AL"/>
              </w:rPr>
            </w:pPr>
            <w:r w:rsidRPr="00EE4E37">
              <w:rPr>
                <w:rFonts w:ascii="Garamond" w:hAnsi="Garamond"/>
                <w:sz w:val="20"/>
                <w:szCs w:val="20"/>
                <w:lang w:val="sq-AL"/>
              </w:rPr>
              <w:t>Cepo, Picar, Lazarat, Lunxhëri, Antigone, Odrie</w:t>
            </w:r>
          </w:p>
          <w:p w:rsidR="00B36C39" w:rsidRPr="00EE4E37" w:rsidRDefault="00B36C39" w:rsidP="003C2DC0">
            <w:pPr>
              <w:spacing w:after="0" w:line="240" w:lineRule="auto"/>
              <w:ind w:firstLine="0"/>
              <w:rPr>
                <w:rFonts w:ascii="Garamond" w:hAnsi="Garamond"/>
                <w:b/>
                <w:bCs/>
                <w:sz w:val="20"/>
                <w:szCs w:val="20"/>
                <w:lang w:val="sq-AL"/>
              </w:rPr>
            </w:pPr>
          </w:p>
        </w:tc>
      </w:tr>
      <w:tr w:rsidR="00B36C39" w:rsidRPr="00EE4E37" w:rsidTr="003C2DC0">
        <w:trPr>
          <w:trHeight w:val="300"/>
          <w:jc w:val="center"/>
        </w:trPr>
        <w:tc>
          <w:tcPr>
            <w:tcW w:w="2790" w:type="dxa"/>
            <w:tcBorders>
              <w:top w:val="nil"/>
              <w:left w:val="single" w:sz="4" w:space="0" w:color="auto"/>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rPr>
                <w:rFonts w:ascii="Garamond" w:hAnsi="Garamond"/>
                <w:b/>
                <w:bCs/>
                <w:sz w:val="20"/>
                <w:szCs w:val="20"/>
                <w:lang w:val="sq-AL"/>
              </w:rPr>
            </w:pPr>
            <w:r w:rsidRPr="00EE4E37">
              <w:rPr>
                <w:rFonts w:ascii="Garamond" w:hAnsi="Garamond"/>
                <w:b/>
                <w:bCs/>
                <w:sz w:val="20"/>
                <w:szCs w:val="20"/>
                <w:lang w:val="sq-AL"/>
              </w:rPr>
              <w:t>A. Tarifë volumetrike për furnizimin me ujë</w:t>
            </w:r>
          </w:p>
        </w:tc>
        <w:tc>
          <w:tcPr>
            <w:tcW w:w="1804"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2111"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1766"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1856"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r>
      <w:tr w:rsidR="00B36C39" w:rsidRPr="00EE4E37" w:rsidTr="003C2DC0">
        <w:trPr>
          <w:trHeight w:val="300"/>
          <w:jc w:val="center"/>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rPr>
                <w:rFonts w:ascii="Garamond" w:hAnsi="Garamond"/>
                <w:sz w:val="20"/>
                <w:szCs w:val="20"/>
                <w:lang w:val="sq-AL"/>
              </w:rPr>
            </w:pPr>
            <w:r w:rsidRPr="00EE4E37">
              <w:rPr>
                <w:rFonts w:ascii="Garamond" w:hAnsi="Garamond"/>
                <w:sz w:val="20"/>
                <w:szCs w:val="20"/>
                <w:lang w:val="sq-AL"/>
              </w:rPr>
              <w:t>1. Klientë familjarë</w:t>
            </w:r>
          </w:p>
        </w:tc>
        <w:tc>
          <w:tcPr>
            <w:tcW w:w="1804"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43</w:t>
            </w:r>
          </w:p>
        </w:tc>
        <w:tc>
          <w:tcPr>
            <w:tcW w:w="2111"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25</w:t>
            </w:r>
          </w:p>
        </w:tc>
        <w:tc>
          <w:tcPr>
            <w:tcW w:w="1766"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46</w:t>
            </w:r>
          </w:p>
        </w:tc>
        <w:tc>
          <w:tcPr>
            <w:tcW w:w="1856"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25</w:t>
            </w:r>
          </w:p>
        </w:tc>
      </w:tr>
      <w:tr w:rsidR="00B36C39" w:rsidRPr="00EE4E37" w:rsidTr="003C2DC0">
        <w:trPr>
          <w:trHeight w:val="300"/>
          <w:jc w:val="center"/>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rPr>
                <w:rFonts w:ascii="Garamond" w:hAnsi="Garamond"/>
                <w:sz w:val="20"/>
                <w:szCs w:val="20"/>
                <w:lang w:val="sq-AL"/>
              </w:rPr>
            </w:pPr>
            <w:r w:rsidRPr="00EE4E37">
              <w:rPr>
                <w:rFonts w:ascii="Garamond" w:hAnsi="Garamond"/>
                <w:sz w:val="20"/>
                <w:szCs w:val="20"/>
                <w:lang w:val="sq-AL"/>
              </w:rPr>
              <w:t>2. Klientë publikë</w:t>
            </w:r>
          </w:p>
        </w:tc>
        <w:tc>
          <w:tcPr>
            <w:tcW w:w="1804"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125</w:t>
            </w:r>
          </w:p>
        </w:tc>
        <w:tc>
          <w:tcPr>
            <w:tcW w:w="2111"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60</w:t>
            </w:r>
          </w:p>
        </w:tc>
        <w:tc>
          <w:tcPr>
            <w:tcW w:w="1766"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133</w:t>
            </w:r>
          </w:p>
        </w:tc>
        <w:tc>
          <w:tcPr>
            <w:tcW w:w="1856"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60</w:t>
            </w:r>
          </w:p>
        </w:tc>
      </w:tr>
      <w:tr w:rsidR="00B36C39" w:rsidRPr="00EE4E37" w:rsidTr="003C2DC0">
        <w:trPr>
          <w:trHeight w:val="300"/>
          <w:jc w:val="center"/>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rPr>
                <w:rFonts w:ascii="Garamond" w:hAnsi="Garamond"/>
                <w:sz w:val="20"/>
                <w:szCs w:val="20"/>
                <w:lang w:val="sq-AL"/>
              </w:rPr>
            </w:pPr>
            <w:r w:rsidRPr="00EE4E37">
              <w:rPr>
                <w:rFonts w:ascii="Garamond" w:hAnsi="Garamond"/>
                <w:sz w:val="20"/>
                <w:szCs w:val="20"/>
                <w:lang w:val="sq-AL"/>
              </w:rPr>
              <w:t>3. Klientë privatë</w:t>
            </w:r>
          </w:p>
        </w:tc>
        <w:tc>
          <w:tcPr>
            <w:tcW w:w="1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130</w:t>
            </w:r>
          </w:p>
        </w:tc>
        <w:tc>
          <w:tcPr>
            <w:tcW w:w="2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60</w:t>
            </w:r>
          </w:p>
        </w:tc>
        <w:tc>
          <w:tcPr>
            <w:tcW w:w="1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138</w:t>
            </w:r>
          </w:p>
        </w:tc>
        <w:tc>
          <w:tcPr>
            <w:tcW w:w="18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60</w:t>
            </w:r>
          </w:p>
        </w:tc>
      </w:tr>
      <w:tr w:rsidR="00B36C39" w:rsidRPr="00EE4E37" w:rsidTr="003C2DC0">
        <w:trPr>
          <w:trHeight w:val="300"/>
          <w:jc w:val="center"/>
        </w:trPr>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36C39" w:rsidRPr="00EE4E37" w:rsidRDefault="00B36C39" w:rsidP="003C2DC0">
            <w:pPr>
              <w:spacing w:after="0" w:line="240" w:lineRule="auto"/>
              <w:ind w:firstLine="0"/>
              <w:rPr>
                <w:rFonts w:ascii="Garamond" w:hAnsi="Garamond"/>
                <w:b/>
                <w:bCs/>
                <w:sz w:val="20"/>
                <w:szCs w:val="20"/>
                <w:lang w:val="sq-AL"/>
              </w:rPr>
            </w:pPr>
            <w:r w:rsidRPr="00EE4E37">
              <w:rPr>
                <w:rFonts w:ascii="Garamond" w:hAnsi="Garamond"/>
                <w:b/>
                <w:bCs/>
                <w:sz w:val="20"/>
                <w:szCs w:val="20"/>
                <w:lang w:val="sq-AL"/>
              </w:rPr>
              <w:t>B. Tarifë volumetrike për KUN</w:t>
            </w:r>
            <w:r>
              <w:rPr>
                <w:rFonts w:ascii="Garamond" w:hAnsi="Garamond"/>
                <w:b/>
                <w:bCs/>
                <w:sz w:val="20"/>
                <w:szCs w:val="20"/>
                <w:lang w:val="sq-AL"/>
              </w:rPr>
              <w:t>-in</w:t>
            </w:r>
          </w:p>
        </w:tc>
        <w:tc>
          <w:tcPr>
            <w:tcW w:w="1804" w:type="dxa"/>
            <w:tcBorders>
              <w:top w:val="single" w:sz="4" w:space="0" w:color="auto"/>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2111" w:type="dxa"/>
            <w:tcBorders>
              <w:top w:val="single" w:sz="4" w:space="0" w:color="auto"/>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1766" w:type="dxa"/>
            <w:tcBorders>
              <w:top w:val="single" w:sz="4" w:space="0" w:color="auto"/>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1856" w:type="dxa"/>
            <w:tcBorders>
              <w:top w:val="single" w:sz="4" w:space="0" w:color="auto"/>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r>
      <w:tr w:rsidR="00B36C39" w:rsidRPr="00EE4E37" w:rsidTr="003C2DC0">
        <w:trPr>
          <w:trHeight w:val="300"/>
          <w:jc w:val="center"/>
        </w:trPr>
        <w:tc>
          <w:tcPr>
            <w:tcW w:w="279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36C39" w:rsidRPr="00EE4E37" w:rsidRDefault="00B36C39" w:rsidP="003C2DC0">
            <w:pPr>
              <w:spacing w:after="0" w:line="240" w:lineRule="auto"/>
              <w:ind w:firstLine="0"/>
              <w:rPr>
                <w:rFonts w:ascii="Garamond" w:hAnsi="Garamond"/>
                <w:sz w:val="20"/>
                <w:szCs w:val="20"/>
                <w:lang w:val="sq-AL"/>
              </w:rPr>
            </w:pPr>
            <w:r w:rsidRPr="00EE4E37">
              <w:rPr>
                <w:rFonts w:ascii="Garamond" w:hAnsi="Garamond"/>
                <w:sz w:val="20"/>
                <w:szCs w:val="20"/>
                <w:lang w:val="sq-AL"/>
              </w:rPr>
              <w:t>1. Klientë familjarë</w:t>
            </w:r>
          </w:p>
        </w:tc>
        <w:tc>
          <w:tcPr>
            <w:tcW w:w="1804"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10</w:t>
            </w:r>
          </w:p>
        </w:tc>
        <w:tc>
          <w:tcPr>
            <w:tcW w:w="2111"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w:t>
            </w:r>
          </w:p>
        </w:tc>
        <w:tc>
          <w:tcPr>
            <w:tcW w:w="1766" w:type="dxa"/>
            <w:tcBorders>
              <w:top w:val="nil"/>
              <w:left w:val="nil"/>
              <w:bottom w:val="single" w:sz="4" w:space="0" w:color="auto"/>
              <w:right w:val="single" w:sz="4" w:space="0" w:color="auto"/>
            </w:tcBorders>
            <w:shd w:val="clear" w:color="auto" w:fill="FFFFFF" w:themeFill="background1"/>
            <w:noWrap/>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11</w:t>
            </w:r>
          </w:p>
        </w:tc>
        <w:tc>
          <w:tcPr>
            <w:tcW w:w="1856"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bCs/>
                <w:sz w:val="20"/>
                <w:szCs w:val="20"/>
                <w:lang w:val="sq-AL"/>
              </w:rPr>
              <w:t>-</w:t>
            </w:r>
          </w:p>
        </w:tc>
      </w:tr>
      <w:tr w:rsidR="00B36C39" w:rsidRPr="00EE4E37" w:rsidTr="003C2DC0">
        <w:trPr>
          <w:trHeight w:val="300"/>
          <w:jc w:val="center"/>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rPr>
                <w:rFonts w:ascii="Garamond" w:hAnsi="Garamond"/>
                <w:sz w:val="20"/>
                <w:szCs w:val="20"/>
                <w:lang w:val="sq-AL"/>
              </w:rPr>
            </w:pPr>
            <w:r w:rsidRPr="00EE4E37">
              <w:rPr>
                <w:rFonts w:ascii="Garamond" w:hAnsi="Garamond"/>
                <w:sz w:val="20"/>
                <w:szCs w:val="20"/>
                <w:lang w:val="sq-AL"/>
              </w:rPr>
              <w:t>2. Klientë publikë</w:t>
            </w:r>
          </w:p>
        </w:tc>
        <w:tc>
          <w:tcPr>
            <w:tcW w:w="1804"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16</w:t>
            </w:r>
          </w:p>
        </w:tc>
        <w:tc>
          <w:tcPr>
            <w:tcW w:w="2111"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w:t>
            </w:r>
          </w:p>
        </w:tc>
        <w:tc>
          <w:tcPr>
            <w:tcW w:w="1766"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18</w:t>
            </w:r>
          </w:p>
        </w:tc>
        <w:tc>
          <w:tcPr>
            <w:tcW w:w="1856"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bCs/>
                <w:sz w:val="20"/>
                <w:szCs w:val="20"/>
                <w:lang w:val="sq-AL"/>
              </w:rPr>
              <w:t>-</w:t>
            </w:r>
          </w:p>
        </w:tc>
      </w:tr>
      <w:tr w:rsidR="00B36C39" w:rsidRPr="00EE4E37" w:rsidTr="003C2DC0">
        <w:trPr>
          <w:trHeight w:val="300"/>
          <w:jc w:val="center"/>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rPr>
                <w:rFonts w:ascii="Garamond" w:hAnsi="Garamond"/>
                <w:sz w:val="20"/>
                <w:szCs w:val="20"/>
                <w:lang w:val="sq-AL"/>
              </w:rPr>
            </w:pPr>
            <w:r w:rsidRPr="00EE4E37">
              <w:rPr>
                <w:rFonts w:ascii="Garamond" w:hAnsi="Garamond"/>
                <w:sz w:val="20"/>
                <w:szCs w:val="20"/>
                <w:lang w:val="sq-AL"/>
              </w:rPr>
              <w:t>3. Klientë privatë</w:t>
            </w:r>
          </w:p>
        </w:tc>
        <w:tc>
          <w:tcPr>
            <w:tcW w:w="1804"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16</w:t>
            </w:r>
          </w:p>
        </w:tc>
        <w:tc>
          <w:tcPr>
            <w:tcW w:w="2111"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w:t>
            </w:r>
          </w:p>
        </w:tc>
        <w:tc>
          <w:tcPr>
            <w:tcW w:w="1766"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18</w:t>
            </w:r>
          </w:p>
        </w:tc>
        <w:tc>
          <w:tcPr>
            <w:tcW w:w="1856"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bCs/>
                <w:sz w:val="20"/>
                <w:szCs w:val="20"/>
                <w:lang w:val="sq-AL"/>
              </w:rPr>
              <w:t>-</w:t>
            </w:r>
          </w:p>
        </w:tc>
      </w:tr>
      <w:tr w:rsidR="00B36C39" w:rsidRPr="00EE4E37" w:rsidTr="003C2DC0">
        <w:trPr>
          <w:trHeight w:val="300"/>
          <w:jc w:val="center"/>
        </w:trPr>
        <w:tc>
          <w:tcPr>
            <w:tcW w:w="279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36C39" w:rsidRPr="00EE4E37" w:rsidRDefault="00B36C39" w:rsidP="003C2DC0">
            <w:pPr>
              <w:spacing w:after="0" w:line="240" w:lineRule="auto"/>
              <w:ind w:firstLine="0"/>
              <w:rPr>
                <w:rFonts w:ascii="Garamond" w:hAnsi="Garamond"/>
                <w:b/>
                <w:bCs/>
                <w:sz w:val="20"/>
                <w:szCs w:val="20"/>
                <w:lang w:val="sq-AL"/>
              </w:rPr>
            </w:pPr>
            <w:r w:rsidRPr="00EE4E37">
              <w:rPr>
                <w:rFonts w:ascii="Garamond" w:hAnsi="Garamond"/>
                <w:b/>
                <w:bCs/>
                <w:sz w:val="20"/>
                <w:szCs w:val="20"/>
                <w:lang w:val="sq-AL"/>
              </w:rPr>
              <w:t>C. Tarifë fikse</w:t>
            </w:r>
          </w:p>
        </w:tc>
        <w:tc>
          <w:tcPr>
            <w:tcW w:w="1804"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b/>
                <w:bCs/>
                <w:sz w:val="20"/>
                <w:szCs w:val="20"/>
                <w:lang w:val="sq-AL"/>
              </w:rPr>
            </w:pPr>
            <w:r w:rsidRPr="00EE4E37">
              <w:rPr>
                <w:rFonts w:ascii="Garamond" w:hAnsi="Garamond"/>
                <w:b/>
                <w:bCs/>
                <w:sz w:val="20"/>
                <w:szCs w:val="20"/>
                <w:lang w:val="sq-AL"/>
              </w:rPr>
              <w:t>Lekë/muaj/lidhje</w:t>
            </w:r>
          </w:p>
        </w:tc>
        <w:tc>
          <w:tcPr>
            <w:tcW w:w="2111"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b/>
                <w:bCs/>
                <w:sz w:val="20"/>
                <w:szCs w:val="20"/>
                <w:lang w:val="sq-AL"/>
              </w:rPr>
              <w:t>Lekë/muaj/lidhje</w:t>
            </w:r>
          </w:p>
        </w:tc>
        <w:tc>
          <w:tcPr>
            <w:tcW w:w="1766" w:type="dxa"/>
            <w:tcBorders>
              <w:top w:val="nil"/>
              <w:left w:val="nil"/>
              <w:bottom w:val="single" w:sz="4" w:space="0" w:color="auto"/>
              <w:right w:val="single" w:sz="4" w:space="0" w:color="auto"/>
            </w:tcBorders>
            <w:shd w:val="clear" w:color="auto" w:fill="FFFFFF" w:themeFill="background1"/>
            <w:noWrap/>
            <w:vAlign w:val="center"/>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b/>
                <w:bCs/>
                <w:sz w:val="20"/>
                <w:szCs w:val="20"/>
                <w:lang w:val="sq-AL"/>
              </w:rPr>
              <w:t>Lekë/muaj/lidhje</w:t>
            </w:r>
          </w:p>
        </w:tc>
        <w:tc>
          <w:tcPr>
            <w:tcW w:w="1856"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b/>
                <w:bCs/>
                <w:sz w:val="20"/>
                <w:szCs w:val="20"/>
                <w:lang w:val="sq-AL"/>
              </w:rPr>
              <w:t>Lekë/muaj/lidhje</w:t>
            </w:r>
          </w:p>
        </w:tc>
      </w:tr>
      <w:tr w:rsidR="00B36C39" w:rsidRPr="00EE4E37" w:rsidTr="003C2DC0">
        <w:trPr>
          <w:trHeight w:val="300"/>
          <w:jc w:val="center"/>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rPr>
                <w:rFonts w:ascii="Garamond" w:hAnsi="Garamond"/>
                <w:sz w:val="20"/>
                <w:szCs w:val="20"/>
                <w:lang w:val="sq-AL"/>
              </w:rPr>
            </w:pPr>
            <w:r w:rsidRPr="00EE4E37">
              <w:rPr>
                <w:rFonts w:ascii="Garamond" w:hAnsi="Garamond"/>
                <w:sz w:val="20"/>
                <w:szCs w:val="20"/>
                <w:lang w:val="sq-AL"/>
              </w:rPr>
              <w:t>1. Klientë familjarë</w:t>
            </w:r>
          </w:p>
        </w:tc>
        <w:tc>
          <w:tcPr>
            <w:tcW w:w="1804"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80</w:t>
            </w:r>
          </w:p>
        </w:tc>
        <w:tc>
          <w:tcPr>
            <w:tcW w:w="2111"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w:t>
            </w:r>
          </w:p>
        </w:tc>
        <w:tc>
          <w:tcPr>
            <w:tcW w:w="1766"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150</w:t>
            </w:r>
          </w:p>
        </w:tc>
        <w:tc>
          <w:tcPr>
            <w:tcW w:w="1856"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80</w:t>
            </w:r>
          </w:p>
        </w:tc>
      </w:tr>
      <w:tr w:rsidR="00B36C39" w:rsidRPr="00EE4E37" w:rsidTr="003C2DC0">
        <w:trPr>
          <w:trHeight w:val="300"/>
          <w:jc w:val="center"/>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rPr>
                <w:rFonts w:ascii="Garamond" w:hAnsi="Garamond"/>
                <w:sz w:val="20"/>
                <w:szCs w:val="20"/>
                <w:lang w:val="sq-AL"/>
              </w:rPr>
            </w:pPr>
            <w:r w:rsidRPr="00EE4E37">
              <w:rPr>
                <w:rFonts w:ascii="Garamond" w:hAnsi="Garamond"/>
                <w:sz w:val="20"/>
                <w:szCs w:val="20"/>
                <w:lang w:val="sq-AL"/>
              </w:rPr>
              <w:t>2. Klientë publikë</w:t>
            </w:r>
          </w:p>
        </w:tc>
        <w:tc>
          <w:tcPr>
            <w:tcW w:w="1804"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80</w:t>
            </w:r>
          </w:p>
        </w:tc>
        <w:tc>
          <w:tcPr>
            <w:tcW w:w="2111"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w:t>
            </w:r>
          </w:p>
        </w:tc>
        <w:tc>
          <w:tcPr>
            <w:tcW w:w="1766"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200</w:t>
            </w:r>
          </w:p>
        </w:tc>
        <w:tc>
          <w:tcPr>
            <w:tcW w:w="1856"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w:t>
            </w:r>
          </w:p>
        </w:tc>
      </w:tr>
      <w:tr w:rsidR="00B36C39" w:rsidRPr="00EE4E37" w:rsidTr="003C2DC0">
        <w:trPr>
          <w:trHeight w:val="300"/>
          <w:jc w:val="center"/>
        </w:trPr>
        <w:tc>
          <w:tcPr>
            <w:tcW w:w="2790" w:type="dxa"/>
            <w:tcBorders>
              <w:top w:val="nil"/>
              <w:left w:val="single" w:sz="4" w:space="0" w:color="auto"/>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rPr>
                <w:rFonts w:ascii="Garamond" w:hAnsi="Garamond"/>
                <w:sz w:val="20"/>
                <w:szCs w:val="20"/>
                <w:lang w:val="sq-AL"/>
              </w:rPr>
            </w:pPr>
            <w:r w:rsidRPr="00EE4E37">
              <w:rPr>
                <w:rFonts w:ascii="Garamond" w:hAnsi="Garamond"/>
                <w:sz w:val="20"/>
                <w:szCs w:val="20"/>
                <w:lang w:val="sq-AL"/>
              </w:rPr>
              <w:t>3. Klientë privatë</w:t>
            </w:r>
          </w:p>
        </w:tc>
        <w:tc>
          <w:tcPr>
            <w:tcW w:w="1804"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80</w:t>
            </w:r>
          </w:p>
        </w:tc>
        <w:tc>
          <w:tcPr>
            <w:tcW w:w="2111"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w:t>
            </w:r>
          </w:p>
        </w:tc>
        <w:tc>
          <w:tcPr>
            <w:tcW w:w="1766"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200</w:t>
            </w:r>
          </w:p>
        </w:tc>
        <w:tc>
          <w:tcPr>
            <w:tcW w:w="1856"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w:t>
            </w:r>
          </w:p>
        </w:tc>
      </w:tr>
    </w:tbl>
    <w:p w:rsidR="00B36C39" w:rsidRPr="00EE4E37" w:rsidRDefault="00B36C39" w:rsidP="00B36C39">
      <w:pPr>
        <w:pStyle w:val="Paragrafi"/>
        <w:rPr>
          <w:szCs w:val="24"/>
          <w:lang w:val="sq-AL"/>
        </w:rPr>
      </w:pPr>
      <w:r w:rsidRPr="00EE4E37">
        <w:rPr>
          <w:szCs w:val="24"/>
          <w:lang w:val="sq-AL"/>
        </w:rPr>
        <w:t xml:space="preserve">4. Referuar kërkesës dhe dokumentacionit shoqërues, rezulton se treguesit e arritur të performancës për vitin 2017 </w:t>
      </w:r>
      <w:bookmarkStart w:id="2" w:name="_Hlk1397094"/>
      <w:r w:rsidRPr="00EE4E37">
        <w:rPr>
          <w:szCs w:val="24"/>
          <w:lang w:val="sq-AL"/>
        </w:rPr>
        <w:t xml:space="preserve">dhe objektivat e propozuar nga shoqëria UK Gjirokastër për vitin 2019 </w:t>
      </w:r>
      <w:bookmarkEnd w:id="2"/>
      <w:r w:rsidRPr="00EE4E37">
        <w:rPr>
          <w:szCs w:val="24"/>
          <w:lang w:val="sq-AL"/>
        </w:rPr>
        <w:t>janë sipas tabelës së mëposhtme:</w:t>
      </w:r>
    </w:p>
    <w:p w:rsidR="00B36C39" w:rsidRPr="00EE4E37" w:rsidRDefault="00B36C39" w:rsidP="00B36C39">
      <w:pPr>
        <w:pStyle w:val="Paragrafi"/>
        <w:rPr>
          <w:szCs w:val="24"/>
          <w:lang w:val="sq-AL"/>
        </w:rPr>
      </w:pPr>
    </w:p>
    <w:tbl>
      <w:tblPr>
        <w:tblStyle w:val="TableGrid"/>
        <w:tblW w:w="9077" w:type="dxa"/>
        <w:jc w:val="center"/>
        <w:tblLook w:val="04A0" w:firstRow="1" w:lastRow="0" w:firstColumn="1" w:lastColumn="0" w:noHBand="0" w:noVBand="1"/>
      </w:tblPr>
      <w:tblGrid>
        <w:gridCol w:w="2315"/>
        <w:gridCol w:w="1573"/>
        <w:gridCol w:w="2313"/>
        <w:gridCol w:w="2876"/>
      </w:tblGrid>
      <w:tr w:rsidR="00B36C39" w:rsidRPr="00EE4E37" w:rsidTr="003C2DC0">
        <w:trPr>
          <w:cantSplit/>
          <w:trHeight w:hRule="exact" w:val="792"/>
          <w:jc w:val="center"/>
        </w:trPr>
        <w:tc>
          <w:tcPr>
            <w:tcW w:w="2315" w:type="dxa"/>
            <w:shd w:val="clear" w:color="auto" w:fill="D9D9D9" w:themeFill="background1" w:themeFillShade="D9"/>
            <w:vAlign w:val="center"/>
          </w:tcPr>
          <w:p w:rsidR="00B36C39" w:rsidRPr="00EE4E37" w:rsidRDefault="00B36C39" w:rsidP="003C2DC0">
            <w:pPr>
              <w:ind w:firstLine="0"/>
              <w:jc w:val="center"/>
              <w:rPr>
                <w:rFonts w:ascii="Garamond" w:hAnsi="Garamond"/>
                <w:b/>
                <w:lang w:val="sq-AL"/>
              </w:rPr>
            </w:pPr>
            <w:r w:rsidRPr="00EE4E37">
              <w:rPr>
                <w:rFonts w:ascii="Garamond" w:hAnsi="Garamond"/>
                <w:b/>
                <w:lang w:val="sq-AL"/>
              </w:rPr>
              <w:t>Treguesit e performancës</w:t>
            </w:r>
          </w:p>
        </w:tc>
        <w:tc>
          <w:tcPr>
            <w:tcW w:w="1573" w:type="dxa"/>
            <w:shd w:val="clear" w:color="auto" w:fill="D9D9D9" w:themeFill="background1" w:themeFillShade="D9"/>
            <w:vAlign w:val="center"/>
          </w:tcPr>
          <w:p w:rsidR="00B36C39" w:rsidRPr="00EE4E37" w:rsidRDefault="00B36C39" w:rsidP="003C2DC0">
            <w:pPr>
              <w:ind w:firstLine="0"/>
              <w:jc w:val="center"/>
              <w:rPr>
                <w:rFonts w:ascii="Garamond" w:hAnsi="Garamond"/>
                <w:b/>
                <w:lang w:val="sq-AL"/>
              </w:rPr>
            </w:pPr>
            <w:r w:rsidRPr="00EE4E37">
              <w:rPr>
                <w:rFonts w:ascii="Garamond" w:hAnsi="Garamond"/>
                <w:b/>
                <w:lang w:val="sq-AL"/>
              </w:rPr>
              <w:t>Njësia</w:t>
            </w:r>
          </w:p>
        </w:tc>
        <w:tc>
          <w:tcPr>
            <w:tcW w:w="2313" w:type="dxa"/>
            <w:shd w:val="clear" w:color="auto" w:fill="D9D9D9" w:themeFill="background1" w:themeFillShade="D9"/>
            <w:vAlign w:val="center"/>
          </w:tcPr>
          <w:p w:rsidR="00B36C39" w:rsidRPr="00EE4E37" w:rsidRDefault="00B36C39" w:rsidP="003C2DC0">
            <w:pPr>
              <w:ind w:firstLine="0"/>
              <w:jc w:val="center"/>
              <w:rPr>
                <w:rFonts w:ascii="Garamond" w:hAnsi="Garamond"/>
                <w:b/>
                <w:lang w:val="sq-AL"/>
              </w:rPr>
            </w:pPr>
            <w:r w:rsidRPr="00EE4E37">
              <w:rPr>
                <w:rFonts w:ascii="Garamond" w:hAnsi="Garamond"/>
                <w:b/>
                <w:lang w:val="sq-AL"/>
              </w:rPr>
              <w:t xml:space="preserve">Treguesit e performancës         </w:t>
            </w:r>
          </w:p>
          <w:p w:rsidR="00B36C39" w:rsidRPr="00EE4E37" w:rsidRDefault="00B36C39" w:rsidP="003C2DC0">
            <w:pPr>
              <w:ind w:firstLine="0"/>
              <w:jc w:val="center"/>
              <w:rPr>
                <w:rFonts w:ascii="Garamond" w:hAnsi="Garamond"/>
                <w:b/>
                <w:lang w:val="sq-AL"/>
              </w:rPr>
            </w:pPr>
            <w:r w:rsidRPr="00EE4E37">
              <w:rPr>
                <w:rFonts w:ascii="Garamond" w:hAnsi="Garamond"/>
                <w:b/>
                <w:lang w:val="sq-AL"/>
              </w:rPr>
              <w:t>Viti 2017</w:t>
            </w:r>
          </w:p>
        </w:tc>
        <w:tc>
          <w:tcPr>
            <w:tcW w:w="2876" w:type="dxa"/>
            <w:shd w:val="clear" w:color="auto" w:fill="D9D9D9" w:themeFill="background1" w:themeFillShade="D9"/>
            <w:vAlign w:val="center"/>
          </w:tcPr>
          <w:p w:rsidR="00B36C39" w:rsidRPr="00EE4E37" w:rsidRDefault="00B36C39" w:rsidP="003C2DC0">
            <w:pPr>
              <w:ind w:firstLine="0"/>
              <w:jc w:val="center"/>
              <w:rPr>
                <w:rFonts w:ascii="Garamond" w:hAnsi="Garamond"/>
                <w:b/>
                <w:lang w:val="sq-AL"/>
              </w:rPr>
            </w:pPr>
            <w:r w:rsidRPr="00EE4E37">
              <w:rPr>
                <w:rFonts w:ascii="Garamond" w:hAnsi="Garamond"/>
                <w:b/>
                <w:lang w:val="sq-AL"/>
              </w:rPr>
              <w:t xml:space="preserve">Objektivat e propozuar nga shoqëria                        </w:t>
            </w:r>
          </w:p>
          <w:p w:rsidR="00B36C39" w:rsidRPr="00EE4E37" w:rsidRDefault="00B36C39" w:rsidP="003C2DC0">
            <w:pPr>
              <w:ind w:firstLine="0"/>
              <w:jc w:val="center"/>
              <w:rPr>
                <w:rFonts w:ascii="Garamond" w:hAnsi="Garamond"/>
                <w:b/>
                <w:lang w:val="sq-AL"/>
              </w:rPr>
            </w:pPr>
            <w:r w:rsidRPr="00EE4E37">
              <w:rPr>
                <w:rFonts w:ascii="Garamond" w:hAnsi="Garamond"/>
                <w:b/>
                <w:lang w:val="sq-AL"/>
              </w:rPr>
              <w:t xml:space="preserve"> Viti 2019</w:t>
            </w:r>
          </w:p>
        </w:tc>
      </w:tr>
      <w:tr w:rsidR="00B36C39" w:rsidRPr="00EE4E37" w:rsidTr="003C2DC0">
        <w:trPr>
          <w:cantSplit/>
          <w:trHeight w:hRule="exact" w:val="302"/>
          <w:jc w:val="center"/>
        </w:trPr>
        <w:tc>
          <w:tcPr>
            <w:tcW w:w="2315" w:type="dxa"/>
            <w:vAlign w:val="center"/>
          </w:tcPr>
          <w:p w:rsidR="00B36C39" w:rsidRPr="00EE4E37" w:rsidRDefault="00B36C39" w:rsidP="003C2DC0">
            <w:pPr>
              <w:ind w:firstLine="0"/>
              <w:rPr>
                <w:rFonts w:ascii="Garamond" w:hAnsi="Garamond"/>
                <w:lang w:val="sq-AL"/>
              </w:rPr>
            </w:pPr>
            <w:r w:rsidRPr="00EE4E37">
              <w:rPr>
                <w:rFonts w:ascii="Garamond" w:hAnsi="Garamond"/>
                <w:lang w:val="sq-AL"/>
              </w:rPr>
              <w:t>Uji pa të ardhura</w:t>
            </w:r>
          </w:p>
        </w:tc>
        <w:tc>
          <w:tcPr>
            <w:tcW w:w="157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w:t>
            </w:r>
          </w:p>
        </w:tc>
        <w:tc>
          <w:tcPr>
            <w:tcW w:w="231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44.7</w:t>
            </w:r>
          </w:p>
        </w:tc>
        <w:tc>
          <w:tcPr>
            <w:tcW w:w="2876" w:type="dxa"/>
          </w:tcPr>
          <w:p w:rsidR="00B36C39" w:rsidRPr="00EE4E37" w:rsidRDefault="00B36C39" w:rsidP="003C2DC0">
            <w:pPr>
              <w:ind w:firstLine="0"/>
              <w:jc w:val="center"/>
              <w:rPr>
                <w:rFonts w:ascii="Garamond" w:hAnsi="Garamond"/>
                <w:lang w:val="sq-AL"/>
              </w:rPr>
            </w:pPr>
            <w:r w:rsidRPr="00EE4E37">
              <w:rPr>
                <w:rFonts w:ascii="Garamond" w:hAnsi="Garamond"/>
                <w:lang w:val="sq-AL"/>
              </w:rPr>
              <w:t>49.3</w:t>
            </w:r>
          </w:p>
        </w:tc>
      </w:tr>
      <w:tr w:rsidR="00B36C39" w:rsidRPr="00EE4E37" w:rsidTr="003C2DC0">
        <w:trPr>
          <w:cantSplit/>
          <w:trHeight w:hRule="exact" w:val="550"/>
          <w:jc w:val="center"/>
        </w:trPr>
        <w:tc>
          <w:tcPr>
            <w:tcW w:w="2315" w:type="dxa"/>
            <w:vAlign w:val="center"/>
          </w:tcPr>
          <w:p w:rsidR="00B36C39" w:rsidRPr="00EE4E37" w:rsidRDefault="00B36C39" w:rsidP="003C2DC0">
            <w:pPr>
              <w:ind w:firstLine="0"/>
              <w:rPr>
                <w:rFonts w:ascii="Garamond" w:hAnsi="Garamond"/>
                <w:lang w:val="sq-AL"/>
              </w:rPr>
            </w:pPr>
            <w:r w:rsidRPr="00EE4E37">
              <w:rPr>
                <w:rFonts w:ascii="Garamond" w:hAnsi="Garamond"/>
                <w:lang w:val="sq-AL"/>
              </w:rPr>
              <w:t>Mbulimi i kostove O&amp;M</w:t>
            </w:r>
          </w:p>
        </w:tc>
        <w:tc>
          <w:tcPr>
            <w:tcW w:w="157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w:t>
            </w:r>
          </w:p>
        </w:tc>
        <w:tc>
          <w:tcPr>
            <w:tcW w:w="231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108</w:t>
            </w:r>
          </w:p>
        </w:tc>
        <w:tc>
          <w:tcPr>
            <w:tcW w:w="2876" w:type="dxa"/>
          </w:tcPr>
          <w:p w:rsidR="00B36C39" w:rsidRPr="00EE4E37" w:rsidRDefault="00B36C39" w:rsidP="003C2DC0">
            <w:pPr>
              <w:ind w:firstLine="0"/>
              <w:jc w:val="center"/>
              <w:rPr>
                <w:rFonts w:ascii="Garamond" w:hAnsi="Garamond"/>
                <w:lang w:val="sq-AL"/>
              </w:rPr>
            </w:pPr>
            <w:r w:rsidRPr="00EE4E37">
              <w:rPr>
                <w:rFonts w:ascii="Garamond" w:hAnsi="Garamond"/>
                <w:lang w:val="sq-AL"/>
              </w:rPr>
              <w:t>117.5</w:t>
            </w:r>
          </w:p>
        </w:tc>
      </w:tr>
      <w:tr w:rsidR="00B36C39" w:rsidRPr="00EE4E37" w:rsidTr="003C2DC0">
        <w:trPr>
          <w:cantSplit/>
          <w:trHeight w:hRule="exact" w:val="558"/>
          <w:jc w:val="center"/>
        </w:trPr>
        <w:tc>
          <w:tcPr>
            <w:tcW w:w="2315" w:type="dxa"/>
            <w:vAlign w:val="center"/>
          </w:tcPr>
          <w:p w:rsidR="00B36C39" w:rsidRPr="00EE4E37" w:rsidRDefault="00B36C39" w:rsidP="003C2DC0">
            <w:pPr>
              <w:ind w:firstLine="0"/>
              <w:rPr>
                <w:rFonts w:ascii="Garamond" w:hAnsi="Garamond"/>
                <w:lang w:val="sq-AL"/>
              </w:rPr>
            </w:pPr>
            <w:r w:rsidRPr="00EE4E37">
              <w:rPr>
                <w:rFonts w:ascii="Garamond" w:hAnsi="Garamond"/>
                <w:lang w:val="sq-AL"/>
              </w:rPr>
              <w:t>Mbulimi i kostove totale</w:t>
            </w:r>
          </w:p>
        </w:tc>
        <w:tc>
          <w:tcPr>
            <w:tcW w:w="157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w:t>
            </w:r>
          </w:p>
        </w:tc>
        <w:tc>
          <w:tcPr>
            <w:tcW w:w="231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92.4</w:t>
            </w:r>
          </w:p>
        </w:tc>
        <w:tc>
          <w:tcPr>
            <w:tcW w:w="2876" w:type="dxa"/>
          </w:tcPr>
          <w:p w:rsidR="00B36C39" w:rsidRPr="00EE4E37" w:rsidRDefault="00B36C39" w:rsidP="003C2DC0">
            <w:pPr>
              <w:ind w:firstLine="0"/>
              <w:jc w:val="center"/>
              <w:rPr>
                <w:rFonts w:ascii="Garamond" w:hAnsi="Garamond"/>
                <w:lang w:val="sq-AL"/>
              </w:rPr>
            </w:pPr>
            <w:r w:rsidRPr="00EE4E37">
              <w:rPr>
                <w:rFonts w:ascii="Garamond" w:hAnsi="Garamond"/>
                <w:lang w:val="sq-AL"/>
              </w:rPr>
              <w:t>100</w:t>
            </w:r>
          </w:p>
        </w:tc>
      </w:tr>
      <w:tr w:rsidR="00B36C39" w:rsidRPr="00EE4E37" w:rsidTr="003C2DC0">
        <w:trPr>
          <w:cantSplit/>
          <w:trHeight w:hRule="exact" w:val="283"/>
          <w:jc w:val="center"/>
        </w:trPr>
        <w:tc>
          <w:tcPr>
            <w:tcW w:w="2315" w:type="dxa"/>
            <w:vAlign w:val="center"/>
          </w:tcPr>
          <w:p w:rsidR="00B36C39" w:rsidRPr="00EE4E37" w:rsidRDefault="00B36C39" w:rsidP="003C2DC0">
            <w:pPr>
              <w:ind w:firstLine="0"/>
              <w:rPr>
                <w:rFonts w:ascii="Garamond" w:hAnsi="Garamond"/>
                <w:lang w:val="sq-AL"/>
              </w:rPr>
            </w:pPr>
            <w:r w:rsidRPr="00EE4E37">
              <w:rPr>
                <w:rFonts w:ascii="Garamond" w:hAnsi="Garamond"/>
                <w:lang w:val="sq-AL"/>
              </w:rPr>
              <w:t>Niveli i matjes</w:t>
            </w:r>
          </w:p>
        </w:tc>
        <w:tc>
          <w:tcPr>
            <w:tcW w:w="157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w:t>
            </w:r>
          </w:p>
        </w:tc>
        <w:tc>
          <w:tcPr>
            <w:tcW w:w="231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33.9</w:t>
            </w:r>
          </w:p>
        </w:tc>
        <w:tc>
          <w:tcPr>
            <w:tcW w:w="2876" w:type="dxa"/>
          </w:tcPr>
          <w:p w:rsidR="00B36C39" w:rsidRPr="00EE4E37" w:rsidRDefault="00B36C39" w:rsidP="003C2DC0">
            <w:pPr>
              <w:ind w:firstLine="0"/>
              <w:jc w:val="center"/>
              <w:rPr>
                <w:rFonts w:ascii="Garamond" w:hAnsi="Garamond"/>
                <w:lang w:val="sq-AL"/>
              </w:rPr>
            </w:pPr>
            <w:r w:rsidRPr="00EE4E37">
              <w:rPr>
                <w:rFonts w:ascii="Garamond" w:hAnsi="Garamond"/>
                <w:lang w:val="sq-AL"/>
              </w:rPr>
              <w:t>68.4</w:t>
            </w:r>
          </w:p>
        </w:tc>
      </w:tr>
      <w:tr w:rsidR="00B36C39" w:rsidRPr="00EE4E37" w:rsidTr="003C2DC0">
        <w:trPr>
          <w:cantSplit/>
          <w:trHeight w:hRule="exact" w:val="556"/>
          <w:jc w:val="center"/>
        </w:trPr>
        <w:tc>
          <w:tcPr>
            <w:tcW w:w="2315" w:type="dxa"/>
            <w:vAlign w:val="center"/>
          </w:tcPr>
          <w:p w:rsidR="00B36C39" w:rsidRPr="00EE4E37" w:rsidRDefault="00B36C39" w:rsidP="003C2DC0">
            <w:pPr>
              <w:ind w:firstLine="0"/>
              <w:rPr>
                <w:rFonts w:ascii="Garamond" w:hAnsi="Garamond"/>
                <w:lang w:val="sq-AL"/>
              </w:rPr>
            </w:pPr>
            <w:r w:rsidRPr="00EE4E37">
              <w:rPr>
                <w:rFonts w:ascii="Garamond" w:hAnsi="Garamond"/>
                <w:lang w:val="sq-AL"/>
              </w:rPr>
              <w:t xml:space="preserve">Vazhdimësia e FU-së </w:t>
            </w:r>
          </w:p>
          <w:p w:rsidR="00B36C39" w:rsidRPr="00EE4E37" w:rsidRDefault="00B36C39" w:rsidP="003C2DC0">
            <w:pPr>
              <w:ind w:firstLine="0"/>
              <w:rPr>
                <w:rFonts w:ascii="Garamond" w:hAnsi="Garamond"/>
                <w:lang w:val="sq-AL"/>
              </w:rPr>
            </w:pPr>
          </w:p>
        </w:tc>
        <w:tc>
          <w:tcPr>
            <w:tcW w:w="157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orë/ditë</w:t>
            </w:r>
          </w:p>
        </w:tc>
        <w:tc>
          <w:tcPr>
            <w:tcW w:w="231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13</w:t>
            </w:r>
          </w:p>
        </w:tc>
        <w:tc>
          <w:tcPr>
            <w:tcW w:w="2876" w:type="dxa"/>
          </w:tcPr>
          <w:p w:rsidR="00B36C39" w:rsidRPr="00EE4E37" w:rsidRDefault="00B36C39" w:rsidP="003C2DC0">
            <w:pPr>
              <w:ind w:firstLine="0"/>
              <w:jc w:val="center"/>
              <w:rPr>
                <w:rFonts w:ascii="Garamond" w:hAnsi="Garamond"/>
                <w:lang w:val="sq-AL"/>
              </w:rPr>
            </w:pPr>
            <w:r w:rsidRPr="00EE4E37">
              <w:rPr>
                <w:rFonts w:ascii="Garamond" w:hAnsi="Garamond"/>
                <w:lang w:val="sq-AL"/>
              </w:rPr>
              <w:t>13</w:t>
            </w:r>
          </w:p>
        </w:tc>
      </w:tr>
      <w:tr w:rsidR="00B36C39" w:rsidRPr="00EE4E37" w:rsidTr="003C2DC0">
        <w:trPr>
          <w:cantSplit/>
          <w:trHeight w:hRule="exact" w:val="280"/>
          <w:jc w:val="center"/>
        </w:trPr>
        <w:tc>
          <w:tcPr>
            <w:tcW w:w="2315" w:type="dxa"/>
            <w:vAlign w:val="center"/>
          </w:tcPr>
          <w:p w:rsidR="00B36C39" w:rsidRPr="00EE4E37" w:rsidRDefault="00B36C39" w:rsidP="003C2DC0">
            <w:pPr>
              <w:ind w:firstLine="0"/>
              <w:rPr>
                <w:rFonts w:ascii="Garamond" w:hAnsi="Garamond"/>
                <w:lang w:val="sq-AL"/>
              </w:rPr>
            </w:pPr>
            <w:r w:rsidRPr="00EE4E37">
              <w:rPr>
                <w:rFonts w:ascii="Garamond" w:hAnsi="Garamond"/>
                <w:lang w:val="sq-AL"/>
              </w:rPr>
              <w:t>Efikasiteti i stafit</w:t>
            </w:r>
          </w:p>
          <w:p w:rsidR="00B36C39" w:rsidRPr="00EE4E37" w:rsidRDefault="00B36C39" w:rsidP="003C2DC0">
            <w:pPr>
              <w:ind w:firstLine="0"/>
              <w:rPr>
                <w:rFonts w:ascii="Garamond" w:hAnsi="Garamond"/>
                <w:lang w:val="sq-AL"/>
              </w:rPr>
            </w:pPr>
          </w:p>
        </w:tc>
        <w:tc>
          <w:tcPr>
            <w:tcW w:w="157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Staf/1000 lidhje</w:t>
            </w:r>
          </w:p>
        </w:tc>
        <w:tc>
          <w:tcPr>
            <w:tcW w:w="231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9.96</w:t>
            </w:r>
          </w:p>
        </w:tc>
        <w:tc>
          <w:tcPr>
            <w:tcW w:w="2876" w:type="dxa"/>
          </w:tcPr>
          <w:p w:rsidR="00B36C39" w:rsidRPr="00EE4E37" w:rsidRDefault="00B36C39" w:rsidP="003C2DC0">
            <w:pPr>
              <w:ind w:firstLine="0"/>
              <w:jc w:val="center"/>
              <w:rPr>
                <w:rFonts w:ascii="Garamond" w:hAnsi="Garamond"/>
                <w:lang w:val="sq-AL"/>
              </w:rPr>
            </w:pPr>
            <w:r w:rsidRPr="00EE4E37">
              <w:rPr>
                <w:rFonts w:ascii="Garamond" w:hAnsi="Garamond"/>
                <w:lang w:val="sq-AL"/>
              </w:rPr>
              <w:t>10.52</w:t>
            </w:r>
          </w:p>
        </w:tc>
      </w:tr>
      <w:tr w:rsidR="00B36C39" w:rsidRPr="00EE4E37" w:rsidTr="003C2DC0">
        <w:trPr>
          <w:cantSplit/>
          <w:trHeight w:hRule="exact" w:val="302"/>
          <w:jc w:val="center"/>
        </w:trPr>
        <w:tc>
          <w:tcPr>
            <w:tcW w:w="2315" w:type="dxa"/>
            <w:vAlign w:val="center"/>
          </w:tcPr>
          <w:p w:rsidR="00B36C39" w:rsidRPr="00EE4E37" w:rsidRDefault="00B36C39" w:rsidP="003C2DC0">
            <w:pPr>
              <w:ind w:firstLine="0"/>
              <w:rPr>
                <w:rFonts w:ascii="Garamond" w:hAnsi="Garamond"/>
                <w:lang w:val="sq-AL"/>
              </w:rPr>
            </w:pPr>
            <w:r w:rsidRPr="00EE4E37">
              <w:rPr>
                <w:rFonts w:ascii="Garamond" w:hAnsi="Garamond"/>
                <w:lang w:val="sq-AL"/>
              </w:rPr>
              <w:t>Mbulimi me ujë</w:t>
            </w:r>
          </w:p>
        </w:tc>
        <w:tc>
          <w:tcPr>
            <w:tcW w:w="157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w:t>
            </w:r>
          </w:p>
        </w:tc>
        <w:tc>
          <w:tcPr>
            <w:tcW w:w="231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100</w:t>
            </w:r>
          </w:p>
        </w:tc>
        <w:tc>
          <w:tcPr>
            <w:tcW w:w="2876" w:type="dxa"/>
          </w:tcPr>
          <w:p w:rsidR="00B36C39" w:rsidRPr="00EE4E37" w:rsidRDefault="00B36C39" w:rsidP="003C2DC0">
            <w:pPr>
              <w:ind w:firstLine="0"/>
              <w:jc w:val="center"/>
              <w:rPr>
                <w:rFonts w:ascii="Garamond" w:hAnsi="Garamond"/>
                <w:lang w:val="sq-AL"/>
              </w:rPr>
            </w:pPr>
            <w:r w:rsidRPr="00EE4E37">
              <w:rPr>
                <w:rFonts w:ascii="Garamond" w:hAnsi="Garamond"/>
                <w:lang w:val="sq-AL"/>
              </w:rPr>
              <w:t>100</w:t>
            </w:r>
          </w:p>
        </w:tc>
      </w:tr>
      <w:tr w:rsidR="00B36C39" w:rsidRPr="00EE4E37" w:rsidTr="003C2DC0">
        <w:trPr>
          <w:cantSplit/>
          <w:trHeight w:hRule="exact" w:val="302"/>
          <w:jc w:val="center"/>
        </w:trPr>
        <w:tc>
          <w:tcPr>
            <w:tcW w:w="2315" w:type="dxa"/>
            <w:vAlign w:val="center"/>
          </w:tcPr>
          <w:p w:rsidR="00B36C39" w:rsidRPr="00EE4E37" w:rsidRDefault="00B36C39" w:rsidP="003C2DC0">
            <w:pPr>
              <w:ind w:firstLine="0"/>
              <w:rPr>
                <w:rFonts w:ascii="Garamond" w:hAnsi="Garamond"/>
                <w:lang w:val="sq-AL"/>
              </w:rPr>
            </w:pPr>
            <w:r w:rsidRPr="00EE4E37">
              <w:rPr>
                <w:rFonts w:ascii="Garamond" w:hAnsi="Garamond"/>
                <w:lang w:val="sq-AL"/>
              </w:rPr>
              <w:t>Mbulimi me KUN</w:t>
            </w:r>
          </w:p>
        </w:tc>
        <w:tc>
          <w:tcPr>
            <w:tcW w:w="157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w:t>
            </w:r>
          </w:p>
        </w:tc>
        <w:tc>
          <w:tcPr>
            <w:tcW w:w="231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40</w:t>
            </w:r>
          </w:p>
        </w:tc>
        <w:tc>
          <w:tcPr>
            <w:tcW w:w="2876" w:type="dxa"/>
          </w:tcPr>
          <w:p w:rsidR="00B36C39" w:rsidRPr="00EE4E37" w:rsidRDefault="00B36C39" w:rsidP="003C2DC0">
            <w:pPr>
              <w:ind w:firstLine="0"/>
              <w:jc w:val="center"/>
              <w:rPr>
                <w:rFonts w:ascii="Garamond" w:hAnsi="Garamond"/>
                <w:lang w:val="sq-AL"/>
              </w:rPr>
            </w:pPr>
            <w:r w:rsidRPr="00EE4E37">
              <w:rPr>
                <w:rFonts w:ascii="Garamond" w:hAnsi="Garamond"/>
                <w:lang w:val="sq-AL"/>
              </w:rPr>
              <w:t>40</w:t>
            </w:r>
          </w:p>
        </w:tc>
      </w:tr>
      <w:tr w:rsidR="00B36C39" w:rsidRPr="00EE4E37" w:rsidTr="003C2DC0">
        <w:trPr>
          <w:cantSplit/>
          <w:trHeight w:hRule="exact" w:val="302"/>
          <w:jc w:val="center"/>
        </w:trPr>
        <w:tc>
          <w:tcPr>
            <w:tcW w:w="2315" w:type="dxa"/>
            <w:vAlign w:val="center"/>
          </w:tcPr>
          <w:p w:rsidR="00B36C39" w:rsidRPr="00EE4E37" w:rsidRDefault="00B36C39" w:rsidP="003C2DC0">
            <w:pPr>
              <w:ind w:firstLine="0"/>
              <w:rPr>
                <w:rFonts w:ascii="Garamond" w:hAnsi="Garamond"/>
                <w:lang w:val="sq-AL"/>
              </w:rPr>
            </w:pPr>
            <w:r w:rsidRPr="00EE4E37">
              <w:rPr>
                <w:rFonts w:ascii="Garamond" w:hAnsi="Garamond"/>
                <w:lang w:val="sq-AL"/>
              </w:rPr>
              <w:t>Norma e arkëtimit</w:t>
            </w:r>
          </w:p>
        </w:tc>
        <w:tc>
          <w:tcPr>
            <w:tcW w:w="157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w:t>
            </w:r>
          </w:p>
        </w:tc>
        <w:tc>
          <w:tcPr>
            <w:tcW w:w="2313" w:type="dxa"/>
            <w:vAlign w:val="center"/>
          </w:tcPr>
          <w:p w:rsidR="00B36C39" w:rsidRPr="00EE4E37" w:rsidRDefault="00B36C39" w:rsidP="003C2DC0">
            <w:pPr>
              <w:ind w:firstLine="0"/>
              <w:jc w:val="center"/>
              <w:rPr>
                <w:rFonts w:ascii="Garamond" w:hAnsi="Garamond"/>
                <w:lang w:val="sq-AL"/>
              </w:rPr>
            </w:pPr>
            <w:r w:rsidRPr="00EE4E37">
              <w:rPr>
                <w:rFonts w:ascii="Garamond" w:hAnsi="Garamond"/>
                <w:lang w:val="sq-AL"/>
              </w:rPr>
              <w:t>82</w:t>
            </w:r>
          </w:p>
        </w:tc>
        <w:tc>
          <w:tcPr>
            <w:tcW w:w="2876" w:type="dxa"/>
          </w:tcPr>
          <w:p w:rsidR="00B36C39" w:rsidRPr="00EE4E37" w:rsidRDefault="00B36C39" w:rsidP="003C2DC0">
            <w:pPr>
              <w:ind w:firstLine="0"/>
              <w:jc w:val="center"/>
              <w:rPr>
                <w:rFonts w:ascii="Garamond" w:hAnsi="Garamond"/>
                <w:lang w:val="sq-AL"/>
              </w:rPr>
            </w:pPr>
            <w:r w:rsidRPr="00EE4E37">
              <w:rPr>
                <w:rFonts w:ascii="Garamond" w:hAnsi="Garamond"/>
                <w:lang w:val="sq-AL"/>
              </w:rPr>
              <w:t>87.7</w:t>
            </w:r>
          </w:p>
        </w:tc>
      </w:tr>
    </w:tbl>
    <w:p w:rsidR="00B36C39" w:rsidRPr="00EE4E37" w:rsidRDefault="00B36C39" w:rsidP="00B36C39">
      <w:pPr>
        <w:pStyle w:val="Paragrafi"/>
        <w:rPr>
          <w:szCs w:val="24"/>
          <w:lang w:val="sq-AL"/>
        </w:rPr>
      </w:pPr>
    </w:p>
    <w:p w:rsidR="00B36C39" w:rsidRDefault="00B36C39" w:rsidP="00B36C39">
      <w:pPr>
        <w:pStyle w:val="Paragrafi"/>
        <w:rPr>
          <w:spacing w:val="-4"/>
          <w:szCs w:val="24"/>
          <w:lang w:val="sq-AL"/>
        </w:rPr>
      </w:pPr>
    </w:p>
    <w:p w:rsidR="00B36C39" w:rsidRPr="00EE4E37" w:rsidRDefault="00B36C39" w:rsidP="00B36C39">
      <w:pPr>
        <w:pStyle w:val="Paragrafi"/>
        <w:rPr>
          <w:spacing w:val="-4"/>
          <w:szCs w:val="24"/>
          <w:lang w:val="sq-AL"/>
        </w:rPr>
      </w:pPr>
      <w:r w:rsidRPr="00EE4E37">
        <w:rPr>
          <w:spacing w:val="-4"/>
          <w:szCs w:val="24"/>
          <w:lang w:val="sq-AL"/>
        </w:rPr>
        <w:t>a) Uji pa të ardhura për UK Gjirokastër për vitin e kaluar është 44.7 %. Humbjet vjetore janë 1,469,478 m</w:t>
      </w:r>
      <w:r w:rsidRPr="00EE4E37">
        <w:rPr>
          <w:spacing w:val="-4"/>
          <w:szCs w:val="24"/>
          <w:vertAlign w:val="superscript"/>
          <w:lang w:val="sq-AL"/>
        </w:rPr>
        <w:t>3</w:t>
      </w:r>
      <w:r w:rsidRPr="00EE4E37">
        <w:rPr>
          <w:spacing w:val="-4"/>
          <w:szCs w:val="24"/>
          <w:lang w:val="sq-AL"/>
        </w:rPr>
        <w:t xml:space="preserve">/vit, nga të cilat 24% janë </w:t>
      </w:r>
      <w:r w:rsidRPr="00EE4E37">
        <w:rPr>
          <w:b/>
          <w:spacing w:val="-4"/>
          <w:szCs w:val="24"/>
          <w:lang w:val="sq-AL"/>
        </w:rPr>
        <w:t xml:space="preserve">humbje administrative </w:t>
      </w:r>
      <w:r w:rsidRPr="00EE4E37">
        <w:rPr>
          <w:spacing w:val="-4"/>
          <w:szCs w:val="24"/>
          <w:lang w:val="sq-AL"/>
        </w:rPr>
        <w:t xml:space="preserve">dhe 76% janë </w:t>
      </w:r>
      <w:r w:rsidRPr="00EE4E37">
        <w:rPr>
          <w:b/>
          <w:spacing w:val="-4"/>
          <w:szCs w:val="24"/>
          <w:lang w:val="sq-AL"/>
        </w:rPr>
        <w:t>humbje teknike</w:t>
      </w:r>
      <w:r w:rsidRPr="00EE4E37">
        <w:rPr>
          <w:spacing w:val="-4"/>
          <w:szCs w:val="24"/>
          <w:lang w:val="sq-AL"/>
        </w:rPr>
        <w:t xml:space="preserve">. Humbjet administrative shkaktohen kryesisht nga administrimi jo i mirë i të dhënave, vlerësimi joreal i volumeve të prodhuara e të faturuara si rezultat i mungesës së matësve në pikat e prodhimit dhe në një pjesë të mirë të konsumatorëve. Humbjet teknike shkaktohen nga rrjedhjet në linjat e transmetimit shpërndarjes dhe në depot e ujit. Ky indikator do të ketë një përkeqësim për vitin 2019 në 49%, për arsye </w:t>
      </w:r>
      <w:r w:rsidRPr="00EE4E37">
        <w:rPr>
          <w:spacing w:val="-4"/>
          <w:szCs w:val="24"/>
          <w:lang w:val="sq-AL"/>
        </w:rPr>
        <w:lastRenderedPageBreak/>
        <w:t>se sasia e ujit të faturuar do të bjerë nga pajisja e konsumatorëve me matës.</w:t>
      </w:r>
    </w:p>
    <w:p w:rsidR="00B36C39" w:rsidRPr="00EE4E37" w:rsidRDefault="00B36C39" w:rsidP="00B36C39">
      <w:pPr>
        <w:pStyle w:val="Paragrafi"/>
        <w:rPr>
          <w:spacing w:val="-4"/>
          <w:szCs w:val="24"/>
          <w:lang w:val="sq-AL"/>
        </w:rPr>
      </w:pPr>
      <w:r w:rsidRPr="00EE4E37">
        <w:rPr>
          <w:spacing w:val="-4"/>
          <w:szCs w:val="24"/>
          <w:lang w:val="sq-AL"/>
        </w:rPr>
        <w:t>b) Për vitin 2019, UK Gjirokastër ka parashikuar kosto operative dhe mirëmbajtje (O&amp;M) rreth 6.4 milionë lek</w:t>
      </w:r>
      <w:bookmarkStart w:id="3" w:name="_Hlk526243564"/>
      <w:r w:rsidRPr="00EE4E37">
        <w:rPr>
          <w:spacing w:val="-4"/>
          <w:szCs w:val="24"/>
          <w:lang w:val="sq-AL"/>
        </w:rPr>
        <w:t>ë</w:t>
      </w:r>
      <w:bookmarkEnd w:id="3"/>
      <w:r w:rsidRPr="00EE4E37">
        <w:rPr>
          <w:spacing w:val="-4"/>
          <w:szCs w:val="24"/>
          <w:lang w:val="sq-AL"/>
        </w:rPr>
        <w:t xml:space="preserve"> më të larta krahasuar me vitin 2018, ndërsa të ardhurat janë parashikuar të rriten me rreth 13.6 milionë lekë. Ky parashikim i të ardhurave dhe i shpenzimeve do të sjellë rritje të nivelit të mbulimit të kostove O&amp;M nga 108% në vitin 2017, në 111.6% për vitin 2018 (i pritshmi) dhe në nivelin 117.5% për vitin 2019 (parashikimi).</w:t>
      </w:r>
    </w:p>
    <w:p w:rsidR="00B36C39" w:rsidRPr="00EE4E37" w:rsidRDefault="00B36C39" w:rsidP="00B36C39">
      <w:pPr>
        <w:pStyle w:val="Paragrafi"/>
        <w:rPr>
          <w:spacing w:val="-4"/>
          <w:szCs w:val="24"/>
          <w:lang w:val="sq-AL"/>
        </w:rPr>
      </w:pPr>
      <w:r w:rsidRPr="00EE4E37">
        <w:rPr>
          <w:spacing w:val="-4"/>
          <w:szCs w:val="24"/>
          <w:lang w:val="sq-AL"/>
        </w:rPr>
        <w:t>c) Niveli i matjes për vitin  2017 paraqitet në nivelin 34%. Krahas vënies në shfrytëzim të ujësjellësit të ri, nga i cili ka përfituar një pjesë e konsiderueshme e qytetit, instalimi i ujëmatësve ka sjell dhe zgjatje të orëve të shërbimit dhe nga ana tjetër faturimin e asaj që realisht konsumatori konsumon. Shoqëria ka parashikuar të instalojë rreth 2,750 matës në vitin 2019, kështu do të arrijë një nivel matje 68.4 % dhe nuk do të ketë asnjë konsumator jofamiljarë pa matës në zonën urbane. ERRU-ja e orienton shoqërinë drejt përmirësimit të këtij treguesi duke shfrytëzuar një pjesë të të ardhurave të shoqërisë, që pas mbulimit të kostove të operimit dhe mirëmbajtjes të përdoren për blerjen dhe instalimin e 1700 matësve, që do ta çojë këtë tregues në nivelin 78% në mbyllje të vitit 2019.</w:t>
      </w:r>
    </w:p>
    <w:p w:rsidR="00B36C39" w:rsidRPr="00EE4E37" w:rsidRDefault="00B36C39" w:rsidP="00B36C39">
      <w:pPr>
        <w:pStyle w:val="Paragrafi"/>
        <w:rPr>
          <w:spacing w:val="-4"/>
          <w:szCs w:val="24"/>
          <w:lang w:val="sq-AL"/>
        </w:rPr>
      </w:pPr>
      <w:r w:rsidRPr="00EE4E37">
        <w:rPr>
          <w:spacing w:val="-4"/>
          <w:szCs w:val="24"/>
          <w:lang w:val="sq-AL"/>
        </w:rPr>
        <w:t>d) Kohëzgjatja mesatare e orëve të furnizimit është 13 orë në ditë. Investimet në zonën e qytetit kanë realizuar furnizimin me ujë 24/7, megjithatë në disa nën zona konsumatorët furnizohen me orar të reduktuar 3-4 orë/ditë, ndërsa në zonat rurale ka orare të ndryshme furnizimi por mesatarisht furnizohen me 5-6 orë/ditë. Për vitin 2019 shoqëria parashikon të njëjtin nivel shërbimi pa ndonjë ndryshim pozitiv të këtij treguesi.</w:t>
      </w:r>
    </w:p>
    <w:p w:rsidR="00B36C39" w:rsidRPr="00EE4E37" w:rsidRDefault="00B36C39" w:rsidP="00B36C39">
      <w:pPr>
        <w:pStyle w:val="Paragrafi"/>
        <w:rPr>
          <w:spacing w:val="-4"/>
          <w:szCs w:val="24"/>
          <w:lang w:val="sq-AL"/>
        </w:rPr>
      </w:pPr>
      <w:r w:rsidRPr="00EE4E37">
        <w:rPr>
          <w:spacing w:val="-4"/>
          <w:szCs w:val="24"/>
          <w:lang w:val="sq-AL"/>
        </w:rPr>
        <w:t>e) Norma e arkëtimit të përgjithshëm është rreth 82% dhe parashikohet që për vitin 2019 të arrijë normën e arkëtimit në masën 87.7%. Edhe pse në nivele të performancës së mirë shoqëria sqaron se në zonën rurale niveli i mbledhjes së të ardhurave është i ulët, nga 60% deri 65%, dhe i tillë është parashikuar edhe për vitin e ardhshëm 2019.</w:t>
      </w:r>
    </w:p>
    <w:p w:rsidR="00B36C39" w:rsidRPr="00EE4E37" w:rsidRDefault="00B36C39" w:rsidP="00B36C39">
      <w:pPr>
        <w:pStyle w:val="Paragrafi"/>
        <w:rPr>
          <w:spacing w:val="-4"/>
          <w:szCs w:val="24"/>
          <w:lang w:val="sq-AL"/>
        </w:rPr>
      </w:pPr>
      <w:r w:rsidRPr="00EE4E37">
        <w:rPr>
          <w:spacing w:val="-4"/>
          <w:szCs w:val="24"/>
          <w:lang w:val="sq-AL"/>
        </w:rPr>
        <w:t>f) Sh.a. UK Gjirokastër raporton një popullsi totale në zonën e juridiksionit prej 52,300 banorë, ku rreth 82% e tyre i takon zonës urbane dhe vetëm 18% zonës rurale që dikur shërbehej nga ish- Ujësjellësi Gjirokastër Fshat. Si shoqëri e riorganizuar shërbimi me ujë të pijshëm i ofrohet 100% të popullsisë totale të regjistruar në regjistrat e gjendjes civile.</w:t>
      </w:r>
    </w:p>
    <w:p w:rsidR="00B36C39" w:rsidRPr="00EE4E37" w:rsidRDefault="00B36C39" w:rsidP="00B36C39">
      <w:pPr>
        <w:pStyle w:val="Paragrafi"/>
        <w:rPr>
          <w:spacing w:val="-4"/>
          <w:szCs w:val="24"/>
          <w:lang w:val="sq-AL"/>
        </w:rPr>
      </w:pPr>
      <w:r w:rsidRPr="00EE4E37">
        <w:rPr>
          <w:spacing w:val="-4"/>
          <w:szCs w:val="24"/>
          <w:lang w:val="sq-AL"/>
        </w:rPr>
        <w:t>g) Për tri vitet 2017-2018-2019 shoqëria raporton të njëjtin nivel të mbulimit me shërbimin e kanalizimeve rreth 40,7%. Për sa u përket studimeve në lidhje me zgjidhjen përfundimtare të shkarkimit të ujërave të ndotura aktualisht pjesë e projektit të financuar nga Fondi Amerikan i Zhvillimit është zona e pazarit ndërsa për pjesën tjetër do të pritet fillimi i fazës tjetër të projektit MIP III&amp;IV.</w:t>
      </w:r>
    </w:p>
    <w:p w:rsidR="00B36C39" w:rsidRPr="00EE4E37" w:rsidRDefault="00B36C39" w:rsidP="00B36C39">
      <w:pPr>
        <w:pStyle w:val="Paragrafi"/>
        <w:rPr>
          <w:spacing w:val="-4"/>
          <w:szCs w:val="24"/>
          <w:lang w:val="sq-AL"/>
        </w:rPr>
      </w:pPr>
      <w:r w:rsidRPr="00EE4E37">
        <w:rPr>
          <w:spacing w:val="-4"/>
          <w:szCs w:val="24"/>
          <w:lang w:val="sq-AL"/>
        </w:rPr>
        <w:t>h) Treguesi staf për 1000 lidhje UK nga 9.96 në vitin 2017, në mbyllje të vitit 2018 është parashikuar të jetë 10.52 punonjës/1000 lidhje UK, për shkak të rritjes së stafit me 10 punonjës të rinj. Edhe për vitin e ardhshëm 2019 mbetet i njëjti nivel i këtij treguesi</w:t>
      </w:r>
      <w:r>
        <w:rPr>
          <w:spacing w:val="-4"/>
          <w:szCs w:val="24"/>
          <w:lang w:val="sq-AL"/>
        </w:rPr>
        <w:t>,</w:t>
      </w:r>
      <w:r w:rsidRPr="00EE4E37">
        <w:rPr>
          <w:spacing w:val="-4"/>
          <w:szCs w:val="24"/>
          <w:lang w:val="sq-AL"/>
        </w:rPr>
        <w:t xml:space="preserve"> sepse numri i stafit nuk ndryshon, ndërsa rritja e numrit të lidhjeve UK është e papërfillshme në ndikimin që jep në këtë tregues.</w:t>
      </w:r>
    </w:p>
    <w:p w:rsidR="00B36C39" w:rsidRPr="00EE4E37" w:rsidRDefault="00B36C39" w:rsidP="00B36C39">
      <w:pPr>
        <w:pStyle w:val="Paragrafi"/>
        <w:rPr>
          <w:spacing w:val="-4"/>
          <w:szCs w:val="24"/>
          <w:lang w:val="sq-AL"/>
        </w:rPr>
      </w:pPr>
      <w:r w:rsidRPr="00EE4E37">
        <w:rPr>
          <w:spacing w:val="-4"/>
          <w:szCs w:val="24"/>
          <w:lang w:val="sq-AL"/>
        </w:rPr>
        <w:t>5. Nevoja e ndryshimit të tarifave nga ana e UK Gjirokastër argumentohet me:</w:t>
      </w:r>
    </w:p>
    <w:p w:rsidR="00B36C39" w:rsidRPr="00EE4E37" w:rsidRDefault="00B36C39" w:rsidP="00B36C39">
      <w:pPr>
        <w:pStyle w:val="Paragrafi"/>
        <w:rPr>
          <w:spacing w:val="-4"/>
          <w:szCs w:val="24"/>
          <w:lang w:val="sq-AL"/>
        </w:rPr>
      </w:pPr>
      <w:r w:rsidRPr="00EE4E37">
        <w:rPr>
          <w:spacing w:val="-4"/>
          <w:szCs w:val="24"/>
          <w:lang w:val="sq-AL"/>
        </w:rPr>
        <w:t xml:space="preserve">a) Pas zgjerimit të zonës së shërbimit shoqëria aplikon për herë të parë sipas metodologjisë </w:t>
      </w:r>
      <w:r>
        <w:rPr>
          <w:spacing w:val="-4"/>
          <w:szCs w:val="24"/>
          <w:lang w:val="sq-AL"/>
        </w:rPr>
        <w:t>“</w:t>
      </w:r>
      <w:r w:rsidRPr="00EE4E37">
        <w:rPr>
          <w:spacing w:val="-4"/>
          <w:szCs w:val="24"/>
          <w:lang w:val="sq-AL"/>
        </w:rPr>
        <w:t>Për vendosjen e tarifave për shërbimin e furnizimit me ujë dhe largimin e përpunimin e ujërave të ndotura</w:t>
      </w:r>
      <w:r>
        <w:rPr>
          <w:spacing w:val="-4"/>
          <w:szCs w:val="24"/>
          <w:lang w:val="sq-AL"/>
        </w:rPr>
        <w:t>”</w:t>
      </w:r>
      <w:r w:rsidRPr="00EE4E37">
        <w:rPr>
          <w:spacing w:val="-4"/>
          <w:szCs w:val="24"/>
          <w:lang w:val="sq-AL"/>
        </w:rPr>
        <w:t>, miratuar nga Komisioni Kombëtar Rregullator, me vendimin nr. 42, datë 9.12.2015, bazuar në analizën e gjendjes teknike dhe ekonomike të saj, konkretisht analizën e kostove dhe të ardhurave për shërbimet e ofruara, analizën dhe përcaktimin e objektivave për treguesit e performancës.</w:t>
      </w:r>
    </w:p>
    <w:p w:rsidR="00B36C39" w:rsidRPr="00EE4E37" w:rsidRDefault="00B36C39" w:rsidP="00B36C39">
      <w:pPr>
        <w:pStyle w:val="Paragrafi"/>
        <w:rPr>
          <w:spacing w:val="-4"/>
          <w:szCs w:val="24"/>
          <w:lang w:val="sq-AL"/>
        </w:rPr>
      </w:pPr>
      <w:r w:rsidRPr="00EE4E37">
        <w:rPr>
          <w:spacing w:val="-4"/>
          <w:szCs w:val="24"/>
          <w:lang w:val="sq-AL"/>
        </w:rPr>
        <w:t>b) Nevojën për përmirësimin e treguesve të performancës në aspektin ekonomik dhe në drejtim të përmirësimit të cilësisë së shërbimit</w:t>
      </w:r>
    </w:p>
    <w:p w:rsidR="00B36C39" w:rsidRPr="00EE4E37" w:rsidRDefault="00B36C39" w:rsidP="00B36C39">
      <w:pPr>
        <w:pStyle w:val="Paragrafi"/>
        <w:rPr>
          <w:spacing w:val="-4"/>
          <w:szCs w:val="24"/>
          <w:lang w:val="sq-AL"/>
        </w:rPr>
      </w:pPr>
      <w:r w:rsidRPr="00EE4E37">
        <w:rPr>
          <w:spacing w:val="-4"/>
          <w:szCs w:val="24"/>
          <w:lang w:val="sq-AL"/>
        </w:rPr>
        <w:t>c) Tarifat e propozuara do të sigurojnë të ardhura të domosdoshme për përmirësimin e performancës financiare, me qëllim garantimin e shlyerjes së kredisë së përfituar nga projektet e KfW-së.</w:t>
      </w:r>
    </w:p>
    <w:p w:rsidR="00B36C39" w:rsidRPr="00EE4E37" w:rsidRDefault="00B36C39" w:rsidP="00B36C39">
      <w:pPr>
        <w:pStyle w:val="Paragrafi"/>
        <w:rPr>
          <w:spacing w:val="-4"/>
          <w:szCs w:val="24"/>
          <w:lang w:val="sq-AL"/>
        </w:rPr>
      </w:pPr>
      <w:r w:rsidRPr="00EE4E37">
        <w:rPr>
          <w:spacing w:val="-4"/>
          <w:szCs w:val="24"/>
          <w:lang w:val="sq-AL"/>
        </w:rPr>
        <w:t xml:space="preserve">d) Nevoja për arritjen e nivelit 100% të mbulimit të kostove totale. </w:t>
      </w:r>
    </w:p>
    <w:p w:rsidR="00B36C39" w:rsidRPr="00EE4E37" w:rsidRDefault="00B36C39" w:rsidP="00B36C39">
      <w:pPr>
        <w:pStyle w:val="Paragrafi"/>
        <w:rPr>
          <w:spacing w:val="-4"/>
          <w:szCs w:val="24"/>
          <w:lang w:val="sq-AL"/>
        </w:rPr>
      </w:pPr>
      <w:r w:rsidRPr="00EE4E37">
        <w:rPr>
          <w:spacing w:val="-4"/>
          <w:szCs w:val="24"/>
          <w:lang w:val="sq-AL"/>
        </w:rPr>
        <w:t xml:space="preserve">6. ERRU-ja, gjatë procesit të analizës teknike ekonomike sipas metodologjisë së llogaritjes së tarifave të përcaktuar në vendimin nr. 42, ka kërkuar nga UK Gjirokastër informacion shtesë si dhe verifikim të </w:t>
      </w:r>
      <w:r w:rsidRPr="00EE4E37">
        <w:rPr>
          <w:spacing w:val="-4"/>
          <w:szCs w:val="24"/>
          <w:lang w:val="sq-AL"/>
        </w:rPr>
        <w:lastRenderedPageBreak/>
        <w:t>saktësisë së të dhënave, të cilat janë vënë në dispozicion.</w:t>
      </w:r>
    </w:p>
    <w:p w:rsidR="00B36C39" w:rsidRPr="00EE4E37" w:rsidRDefault="00B36C39" w:rsidP="00B36C39">
      <w:pPr>
        <w:pStyle w:val="Paragrafi"/>
        <w:rPr>
          <w:spacing w:val="-4"/>
          <w:szCs w:val="24"/>
          <w:lang w:val="sq-AL"/>
        </w:rPr>
      </w:pPr>
      <w:r w:rsidRPr="00EE4E37">
        <w:rPr>
          <w:spacing w:val="-4"/>
          <w:szCs w:val="24"/>
          <w:lang w:val="sq-AL"/>
        </w:rPr>
        <w:t>7. ERRU-ja, në vlerësimin e tarifave të propozuara dhe treguesve të performancës, si dhe në analizën ekonomike financiare, ka marrë në konsideratë përmbushjen nga ana e UK Gjirokastër, të:</w:t>
      </w:r>
    </w:p>
    <w:p w:rsidR="00B36C39" w:rsidRPr="00EE4E37" w:rsidRDefault="00B36C39" w:rsidP="00B36C39">
      <w:pPr>
        <w:pStyle w:val="Paragrafi"/>
        <w:rPr>
          <w:spacing w:val="-4"/>
          <w:szCs w:val="24"/>
          <w:lang w:val="sq-AL"/>
        </w:rPr>
      </w:pPr>
      <w:r w:rsidRPr="00EE4E37">
        <w:rPr>
          <w:spacing w:val="-4"/>
          <w:szCs w:val="24"/>
          <w:lang w:val="sq-AL"/>
        </w:rPr>
        <w:t>a) kërkesave të ligjit nr. 8102, si dhe të akteve nënligjore dhe kuadrit rregullator në fuqi, në mënyrë të veçantë mbrojtjen e konsumatorëve nga çmimet monopol;</w:t>
      </w:r>
    </w:p>
    <w:p w:rsidR="00B36C39" w:rsidRPr="00EE4E37" w:rsidRDefault="00B36C39" w:rsidP="00B36C39">
      <w:pPr>
        <w:pStyle w:val="Paragrafi"/>
        <w:rPr>
          <w:spacing w:val="-4"/>
          <w:szCs w:val="24"/>
          <w:lang w:val="sq-AL"/>
        </w:rPr>
      </w:pPr>
      <w:r w:rsidRPr="00EE4E37">
        <w:rPr>
          <w:spacing w:val="-4"/>
          <w:szCs w:val="24"/>
          <w:lang w:val="sq-AL"/>
        </w:rPr>
        <w:t xml:space="preserve">b) kërkesave të ligjit nr. 9121, datë 28.7.2003 </w:t>
      </w:r>
      <w:r>
        <w:rPr>
          <w:spacing w:val="-4"/>
          <w:szCs w:val="24"/>
          <w:lang w:val="sq-AL"/>
        </w:rPr>
        <w:t>“</w:t>
      </w:r>
      <w:r w:rsidRPr="00EE4E37">
        <w:rPr>
          <w:spacing w:val="-4"/>
          <w:szCs w:val="24"/>
          <w:lang w:val="sq-AL"/>
        </w:rPr>
        <w:t>Për mbrojtjen e konkurrencës</w:t>
      </w:r>
      <w:r>
        <w:rPr>
          <w:spacing w:val="-4"/>
          <w:szCs w:val="24"/>
          <w:lang w:val="sq-AL"/>
        </w:rPr>
        <w:t>”</w:t>
      </w:r>
      <w:r w:rsidRPr="00EE4E37">
        <w:rPr>
          <w:spacing w:val="-4"/>
          <w:szCs w:val="24"/>
          <w:lang w:val="sq-AL"/>
        </w:rPr>
        <w:t>, të ndryshuar (ligji nr. 9121), për moslejimin e abuzimit me pozitën dominuese në treg të ndërmarrjes nëpërmjet vendosjes, në mënyrë të drejtpërdrejtë ose të tërthortë, të çmimeve të padrejta të shitjes apo e kushteve të tjera të tregtimit;</w:t>
      </w:r>
    </w:p>
    <w:p w:rsidR="00B36C39" w:rsidRPr="00EE4E37" w:rsidRDefault="00B36C39" w:rsidP="00B36C39">
      <w:pPr>
        <w:pStyle w:val="Paragrafi"/>
        <w:rPr>
          <w:spacing w:val="-4"/>
          <w:szCs w:val="24"/>
          <w:lang w:val="sq-AL"/>
        </w:rPr>
      </w:pPr>
      <w:r w:rsidRPr="00EE4E37">
        <w:rPr>
          <w:spacing w:val="-4"/>
          <w:szCs w:val="24"/>
          <w:lang w:val="sq-AL"/>
        </w:rPr>
        <w:t xml:space="preserve">c) kërkesave të ligjit nr. 9902, datë 17.4.2008 </w:t>
      </w:r>
      <w:r>
        <w:rPr>
          <w:spacing w:val="-4"/>
          <w:szCs w:val="24"/>
          <w:lang w:val="sq-AL"/>
        </w:rPr>
        <w:t>“</w:t>
      </w:r>
      <w:r w:rsidRPr="00EE4E37">
        <w:rPr>
          <w:spacing w:val="-4"/>
          <w:szCs w:val="24"/>
          <w:lang w:val="sq-AL"/>
        </w:rPr>
        <w:t>Për mbrojtjen e konsumatorëve</w:t>
      </w:r>
      <w:r>
        <w:rPr>
          <w:spacing w:val="-4"/>
          <w:szCs w:val="24"/>
          <w:lang w:val="sq-AL"/>
        </w:rPr>
        <w:t>”</w:t>
      </w:r>
      <w:r w:rsidRPr="00EE4E37">
        <w:rPr>
          <w:spacing w:val="-4"/>
          <w:szCs w:val="24"/>
          <w:lang w:val="sq-AL"/>
        </w:rPr>
        <w:t>, të ndryshuar (ligji nr. 9902);</w:t>
      </w:r>
    </w:p>
    <w:p w:rsidR="00B36C39" w:rsidRPr="00EE4E37" w:rsidRDefault="00B36C39" w:rsidP="00B36C39">
      <w:pPr>
        <w:pStyle w:val="Paragrafi"/>
        <w:rPr>
          <w:spacing w:val="-4"/>
          <w:szCs w:val="24"/>
          <w:lang w:val="sq-AL"/>
        </w:rPr>
      </w:pPr>
      <w:r w:rsidRPr="00EE4E37">
        <w:rPr>
          <w:spacing w:val="-4"/>
          <w:szCs w:val="24"/>
          <w:lang w:val="sq-AL"/>
        </w:rPr>
        <w:t>d) mbulimit të kostove totale, pasi aktualisht shoqëria bën pjesë në grupin e shoqërive që mund të arrijnë të mbulojnë këto kosto dhe të sigurojnë qëndrueshmëri financiare;</w:t>
      </w:r>
    </w:p>
    <w:p w:rsidR="00B36C39" w:rsidRPr="00EE4E37" w:rsidRDefault="00B36C39" w:rsidP="00B36C39">
      <w:pPr>
        <w:pStyle w:val="Paragrafi"/>
        <w:rPr>
          <w:spacing w:val="-4"/>
          <w:szCs w:val="24"/>
          <w:lang w:val="sq-AL"/>
        </w:rPr>
      </w:pPr>
      <w:bookmarkStart w:id="4" w:name="_Hlk526152854"/>
      <w:r w:rsidRPr="00EE4E37">
        <w:rPr>
          <w:spacing w:val="-4"/>
          <w:szCs w:val="24"/>
          <w:lang w:val="sq-AL"/>
        </w:rPr>
        <w:t>e) tarifat e propozuara nga operatori të jenë në përputhje të plotë me parimin ligjor rregullator mbi përballueshmërinë, sipas të cilit tarifat duhet të jenë të përballueshme;</w:t>
      </w:r>
    </w:p>
    <w:p w:rsidR="00B36C39" w:rsidRPr="00EE4E37" w:rsidRDefault="00B36C39" w:rsidP="00B36C39">
      <w:pPr>
        <w:pStyle w:val="Paragrafi"/>
        <w:rPr>
          <w:spacing w:val="-4"/>
          <w:szCs w:val="24"/>
          <w:lang w:val="sq-AL"/>
        </w:rPr>
      </w:pPr>
      <w:r w:rsidRPr="00EE4E37">
        <w:rPr>
          <w:spacing w:val="-4"/>
          <w:szCs w:val="24"/>
          <w:lang w:val="sq-AL"/>
        </w:rPr>
        <w:t>f) tarifat e propozuara nuk sjellin për pasojë efekte negative në mjedis nga veprimtaria e operatorit në zonën e shërbimit që ato do të aplikohen;</w:t>
      </w:r>
    </w:p>
    <w:p w:rsidR="00B36C39" w:rsidRPr="00EE4E37" w:rsidRDefault="00B36C39" w:rsidP="00B36C39">
      <w:pPr>
        <w:pStyle w:val="Paragrafi"/>
        <w:rPr>
          <w:spacing w:val="-4"/>
          <w:szCs w:val="24"/>
          <w:lang w:val="sq-AL"/>
        </w:rPr>
      </w:pPr>
      <w:r w:rsidRPr="00EE4E37">
        <w:rPr>
          <w:spacing w:val="-4"/>
          <w:szCs w:val="24"/>
          <w:lang w:val="sq-AL"/>
        </w:rPr>
        <w:t xml:space="preserve">g) nivelin tarifor të propozuar nga shoqëria ERRU e gjen të justifikuar përsa u përket tarifave volumetrike për dy shërbimet ujë dhe kanalizime; </w:t>
      </w:r>
    </w:p>
    <w:p w:rsidR="00B36C39" w:rsidRPr="00EE4E37" w:rsidRDefault="00B36C39" w:rsidP="00B36C39">
      <w:pPr>
        <w:pStyle w:val="Paragrafi"/>
        <w:rPr>
          <w:spacing w:val="-4"/>
          <w:szCs w:val="24"/>
          <w:lang w:val="sq-AL"/>
        </w:rPr>
      </w:pPr>
      <w:r w:rsidRPr="00EE4E37">
        <w:rPr>
          <w:spacing w:val="-4"/>
          <w:szCs w:val="24"/>
          <w:lang w:val="sq-AL"/>
        </w:rPr>
        <w:t xml:space="preserve">h) rritjen e nivelit të tarifës fikse të propozuar nga operatori, ERRU-ja e gjen të pajustifikuar, pasi tarifat e miratuara në nivelin sipas germës </w:t>
      </w:r>
      <w:r>
        <w:rPr>
          <w:spacing w:val="-4"/>
          <w:szCs w:val="24"/>
          <w:lang w:val="sq-AL"/>
        </w:rPr>
        <w:t>“</w:t>
      </w:r>
      <w:r w:rsidRPr="00EE4E37">
        <w:rPr>
          <w:spacing w:val="-4"/>
          <w:szCs w:val="24"/>
          <w:lang w:val="sq-AL"/>
        </w:rPr>
        <w:t>g</w:t>
      </w:r>
      <w:r>
        <w:rPr>
          <w:spacing w:val="-4"/>
          <w:szCs w:val="24"/>
          <w:lang w:val="sq-AL"/>
        </w:rPr>
        <w:t>”</w:t>
      </w:r>
      <w:r w:rsidRPr="00EE4E37">
        <w:rPr>
          <w:spacing w:val="-4"/>
          <w:szCs w:val="24"/>
          <w:lang w:val="sq-AL"/>
        </w:rPr>
        <w:t xml:space="preserve"> të mësipërme, si dhe realizimi i objektivave mbi treguesit e performancës të vendosur nga ERRU-ja për vitin 2019, përmbushin nevojat e qëndrueshmërisë financiare të operatorit.</w:t>
      </w:r>
    </w:p>
    <w:bookmarkEnd w:id="4"/>
    <w:p w:rsidR="00B36C39" w:rsidRPr="00EE4E37" w:rsidRDefault="00B36C39" w:rsidP="00B36C39">
      <w:pPr>
        <w:pStyle w:val="Paragrafi"/>
        <w:rPr>
          <w:spacing w:val="-4"/>
          <w:szCs w:val="24"/>
          <w:lang w:val="sq-AL"/>
        </w:rPr>
      </w:pPr>
      <w:r w:rsidRPr="00EE4E37">
        <w:rPr>
          <w:spacing w:val="-4"/>
          <w:szCs w:val="24"/>
          <w:lang w:val="sq-AL"/>
        </w:rPr>
        <w:t>8. ERRU-ja, në bazë të analizës, verifikimeve dhe komunikimit me stafin drejtues të shoqërisë i konsideron të arritshëm objektivat mbi treguesit e performancës dhe për këtë rekomandon:</w:t>
      </w:r>
    </w:p>
    <w:p w:rsidR="00B36C39" w:rsidRPr="00EE4E37" w:rsidRDefault="00B36C39" w:rsidP="00B36C39">
      <w:pPr>
        <w:pStyle w:val="Paragrafi"/>
        <w:rPr>
          <w:spacing w:val="-4"/>
          <w:szCs w:val="24"/>
          <w:lang w:val="sq-AL"/>
        </w:rPr>
      </w:pPr>
      <w:r w:rsidRPr="00EE4E37">
        <w:rPr>
          <w:spacing w:val="-4"/>
          <w:szCs w:val="24"/>
          <w:lang w:val="sq-AL"/>
        </w:rPr>
        <w:t>- Shoqëria ka një plan biznesi (2017</w:t>
      </w:r>
      <w:r>
        <w:rPr>
          <w:spacing w:val="-4"/>
          <w:szCs w:val="24"/>
          <w:lang w:val="sq-AL"/>
        </w:rPr>
        <w:t>–</w:t>
      </w:r>
      <w:r w:rsidRPr="00EE4E37">
        <w:rPr>
          <w:spacing w:val="-4"/>
          <w:szCs w:val="24"/>
          <w:lang w:val="sq-AL"/>
        </w:rPr>
        <w:t>2021), por që nuk është i përditësuar me ndryshimet e ndodhura në kuadër të riorganizimit të shoqërisë sipas vendimit të Këshillit të Ministrave nr. 63, datë 27.1.2016. Detyrimisht brenda vitit 2019, shoqëria duhet të hartojë planin e biznesit, i cili t’u përgjigjet nevojave reale dhe në përputhje me formatin e AKUM-it.</w:t>
      </w:r>
    </w:p>
    <w:p w:rsidR="00B36C39" w:rsidRPr="00EE4E37" w:rsidRDefault="00B36C39" w:rsidP="00B36C39">
      <w:pPr>
        <w:pStyle w:val="Paragrafi"/>
        <w:rPr>
          <w:spacing w:val="-4"/>
          <w:szCs w:val="24"/>
          <w:lang w:val="sq-AL"/>
        </w:rPr>
      </w:pPr>
      <w:r w:rsidRPr="00EE4E37">
        <w:rPr>
          <w:spacing w:val="-4"/>
          <w:szCs w:val="24"/>
          <w:lang w:val="sq-AL"/>
        </w:rPr>
        <w:t xml:space="preserve">- Të pajiset me matës të mëdhenj në të gjitha pikat e prodhimit të ujit, në rezervuarë dhe sidomos në konsumatorë pasi niveli i sasisë së ujit që humbet nga pasaktësia në matje në konsumator i kalon vlerat e lejuara. </w:t>
      </w:r>
    </w:p>
    <w:p w:rsidR="00B36C39" w:rsidRPr="00EE4E37" w:rsidRDefault="00B36C39" w:rsidP="00B36C39">
      <w:pPr>
        <w:pStyle w:val="Paragrafi"/>
        <w:rPr>
          <w:spacing w:val="-4"/>
          <w:szCs w:val="24"/>
          <w:lang w:val="sq-AL"/>
        </w:rPr>
      </w:pPr>
      <w:r w:rsidRPr="00EE4E37">
        <w:rPr>
          <w:spacing w:val="-4"/>
          <w:szCs w:val="24"/>
          <w:lang w:val="sq-AL"/>
        </w:rPr>
        <w:t xml:space="preserve">- Të hartohet bilanci i ujit sa më real, për të gjithë nënzërat e tij, duke mbajtur evidenca mbi sasinë ditore të ujit që prodhohet, mbi defektet e ndodhura gjatë vitit në sistemin e furnizimit, si dhe të përllogaritet sasia e humbur e ujit para riparimit dhe gjatë riparimit për secilin defekt të ndodhur. </w:t>
      </w:r>
    </w:p>
    <w:p w:rsidR="00B36C39" w:rsidRPr="00EE4E37" w:rsidRDefault="00B36C39" w:rsidP="00B36C39">
      <w:pPr>
        <w:pStyle w:val="Paragrafi"/>
        <w:rPr>
          <w:spacing w:val="-4"/>
          <w:szCs w:val="24"/>
          <w:lang w:val="sq-AL"/>
        </w:rPr>
      </w:pPr>
      <w:r w:rsidRPr="00EE4E37">
        <w:rPr>
          <w:spacing w:val="-4"/>
          <w:szCs w:val="24"/>
          <w:lang w:val="sq-AL"/>
        </w:rPr>
        <w:t>- Të saktësojë në bilancin e ujit pasaktësitë në matje te konsumatorë (jo më shumë se 5%). si dhe nënfaturimi për konsumatorët me dhe pa matje nga gabimi njerëzor, abuzimi i faturuesve, si</w:t>
      </w:r>
      <w:r>
        <w:rPr>
          <w:spacing w:val="-4"/>
          <w:szCs w:val="24"/>
          <w:lang w:val="sq-AL"/>
        </w:rPr>
        <w:t xml:space="preserve"> dhe abuzimet në ujitje, sidomo</w:t>
      </w:r>
      <w:r w:rsidRPr="00EE4E37">
        <w:rPr>
          <w:spacing w:val="-4"/>
          <w:szCs w:val="24"/>
          <w:lang w:val="sq-AL"/>
        </w:rPr>
        <w:t xml:space="preserve"> në zonat rurale.</w:t>
      </w:r>
    </w:p>
    <w:p w:rsidR="00B36C39" w:rsidRPr="00EE4E37" w:rsidRDefault="00B36C39" w:rsidP="00B36C39">
      <w:pPr>
        <w:pStyle w:val="Paragrafi"/>
        <w:rPr>
          <w:spacing w:val="-4"/>
          <w:szCs w:val="24"/>
          <w:lang w:val="sq-AL"/>
        </w:rPr>
      </w:pPr>
      <w:r w:rsidRPr="00EE4E37">
        <w:rPr>
          <w:spacing w:val="-4"/>
          <w:szCs w:val="24"/>
          <w:lang w:val="sq-AL"/>
        </w:rPr>
        <w:t>- Të rritet niveli i matjes, duke shfrytëzuar edhe rritjen e mbulimit të kostove të amortizimit. Niveli i matjes të jetë 100% për zonën urbane dhe të bëhen përpjekje për instalimin e matësve edhe për zonën rurale.</w:t>
      </w:r>
    </w:p>
    <w:p w:rsidR="00B36C39" w:rsidRPr="00EE4E37" w:rsidRDefault="00B36C39" w:rsidP="00B36C39">
      <w:pPr>
        <w:pStyle w:val="Paragrafi"/>
        <w:rPr>
          <w:spacing w:val="-4"/>
          <w:szCs w:val="24"/>
          <w:lang w:val="sq-AL"/>
        </w:rPr>
      </w:pPr>
      <w:r w:rsidRPr="00EE4E37">
        <w:rPr>
          <w:spacing w:val="-4"/>
          <w:szCs w:val="24"/>
          <w:lang w:val="sq-AL"/>
        </w:rPr>
        <w:t>-Shoqëria duhet të mbajë në kontabilitet të ndara me qendra kostoje shërbimet që ofron ujë dhe kanalizime, me qëllim që dhe tarifat të orientohen drejt kostove.</w:t>
      </w:r>
    </w:p>
    <w:p w:rsidR="00B36C39" w:rsidRPr="00EE4E37" w:rsidRDefault="00B36C39" w:rsidP="00B36C39">
      <w:pPr>
        <w:pStyle w:val="Paragrafi"/>
        <w:rPr>
          <w:spacing w:val="-4"/>
          <w:szCs w:val="24"/>
          <w:lang w:val="sq-AL"/>
        </w:rPr>
      </w:pPr>
      <w:r w:rsidRPr="00EE4E37">
        <w:rPr>
          <w:spacing w:val="-4"/>
          <w:szCs w:val="24"/>
          <w:lang w:val="sq-AL"/>
        </w:rPr>
        <w:t>-Shoqëria duhet të evidentojë klientët problematikë, si dhe hartojë një plan masash të detajuar për vjeljen e debive të prapambetura, gjithashtu, duhet të ndjekë hapat ligjorë për debitorët pa shpresë kthimi.</w:t>
      </w:r>
    </w:p>
    <w:p w:rsidR="00B36C39" w:rsidRPr="00EE4E37" w:rsidRDefault="00B36C39" w:rsidP="00B36C39">
      <w:pPr>
        <w:pStyle w:val="Paragrafi"/>
        <w:rPr>
          <w:spacing w:val="-4"/>
          <w:szCs w:val="24"/>
          <w:lang w:val="sq-AL"/>
        </w:rPr>
      </w:pPr>
      <w:r w:rsidRPr="00EE4E37">
        <w:rPr>
          <w:spacing w:val="-4"/>
          <w:szCs w:val="24"/>
          <w:lang w:val="sq-AL"/>
        </w:rPr>
        <w:t xml:space="preserve">Komisioni Kombëtar Rregullator, pasi vlerësoi tarifat e propozuara nga operatori mbi bazën e metodologjisë, të miratuar me vendimin nr. 42, datë 9.12.2015 </w:t>
      </w:r>
      <w:r>
        <w:rPr>
          <w:spacing w:val="-4"/>
          <w:szCs w:val="24"/>
          <w:lang w:val="sq-AL"/>
        </w:rPr>
        <w:t>“</w:t>
      </w:r>
      <w:r w:rsidRPr="00EE4E37">
        <w:rPr>
          <w:spacing w:val="-4"/>
          <w:szCs w:val="24"/>
          <w:lang w:val="sq-AL"/>
        </w:rPr>
        <w:t>Për miratimin e metodologjisë për vendosjen e tarifave për shërbimin e furnizimit me ujë dhe largim e përpunimin e ujërave të ndotura</w:t>
      </w:r>
      <w:r>
        <w:rPr>
          <w:spacing w:val="-4"/>
          <w:szCs w:val="24"/>
          <w:lang w:val="sq-AL"/>
        </w:rPr>
        <w:t>”</w:t>
      </w:r>
      <w:r w:rsidRPr="00EE4E37">
        <w:rPr>
          <w:spacing w:val="-4"/>
          <w:szCs w:val="24"/>
          <w:lang w:val="sq-AL"/>
        </w:rPr>
        <w:t xml:space="preserve">, si </w:t>
      </w:r>
      <w:r w:rsidRPr="00EE4E37">
        <w:rPr>
          <w:spacing w:val="-4"/>
          <w:szCs w:val="24"/>
          <w:lang w:val="sq-AL"/>
        </w:rPr>
        <w:lastRenderedPageBreak/>
        <w:t xml:space="preserve">dhe akteve të tjera rregullatore që lidhen me të, arrin në konkluzionin se tarifat e propozuara sipas analizës së kryer janë të bazuara dhe në zbatimtim të kritereve ligjore referuese lidhur me kostot e pranueshme dhe të justifikuara, si dhe përballueshmërinë, nuk janë të padrejta dhe të vendosura në kushtet e abuzimit me pozitën dominuese në treg të operatorit ekonomik në kuptim të ligjit nr. 9121, </w:t>
      </w:r>
      <w:r>
        <w:rPr>
          <w:spacing w:val="-4"/>
          <w:szCs w:val="24"/>
          <w:lang w:val="sq-AL"/>
        </w:rPr>
        <w:t>“</w:t>
      </w:r>
      <w:r w:rsidRPr="00EE4E37">
        <w:rPr>
          <w:spacing w:val="-4"/>
          <w:szCs w:val="24"/>
          <w:lang w:val="sq-AL"/>
        </w:rPr>
        <w:t>Për mbrojtjen e konkurrencës</w:t>
      </w:r>
      <w:r>
        <w:rPr>
          <w:spacing w:val="-4"/>
          <w:szCs w:val="24"/>
          <w:lang w:val="sq-AL"/>
        </w:rPr>
        <w:t>”</w:t>
      </w:r>
      <w:r w:rsidRPr="00EE4E37">
        <w:rPr>
          <w:spacing w:val="-4"/>
          <w:szCs w:val="24"/>
          <w:lang w:val="sq-AL"/>
        </w:rPr>
        <w:t xml:space="preserve">, të ndryshuar, dhe ligjin nr. 9902 </w:t>
      </w:r>
      <w:r>
        <w:rPr>
          <w:spacing w:val="-4"/>
          <w:szCs w:val="24"/>
          <w:lang w:val="sq-AL"/>
        </w:rPr>
        <w:t>“</w:t>
      </w:r>
      <w:r w:rsidRPr="00EE4E37">
        <w:rPr>
          <w:spacing w:val="-4"/>
          <w:szCs w:val="24"/>
          <w:lang w:val="sq-AL"/>
        </w:rPr>
        <w:t>Për mbrojtjen e konsumatorëve</w:t>
      </w:r>
      <w:r>
        <w:rPr>
          <w:spacing w:val="-4"/>
          <w:szCs w:val="24"/>
          <w:lang w:val="sq-AL"/>
        </w:rPr>
        <w:t>”</w:t>
      </w:r>
      <w:r w:rsidRPr="00EE4E37">
        <w:rPr>
          <w:spacing w:val="-4"/>
          <w:szCs w:val="24"/>
          <w:lang w:val="sq-AL"/>
        </w:rPr>
        <w:t xml:space="preserve">, për gjithë sa më sipër, në zbatim të neneve 13, 14 dhe 22, të ligjit  nr. 8102, datë 28.3.1996 </w:t>
      </w:r>
      <w:r>
        <w:rPr>
          <w:spacing w:val="-4"/>
          <w:szCs w:val="24"/>
          <w:lang w:val="sq-AL"/>
        </w:rPr>
        <w:t>“</w:t>
      </w:r>
      <w:r w:rsidRPr="00EE4E37">
        <w:rPr>
          <w:spacing w:val="-4"/>
          <w:szCs w:val="24"/>
          <w:lang w:val="sq-AL"/>
        </w:rPr>
        <w:t>Për kuadrin rregullator të sektorit të furnizimit me ujë dhe largimit e përpunimit të ujërave të ndotura</w:t>
      </w:r>
      <w:r>
        <w:rPr>
          <w:spacing w:val="-4"/>
          <w:szCs w:val="24"/>
          <w:lang w:val="sq-AL"/>
        </w:rPr>
        <w:t>”</w:t>
      </w:r>
      <w:r w:rsidRPr="00EE4E37">
        <w:rPr>
          <w:spacing w:val="-4"/>
          <w:szCs w:val="24"/>
          <w:lang w:val="sq-AL"/>
        </w:rPr>
        <w:t>,  të ndryshuar</w:t>
      </w:r>
    </w:p>
    <w:p w:rsidR="00B36C39" w:rsidRPr="00EE4E37" w:rsidRDefault="00B36C39" w:rsidP="00B36C39">
      <w:pPr>
        <w:spacing w:after="0" w:line="240" w:lineRule="auto"/>
        <w:rPr>
          <w:rFonts w:ascii="Garamond" w:hAnsi="Garamond"/>
          <w:b/>
          <w:spacing w:val="-4"/>
          <w:sz w:val="24"/>
          <w:szCs w:val="24"/>
          <w:lang w:val="sq-AL"/>
        </w:rPr>
      </w:pPr>
    </w:p>
    <w:p w:rsidR="00B36C39" w:rsidRPr="00EE4E37" w:rsidRDefault="00B36C39" w:rsidP="00B36C39">
      <w:pPr>
        <w:pStyle w:val="NeniNr"/>
        <w:ind w:firstLine="284"/>
        <w:rPr>
          <w:spacing w:val="-4"/>
          <w:szCs w:val="24"/>
          <w:lang w:val="sq-AL"/>
        </w:rPr>
      </w:pPr>
      <w:r w:rsidRPr="00EE4E37">
        <w:rPr>
          <w:spacing w:val="-4"/>
          <w:szCs w:val="24"/>
          <w:lang w:val="sq-AL"/>
        </w:rPr>
        <w:t>VENDOSI:</w:t>
      </w:r>
    </w:p>
    <w:p w:rsidR="00B36C39" w:rsidRPr="00EE4E37" w:rsidRDefault="00B36C39" w:rsidP="00B36C39">
      <w:pPr>
        <w:spacing w:after="0" w:line="240" w:lineRule="auto"/>
        <w:contextualSpacing/>
        <w:jc w:val="left"/>
        <w:rPr>
          <w:rFonts w:ascii="Garamond" w:hAnsi="Garamond"/>
          <w:b/>
          <w:spacing w:val="-4"/>
          <w:sz w:val="24"/>
          <w:szCs w:val="24"/>
          <w:lang w:val="sq-AL"/>
        </w:rPr>
      </w:pPr>
    </w:p>
    <w:p w:rsidR="00B36C39" w:rsidRPr="00EE4E37" w:rsidRDefault="00B36C39" w:rsidP="00B36C39">
      <w:pPr>
        <w:pStyle w:val="Paragrafi"/>
        <w:rPr>
          <w:szCs w:val="24"/>
          <w:lang w:val="sq-AL"/>
        </w:rPr>
      </w:pPr>
      <w:r w:rsidRPr="00EE4E37">
        <w:rPr>
          <w:spacing w:val="-4"/>
          <w:szCs w:val="24"/>
          <w:lang w:val="sq-AL"/>
        </w:rPr>
        <w:t>1. Miratimin e tarifave për shoqërinë Ujësjellës-Kanalizime Gjirokastër, si më poshtë</w:t>
      </w:r>
      <w:r w:rsidRPr="00EE4E37">
        <w:rPr>
          <w:szCs w:val="24"/>
          <w:lang w:val="sq-AL"/>
        </w:rPr>
        <w:t>:</w:t>
      </w:r>
    </w:p>
    <w:p w:rsidR="00B36C39" w:rsidRPr="00EE4E37" w:rsidRDefault="00B36C39" w:rsidP="00B36C39">
      <w:pPr>
        <w:pStyle w:val="Paragrafi"/>
        <w:rPr>
          <w:szCs w:val="24"/>
          <w:lang w:val="sq-AL"/>
        </w:rPr>
      </w:pPr>
    </w:p>
    <w:tbl>
      <w:tblPr>
        <w:tblW w:w="9000" w:type="dxa"/>
        <w:tblInd w:w="355" w:type="dxa"/>
        <w:tblLayout w:type="fixed"/>
        <w:tblLook w:val="04A0" w:firstRow="1" w:lastRow="0" w:firstColumn="1" w:lastColumn="0" w:noHBand="0" w:noVBand="1"/>
      </w:tblPr>
      <w:tblGrid>
        <w:gridCol w:w="4410"/>
        <w:gridCol w:w="2318"/>
        <w:gridCol w:w="2272"/>
      </w:tblGrid>
      <w:tr w:rsidR="00B36C39" w:rsidRPr="00EE4E37" w:rsidTr="003C2DC0">
        <w:trPr>
          <w:trHeight w:val="1022"/>
        </w:trPr>
        <w:tc>
          <w:tcPr>
            <w:tcW w:w="4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B36C39" w:rsidRPr="00EE4E37" w:rsidRDefault="00B36C39" w:rsidP="003C2DC0">
            <w:pPr>
              <w:spacing w:after="0" w:line="240" w:lineRule="auto"/>
              <w:jc w:val="center"/>
              <w:rPr>
                <w:rFonts w:ascii="Garamond" w:hAnsi="Garamond"/>
                <w:b/>
                <w:bCs/>
                <w:sz w:val="20"/>
                <w:szCs w:val="20"/>
                <w:lang w:val="sq-AL"/>
              </w:rPr>
            </w:pPr>
            <w:r w:rsidRPr="00EE4E37">
              <w:rPr>
                <w:rFonts w:ascii="Garamond" w:hAnsi="Garamond"/>
                <w:b/>
                <w:bCs/>
                <w:sz w:val="20"/>
                <w:szCs w:val="20"/>
                <w:lang w:val="sq-AL"/>
              </w:rPr>
              <w:t>Kategoritë e klientëve</w:t>
            </w:r>
          </w:p>
        </w:tc>
        <w:tc>
          <w:tcPr>
            <w:tcW w:w="231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36C39" w:rsidRPr="00EE4E37" w:rsidRDefault="00B36C39" w:rsidP="003C2DC0">
            <w:pPr>
              <w:spacing w:after="0" w:line="240" w:lineRule="auto"/>
              <w:jc w:val="center"/>
              <w:rPr>
                <w:rFonts w:ascii="Garamond" w:hAnsi="Garamond"/>
                <w:b/>
                <w:bCs/>
                <w:sz w:val="20"/>
                <w:szCs w:val="20"/>
                <w:lang w:val="sq-AL"/>
              </w:rPr>
            </w:pPr>
            <w:r w:rsidRPr="00EE4E37">
              <w:rPr>
                <w:rFonts w:ascii="Garamond" w:hAnsi="Garamond"/>
                <w:b/>
                <w:bCs/>
                <w:sz w:val="20"/>
                <w:szCs w:val="20"/>
                <w:lang w:val="sq-AL"/>
              </w:rPr>
              <w:t>Zona urbane</w:t>
            </w:r>
          </w:p>
          <w:p w:rsidR="00B36C39" w:rsidRPr="00EE4E37" w:rsidRDefault="00B36C39" w:rsidP="003C2DC0">
            <w:pPr>
              <w:spacing w:after="0" w:line="240" w:lineRule="auto"/>
              <w:jc w:val="center"/>
              <w:rPr>
                <w:rFonts w:ascii="Garamond" w:hAnsi="Garamond"/>
                <w:b/>
                <w:bCs/>
                <w:sz w:val="20"/>
                <w:szCs w:val="20"/>
                <w:lang w:val="sq-AL"/>
              </w:rPr>
            </w:pPr>
            <w:r w:rsidRPr="00EE4E37">
              <w:rPr>
                <w:rFonts w:ascii="Garamond" w:hAnsi="Garamond"/>
                <w:bCs/>
                <w:sz w:val="20"/>
                <w:szCs w:val="20"/>
                <w:lang w:val="sq-AL"/>
              </w:rPr>
              <w:t>Gjirokastër</w:t>
            </w:r>
          </w:p>
        </w:tc>
        <w:tc>
          <w:tcPr>
            <w:tcW w:w="2272"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B36C39" w:rsidRPr="00EE4E37" w:rsidRDefault="00B36C39" w:rsidP="003C2DC0">
            <w:pPr>
              <w:spacing w:after="0" w:line="240" w:lineRule="auto"/>
              <w:jc w:val="center"/>
              <w:rPr>
                <w:rFonts w:ascii="Garamond" w:hAnsi="Garamond"/>
                <w:b/>
                <w:bCs/>
                <w:sz w:val="20"/>
                <w:szCs w:val="20"/>
                <w:lang w:val="sq-AL"/>
              </w:rPr>
            </w:pPr>
            <w:r w:rsidRPr="00EE4E37">
              <w:rPr>
                <w:rFonts w:ascii="Garamond" w:hAnsi="Garamond"/>
                <w:b/>
                <w:bCs/>
                <w:sz w:val="20"/>
                <w:szCs w:val="20"/>
                <w:lang w:val="sq-AL"/>
              </w:rPr>
              <w:t>Zona rurale</w:t>
            </w:r>
          </w:p>
          <w:p w:rsidR="00B36C39" w:rsidRPr="00EE4E37" w:rsidRDefault="00B36C39" w:rsidP="003C2DC0">
            <w:pPr>
              <w:autoSpaceDE w:val="0"/>
              <w:autoSpaceDN w:val="0"/>
              <w:adjustRightInd w:val="0"/>
              <w:spacing w:after="0" w:line="240" w:lineRule="auto"/>
              <w:jc w:val="center"/>
              <w:rPr>
                <w:rFonts w:ascii="Garamond" w:hAnsi="Garamond"/>
                <w:b/>
                <w:bCs/>
                <w:sz w:val="20"/>
                <w:szCs w:val="20"/>
                <w:lang w:val="sq-AL"/>
              </w:rPr>
            </w:pPr>
            <w:r w:rsidRPr="00EE4E37">
              <w:rPr>
                <w:rFonts w:ascii="Garamond" w:hAnsi="Garamond"/>
                <w:sz w:val="20"/>
                <w:szCs w:val="20"/>
                <w:lang w:val="sq-AL"/>
              </w:rPr>
              <w:t>Cepo, Picar, Lazarat, Lunxhëri, Antigone, Odrie</w:t>
            </w:r>
          </w:p>
        </w:tc>
      </w:tr>
      <w:tr w:rsidR="00B36C39" w:rsidRPr="00EE4E37" w:rsidTr="003C2DC0">
        <w:trPr>
          <w:cantSplit/>
          <w:trHeight w:hRule="exact" w:val="302"/>
        </w:trPr>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rPr>
                <w:rFonts w:ascii="Garamond" w:hAnsi="Garamond"/>
                <w:b/>
                <w:bCs/>
                <w:sz w:val="20"/>
                <w:szCs w:val="20"/>
                <w:lang w:val="sq-AL"/>
              </w:rPr>
            </w:pPr>
            <w:r w:rsidRPr="00EE4E37">
              <w:rPr>
                <w:rFonts w:ascii="Garamond" w:hAnsi="Garamond"/>
                <w:b/>
                <w:bCs/>
                <w:sz w:val="20"/>
                <w:szCs w:val="20"/>
                <w:lang w:val="sq-AL"/>
              </w:rPr>
              <w:t>A. Tarifë volumetrike për furnizimin me ujë</w:t>
            </w:r>
          </w:p>
        </w:tc>
        <w:tc>
          <w:tcPr>
            <w:tcW w:w="2318" w:type="dxa"/>
            <w:tcBorders>
              <w:top w:val="single" w:sz="4" w:space="0" w:color="auto"/>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2272" w:type="dxa"/>
            <w:tcBorders>
              <w:top w:val="single" w:sz="4" w:space="0" w:color="auto"/>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r>
      <w:tr w:rsidR="00B36C39" w:rsidRPr="00EE4E37" w:rsidTr="003C2DC0">
        <w:trPr>
          <w:cantSplit/>
          <w:trHeight w:hRule="exact" w:val="261"/>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1. Klientë familjarë</w:t>
            </w:r>
          </w:p>
        </w:tc>
        <w:tc>
          <w:tcPr>
            <w:tcW w:w="2318"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46</w:t>
            </w:r>
          </w:p>
        </w:tc>
        <w:tc>
          <w:tcPr>
            <w:tcW w:w="2272"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25</w:t>
            </w:r>
          </w:p>
        </w:tc>
      </w:tr>
      <w:tr w:rsidR="00B36C39" w:rsidRPr="00EE4E37" w:rsidTr="003C2DC0">
        <w:trPr>
          <w:cantSplit/>
          <w:trHeight w:hRule="exact" w:val="302"/>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2. Klientë publikë</w:t>
            </w:r>
          </w:p>
        </w:tc>
        <w:tc>
          <w:tcPr>
            <w:tcW w:w="2318"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133</w:t>
            </w:r>
          </w:p>
        </w:tc>
        <w:tc>
          <w:tcPr>
            <w:tcW w:w="2272"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60</w:t>
            </w:r>
          </w:p>
        </w:tc>
      </w:tr>
      <w:tr w:rsidR="00B36C39" w:rsidRPr="00EE4E37" w:rsidTr="003C2DC0">
        <w:trPr>
          <w:cantSplit/>
          <w:trHeight w:hRule="exact" w:val="302"/>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3. Klientë privatë</w:t>
            </w:r>
          </w:p>
        </w:tc>
        <w:tc>
          <w:tcPr>
            <w:tcW w:w="2318"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138</w:t>
            </w:r>
          </w:p>
        </w:tc>
        <w:tc>
          <w:tcPr>
            <w:tcW w:w="2272"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60</w:t>
            </w:r>
          </w:p>
        </w:tc>
      </w:tr>
      <w:tr w:rsidR="00B36C39" w:rsidRPr="00EE4E37" w:rsidTr="003C2DC0">
        <w:trPr>
          <w:cantSplit/>
          <w:trHeight w:hRule="exact" w:val="302"/>
        </w:trPr>
        <w:tc>
          <w:tcPr>
            <w:tcW w:w="4410"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B36C39" w:rsidRPr="00EE4E37" w:rsidRDefault="00B36C39" w:rsidP="003C2DC0">
            <w:pPr>
              <w:spacing w:after="0" w:line="240" w:lineRule="auto"/>
              <w:rPr>
                <w:rFonts w:ascii="Garamond" w:hAnsi="Garamond"/>
                <w:b/>
                <w:bCs/>
                <w:sz w:val="20"/>
                <w:szCs w:val="20"/>
                <w:lang w:val="sq-AL"/>
              </w:rPr>
            </w:pPr>
            <w:r w:rsidRPr="00EE4E37">
              <w:rPr>
                <w:rFonts w:ascii="Garamond" w:hAnsi="Garamond"/>
                <w:b/>
                <w:bCs/>
                <w:sz w:val="20"/>
                <w:szCs w:val="20"/>
                <w:lang w:val="sq-AL"/>
              </w:rPr>
              <w:t>B. Tarifë volumetrike për KUN-in</w:t>
            </w:r>
          </w:p>
        </w:tc>
        <w:tc>
          <w:tcPr>
            <w:tcW w:w="2318"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2272"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jc w:val="center"/>
              <w:rPr>
                <w:rFonts w:ascii="Garamond" w:hAnsi="Garamond"/>
                <w:b/>
                <w:bCs/>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r>
      <w:tr w:rsidR="00B36C39" w:rsidRPr="00EE4E37" w:rsidTr="003C2DC0">
        <w:trPr>
          <w:cantSplit/>
          <w:trHeight w:hRule="exact" w:val="302"/>
        </w:trPr>
        <w:tc>
          <w:tcPr>
            <w:tcW w:w="4410"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1. Klientë familjarë</w:t>
            </w:r>
          </w:p>
        </w:tc>
        <w:tc>
          <w:tcPr>
            <w:tcW w:w="2318" w:type="dxa"/>
            <w:tcBorders>
              <w:top w:val="nil"/>
              <w:left w:val="nil"/>
              <w:bottom w:val="single" w:sz="4" w:space="0" w:color="auto"/>
              <w:right w:val="single" w:sz="4" w:space="0" w:color="auto"/>
            </w:tcBorders>
            <w:shd w:val="clear" w:color="auto" w:fill="FFFFFF" w:themeFill="background1"/>
            <w:noWrap/>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11</w:t>
            </w:r>
          </w:p>
        </w:tc>
        <w:tc>
          <w:tcPr>
            <w:tcW w:w="2272"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bCs/>
                <w:sz w:val="20"/>
                <w:szCs w:val="20"/>
                <w:lang w:val="sq-AL"/>
              </w:rPr>
              <w:t>-</w:t>
            </w:r>
          </w:p>
        </w:tc>
      </w:tr>
      <w:tr w:rsidR="00B36C39" w:rsidRPr="00EE4E37" w:rsidTr="003C2DC0">
        <w:trPr>
          <w:cantSplit/>
          <w:trHeight w:hRule="exact" w:val="302"/>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2. Klientë publikë</w:t>
            </w:r>
          </w:p>
        </w:tc>
        <w:tc>
          <w:tcPr>
            <w:tcW w:w="2318"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18</w:t>
            </w:r>
          </w:p>
        </w:tc>
        <w:tc>
          <w:tcPr>
            <w:tcW w:w="2272"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bCs/>
                <w:sz w:val="20"/>
                <w:szCs w:val="20"/>
                <w:lang w:val="sq-AL"/>
              </w:rPr>
              <w:t>-</w:t>
            </w:r>
          </w:p>
        </w:tc>
      </w:tr>
      <w:tr w:rsidR="00B36C39" w:rsidRPr="00EE4E37" w:rsidTr="003C2DC0">
        <w:trPr>
          <w:cantSplit/>
          <w:trHeight w:hRule="exact" w:val="302"/>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3. Klientë privatë</w:t>
            </w:r>
          </w:p>
        </w:tc>
        <w:tc>
          <w:tcPr>
            <w:tcW w:w="2318"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18</w:t>
            </w:r>
          </w:p>
        </w:tc>
        <w:tc>
          <w:tcPr>
            <w:tcW w:w="2272"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bCs/>
                <w:sz w:val="20"/>
                <w:szCs w:val="20"/>
                <w:lang w:val="sq-AL"/>
              </w:rPr>
              <w:t>-</w:t>
            </w:r>
          </w:p>
        </w:tc>
      </w:tr>
      <w:tr w:rsidR="00B36C39" w:rsidRPr="00EE4E37" w:rsidTr="003C2DC0">
        <w:trPr>
          <w:cantSplit/>
          <w:trHeight w:hRule="exact" w:val="302"/>
        </w:trPr>
        <w:tc>
          <w:tcPr>
            <w:tcW w:w="44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36C39" w:rsidRPr="00EE4E37" w:rsidRDefault="00B36C39" w:rsidP="003C2DC0">
            <w:pPr>
              <w:spacing w:after="0" w:line="240" w:lineRule="auto"/>
              <w:rPr>
                <w:rFonts w:ascii="Garamond" w:hAnsi="Garamond"/>
                <w:b/>
                <w:bCs/>
                <w:sz w:val="20"/>
                <w:szCs w:val="20"/>
                <w:lang w:val="sq-AL"/>
              </w:rPr>
            </w:pPr>
            <w:r w:rsidRPr="00EE4E37">
              <w:rPr>
                <w:rFonts w:ascii="Garamond" w:hAnsi="Garamond"/>
                <w:b/>
                <w:bCs/>
                <w:sz w:val="20"/>
                <w:szCs w:val="20"/>
                <w:lang w:val="sq-AL"/>
              </w:rPr>
              <w:t>C. Tarifë fikse</w:t>
            </w:r>
          </w:p>
        </w:tc>
        <w:tc>
          <w:tcPr>
            <w:tcW w:w="2318" w:type="dxa"/>
            <w:tcBorders>
              <w:top w:val="nil"/>
              <w:left w:val="nil"/>
              <w:bottom w:val="single" w:sz="4" w:space="0" w:color="auto"/>
              <w:right w:val="single" w:sz="4" w:space="0" w:color="auto"/>
            </w:tcBorders>
            <w:shd w:val="clear" w:color="auto" w:fill="FFFFFF" w:themeFill="background1"/>
            <w:noWrap/>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b/>
                <w:bCs/>
                <w:sz w:val="20"/>
                <w:szCs w:val="20"/>
                <w:lang w:val="sq-AL"/>
              </w:rPr>
              <w:t>Lekë/muaj/lidhje</w:t>
            </w:r>
          </w:p>
        </w:tc>
        <w:tc>
          <w:tcPr>
            <w:tcW w:w="2272" w:type="dxa"/>
            <w:tcBorders>
              <w:top w:val="nil"/>
              <w:left w:val="nil"/>
              <w:bottom w:val="single" w:sz="4" w:space="0" w:color="auto"/>
              <w:right w:val="single" w:sz="4" w:space="0" w:color="auto"/>
            </w:tcBorders>
            <w:shd w:val="clear" w:color="auto" w:fill="FFFFFF" w:themeFill="background1"/>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b/>
                <w:bCs/>
                <w:sz w:val="20"/>
                <w:szCs w:val="20"/>
                <w:lang w:val="sq-AL"/>
              </w:rPr>
              <w:t>Lekë/muaj/lidhje</w:t>
            </w:r>
          </w:p>
        </w:tc>
      </w:tr>
      <w:tr w:rsidR="00B36C39" w:rsidRPr="00EE4E37" w:rsidTr="003C2DC0">
        <w:trPr>
          <w:cantSplit/>
          <w:trHeight w:hRule="exact" w:val="302"/>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1. Klientë familjarë</w:t>
            </w:r>
          </w:p>
        </w:tc>
        <w:tc>
          <w:tcPr>
            <w:tcW w:w="2318"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100</w:t>
            </w:r>
          </w:p>
        </w:tc>
        <w:tc>
          <w:tcPr>
            <w:tcW w:w="2272"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80</w:t>
            </w:r>
          </w:p>
        </w:tc>
      </w:tr>
      <w:tr w:rsidR="00B36C39" w:rsidRPr="00EE4E37" w:rsidTr="003C2DC0">
        <w:trPr>
          <w:cantSplit/>
          <w:trHeight w:hRule="exact" w:val="302"/>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2. Klientë publikë</w:t>
            </w:r>
          </w:p>
        </w:tc>
        <w:tc>
          <w:tcPr>
            <w:tcW w:w="2318"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100</w:t>
            </w:r>
          </w:p>
        </w:tc>
        <w:tc>
          <w:tcPr>
            <w:tcW w:w="2272"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w:t>
            </w:r>
          </w:p>
        </w:tc>
      </w:tr>
      <w:tr w:rsidR="00B36C39" w:rsidRPr="00EE4E37" w:rsidTr="003C2DC0">
        <w:trPr>
          <w:cantSplit/>
          <w:trHeight w:hRule="exact" w:val="302"/>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3. Klientë privatë</w:t>
            </w:r>
          </w:p>
        </w:tc>
        <w:tc>
          <w:tcPr>
            <w:tcW w:w="2318" w:type="dxa"/>
            <w:tcBorders>
              <w:top w:val="nil"/>
              <w:left w:val="nil"/>
              <w:bottom w:val="single" w:sz="4" w:space="0" w:color="auto"/>
              <w:right w:val="single" w:sz="4" w:space="0" w:color="auto"/>
            </w:tcBorders>
            <w:shd w:val="clear" w:color="auto" w:fill="auto"/>
            <w:noWrap/>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100</w:t>
            </w:r>
          </w:p>
        </w:tc>
        <w:tc>
          <w:tcPr>
            <w:tcW w:w="2272" w:type="dxa"/>
            <w:tcBorders>
              <w:top w:val="nil"/>
              <w:left w:val="nil"/>
              <w:bottom w:val="single" w:sz="4" w:space="0" w:color="auto"/>
              <w:right w:val="single" w:sz="4" w:space="0" w:color="auto"/>
            </w:tcBorders>
            <w:shd w:val="clear" w:color="auto" w:fill="auto"/>
            <w:vAlign w:val="center"/>
            <w:hideMark/>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w:t>
            </w:r>
          </w:p>
        </w:tc>
      </w:tr>
    </w:tbl>
    <w:p w:rsidR="00B36C39" w:rsidRPr="00EE4E37" w:rsidRDefault="00B36C39" w:rsidP="00B36C39">
      <w:pPr>
        <w:pStyle w:val="Paragrafi"/>
        <w:rPr>
          <w:szCs w:val="24"/>
          <w:lang w:val="sq-AL"/>
        </w:rPr>
      </w:pPr>
      <w:r w:rsidRPr="00EE4E37">
        <w:rPr>
          <w:szCs w:val="24"/>
          <w:lang w:val="sq-AL"/>
        </w:rPr>
        <w:t xml:space="preserve">2. </w:t>
      </w:r>
      <w:bookmarkStart w:id="5" w:name="_Hlk1397188"/>
      <w:r w:rsidRPr="00EE4E37">
        <w:rPr>
          <w:szCs w:val="24"/>
          <w:lang w:val="sq-AL"/>
        </w:rPr>
        <w:t>Objektivat e treguesve kryesorë të performancës të vitit 2019 për shoqërinë UK Gjirokastër të jenë:</w:t>
      </w:r>
    </w:p>
    <w:bookmarkEnd w:id="5"/>
    <w:p w:rsidR="00B36C39" w:rsidRPr="00EE4E37" w:rsidRDefault="00B36C39" w:rsidP="00B36C39">
      <w:pPr>
        <w:spacing w:after="0" w:line="240" w:lineRule="auto"/>
        <w:rPr>
          <w:rFonts w:ascii="Garamond" w:hAnsi="Garamond"/>
          <w:sz w:val="18"/>
          <w:szCs w:val="24"/>
          <w:lang w:val="sq-AL"/>
        </w:rPr>
      </w:pPr>
    </w:p>
    <w:tbl>
      <w:tblPr>
        <w:tblW w:w="5000" w:type="pct"/>
        <w:jc w:val="center"/>
        <w:tblLook w:val="04A0" w:firstRow="1" w:lastRow="0" w:firstColumn="1" w:lastColumn="0" w:noHBand="0" w:noVBand="1"/>
      </w:tblPr>
      <w:tblGrid>
        <w:gridCol w:w="4650"/>
        <w:gridCol w:w="2026"/>
        <w:gridCol w:w="2900"/>
      </w:tblGrid>
      <w:tr w:rsidR="00B36C39" w:rsidRPr="00EE4E37" w:rsidTr="003C2DC0">
        <w:trPr>
          <w:trHeight w:hRule="exact" w:val="1103"/>
          <w:jc w:val="center"/>
        </w:trPr>
        <w:tc>
          <w:tcPr>
            <w:tcW w:w="2428"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B36C39" w:rsidRPr="00EE4E37" w:rsidRDefault="00B36C39" w:rsidP="003C2DC0">
            <w:pPr>
              <w:spacing w:after="0" w:line="240" w:lineRule="auto"/>
              <w:jc w:val="center"/>
              <w:rPr>
                <w:rFonts w:ascii="Garamond" w:hAnsi="Garamond"/>
                <w:b/>
                <w:sz w:val="20"/>
                <w:szCs w:val="20"/>
                <w:lang w:val="sq-AL"/>
              </w:rPr>
            </w:pPr>
            <w:r w:rsidRPr="00EE4E37">
              <w:rPr>
                <w:rFonts w:ascii="Garamond" w:hAnsi="Garamond"/>
                <w:b/>
                <w:color w:val="000000" w:themeColor="text1"/>
                <w:sz w:val="20"/>
                <w:szCs w:val="20"/>
                <w:lang w:val="sq-AL"/>
              </w:rPr>
              <w:t>Treguesit kryesorë të performancës</w:t>
            </w:r>
          </w:p>
        </w:tc>
        <w:tc>
          <w:tcPr>
            <w:tcW w:w="1058" w:type="pct"/>
            <w:tcBorders>
              <w:top w:val="single" w:sz="4" w:space="0" w:color="auto"/>
              <w:left w:val="nil"/>
              <w:bottom w:val="single" w:sz="4" w:space="0" w:color="auto"/>
              <w:right w:val="single" w:sz="4" w:space="0" w:color="auto"/>
            </w:tcBorders>
            <w:shd w:val="clear" w:color="auto" w:fill="D9D9D9"/>
            <w:vAlign w:val="center"/>
          </w:tcPr>
          <w:p w:rsidR="00B36C39" w:rsidRPr="00EE4E37" w:rsidRDefault="00B36C39" w:rsidP="003C2DC0">
            <w:pPr>
              <w:spacing w:after="0" w:line="240" w:lineRule="auto"/>
              <w:jc w:val="center"/>
              <w:rPr>
                <w:rFonts w:ascii="Garamond" w:hAnsi="Garamond"/>
                <w:b/>
                <w:sz w:val="20"/>
                <w:szCs w:val="20"/>
                <w:lang w:val="sq-AL"/>
              </w:rPr>
            </w:pPr>
            <w:r w:rsidRPr="00EE4E37">
              <w:rPr>
                <w:rFonts w:ascii="Garamond" w:hAnsi="Garamond"/>
                <w:b/>
                <w:sz w:val="20"/>
                <w:szCs w:val="20"/>
                <w:lang w:val="sq-AL"/>
              </w:rPr>
              <w:t>Njësia e matjes</w:t>
            </w:r>
          </w:p>
        </w:tc>
        <w:tc>
          <w:tcPr>
            <w:tcW w:w="1514" w:type="pct"/>
            <w:tcBorders>
              <w:top w:val="single" w:sz="4" w:space="0" w:color="auto"/>
              <w:left w:val="nil"/>
              <w:bottom w:val="single" w:sz="4" w:space="0" w:color="auto"/>
              <w:right w:val="single" w:sz="4" w:space="0" w:color="auto"/>
            </w:tcBorders>
            <w:shd w:val="clear" w:color="auto" w:fill="D9D9D9"/>
            <w:vAlign w:val="center"/>
          </w:tcPr>
          <w:p w:rsidR="00B36C39" w:rsidRPr="00EE4E37" w:rsidRDefault="00B36C39" w:rsidP="003C2DC0">
            <w:pPr>
              <w:spacing w:after="0" w:line="240" w:lineRule="auto"/>
              <w:jc w:val="center"/>
              <w:rPr>
                <w:rFonts w:ascii="Garamond" w:hAnsi="Garamond"/>
                <w:b/>
                <w:sz w:val="20"/>
                <w:szCs w:val="20"/>
                <w:lang w:val="sq-AL"/>
              </w:rPr>
            </w:pPr>
            <w:r w:rsidRPr="00EE4E37">
              <w:rPr>
                <w:rFonts w:ascii="Garamond" w:hAnsi="Garamond"/>
                <w:b/>
                <w:sz w:val="20"/>
                <w:szCs w:val="20"/>
                <w:lang w:val="sq-AL"/>
              </w:rPr>
              <w:t>Niveli i objektivit të përcaktuar nga ERRU-ja</w:t>
            </w:r>
          </w:p>
        </w:tc>
      </w:tr>
      <w:tr w:rsidR="00B36C39" w:rsidRPr="00EE4E37" w:rsidTr="003C2DC0">
        <w:trPr>
          <w:trHeight w:hRule="exact" w:val="302"/>
          <w:jc w:val="center"/>
        </w:trPr>
        <w:tc>
          <w:tcPr>
            <w:tcW w:w="2428" w:type="pct"/>
            <w:tcBorders>
              <w:top w:val="nil"/>
              <w:left w:val="single" w:sz="4" w:space="0" w:color="auto"/>
              <w:bottom w:val="single" w:sz="4" w:space="0" w:color="auto"/>
              <w:right w:val="single" w:sz="4" w:space="0" w:color="auto"/>
            </w:tcBorders>
            <w:shd w:val="clear" w:color="000000" w:fill="FFFFFF"/>
            <w:noWrap/>
            <w:vAlign w:val="center"/>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Mbulimi i kostove O&amp;M</w:t>
            </w:r>
          </w:p>
        </w:tc>
        <w:tc>
          <w:tcPr>
            <w:tcW w:w="1058" w:type="pct"/>
            <w:tcBorders>
              <w:top w:val="single" w:sz="4" w:space="0" w:color="auto"/>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w:t>
            </w:r>
          </w:p>
        </w:tc>
        <w:tc>
          <w:tcPr>
            <w:tcW w:w="1514" w:type="pct"/>
            <w:tcBorders>
              <w:top w:val="nil"/>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110</w:t>
            </w:r>
          </w:p>
        </w:tc>
      </w:tr>
      <w:tr w:rsidR="00B36C39" w:rsidRPr="00EE4E37" w:rsidTr="003C2DC0">
        <w:trPr>
          <w:trHeight w:hRule="exact" w:val="302"/>
          <w:jc w:val="center"/>
        </w:trPr>
        <w:tc>
          <w:tcPr>
            <w:tcW w:w="2428" w:type="pct"/>
            <w:tcBorders>
              <w:top w:val="nil"/>
              <w:left w:val="single" w:sz="4" w:space="0" w:color="auto"/>
              <w:bottom w:val="single" w:sz="4" w:space="0" w:color="auto"/>
              <w:right w:val="single" w:sz="4" w:space="0" w:color="auto"/>
            </w:tcBorders>
            <w:shd w:val="clear" w:color="000000" w:fill="FFFFFF"/>
            <w:noWrap/>
            <w:vAlign w:val="center"/>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Mbulimi i kostove totale</w:t>
            </w:r>
          </w:p>
        </w:tc>
        <w:tc>
          <w:tcPr>
            <w:tcW w:w="1058" w:type="pct"/>
            <w:tcBorders>
              <w:top w:val="single" w:sz="4" w:space="0" w:color="auto"/>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w:t>
            </w:r>
          </w:p>
        </w:tc>
        <w:tc>
          <w:tcPr>
            <w:tcW w:w="1514" w:type="pct"/>
            <w:tcBorders>
              <w:top w:val="nil"/>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94</w:t>
            </w:r>
          </w:p>
        </w:tc>
      </w:tr>
      <w:tr w:rsidR="00B36C39" w:rsidRPr="00EE4E37" w:rsidTr="003C2DC0">
        <w:trPr>
          <w:trHeight w:hRule="exact" w:val="302"/>
          <w:jc w:val="center"/>
        </w:trPr>
        <w:tc>
          <w:tcPr>
            <w:tcW w:w="2428" w:type="pct"/>
            <w:tcBorders>
              <w:top w:val="nil"/>
              <w:left w:val="single" w:sz="4" w:space="0" w:color="auto"/>
              <w:bottom w:val="single" w:sz="4" w:space="0" w:color="auto"/>
              <w:right w:val="single" w:sz="4" w:space="0" w:color="auto"/>
            </w:tcBorders>
            <w:shd w:val="clear" w:color="000000" w:fill="FFFFFF"/>
            <w:noWrap/>
            <w:vAlign w:val="center"/>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Uji pa të ardhura</w:t>
            </w:r>
          </w:p>
        </w:tc>
        <w:tc>
          <w:tcPr>
            <w:tcW w:w="1058" w:type="pct"/>
            <w:tcBorders>
              <w:top w:val="single" w:sz="4" w:space="0" w:color="auto"/>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w:t>
            </w:r>
          </w:p>
        </w:tc>
        <w:tc>
          <w:tcPr>
            <w:tcW w:w="1514" w:type="pct"/>
            <w:tcBorders>
              <w:top w:val="nil"/>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49.3</w:t>
            </w:r>
          </w:p>
        </w:tc>
      </w:tr>
      <w:tr w:rsidR="00B36C39" w:rsidRPr="00EE4E37" w:rsidTr="003C2DC0">
        <w:trPr>
          <w:trHeight w:hRule="exact" w:val="302"/>
          <w:jc w:val="center"/>
        </w:trPr>
        <w:tc>
          <w:tcPr>
            <w:tcW w:w="2428" w:type="pct"/>
            <w:tcBorders>
              <w:top w:val="nil"/>
              <w:left w:val="single" w:sz="4" w:space="0" w:color="auto"/>
              <w:bottom w:val="single" w:sz="4" w:space="0" w:color="auto"/>
              <w:right w:val="single" w:sz="4" w:space="0" w:color="auto"/>
            </w:tcBorders>
            <w:shd w:val="clear" w:color="000000" w:fill="FFFFFF"/>
            <w:noWrap/>
            <w:vAlign w:val="center"/>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Mbulimi me ujë</w:t>
            </w:r>
          </w:p>
        </w:tc>
        <w:tc>
          <w:tcPr>
            <w:tcW w:w="1058" w:type="pct"/>
            <w:tcBorders>
              <w:top w:val="single" w:sz="4" w:space="0" w:color="auto"/>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w:t>
            </w:r>
          </w:p>
        </w:tc>
        <w:tc>
          <w:tcPr>
            <w:tcW w:w="1514" w:type="pct"/>
            <w:tcBorders>
              <w:top w:val="nil"/>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100</w:t>
            </w:r>
          </w:p>
        </w:tc>
      </w:tr>
      <w:tr w:rsidR="00B36C39" w:rsidRPr="00EE4E37" w:rsidTr="003C2DC0">
        <w:trPr>
          <w:trHeight w:hRule="exact" w:val="302"/>
          <w:jc w:val="center"/>
        </w:trPr>
        <w:tc>
          <w:tcPr>
            <w:tcW w:w="2428" w:type="pct"/>
            <w:tcBorders>
              <w:top w:val="nil"/>
              <w:left w:val="single" w:sz="4" w:space="0" w:color="auto"/>
              <w:bottom w:val="single" w:sz="4" w:space="0" w:color="auto"/>
              <w:right w:val="single" w:sz="4" w:space="0" w:color="auto"/>
            </w:tcBorders>
            <w:shd w:val="clear" w:color="000000" w:fill="FFFFFF"/>
            <w:noWrap/>
            <w:vAlign w:val="center"/>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Mbulimi me KUN-in</w:t>
            </w:r>
          </w:p>
        </w:tc>
        <w:tc>
          <w:tcPr>
            <w:tcW w:w="1058" w:type="pct"/>
            <w:tcBorders>
              <w:top w:val="single" w:sz="4" w:space="0" w:color="auto"/>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w:t>
            </w:r>
          </w:p>
        </w:tc>
        <w:tc>
          <w:tcPr>
            <w:tcW w:w="1514" w:type="pct"/>
            <w:tcBorders>
              <w:top w:val="nil"/>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40</w:t>
            </w:r>
          </w:p>
        </w:tc>
      </w:tr>
      <w:tr w:rsidR="00B36C39" w:rsidRPr="00EE4E37" w:rsidTr="003C2DC0">
        <w:trPr>
          <w:trHeight w:hRule="exact" w:val="302"/>
          <w:jc w:val="center"/>
        </w:trPr>
        <w:tc>
          <w:tcPr>
            <w:tcW w:w="2428" w:type="pct"/>
            <w:tcBorders>
              <w:top w:val="nil"/>
              <w:left w:val="single" w:sz="4" w:space="0" w:color="auto"/>
              <w:bottom w:val="single" w:sz="4" w:space="0" w:color="auto"/>
              <w:right w:val="single" w:sz="4" w:space="0" w:color="auto"/>
            </w:tcBorders>
            <w:shd w:val="clear" w:color="000000" w:fill="FFFFFF"/>
            <w:noWrap/>
            <w:vAlign w:val="center"/>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Niveli i matjes</w:t>
            </w:r>
          </w:p>
        </w:tc>
        <w:tc>
          <w:tcPr>
            <w:tcW w:w="1058" w:type="pct"/>
            <w:tcBorders>
              <w:top w:val="single" w:sz="4" w:space="0" w:color="auto"/>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w:t>
            </w:r>
          </w:p>
        </w:tc>
        <w:tc>
          <w:tcPr>
            <w:tcW w:w="1514" w:type="pct"/>
            <w:tcBorders>
              <w:top w:val="nil"/>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78</w:t>
            </w:r>
          </w:p>
        </w:tc>
      </w:tr>
      <w:tr w:rsidR="00B36C39" w:rsidRPr="00EE4E37" w:rsidTr="003C2DC0">
        <w:trPr>
          <w:trHeight w:hRule="exact" w:val="302"/>
          <w:jc w:val="center"/>
        </w:trPr>
        <w:tc>
          <w:tcPr>
            <w:tcW w:w="2428" w:type="pct"/>
            <w:tcBorders>
              <w:top w:val="nil"/>
              <w:left w:val="single" w:sz="4" w:space="0" w:color="auto"/>
              <w:bottom w:val="single" w:sz="4" w:space="0" w:color="auto"/>
              <w:right w:val="single" w:sz="4" w:space="0" w:color="auto"/>
            </w:tcBorders>
            <w:shd w:val="clear" w:color="000000" w:fill="FFFFFF"/>
            <w:noWrap/>
            <w:vAlign w:val="center"/>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Norma e arkëtimit</w:t>
            </w:r>
          </w:p>
        </w:tc>
        <w:tc>
          <w:tcPr>
            <w:tcW w:w="1058" w:type="pct"/>
            <w:tcBorders>
              <w:top w:val="single" w:sz="4" w:space="0" w:color="auto"/>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w:t>
            </w:r>
          </w:p>
        </w:tc>
        <w:tc>
          <w:tcPr>
            <w:tcW w:w="1514" w:type="pct"/>
            <w:tcBorders>
              <w:top w:val="nil"/>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87.7</w:t>
            </w:r>
          </w:p>
        </w:tc>
      </w:tr>
      <w:tr w:rsidR="00B36C39" w:rsidRPr="00EE4E37" w:rsidTr="003C2DC0">
        <w:trPr>
          <w:trHeight w:hRule="exact" w:val="302"/>
          <w:jc w:val="center"/>
        </w:trPr>
        <w:tc>
          <w:tcPr>
            <w:tcW w:w="2428" w:type="pct"/>
            <w:tcBorders>
              <w:top w:val="nil"/>
              <w:left w:val="single" w:sz="4" w:space="0" w:color="auto"/>
              <w:bottom w:val="single" w:sz="4" w:space="0" w:color="auto"/>
              <w:right w:val="single" w:sz="4" w:space="0" w:color="auto"/>
            </w:tcBorders>
            <w:shd w:val="clear" w:color="000000" w:fill="FFFFFF"/>
            <w:noWrap/>
            <w:vAlign w:val="center"/>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 xml:space="preserve">Vazhdimësia e furnizimit me ujë </w:t>
            </w:r>
          </w:p>
        </w:tc>
        <w:tc>
          <w:tcPr>
            <w:tcW w:w="1058" w:type="pct"/>
            <w:tcBorders>
              <w:top w:val="single" w:sz="4" w:space="0" w:color="auto"/>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orë/ditë</w:t>
            </w:r>
          </w:p>
        </w:tc>
        <w:tc>
          <w:tcPr>
            <w:tcW w:w="1514" w:type="pct"/>
            <w:tcBorders>
              <w:top w:val="nil"/>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13</w:t>
            </w:r>
          </w:p>
        </w:tc>
      </w:tr>
      <w:tr w:rsidR="00B36C39" w:rsidRPr="00EE4E37" w:rsidTr="003C2DC0">
        <w:trPr>
          <w:trHeight w:hRule="exact" w:val="296"/>
          <w:jc w:val="center"/>
        </w:trPr>
        <w:tc>
          <w:tcPr>
            <w:tcW w:w="2428" w:type="pct"/>
            <w:tcBorders>
              <w:top w:val="nil"/>
              <w:left w:val="single" w:sz="4" w:space="0" w:color="auto"/>
              <w:bottom w:val="single" w:sz="4" w:space="0" w:color="auto"/>
              <w:right w:val="single" w:sz="4" w:space="0" w:color="auto"/>
            </w:tcBorders>
            <w:shd w:val="clear" w:color="000000" w:fill="FFFFFF"/>
            <w:noWrap/>
            <w:vAlign w:val="center"/>
            <w:hideMark/>
          </w:tcPr>
          <w:p w:rsidR="00B36C39" w:rsidRPr="00EE4E37" w:rsidRDefault="00B36C39" w:rsidP="003C2DC0">
            <w:pPr>
              <w:spacing w:after="0" w:line="240" w:lineRule="auto"/>
              <w:rPr>
                <w:rFonts w:ascii="Garamond" w:hAnsi="Garamond"/>
                <w:sz w:val="20"/>
                <w:szCs w:val="20"/>
                <w:lang w:val="sq-AL"/>
              </w:rPr>
            </w:pPr>
            <w:r w:rsidRPr="00EE4E37">
              <w:rPr>
                <w:rFonts w:ascii="Garamond" w:hAnsi="Garamond"/>
                <w:sz w:val="20"/>
                <w:szCs w:val="20"/>
                <w:lang w:val="sq-AL"/>
              </w:rPr>
              <w:t>Eficienca e stafit</w:t>
            </w:r>
          </w:p>
        </w:tc>
        <w:tc>
          <w:tcPr>
            <w:tcW w:w="1058" w:type="pct"/>
            <w:tcBorders>
              <w:top w:val="single" w:sz="4" w:space="0" w:color="auto"/>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ind w:firstLine="0"/>
              <w:jc w:val="center"/>
              <w:rPr>
                <w:rFonts w:ascii="Garamond" w:hAnsi="Garamond"/>
                <w:sz w:val="20"/>
                <w:szCs w:val="20"/>
                <w:lang w:val="sq-AL"/>
              </w:rPr>
            </w:pPr>
            <w:r w:rsidRPr="00EE4E37">
              <w:rPr>
                <w:rFonts w:ascii="Garamond" w:hAnsi="Garamond"/>
                <w:sz w:val="20"/>
                <w:szCs w:val="20"/>
                <w:lang w:val="sq-AL"/>
              </w:rPr>
              <w:t>staf/1000/ lidhje UK</w:t>
            </w:r>
          </w:p>
        </w:tc>
        <w:tc>
          <w:tcPr>
            <w:tcW w:w="1514" w:type="pct"/>
            <w:tcBorders>
              <w:top w:val="nil"/>
              <w:left w:val="nil"/>
              <w:bottom w:val="single" w:sz="4" w:space="0" w:color="auto"/>
              <w:right w:val="single" w:sz="4" w:space="0" w:color="auto"/>
            </w:tcBorders>
            <w:shd w:val="clear" w:color="000000" w:fill="FFFFFF"/>
            <w:vAlign w:val="center"/>
          </w:tcPr>
          <w:p w:rsidR="00B36C39" w:rsidRPr="00EE4E37" w:rsidRDefault="00B36C39" w:rsidP="003C2DC0">
            <w:pPr>
              <w:spacing w:after="0" w:line="240" w:lineRule="auto"/>
              <w:jc w:val="center"/>
              <w:rPr>
                <w:rFonts w:ascii="Garamond" w:hAnsi="Garamond"/>
                <w:sz w:val="20"/>
                <w:szCs w:val="20"/>
                <w:lang w:val="sq-AL"/>
              </w:rPr>
            </w:pPr>
            <w:r w:rsidRPr="00EE4E37">
              <w:rPr>
                <w:rFonts w:ascii="Garamond" w:hAnsi="Garamond"/>
                <w:sz w:val="20"/>
                <w:szCs w:val="20"/>
                <w:lang w:val="sq-AL"/>
              </w:rPr>
              <w:t>10.52</w:t>
            </w:r>
          </w:p>
        </w:tc>
      </w:tr>
    </w:tbl>
    <w:p w:rsidR="00B36C39" w:rsidRPr="00EE4E37" w:rsidRDefault="00B36C39" w:rsidP="00B36C39">
      <w:pPr>
        <w:pStyle w:val="Paragrafi"/>
        <w:rPr>
          <w:spacing w:val="-4"/>
          <w:szCs w:val="24"/>
          <w:lang w:val="sq-AL"/>
        </w:rPr>
      </w:pPr>
    </w:p>
    <w:p w:rsidR="00B36C39" w:rsidRPr="00EE4E37" w:rsidRDefault="00B36C39" w:rsidP="00B36C39">
      <w:pPr>
        <w:pStyle w:val="Paragrafi"/>
        <w:rPr>
          <w:spacing w:val="-4"/>
          <w:szCs w:val="24"/>
          <w:lang w:val="sq-AL"/>
        </w:rPr>
      </w:pPr>
      <w:r w:rsidRPr="00EE4E37">
        <w:rPr>
          <w:spacing w:val="-4"/>
          <w:szCs w:val="24"/>
          <w:lang w:val="sq-AL"/>
        </w:rPr>
        <w:lastRenderedPageBreak/>
        <w:t xml:space="preserve">3. Pagesa rregullatore vjetore për shoqërinë Ujësjellës-Kanalizime Gjirokastër sh.a. do të jetë 0.6% e të ardhurave vjetore të parashikuara nga aktiviteti. </w:t>
      </w:r>
    </w:p>
    <w:p w:rsidR="00B36C39" w:rsidRPr="00EE4E37" w:rsidRDefault="00B36C39" w:rsidP="00B36C39">
      <w:pPr>
        <w:pStyle w:val="Paragrafi"/>
        <w:rPr>
          <w:spacing w:val="-4"/>
          <w:szCs w:val="24"/>
          <w:lang w:val="sq-AL"/>
        </w:rPr>
      </w:pPr>
      <w:r w:rsidRPr="00EE4E37">
        <w:rPr>
          <w:spacing w:val="-4"/>
          <w:szCs w:val="24"/>
          <w:lang w:val="sq-AL"/>
        </w:rPr>
        <w:t>4. Lidhjen e kontratës me UK Gjirokastër brenda 30 ditëve nga data e njoftimit sipas pikës 4, të nenit 22, të ligjit nr. 8102.</w:t>
      </w:r>
    </w:p>
    <w:p w:rsidR="00B36C39" w:rsidRPr="00EE4E37" w:rsidRDefault="00B36C39" w:rsidP="00B36C39">
      <w:pPr>
        <w:pStyle w:val="Paragrafi"/>
        <w:rPr>
          <w:spacing w:val="-4"/>
          <w:szCs w:val="24"/>
          <w:lang w:val="sq-AL"/>
        </w:rPr>
      </w:pPr>
      <w:r w:rsidRPr="00EE4E37">
        <w:rPr>
          <w:spacing w:val="-4"/>
          <w:szCs w:val="24"/>
          <w:lang w:val="sq-AL"/>
        </w:rPr>
        <w:t xml:space="preserve">5. Vendimi nr. 12, datë 30.3.2017 </w:t>
      </w:r>
      <w:r>
        <w:rPr>
          <w:spacing w:val="-4"/>
          <w:szCs w:val="24"/>
          <w:lang w:val="sq-AL"/>
        </w:rPr>
        <w:t>“</w:t>
      </w:r>
      <w:r w:rsidRPr="00EE4E37">
        <w:rPr>
          <w:spacing w:val="-4"/>
          <w:szCs w:val="24"/>
          <w:lang w:val="sq-AL"/>
        </w:rPr>
        <w:t>Mbi tarifat e ujit për konsum publik për shoqërinë UK Gjirokastër Qytet sh.a.</w:t>
      </w:r>
      <w:r>
        <w:rPr>
          <w:spacing w:val="-4"/>
          <w:szCs w:val="24"/>
          <w:lang w:val="sq-AL"/>
        </w:rPr>
        <w:t>”</w:t>
      </w:r>
      <w:r w:rsidRPr="00EE4E37">
        <w:rPr>
          <w:spacing w:val="-4"/>
          <w:szCs w:val="24"/>
          <w:lang w:val="sq-AL"/>
        </w:rPr>
        <w:t xml:space="preserve">, vendimi nr. 31, datë 12.7.2010 </w:t>
      </w:r>
      <w:r>
        <w:rPr>
          <w:spacing w:val="-4"/>
          <w:szCs w:val="24"/>
          <w:lang w:val="sq-AL"/>
        </w:rPr>
        <w:t>“</w:t>
      </w:r>
      <w:r w:rsidRPr="00EE4E37">
        <w:rPr>
          <w:spacing w:val="-4"/>
          <w:szCs w:val="24"/>
          <w:lang w:val="sq-AL"/>
        </w:rPr>
        <w:t>Për miratimin e tarifave të ujit për konsum publik për sh.a. U Gjirokastër (fshat)</w:t>
      </w:r>
      <w:r>
        <w:rPr>
          <w:spacing w:val="-4"/>
          <w:szCs w:val="24"/>
          <w:lang w:val="sq-AL"/>
        </w:rPr>
        <w:t>”</w:t>
      </w:r>
      <w:r w:rsidRPr="00EE4E37">
        <w:rPr>
          <w:spacing w:val="-4"/>
          <w:szCs w:val="24"/>
          <w:lang w:val="sq-AL"/>
        </w:rPr>
        <w:t xml:space="preserve"> dhe vendimi nr. 45, datë 26.12.2011 </w:t>
      </w:r>
      <w:r>
        <w:rPr>
          <w:spacing w:val="-4"/>
          <w:szCs w:val="24"/>
          <w:lang w:val="sq-AL"/>
        </w:rPr>
        <w:t>“</w:t>
      </w:r>
      <w:r w:rsidRPr="00EE4E37">
        <w:rPr>
          <w:spacing w:val="-4"/>
          <w:szCs w:val="24"/>
          <w:lang w:val="sq-AL"/>
        </w:rPr>
        <w:t>Për miratimin e tarifës së shitjes së ujit me shumicë (Komunës Dropull i Poshtëm) për Sh.a. U Gjirokastër Fshat</w:t>
      </w:r>
      <w:r>
        <w:rPr>
          <w:spacing w:val="-4"/>
          <w:szCs w:val="24"/>
          <w:lang w:val="sq-AL"/>
        </w:rPr>
        <w:t>”</w:t>
      </w:r>
      <w:r w:rsidRPr="00EE4E37">
        <w:rPr>
          <w:spacing w:val="-4"/>
          <w:szCs w:val="24"/>
          <w:lang w:val="sq-AL"/>
        </w:rPr>
        <w:t>, shfuqizohen.</w:t>
      </w:r>
    </w:p>
    <w:p w:rsidR="00B36C39" w:rsidRPr="00EE4E37" w:rsidRDefault="00B36C39" w:rsidP="00B36C39">
      <w:pPr>
        <w:pStyle w:val="Paragrafi"/>
        <w:rPr>
          <w:spacing w:val="-4"/>
          <w:szCs w:val="24"/>
          <w:lang w:val="sq-AL"/>
        </w:rPr>
      </w:pPr>
      <w:r w:rsidRPr="00EE4E37">
        <w:rPr>
          <w:spacing w:val="-4"/>
          <w:szCs w:val="24"/>
          <w:lang w:val="sq-AL"/>
        </w:rPr>
        <w:t>6. Ky vendim hyn në fuqi më datë 1.4.2019 dhe është i vlefshëm deri në miratimin e tarifave të reja.</w:t>
      </w:r>
    </w:p>
    <w:p w:rsidR="00B36C39" w:rsidRPr="00EE4E37" w:rsidRDefault="00B36C39" w:rsidP="00B36C39">
      <w:pPr>
        <w:pStyle w:val="Paragrafi"/>
        <w:rPr>
          <w:spacing w:val="-4"/>
          <w:szCs w:val="24"/>
          <w:lang w:val="sq-AL"/>
        </w:rPr>
      </w:pPr>
      <w:r w:rsidRPr="00EE4E37">
        <w:rPr>
          <w:spacing w:val="-4"/>
          <w:szCs w:val="24"/>
          <w:lang w:val="sq-AL"/>
        </w:rPr>
        <w:t>Ky vendim botohet në Fletoren Zyrtare.</w:t>
      </w:r>
    </w:p>
    <w:p w:rsidR="00B36C39" w:rsidRPr="00EE4E37" w:rsidRDefault="00B36C39" w:rsidP="00B36C39">
      <w:pPr>
        <w:pStyle w:val="Paragrafi"/>
        <w:jc w:val="right"/>
        <w:rPr>
          <w:b/>
          <w:spacing w:val="-4"/>
          <w:szCs w:val="24"/>
          <w:lang w:val="sq-AL"/>
        </w:rPr>
      </w:pPr>
    </w:p>
    <w:p w:rsidR="00B36C39" w:rsidRPr="00EE4E37" w:rsidRDefault="00B36C39" w:rsidP="00B36C39">
      <w:pPr>
        <w:spacing w:after="0" w:line="240" w:lineRule="auto"/>
        <w:jc w:val="right"/>
        <w:rPr>
          <w:rFonts w:ascii="Garamond" w:hAnsi="Garamond"/>
          <w:spacing w:val="-4"/>
          <w:sz w:val="24"/>
          <w:szCs w:val="24"/>
          <w:lang w:val="sq-AL"/>
        </w:rPr>
      </w:pPr>
      <w:r w:rsidRPr="00EE4E37">
        <w:rPr>
          <w:rFonts w:ascii="Garamond" w:hAnsi="Garamond"/>
          <w:spacing w:val="-4"/>
          <w:sz w:val="24"/>
          <w:szCs w:val="24"/>
          <w:lang w:val="sq-AL"/>
        </w:rPr>
        <w:t>KRYETARI</w:t>
      </w:r>
    </w:p>
    <w:p w:rsidR="00FF11BA" w:rsidRDefault="00B36C39" w:rsidP="00B36C39">
      <w:pPr>
        <w:jc w:val="right"/>
      </w:pPr>
      <w:r w:rsidRPr="00EE4E37">
        <w:rPr>
          <w:rFonts w:ascii="Garamond" w:hAnsi="Garamond"/>
          <w:b/>
          <w:spacing w:val="-4"/>
          <w:sz w:val="24"/>
          <w:szCs w:val="24"/>
          <w:lang w:val="sq-AL"/>
        </w:rPr>
        <w:t>Ndriçim Shani</w:t>
      </w:r>
    </w:p>
    <w:sectPr w:rsidR="00FF11BA" w:rsidSect="00B36C39">
      <w:headerReference w:type="even"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C39" w:rsidRDefault="00B36C39" w:rsidP="00B36C39">
      <w:pPr>
        <w:spacing w:after="0" w:line="240" w:lineRule="auto"/>
      </w:pPr>
      <w:r>
        <w:separator/>
      </w:r>
    </w:p>
  </w:endnote>
  <w:endnote w:type="continuationSeparator" w:id="0">
    <w:p w:rsidR="00B36C39" w:rsidRDefault="00B36C39" w:rsidP="00B36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763471"/>
      <w:docPartObj>
        <w:docPartGallery w:val="Page Numbers (Bottom of Page)"/>
        <w:docPartUnique/>
      </w:docPartObj>
    </w:sdtPr>
    <w:sdtEndPr>
      <w:rPr>
        <w:rFonts w:ascii="Garamond" w:hAnsi="Garamond"/>
        <w:noProof/>
        <w:sz w:val="24"/>
        <w:szCs w:val="24"/>
      </w:rPr>
    </w:sdtEndPr>
    <w:sdtContent>
      <w:p w:rsidR="00E670F5" w:rsidRPr="0079605C" w:rsidRDefault="00B36C39" w:rsidP="00AC3647">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3764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649474445"/>
      <w:docPartObj>
        <w:docPartGallery w:val="Page Numbers (Bottom of Page)"/>
        <w:docPartUnique/>
      </w:docPartObj>
    </w:sdtPr>
    <w:sdtEndPr>
      <w:rPr>
        <w:noProof/>
      </w:rPr>
    </w:sdtEndPr>
    <w:sdtContent>
      <w:p w:rsidR="00E670F5" w:rsidRPr="0079605C" w:rsidRDefault="00B36C39" w:rsidP="0079605C">
        <w:pPr>
          <w:pStyle w:val="Footer"/>
          <w:ind w:firstLine="0"/>
          <w:jc w:val="right"/>
          <w:rPr>
            <w:rFonts w:ascii="Garamond" w:hAnsi="Garamond"/>
            <w:sz w:val="24"/>
            <w:szCs w:val="24"/>
          </w:rPr>
        </w:pPr>
        <w:sdt>
          <w:sdtPr>
            <w:id w:val="-1227216534"/>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469331858"/>
      <w:docPartObj>
        <w:docPartGallery w:val="Page Numbers (Bottom of Page)"/>
        <w:docPartUnique/>
      </w:docPartObj>
    </w:sdtPr>
    <w:sdtEndPr>
      <w:rPr>
        <w:noProof/>
        <w:sz w:val="24"/>
        <w:szCs w:val="24"/>
      </w:rPr>
    </w:sdtEndPr>
    <w:sdtContent>
      <w:p w:rsidR="00E670F5" w:rsidRPr="00833610" w:rsidRDefault="00B36C3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670F5" w:rsidRDefault="00B36C39">
    <w:pPr>
      <w:pStyle w:val="Footer"/>
    </w:pPr>
  </w:p>
  <w:p w:rsidR="00E670F5" w:rsidRDefault="00B36C39"/>
  <w:p w:rsidR="00E670F5" w:rsidRDefault="00B36C39"/>
  <w:p w:rsidR="00E670F5" w:rsidRDefault="00B36C39"/>
  <w:p w:rsidR="00E670F5" w:rsidRDefault="00B36C3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C39" w:rsidRDefault="00B36C39" w:rsidP="00B36C39">
      <w:pPr>
        <w:spacing w:after="0" w:line="240" w:lineRule="auto"/>
      </w:pPr>
      <w:r>
        <w:separator/>
      </w:r>
    </w:p>
  </w:footnote>
  <w:footnote w:type="continuationSeparator" w:id="0">
    <w:p w:rsidR="00B36C39" w:rsidRDefault="00B36C39" w:rsidP="00B36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66"/>
      <w:gridCol w:w="3748"/>
      <w:gridCol w:w="3162"/>
    </w:tblGrid>
    <w:tr w:rsidR="00E670F5" w:rsidRPr="00EB260B" w:rsidTr="00F804EB">
      <w:trPr>
        <w:trHeight w:val="936"/>
        <w:jc w:val="center"/>
      </w:trPr>
      <w:tc>
        <w:tcPr>
          <w:tcW w:w="1392" w:type="pct"/>
          <w:shd w:val="pct5" w:color="auto" w:fill="F2F2F2"/>
          <w:vAlign w:val="center"/>
        </w:tcPr>
        <w:p w:rsidR="00E670F5" w:rsidRPr="00EB260B" w:rsidRDefault="00B36C39" w:rsidP="00C34BAA">
          <w:pPr>
            <w:pStyle w:val="NoSpacing"/>
            <w:spacing w:before="100" w:after="100"/>
            <w:ind w:left="-320" w:firstLine="136"/>
            <w:jc w:val="center"/>
            <w:rPr>
              <w:rFonts w:ascii="Garamond" w:hAnsi="Garamond"/>
              <w:b/>
              <w:sz w:val="28"/>
              <w:szCs w:val="28"/>
            </w:rPr>
          </w:pPr>
          <w:r>
            <w:rPr>
              <w:rFonts w:ascii="Garamond" w:hAnsi="Garamond"/>
              <w:b/>
              <w:sz w:val="28"/>
              <w:szCs w:val="28"/>
            </w:rPr>
            <w:t>Fletorja Zyrtare</w:t>
          </w:r>
        </w:p>
      </w:tc>
      <w:tc>
        <w:tcPr>
          <w:tcW w:w="1957" w:type="pct"/>
          <w:shd w:val="pct5" w:color="auto" w:fill="F2F2F2"/>
          <w:vAlign w:val="center"/>
        </w:tcPr>
        <w:p w:rsidR="00E670F5" w:rsidRPr="00EB260B" w:rsidRDefault="00B36C39" w:rsidP="00C34BAA">
          <w:pPr>
            <w:pStyle w:val="NoSpacing"/>
            <w:spacing w:before="100" w:after="100"/>
            <w:jc w:val="center"/>
            <w:rPr>
              <w:rFonts w:ascii="Garamond" w:hAnsi="Garamond"/>
              <w:b/>
              <w:sz w:val="28"/>
              <w:szCs w:val="28"/>
            </w:rPr>
          </w:pPr>
          <w:r>
            <w:rPr>
              <w:noProof/>
              <w:lang w:eastAsia="sq-AL"/>
            </w:rPr>
            <w:drawing>
              <wp:inline distT="0" distB="0" distL="0" distR="0" wp14:anchorId="5C80532E" wp14:editId="4203E7A6">
                <wp:extent cx="304524" cy="427512"/>
                <wp:effectExtent l="0" t="0" r="635" b="0"/>
                <wp:docPr id="35" name="Picture 3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E670F5" w:rsidRPr="00EB260B" w:rsidRDefault="00B36C39" w:rsidP="00C34BAA">
          <w:pPr>
            <w:pStyle w:val="NoSpacing"/>
            <w:spacing w:before="100" w:after="100"/>
            <w:jc w:val="center"/>
            <w:rPr>
              <w:rFonts w:ascii="Garamond" w:hAnsi="Garamond"/>
              <w:b/>
              <w:sz w:val="28"/>
              <w:szCs w:val="28"/>
            </w:rPr>
          </w:pPr>
          <w:r>
            <w:rPr>
              <w:rFonts w:ascii="Garamond" w:hAnsi="Garamond"/>
              <w:b/>
              <w:sz w:val="28"/>
              <w:szCs w:val="28"/>
            </w:rPr>
            <w:t xml:space="preserve"> Viti 2019 – Numri 47</w:t>
          </w:r>
        </w:p>
      </w:tc>
    </w:tr>
  </w:tbl>
  <w:p w:rsidR="00E670F5" w:rsidRPr="00385E2C" w:rsidRDefault="00B36C39" w:rsidP="00E4472D">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0F5" w:rsidRDefault="00B36C39" w:rsidP="00330117">
    <w:pPr>
      <w:pStyle w:val="Header"/>
      <w:jc w:val="center"/>
    </w:pPr>
  </w:p>
  <w:p w:rsidR="00E670F5" w:rsidRDefault="00B36C39"/>
  <w:p w:rsidR="00E670F5" w:rsidRDefault="00B36C39"/>
  <w:p w:rsidR="00E670F5" w:rsidRDefault="00B36C39"/>
  <w:p w:rsidR="00E670F5" w:rsidRDefault="00B36C3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C39"/>
    <w:rsid w:val="00B36C39"/>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C3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36C3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36C39"/>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B36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C39"/>
    <w:rPr>
      <w:rFonts w:ascii="Calibri" w:eastAsia="Calibri" w:hAnsi="Calibri" w:cs="Times New Roman"/>
    </w:rPr>
  </w:style>
  <w:style w:type="paragraph" w:styleId="Footer">
    <w:name w:val="footer"/>
    <w:basedOn w:val="Normal"/>
    <w:link w:val="FooterChar"/>
    <w:uiPriority w:val="99"/>
    <w:unhideWhenUsed/>
    <w:rsid w:val="00B36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C39"/>
    <w:rPr>
      <w:rFonts w:ascii="Calibri" w:eastAsia="Calibri" w:hAnsi="Calibri" w:cs="Times New Roman"/>
    </w:rPr>
  </w:style>
  <w:style w:type="paragraph" w:customStyle="1" w:styleId="Paragrafi">
    <w:name w:val="Paragrafi"/>
    <w:link w:val="ParagrafiChar"/>
    <w:qFormat/>
    <w:rsid w:val="00B36C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36C39"/>
    <w:rPr>
      <w:rFonts w:ascii="Garamond" w:eastAsia="MS Mincho" w:hAnsi="Garamond" w:cs="CG Times"/>
      <w:sz w:val="24"/>
    </w:rPr>
  </w:style>
  <w:style w:type="paragraph" w:customStyle="1" w:styleId="NeniNr">
    <w:name w:val="Neni_Nr"/>
    <w:next w:val="Normal"/>
    <w:link w:val="NeniNrChar"/>
    <w:rsid w:val="00B36C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B36C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36C39"/>
    <w:rPr>
      <w:rFonts w:ascii="Garamond" w:eastAsia="MS Mincho" w:hAnsi="Garamond" w:cs="CG Times"/>
      <w:sz w:val="24"/>
      <w:lang w:val="en-GB"/>
    </w:rPr>
  </w:style>
  <w:style w:type="table" w:styleId="TableGrid">
    <w:name w:val="Table Grid"/>
    <w:basedOn w:val="TableNormal"/>
    <w:rsid w:val="00B36C3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eniTitullChar">
    <w:name w:val="Neni_Titull Char"/>
    <w:link w:val="NeniTitull"/>
    <w:locked/>
    <w:rsid w:val="00B36C39"/>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B36C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6C3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C3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36C3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36C39"/>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B36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C39"/>
    <w:rPr>
      <w:rFonts w:ascii="Calibri" w:eastAsia="Calibri" w:hAnsi="Calibri" w:cs="Times New Roman"/>
    </w:rPr>
  </w:style>
  <w:style w:type="paragraph" w:styleId="Footer">
    <w:name w:val="footer"/>
    <w:basedOn w:val="Normal"/>
    <w:link w:val="FooterChar"/>
    <w:uiPriority w:val="99"/>
    <w:unhideWhenUsed/>
    <w:rsid w:val="00B36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C39"/>
    <w:rPr>
      <w:rFonts w:ascii="Calibri" w:eastAsia="Calibri" w:hAnsi="Calibri" w:cs="Times New Roman"/>
    </w:rPr>
  </w:style>
  <w:style w:type="paragraph" w:customStyle="1" w:styleId="Paragrafi">
    <w:name w:val="Paragrafi"/>
    <w:link w:val="ParagrafiChar"/>
    <w:qFormat/>
    <w:rsid w:val="00B36C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36C39"/>
    <w:rPr>
      <w:rFonts w:ascii="Garamond" w:eastAsia="MS Mincho" w:hAnsi="Garamond" w:cs="CG Times"/>
      <w:sz w:val="24"/>
    </w:rPr>
  </w:style>
  <w:style w:type="paragraph" w:customStyle="1" w:styleId="NeniNr">
    <w:name w:val="Neni_Nr"/>
    <w:next w:val="Normal"/>
    <w:link w:val="NeniNrChar"/>
    <w:rsid w:val="00B36C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B36C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36C39"/>
    <w:rPr>
      <w:rFonts w:ascii="Garamond" w:eastAsia="MS Mincho" w:hAnsi="Garamond" w:cs="CG Times"/>
      <w:sz w:val="24"/>
      <w:lang w:val="en-GB"/>
    </w:rPr>
  </w:style>
  <w:style w:type="table" w:styleId="TableGrid">
    <w:name w:val="Table Grid"/>
    <w:basedOn w:val="TableNormal"/>
    <w:rsid w:val="00B36C3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eniTitullChar">
    <w:name w:val="Neni_Titull Char"/>
    <w:link w:val="NeniTitull"/>
    <w:locked/>
    <w:rsid w:val="00B36C39"/>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B36C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6C3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2442</Words>
  <Characters>13925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Ermira Bukaci</cp:lastModifiedBy>
  <cp:revision>1</cp:revision>
  <dcterms:created xsi:type="dcterms:W3CDTF">2019-04-09T13:31:00Z</dcterms:created>
  <dcterms:modified xsi:type="dcterms:W3CDTF">2019-04-09T13:32:00Z</dcterms:modified>
</cp:coreProperties>
</file>