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697" w:rsidRPr="007B5903" w:rsidRDefault="00CF0697" w:rsidP="00CF0697">
      <w:pPr>
        <w:pStyle w:val="Akti"/>
      </w:pPr>
      <w:bookmarkStart w:id="0" w:name="_GoBack"/>
      <w:bookmarkEnd w:id="0"/>
      <w:r w:rsidRPr="007B5903">
        <w:t>VENDIM</w:t>
      </w:r>
    </w:p>
    <w:p w:rsidR="00CF0697" w:rsidRPr="007B5903" w:rsidRDefault="00CF0697" w:rsidP="00CF0697">
      <w:pPr>
        <w:pStyle w:val="Titulli"/>
      </w:pPr>
      <w:r w:rsidRPr="007B5903">
        <w:t>NË EMËR TE REPUBLIKËS</w:t>
      </w:r>
    </w:p>
    <w:p w:rsidR="00CF0697" w:rsidRPr="007B5903" w:rsidRDefault="00CF0697" w:rsidP="00CF0697">
      <w:pPr>
        <w:pStyle w:val="Titulli"/>
      </w:pPr>
    </w:p>
    <w:p w:rsidR="00CF0697" w:rsidRPr="007B5903" w:rsidRDefault="00CF0697" w:rsidP="00CF0697">
      <w:pPr>
        <w:pStyle w:val="Paragrafi"/>
      </w:pPr>
      <w:r w:rsidRPr="007B5903">
        <w:t xml:space="preserve">Kolegjet e Bashkuara të  Gjykatës së Lartë të përbërë nga : </w:t>
      </w:r>
    </w:p>
    <w:p w:rsidR="00CF0697" w:rsidRPr="007B5903" w:rsidRDefault="00CF0697" w:rsidP="00CF0697">
      <w:pPr>
        <w:pStyle w:val="Paragrafi"/>
      </w:pPr>
    </w:p>
    <w:p w:rsidR="00CF0697" w:rsidRPr="007B5903" w:rsidRDefault="00CF0697" w:rsidP="00CF0697">
      <w:pPr>
        <w:pStyle w:val="Paragrafi"/>
      </w:pPr>
      <w:r w:rsidRPr="007B5903">
        <w:t>Thimjo Ko</w:t>
      </w:r>
      <w:r w:rsidR="00220D3B">
        <w:t xml:space="preserve">ndi               </w:t>
      </w:r>
      <w:r w:rsidR="00220D3B">
        <w:tab/>
      </w:r>
      <w:r w:rsidRPr="007B5903">
        <w:t>Kryesues</w:t>
      </w:r>
    </w:p>
    <w:p w:rsidR="00CF0697" w:rsidRPr="007B5903" w:rsidRDefault="00CF0697" w:rsidP="00CF0697">
      <w:pPr>
        <w:pStyle w:val="Paragrafi"/>
      </w:pPr>
      <w:r w:rsidRPr="007B5903">
        <w:t>Artan Hoxh</w:t>
      </w:r>
      <w:r w:rsidR="00220D3B">
        <w:t xml:space="preserve">a                       </w:t>
      </w:r>
      <w:r w:rsidR="00220D3B">
        <w:tab/>
      </w:r>
      <w:r w:rsidRPr="007B5903">
        <w:t>Anëtar</w:t>
      </w:r>
    </w:p>
    <w:p w:rsidR="00CF0697" w:rsidRPr="007B5903" w:rsidRDefault="00CF0697" w:rsidP="00CF0697">
      <w:pPr>
        <w:pStyle w:val="Paragrafi"/>
      </w:pPr>
      <w:r w:rsidRPr="007B5903">
        <w:t xml:space="preserve">Nikoleta Kita </w:t>
      </w:r>
      <w:r w:rsidR="00220D3B">
        <w:tab/>
      </w:r>
      <w:r w:rsidR="00220D3B">
        <w:tab/>
      </w:r>
      <w:r w:rsidR="00220D3B">
        <w:tab/>
        <w:t xml:space="preserve">    </w:t>
      </w:r>
      <w:r w:rsidRPr="007B5903">
        <w:t xml:space="preserve">“                                   </w:t>
      </w:r>
    </w:p>
    <w:p w:rsidR="00CF0697" w:rsidRPr="007B5903" w:rsidRDefault="00CF0697" w:rsidP="00CF0697">
      <w:pPr>
        <w:pStyle w:val="Paragrafi"/>
      </w:pPr>
      <w:r w:rsidRPr="007B5903">
        <w:t>Natasha Sheshi</w:t>
      </w:r>
      <w:r w:rsidR="00220D3B">
        <w:tab/>
      </w:r>
      <w:r w:rsidR="00220D3B">
        <w:tab/>
      </w:r>
      <w:r w:rsidR="00220D3B">
        <w:tab/>
        <w:t xml:space="preserve">    </w:t>
      </w:r>
      <w:r w:rsidRPr="007B5903">
        <w:t xml:space="preserve">“                                  </w:t>
      </w:r>
    </w:p>
    <w:p w:rsidR="00CF0697" w:rsidRPr="007B5903" w:rsidRDefault="00CF0697" w:rsidP="00CF0697">
      <w:pPr>
        <w:pStyle w:val="Paragrafi"/>
      </w:pPr>
      <w:r w:rsidRPr="007B5903">
        <w:t>Vangjel Kosta</w:t>
      </w:r>
      <w:r>
        <w:tab/>
      </w:r>
      <w:r>
        <w:tab/>
      </w:r>
      <w:r>
        <w:tab/>
        <w:t xml:space="preserve">    </w:t>
      </w:r>
      <w:r w:rsidRPr="007B5903">
        <w:t xml:space="preserve">“                                    </w:t>
      </w:r>
    </w:p>
    <w:p w:rsidR="00CF0697" w:rsidRPr="007B5903" w:rsidRDefault="00CF0697" w:rsidP="00CF0697">
      <w:pPr>
        <w:pStyle w:val="Paragrafi"/>
      </w:pPr>
      <w:r w:rsidRPr="007B5903">
        <w:t>Metush Saraçi</w:t>
      </w:r>
      <w:r>
        <w:tab/>
      </w:r>
      <w:r>
        <w:tab/>
      </w:r>
      <w:r>
        <w:tab/>
        <w:t xml:space="preserve">    </w:t>
      </w:r>
      <w:r w:rsidRPr="007B5903">
        <w:t xml:space="preserve">“                                    </w:t>
      </w:r>
    </w:p>
    <w:p w:rsidR="00CF0697" w:rsidRPr="007B5903" w:rsidRDefault="00CF0697" w:rsidP="00CF0697">
      <w:pPr>
        <w:pStyle w:val="Paragrafi"/>
      </w:pPr>
      <w:r w:rsidRPr="007B5903">
        <w:t>Vladimir Metani</w:t>
      </w:r>
      <w:r>
        <w:tab/>
      </w:r>
      <w:r>
        <w:tab/>
        <w:t xml:space="preserve">    </w:t>
      </w:r>
      <w:r w:rsidRPr="007B5903">
        <w:t xml:space="preserve">“                                 </w:t>
      </w:r>
    </w:p>
    <w:p w:rsidR="00CF0697" w:rsidRPr="007B5903" w:rsidRDefault="00CF0697" w:rsidP="00CF0697">
      <w:pPr>
        <w:pStyle w:val="Paragrafi"/>
      </w:pPr>
      <w:r w:rsidRPr="007B5903">
        <w:t>Vladimir Bineri</w:t>
      </w:r>
      <w:r>
        <w:tab/>
      </w:r>
      <w:r>
        <w:tab/>
      </w:r>
      <w:r>
        <w:tab/>
        <w:t xml:space="preserve">    </w:t>
      </w:r>
      <w:r w:rsidRPr="007B5903">
        <w:t xml:space="preserve">“                                 </w:t>
      </w:r>
    </w:p>
    <w:p w:rsidR="00CF0697" w:rsidRPr="007B5903" w:rsidRDefault="00CF0697" w:rsidP="00CF0697">
      <w:pPr>
        <w:pStyle w:val="Paragrafi"/>
      </w:pPr>
      <w:r w:rsidRPr="007B5903">
        <w:t>Zamir Poda</w:t>
      </w:r>
      <w:r>
        <w:tab/>
      </w:r>
      <w:r>
        <w:tab/>
      </w:r>
      <w:r>
        <w:tab/>
        <w:t xml:space="preserve">    </w:t>
      </w:r>
      <w:r w:rsidRPr="007B5903">
        <w:t xml:space="preserve">“                                         </w:t>
      </w:r>
    </w:p>
    <w:p w:rsidR="00CF0697" w:rsidRPr="007B5903" w:rsidRDefault="00CF0697" w:rsidP="00CF0697">
      <w:pPr>
        <w:pStyle w:val="Paragrafi"/>
      </w:pPr>
      <w:r w:rsidRPr="007B5903">
        <w:t>Bashkim Caka</w:t>
      </w:r>
      <w:r>
        <w:tab/>
      </w:r>
      <w:r>
        <w:tab/>
      </w:r>
      <w:r>
        <w:tab/>
        <w:t xml:space="preserve">    </w:t>
      </w:r>
      <w:r w:rsidRPr="007B5903">
        <w:t xml:space="preserve">“                                   </w:t>
      </w:r>
    </w:p>
    <w:p w:rsidR="00CF0697" w:rsidRPr="007B5903" w:rsidRDefault="00CF0697" w:rsidP="00CF0697">
      <w:pPr>
        <w:pStyle w:val="Paragrafi"/>
      </w:pPr>
      <w:r w:rsidRPr="007B5903">
        <w:t>Tefta Zaka</w:t>
      </w:r>
      <w:r>
        <w:tab/>
      </w:r>
      <w:r>
        <w:tab/>
      </w:r>
      <w:r>
        <w:tab/>
        <w:t xml:space="preserve">    </w:t>
      </w:r>
      <w:r w:rsidRPr="007B5903">
        <w:t xml:space="preserve">“                                         </w:t>
      </w:r>
    </w:p>
    <w:p w:rsidR="00CF0697" w:rsidRPr="007B5903" w:rsidRDefault="00CF0697" w:rsidP="00CF0697">
      <w:pPr>
        <w:pStyle w:val="Paragrafi"/>
      </w:pPr>
      <w:r w:rsidRPr="007B5903">
        <w:t>Ylvi Myrtja</w:t>
      </w:r>
      <w:r>
        <w:tab/>
      </w:r>
      <w:r>
        <w:tab/>
      </w:r>
      <w:r>
        <w:tab/>
        <w:t xml:space="preserve">    </w:t>
      </w:r>
      <w:r w:rsidRPr="007B5903">
        <w:t xml:space="preserve">“                                       </w:t>
      </w:r>
    </w:p>
    <w:p w:rsidR="00220D3B" w:rsidRDefault="00220D3B" w:rsidP="00CF0697">
      <w:pPr>
        <w:pStyle w:val="Paragrafi"/>
      </w:pPr>
    </w:p>
    <w:p w:rsidR="00CF0697" w:rsidRPr="007B5903" w:rsidRDefault="00CF0697" w:rsidP="00CF0697">
      <w:pPr>
        <w:pStyle w:val="Paragrafi"/>
      </w:pPr>
      <w:r w:rsidRPr="007B5903">
        <w:t>në seancën gjyqësore të datës 29.07.1999 mori në shqyrtim çështjen</w:t>
      </w:r>
      <w:r>
        <w:t xml:space="preserve"> civile nr.156 që i përket </w:t>
      </w:r>
    </w:p>
    <w:p w:rsidR="000C792A" w:rsidRDefault="000C792A" w:rsidP="00CF0697">
      <w:pPr>
        <w:pStyle w:val="Paragrafi"/>
      </w:pPr>
    </w:p>
    <w:p w:rsidR="00CF0697" w:rsidRPr="007B5903" w:rsidRDefault="00CF0697" w:rsidP="00CF0697">
      <w:pPr>
        <w:pStyle w:val="Paragrafi"/>
      </w:pPr>
      <w:r w:rsidRPr="000C792A">
        <w:rPr>
          <w:b/>
        </w:rPr>
        <w:t>TË PANDEHURVE:</w:t>
      </w:r>
      <w:r w:rsidRPr="007B5903">
        <w:t xml:space="preserve">  </w:t>
      </w:r>
      <w:r w:rsidR="000C792A">
        <w:t xml:space="preserve"> </w:t>
      </w:r>
      <w:r w:rsidRPr="007B5903">
        <w:t>BAKI HUQI</w:t>
      </w:r>
    </w:p>
    <w:p w:rsidR="00CF0697" w:rsidRPr="007B5903" w:rsidRDefault="00CF0697" w:rsidP="00CF0697">
      <w:pPr>
        <w:pStyle w:val="Paragrafi"/>
      </w:pPr>
      <w:r w:rsidRPr="007B5903">
        <w:t xml:space="preserve">                                 ALBERT HUQI mbrojtur nga Av. Shefqet Muçi</w:t>
      </w:r>
    </w:p>
    <w:p w:rsidR="00CF0697" w:rsidRPr="007B5903" w:rsidRDefault="00CF0697" w:rsidP="00CF0697">
      <w:pPr>
        <w:pStyle w:val="Paragrafi"/>
      </w:pPr>
      <w:r w:rsidRPr="000C792A">
        <w:rPr>
          <w:b/>
        </w:rPr>
        <w:t>AKUZUAR:</w:t>
      </w:r>
      <w:r w:rsidRPr="007B5903">
        <w:t xml:space="preserve"> Për veprën penale të vrasjes me dashje në bashkëpunim parashikuar nga nenet 76-25 të Kodit Penal dhe vrasjes me dashje në bashkëpunim mbetur në tentativë parashikuar nga nenet 76-22-25 të Kodit Penal.</w:t>
      </w:r>
    </w:p>
    <w:p w:rsidR="000C792A" w:rsidRDefault="000C792A" w:rsidP="00CF0697">
      <w:pPr>
        <w:pStyle w:val="Paragrafi"/>
      </w:pPr>
    </w:p>
    <w:p w:rsidR="00CF0697" w:rsidRPr="007B5903" w:rsidRDefault="00CF0697" w:rsidP="00CF0697">
      <w:pPr>
        <w:pStyle w:val="Paragrafi"/>
      </w:pPr>
      <w:r w:rsidRPr="007B5903">
        <w:t>Gjykata e rrethit Durrës, me vendimin Nr.205, datë 30.10.1998, ka vendosur:</w:t>
      </w:r>
    </w:p>
    <w:p w:rsidR="00CF0697" w:rsidRPr="007B5903" w:rsidRDefault="00CF0697" w:rsidP="00CF0697">
      <w:pPr>
        <w:pStyle w:val="Paragrafi"/>
      </w:pPr>
      <w:r w:rsidRPr="007B5903">
        <w:t>Deklarimin fajtor të të pandehurit Baki Huqi  për veprën penale të vrasjes me dashje në bashkëpunim dhe vrasjes me dashje në bashkëpunim mbetur ne tentativë dhe përfundimisht në bazë të neneve 76-25, 76-22-25 të Kodit Penal dhe 55 të Kodit Penal dënimin e tij me 20 vjet burgim.</w:t>
      </w:r>
    </w:p>
    <w:p w:rsidR="00CF0697" w:rsidRPr="007B5903" w:rsidRDefault="00CF0697" w:rsidP="00CF0697">
      <w:pPr>
        <w:pStyle w:val="Paragrafi"/>
      </w:pPr>
      <w:r w:rsidRPr="007B5903">
        <w:t>Pushimin e çështjes penale në ngarkim të të pandehurit Baki Huqi  për veprat penale të parashikuara nga nenet 238, 278/ 2 të Kodit Penal.</w:t>
      </w:r>
    </w:p>
    <w:p w:rsidR="00CF0697" w:rsidRPr="007B5903" w:rsidRDefault="00CF0697" w:rsidP="00CF0697">
      <w:pPr>
        <w:pStyle w:val="Paragrafi"/>
      </w:pPr>
      <w:r w:rsidRPr="007B5903">
        <w:t>Deklarimin fajtor të të pandehurit Albert Huqi  për veprën  penale të vrasjes me dashje  në bashkëpunim dhe vrasjes  me dashje  në bashkëpunim  mbetur në tentativë   dhe përfundimisht  në bazë të neneve 76-25, 76-22-25 dhe 55 të Kodit Penal dënimin e tij me 10 vjet burgim.</w:t>
      </w:r>
    </w:p>
    <w:p w:rsidR="00CF0697" w:rsidRPr="007B5903" w:rsidRDefault="00CF0697" w:rsidP="00CF0697">
      <w:pPr>
        <w:pStyle w:val="Paragrafi"/>
      </w:pPr>
      <w:r w:rsidRPr="007B5903">
        <w:t>Gjykata e Apelit Durrës  me vendimin Nr. 48, datë 10.03.1999 ka vendosur:</w:t>
      </w:r>
    </w:p>
    <w:p w:rsidR="00CF0697" w:rsidRPr="007B5903" w:rsidRDefault="00CF0697" w:rsidP="00CF0697">
      <w:pPr>
        <w:pStyle w:val="Paragrafi"/>
      </w:pPr>
      <w:r w:rsidRPr="007B5903">
        <w:t>Prishjen e vendimit penal Nr.205, datë 30.10.1998 të Gjykatës së Rrethit Durrës  dhe kthimin e akteve po kësaj gjykate  për të pandehurin Baki Huqi  për t’u rigjykuar nga një tjetër trup gjykues.</w:t>
      </w:r>
    </w:p>
    <w:p w:rsidR="00CF0697" w:rsidRPr="007B5903" w:rsidRDefault="00CF0697" w:rsidP="00CF0697">
      <w:pPr>
        <w:pStyle w:val="Paragrafi"/>
      </w:pPr>
      <w:r w:rsidRPr="007B5903">
        <w:t>Prishjen e këtij vendimi dhe pushimin  e çështjes për sa i përket  të pandehurit  Albert Huqi  mbasi nuk vërtetohet fajësia e këtij të pandehuri.</w:t>
      </w:r>
    </w:p>
    <w:p w:rsidR="00CF0697" w:rsidRPr="007B5903" w:rsidRDefault="00CF0697" w:rsidP="00CF0697">
      <w:pPr>
        <w:pStyle w:val="Paragrafi"/>
      </w:pPr>
      <w:r w:rsidRPr="007B5903">
        <w:t>Kundër vendimit të Gjykatës së Apelit ka bëre rekurs prokurori i apelit  dhe ka parashtruar këto shkaqe për prishjen e tij. Nga hetimet  paraprake dhe gjykimi i çështjes  në shkallë të parë është provuar plotësisht fajësia e të pandehurit  Albert Huqi.</w:t>
      </w:r>
    </w:p>
    <w:p w:rsidR="00CF0697" w:rsidRPr="007B5903" w:rsidRDefault="00CF0697" w:rsidP="00CF0697">
      <w:pPr>
        <w:pStyle w:val="Paragrafi"/>
      </w:pPr>
      <w:r w:rsidRPr="007B5903">
        <w:t>Vendimi i Gjykatës së Apelit  është kontradiktor, sepse  ndonëse për të pandehurin  Albert Huqi  ka vendosur prishjen e vendimit të gjykatës  së rrethit  dhe pushimin e gjykimit të çështjes për shkak se nuk vërtetohet fajësia e tij, për të pandehurin tjetër Baki Huqi  që ia kthen çështjen për rigjykim  gjykatës së rrethit në arsyetim  të vendimit pranon se vepra  është kryer në bashkëpunim duke nënkuptuar  përsëri kështu për të pandehurin tjetër.</w:t>
      </w:r>
    </w:p>
    <w:p w:rsidR="00CF0697" w:rsidRPr="007B5903" w:rsidRDefault="00CF0697" w:rsidP="00CF0697">
      <w:pPr>
        <w:pStyle w:val="Paragrafi"/>
      </w:pPr>
    </w:p>
    <w:p w:rsidR="00CF0697" w:rsidRPr="007B5903" w:rsidRDefault="00CF0697" w:rsidP="00CF0697">
      <w:pPr>
        <w:pStyle w:val="VENDOSI"/>
      </w:pPr>
      <w:r w:rsidRPr="007B5903">
        <w:t>KOLEGJET E BASHKUARA TË GJYKATËS SË LARTË</w:t>
      </w:r>
    </w:p>
    <w:p w:rsidR="00CF0697" w:rsidRPr="007B5903" w:rsidRDefault="00CF0697" w:rsidP="00CF0697">
      <w:pPr>
        <w:pStyle w:val="VENDOSI"/>
      </w:pPr>
    </w:p>
    <w:p w:rsidR="00CF0697" w:rsidRPr="007B5903" w:rsidRDefault="00CF0697" w:rsidP="00CF0697">
      <w:pPr>
        <w:pStyle w:val="Paragrafi"/>
      </w:pPr>
      <w:r w:rsidRPr="007B5903">
        <w:t>Të angazhuar me vendimin Nr. s’ ka, datë  16.06.1999, për ndryshim të praktikës gjyqësore, pasi dëgjuan relacionin përkatës, prokurorin Mihallaq Bleta  që kerkoi prishjen e vendimit  të Gjykatës së Apelit  dhe pushimin e gjykimit të çështjes , avokatin Shefqet Muçi që kërkoi lënien në fuqi të vendimit  të Gjykates së Apelit , mbasi shqyrtuan dhe analizuan në tërësi çështjen,</w:t>
      </w:r>
    </w:p>
    <w:p w:rsidR="00CF0697" w:rsidRPr="007B5903" w:rsidRDefault="00CF0697" w:rsidP="00CF0697">
      <w:pPr>
        <w:pStyle w:val="Paragrafi"/>
      </w:pPr>
    </w:p>
    <w:p w:rsidR="00CF0697" w:rsidRPr="007B5903" w:rsidRDefault="00CF0697" w:rsidP="00CF0697">
      <w:pPr>
        <w:pStyle w:val="VENDOSI"/>
      </w:pPr>
      <w:r w:rsidRPr="007B5903">
        <w:t>V Ë R E N:</w:t>
      </w:r>
    </w:p>
    <w:p w:rsidR="00CF0697" w:rsidRPr="007B5903" w:rsidRDefault="00CF0697" w:rsidP="00CF0697">
      <w:pPr>
        <w:pStyle w:val="Paragrafi"/>
      </w:pPr>
    </w:p>
    <w:p w:rsidR="00CF0697" w:rsidRPr="007B5903" w:rsidRDefault="00CF0697" w:rsidP="00CF0697">
      <w:pPr>
        <w:pStyle w:val="Paragrafi"/>
      </w:pPr>
      <w:r w:rsidRPr="007B5903">
        <w:t>Vendimi Nr. 48, datë 10.03.1999 i Gjykatës së Apelit Durrës duhet të prishet për shkak se është zbatuar gabim ligji procedurial.</w:t>
      </w:r>
    </w:p>
    <w:p w:rsidR="00CF0697" w:rsidRPr="007B5903" w:rsidRDefault="00CF0697" w:rsidP="00CF0697">
      <w:pPr>
        <w:pStyle w:val="Paragrafi"/>
      </w:pPr>
      <w:r w:rsidRPr="007B5903">
        <w:t>Të pandehurit Baki dhe Albert Huqi akuzuar për vrasje me dashje në bashkëpunim sipas nenit 76 e 25  të Kodit Penal ndonëse janë njoftuar disa herë nga gjykata e shkallës së parë  për zhvillimin e seancës gjyqësore  nuk janë paraqitur e meqënëse njoftimet  e bëra ishin konform kërkesave të nenit 141 të Kodit të Procedurës Penale; gjykata e rrethit Durrës  në bazë të nenit 351 të K.Pr.Penale  ka deklaruar mungesën dhe ka gjykuar çështjen në mungesë  të tyre duke i deklaruar  fajtorë dhe dënuar për veprat që akuzoheshin. Në këtë rast të pandehurit  janë përfaqësuar  nga avokati i zgjedhur nga të afërmit  e të pandehurve sipas nenit 48/2, 3 të K.Pr.Penale dhe i paisur me akt përfaqësimi  të përpiluar përpara noterit  me datë 13.03.1997.</w:t>
      </w:r>
    </w:p>
    <w:p w:rsidR="00CF0697" w:rsidRPr="007B5903" w:rsidRDefault="00CF0697" w:rsidP="00CF0697">
      <w:pPr>
        <w:pStyle w:val="Paragrafi"/>
      </w:pPr>
      <w:r w:rsidRPr="007B5903">
        <w:t>Mbi ankimin e avokatit  mbrojtës , Gjykata e Apelit Durrës  ka prishur vendimin  e Gjykatës së Rrethit  Gjyqësor Durrës  duke deklaruar të pandehurin Albert Huqi të pafajshëm për vrasje sipas  nenit 76-25 të Kodit Penal , ndërsa për të pandehurin tjetër Baki Huqi  ka kthyer çështjen për rigjykim  po pranë Gjykatës së Rrethit Durrës me detyrat përkatëse.</w:t>
      </w:r>
    </w:p>
    <w:p w:rsidR="00CF0697" w:rsidRPr="007B5903" w:rsidRDefault="00CF0697" w:rsidP="00CF0697">
      <w:pPr>
        <w:pStyle w:val="Paragrafi"/>
      </w:pPr>
      <w:r w:rsidRPr="007B5903">
        <w:t>Kolegjet e Bashkuara konstatojnë, se avokati  mbrojtës  i zgjedhur nga të afërmit e të pandehurve  nuk legjitimohet të bëjë ankim  kundër vendimit të dhënë në mungesë. Pavarësisht nga zgjidhja në themel të çështjes  mbi ankimin e tij, Gjykata e Apelit  nuk duhej të investohej,  për gjykimin e çështjes  për rrjedhojë vendimi i saj duhet të prishet dhe çështja të pushohet.</w:t>
      </w:r>
    </w:p>
    <w:p w:rsidR="00CF0697" w:rsidRPr="007B5903" w:rsidRDefault="00CF0697" w:rsidP="00CF0697">
      <w:pPr>
        <w:pStyle w:val="Paragrafi"/>
      </w:pPr>
      <w:r w:rsidRPr="007B5903">
        <w:t>Në rastet kur procedohet  për gjykimin e çështjes në mungesë,  sipas neneve 141 dhe 351 të Kodit të Procedurës Penale,  kur i pandehuri nuk ka mbrojtës  të zgjedhur ose të pranuar prej tij, organi procedues ka detyrimin ligjor  t’i caktojë të pandehurve  mbrojtës kryesisht,  ndërsa për rastin konkret në vend të tij gjykata ka pranuar  mbrojtësin e zgjedhur nga të afërmit e të pandehurve  duke plotësuar kështu detyrimin  ligjor sipas nenit 351 të K.Pr.Penale. Nga ky moment mbrojtësi merr të gjitha atributet  e të pandehurit në mungesë për garantimin  dhe mbrojtjen e të drejtave proceduriale , për bërjen e kërkesave dhe kundërshtimeve  lidhur me atë fazë gjykimi, por mbas dhënies së vendimit mbrojtësi  përfundon së qëni palë në gjykim  e për pasojë nuk gëzon më të drejtat që ligji u njeh palëve në procesin penal. Ushtrimi i ankimit në Gjykatën e Apelit  nga mbrojtësi i të pandehurve në mungesë  Baki dhe Albert Huqi është bërë në kapërcim  të të drejtave që ligji i njeh atij, në fazë të caktuar të procedimit.</w:t>
      </w:r>
    </w:p>
    <w:p w:rsidR="00CF0697" w:rsidRPr="007B5903" w:rsidRDefault="00CF0697" w:rsidP="00CF0697">
      <w:pPr>
        <w:pStyle w:val="Paragrafi"/>
      </w:pPr>
      <w:r w:rsidRPr="007B5903">
        <w:t>Në nenin 407 të K.Pr. Penale përcaktohen rastet dhe mjetet e ankimit. E drejta e ankimit sipas paragrafit të tretë  të kësaj dispozite i takon  vetëm atij që ligji ja njeh shprehimisht  dhe kur ai nuk bën dallim  ndërmjet palëve, kjo e drejtë i takon secilit prej tyre. Në përputhje me këtë gjendet  edhe përcaktimi i nenit 50/1 i K.Pr.Penale, sipas të cilit  mbrojtësi ka të drejtat që ligji i njeh të pandehurit  përveç atyre që i rezervohen atyre personalisht. Ligji procedurial penal njeh  një sërë të drejtash ekskluzive për të pandehurit   si e drejta për të zgjedhur ose  pranuar mbrojtës, për të pranuar ose jo veprën penale  që i atribuohet, për të dhënë shpjegime, për të bërë ankim kundër vendimit  të gjykatës etj. Të drejtat proceduriale të përmendura më lart gjejnë shprehje edhe në nenin  410/1 të K.Pr.Penale,  ku thuhet, se i pandehuri mund të bëjë  ankim vetë ose nëpërmjet  mbrojtësit të tij, ndërsa në rastin e gjykimit në mungesë  sipas nenit 410/2 të K.Pr.Penale, ku i pandehuri nuk e ushtron  vetë të drejtën e ankimit  ketë të drejtë ligji ia njeh vetëm  mbrojtësit të autorizuar  posaçërisht për ushtrimin e saj. Autorizimi duhet të jetë  akt i lëshuar në format e kërkuara nga ligji, pra të lëshohet personalisht nga vetë i pandehuri  vullneti i të cilit vërtetohet  sipas rastit nga noteri ose organi  që e njeh ligji dhe në të  duhet të delegohet shprehimisht  e drejta e ankimit ndaj vendimit gjyqësor.</w:t>
      </w:r>
    </w:p>
    <w:p w:rsidR="00CF0697" w:rsidRPr="007B5903" w:rsidRDefault="00CF0697" w:rsidP="00CF0697">
      <w:pPr>
        <w:pStyle w:val="Paragrafi"/>
      </w:pPr>
      <w:r w:rsidRPr="007B5903">
        <w:t>Aplikimi i të drejtës së ankimit kundër vendimit të gjykatës së shkallës së parë të dhënë në mungesë të të pandehurve  nga mbrojtësi i zgjedhur nga të afërmit e të pandehurve  mohon të drejtën  e tyre  për të ushtruar ose jo ankim  kundër vendimit të gjykatës, sepse mbrojtësi që ka bërë ankimin nuk është zgjedhur ose pranuar nga vetë  të pandehurit Baki dhe Albert Huqi.</w:t>
      </w:r>
    </w:p>
    <w:p w:rsidR="00CF0697" w:rsidRPr="007B5903" w:rsidRDefault="00CF0697" w:rsidP="00CF0697">
      <w:pPr>
        <w:pStyle w:val="Paragrafi"/>
      </w:pPr>
      <w:r w:rsidRPr="007B5903">
        <w:t xml:space="preserve">Mbrojtja e caktuar kryesisht  ose për efekt të plotësimit të këtij detyrimi  ligjor e pranuar nga gjykata, mbrojtja e zgjedhur nga familjarët e të pandehurve në mungesë presupozon garantimin e një procesi të rregullt dhe të drejtë ligjor, mbrojtjen dhe respektimin e të drejtave proceduriale të të pandehurit ,por kursesi disponimin tërësor mbi të drejtat  që atij i njeh ligji. Vetëm në rastin kur një i pandehur është nën kujdestari ligji parashikon që kujdestari ka të drejtë të bëjë  çdo ankim që i takon </w:t>
      </w:r>
      <w:r w:rsidRPr="007B5903">
        <w:lastRenderedPageBreak/>
        <w:t>të pandehurit,  ndërsa në rastet e tjera askush nuk mund të legjitimohet  pa patur pëlqimin e të pandehurit. Në këto rrethana në mungesë  të të pandehurit  pëlqimi i të afërmëve të tij  për t’i dhënë të drejtë  mbrojtësit  të bëjë ankim kundër vendimit  të dhënë në mungesë është i pamjaftueshëm. Pranimi i ankimit të bërë  nga mbrojtësi i zgjedhur  nga të afërmit e të pandehurve  iu mohon atyre të drejtën të bëjnë vetë ankimin ose nëpërmjet mbrojtësit të zgjedhur prej tyre,  prandaj ndodhur në këto rrethana Gjykata e Apelit nuk duhej të shqyrtonte çështjen në shkallë të dytë, por në bazë të nenit 420/2 i K.Pr.Penale të vendosë mospranimin e ankimit me arsyetimin  se mbrojtësi nuk legjitimohej në bërjen e ankimit.</w:t>
      </w:r>
    </w:p>
    <w:p w:rsidR="00CF0697" w:rsidRPr="007B5903" w:rsidRDefault="00CF0697" w:rsidP="00CF0697">
      <w:pPr>
        <w:pStyle w:val="Paragrafi"/>
      </w:pPr>
      <w:r w:rsidRPr="007B5903">
        <w:t>Mbas gjykimit të çështjes në mungesë, vendimi i gjykatës së shkallës së parë i njoftohet të pandehurit konform  kërkesave të nenit 140,141, të K.Pr.Penale. Lajmërimi i  depozitimit të vendimit afishohet  në banesën e të pandehurit, qendrën e punës, ju komunikohet fqinjëve ose të afërmëvetë tij,  ndërsa në rastin e të pandehurit  që i fshihet ndjekjes penale  ligji parashikon njoftimin e tij  nëpërmjet dorëzimit  të aktit mbrojtësit të tij  dhe kur nuk ka të tillë mbrojtësit të caktuar kryesisht.</w:t>
      </w:r>
    </w:p>
    <w:p w:rsidR="00CF0697" w:rsidRPr="007B5903" w:rsidRDefault="00CF0697" w:rsidP="00CF0697">
      <w:pPr>
        <w:pStyle w:val="Paragrafi"/>
      </w:pPr>
      <w:r w:rsidRPr="007B5903">
        <w:t>Mbas respektimit të të gjitha rregullave  të mësipërme vendimi konsiderohet  ligjërisht i njoftuar  dhe për të pandehurin fillon  përllogaritja e afatit të ankimit. Plotësimi i afatit ligjor  i jep vendimit formën e prerë dhe në rastin e mungesës ankimohet vetëm në kushtet e caktuara ligjore.</w:t>
      </w:r>
    </w:p>
    <w:p w:rsidR="00CF0697" w:rsidRPr="007B5903" w:rsidRDefault="00CF0697" w:rsidP="00CF0697">
      <w:pPr>
        <w:pStyle w:val="Paragrafi"/>
      </w:pPr>
      <w:r w:rsidRPr="007B5903">
        <w:t>Pra i pandehuri i deklaruar në mungesë sipas nenit 351 të Kodit Pr.Penale nuk humbet të drejtën e ankimit  kundër vendimit të dhënë në mungesë ndaj tij vetëm se duhet të realizojë këtë të drejtë duke kërkuar fillimisht rivendosjen në afat të ankimit sipas nenit 147/2 të K. Pr. Penale dhe të vërtetojë se nuk ka marrë dijeni për vendimin. I pandehuri mund të paraqesë  kërkesën për rivendosjen në afat sipas rastit në vartësi  me vendin ku ndodhet çështja  për gjykim në Gjykatën  e Apelit  ose në Gjykatën e Lartë  dhe mbas rivendosjes në afat  të dyja këto gjykata janë të detyruara  të gjykojnë dhe shqyrtojnë çështjen në themel.</w:t>
      </w:r>
    </w:p>
    <w:p w:rsidR="00CF0697" w:rsidRPr="007B5903" w:rsidRDefault="00CF0697" w:rsidP="00CF0697">
      <w:pPr>
        <w:pStyle w:val="Paragrafi"/>
      </w:pPr>
      <w:r w:rsidRPr="007B5903">
        <w:t>Kolegjet e Bashkuara të Gjykatës së Lartë me vendimin nr. 47, datë 28.01.1999 për të unifikuar praktikën  gjyqësore kanë legjitimuar mbrojtësin e caktuar kryesisht të bëjë ankim kundër vendimit të dhënë në mungesë, por në të njëjtin pozicion procedurial konsiderohet edhe mbrojtësi i të pandehurve në mungesë Baki dhe Albert Huqi, sepse pavarësisht se është  zgjedhur nga të afërmit  e të pandehurve ai është lejuar dhe pranuar në gjykim  për të zëvëndësuar mbrojtësin që gjykata duhej të caktonte kryesisht  për të plotësuar detyrimin ligjor  që ajo kishte sipas nenit 351 të K.Pr.Penale.</w:t>
      </w:r>
    </w:p>
    <w:p w:rsidR="00CF0697" w:rsidRPr="007B5903" w:rsidRDefault="00CF0697" w:rsidP="00CF0697">
      <w:pPr>
        <w:pStyle w:val="Paragrafi"/>
      </w:pPr>
      <w:r w:rsidRPr="007B5903">
        <w:t>Për arsyet e përmendura më lart çmohet se vendimi i Kolegjeve të Bashkuara  nuk është i drejtë dhe krijon  anomali në zhvillimin e procesit penal prandaj diktohet e nevojshme marrja e një vendimi tjetër nga Kolegjet e Bashkuara  për unifikimin e një  praktike gjyqësore tjetër të ndryshme nga ajo e deritanishmja në mënyrë që mbrojtësi i zgjedhur nga të afërmit  e të pandehurve të konsiderohet person  i palegjitimuar për bërjen e ankimit kundër vendimit të dhënë në mungesë të të pandehurve.</w:t>
      </w:r>
    </w:p>
    <w:p w:rsidR="00CF0697" w:rsidRPr="007B5903" w:rsidRDefault="00CF0697" w:rsidP="00CF0697">
      <w:pPr>
        <w:pStyle w:val="Paragrafi"/>
      </w:pPr>
    </w:p>
    <w:p w:rsidR="00CF0697" w:rsidRPr="007B5903" w:rsidRDefault="00CF0697" w:rsidP="00CF0697">
      <w:pPr>
        <w:pStyle w:val="VENDOSI"/>
      </w:pPr>
      <w:r w:rsidRPr="007B5903">
        <w:t>PËR KËTO ARSYE</w:t>
      </w:r>
    </w:p>
    <w:p w:rsidR="00CF0697" w:rsidRPr="007B5903" w:rsidRDefault="00CF0697" w:rsidP="00CF0697">
      <w:pPr>
        <w:pStyle w:val="Paragrafi"/>
      </w:pPr>
    </w:p>
    <w:p w:rsidR="00CF0697" w:rsidRPr="007B5903" w:rsidRDefault="00CF0697" w:rsidP="00CF0697">
      <w:pPr>
        <w:pStyle w:val="Paragrafi"/>
      </w:pPr>
      <w:r w:rsidRPr="007B5903">
        <w:t>Kolegjet e Bashkuara të Gjykatës së Lartë mbështetur në nenin 141/2 të Kushtetutës së Shqipërisë dhe në nenin 441 “c” të K.Pr. Penale .</w:t>
      </w:r>
    </w:p>
    <w:p w:rsidR="00CF0697" w:rsidRPr="007B5903" w:rsidRDefault="00CF0697" w:rsidP="00CF0697">
      <w:pPr>
        <w:pStyle w:val="Paragrafi"/>
      </w:pPr>
    </w:p>
    <w:p w:rsidR="00CF0697" w:rsidRPr="007B5903" w:rsidRDefault="00CF0697" w:rsidP="00CF0697">
      <w:pPr>
        <w:pStyle w:val="VENDOSI"/>
      </w:pPr>
      <w:r w:rsidRPr="007B5903">
        <w:t>V E N D O S Ë N:</w:t>
      </w:r>
    </w:p>
    <w:p w:rsidR="00CF0697" w:rsidRPr="007B5903" w:rsidRDefault="00CF0697" w:rsidP="00CF0697">
      <w:pPr>
        <w:pStyle w:val="Paragrafi"/>
      </w:pPr>
    </w:p>
    <w:p w:rsidR="00CF0697" w:rsidRPr="007B5903" w:rsidRDefault="00CF0697" w:rsidP="00CF0697">
      <w:pPr>
        <w:pStyle w:val="Paragrafi"/>
      </w:pPr>
      <w:r w:rsidRPr="007B5903">
        <w:t>Prishjen e vendimit nr.48, datë 10.03.1999 të Gjykatës së Apelit  Durrës dhe pushimin e gjykimit në Gjykatën e Lartë.</w:t>
      </w:r>
    </w:p>
    <w:p w:rsidR="00CF0697" w:rsidRPr="007B5903" w:rsidRDefault="00CF0697" w:rsidP="00CF0697">
      <w:pPr>
        <w:pStyle w:val="Paragrafi"/>
      </w:pPr>
      <w:r w:rsidRPr="007B5903">
        <w:t>Unifikimin  e praktikës gjyqësore sipas arsyetimit të mësipërm.</w:t>
      </w:r>
    </w:p>
    <w:p w:rsidR="00CF0697" w:rsidRPr="007B5903" w:rsidRDefault="00CF0697" w:rsidP="00CF0697">
      <w:pPr>
        <w:pStyle w:val="Paragrafi"/>
      </w:pPr>
    </w:p>
    <w:p w:rsidR="00CF0697" w:rsidRPr="007B5903" w:rsidRDefault="00CF0697" w:rsidP="00CF0697">
      <w:pPr>
        <w:pStyle w:val="Paragrafi"/>
      </w:pPr>
      <w:r w:rsidRPr="007B5903">
        <w:t>Tiranë, me 29.07.1999</w:t>
      </w:r>
    </w:p>
    <w:p w:rsidR="00CF0697" w:rsidRPr="007B5903" w:rsidRDefault="00CF0697" w:rsidP="00CF0697">
      <w:pPr>
        <w:pStyle w:val="Paragrafi"/>
      </w:pPr>
    </w:p>
    <w:p w:rsidR="00CF0697" w:rsidRPr="007B5903" w:rsidRDefault="00CF0697" w:rsidP="00CF0697">
      <w:pPr>
        <w:pStyle w:val="Paragrafi"/>
      </w:pPr>
    </w:p>
    <w:tbl>
      <w:tblPr>
        <w:tblW w:w="0" w:type="auto"/>
        <w:tblLayout w:type="fixed"/>
        <w:tblLook w:val="0000" w:firstRow="0" w:lastRow="0" w:firstColumn="0" w:lastColumn="0" w:noHBand="0" w:noVBand="0"/>
      </w:tblPr>
      <w:tblGrid>
        <w:gridCol w:w="3206"/>
        <w:gridCol w:w="3206"/>
        <w:gridCol w:w="3206"/>
      </w:tblGrid>
      <w:tr w:rsidR="00CF0697" w:rsidRPr="007B5903">
        <w:tblPrEx>
          <w:tblCellMar>
            <w:top w:w="0" w:type="dxa"/>
            <w:bottom w:w="0" w:type="dxa"/>
          </w:tblCellMar>
        </w:tblPrEx>
        <w:tc>
          <w:tcPr>
            <w:tcW w:w="3206" w:type="dxa"/>
          </w:tcPr>
          <w:p w:rsidR="00CF0697" w:rsidRPr="007B5903" w:rsidRDefault="00CF0697" w:rsidP="00CF0697">
            <w:pPr>
              <w:pStyle w:val="Tabele"/>
            </w:pPr>
            <w:r w:rsidRPr="007B5903">
              <w:t>ANËTAR</w:t>
            </w:r>
          </w:p>
        </w:tc>
        <w:tc>
          <w:tcPr>
            <w:tcW w:w="3206" w:type="dxa"/>
          </w:tcPr>
          <w:p w:rsidR="00CF0697" w:rsidRPr="007B5903" w:rsidRDefault="00CF0697" w:rsidP="00CF0697">
            <w:pPr>
              <w:pStyle w:val="Tabele"/>
            </w:pPr>
            <w:r w:rsidRPr="007B5903">
              <w:t>ANËTAR</w:t>
            </w:r>
          </w:p>
        </w:tc>
        <w:tc>
          <w:tcPr>
            <w:tcW w:w="3206" w:type="dxa"/>
          </w:tcPr>
          <w:p w:rsidR="00CF0697" w:rsidRPr="007B5903" w:rsidRDefault="00CF0697" w:rsidP="00CF0697">
            <w:pPr>
              <w:pStyle w:val="Tabele"/>
            </w:pPr>
            <w:r w:rsidRPr="007B5903">
              <w:t>KRYESUES</w:t>
            </w:r>
          </w:p>
        </w:tc>
      </w:tr>
      <w:tr w:rsidR="00CF0697" w:rsidRPr="007B5903">
        <w:tblPrEx>
          <w:tblCellMar>
            <w:top w:w="0" w:type="dxa"/>
            <w:bottom w:w="0" w:type="dxa"/>
          </w:tblCellMar>
        </w:tblPrEx>
        <w:tc>
          <w:tcPr>
            <w:tcW w:w="3206" w:type="dxa"/>
          </w:tcPr>
          <w:p w:rsidR="00CF0697" w:rsidRPr="007B5903" w:rsidRDefault="00CF0697" w:rsidP="00CF0697">
            <w:pPr>
              <w:pStyle w:val="Tabele"/>
            </w:pPr>
            <w:r w:rsidRPr="007B5903">
              <w:t>Kundra</w:t>
            </w:r>
          </w:p>
        </w:tc>
        <w:tc>
          <w:tcPr>
            <w:tcW w:w="3206" w:type="dxa"/>
          </w:tcPr>
          <w:p w:rsidR="00CF0697" w:rsidRPr="007B5903" w:rsidRDefault="00CF0697" w:rsidP="00CF0697">
            <w:pPr>
              <w:pStyle w:val="Tabele"/>
            </w:pPr>
            <w:r w:rsidRPr="007B5903">
              <w:t>A.Hoxha</w:t>
            </w:r>
          </w:p>
        </w:tc>
        <w:tc>
          <w:tcPr>
            <w:tcW w:w="3206" w:type="dxa"/>
          </w:tcPr>
          <w:p w:rsidR="00CF0697" w:rsidRPr="007B5903" w:rsidRDefault="00CF0697" w:rsidP="00CF0697">
            <w:pPr>
              <w:pStyle w:val="Tabele"/>
            </w:pPr>
            <w:r w:rsidRPr="007B5903">
              <w:t>Th.Kondi</w:t>
            </w:r>
          </w:p>
        </w:tc>
      </w:tr>
      <w:tr w:rsidR="00CF0697" w:rsidRPr="007B5903">
        <w:tblPrEx>
          <w:tblCellMar>
            <w:top w:w="0" w:type="dxa"/>
            <w:bottom w:w="0" w:type="dxa"/>
          </w:tblCellMar>
        </w:tblPrEx>
        <w:tc>
          <w:tcPr>
            <w:tcW w:w="3206" w:type="dxa"/>
          </w:tcPr>
          <w:p w:rsidR="00CF0697" w:rsidRPr="007B5903" w:rsidRDefault="00CF0697" w:rsidP="00CF0697">
            <w:pPr>
              <w:pStyle w:val="Tabele"/>
            </w:pPr>
            <w:r w:rsidRPr="007B5903">
              <w:t>N. Kita</w:t>
            </w:r>
          </w:p>
        </w:tc>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r>
      <w:tr w:rsidR="00CF0697" w:rsidRPr="007B5903">
        <w:tblPrEx>
          <w:tblCellMar>
            <w:top w:w="0" w:type="dxa"/>
            <w:bottom w:w="0" w:type="dxa"/>
          </w:tblCellMar>
        </w:tblPrEx>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r>
      <w:tr w:rsidR="00CF0697" w:rsidRPr="007B5903">
        <w:tblPrEx>
          <w:tblCellMar>
            <w:top w:w="0" w:type="dxa"/>
            <w:bottom w:w="0" w:type="dxa"/>
          </w:tblCellMar>
        </w:tblPrEx>
        <w:tc>
          <w:tcPr>
            <w:tcW w:w="3206" w:type="dxa"/>
          </w:tcPr>
          <w:p w:rsidR="00CF0697" w:rsidRPr="007B5903" w:rsidRDefault="00CF0697" w:rsidP="00CF0697">
            <w:pPr>
              <w:pStyle w:val="Tabele"/>
            </w:pPr>
            <w:r w:rsidRPr="007B5903">
              <w:t>ANËTAR</w:t>
            </w:r>
          </w:p>
        </w:tc>
        <w:tc>
          <w:tcPr>
            <w:tcW w:w="3206" w:type="dxa"/>
          </w:tcPr>
          <w:p w:rsidR="00CF0697" w:rsidRPr="007B5903" w:rsidRDefault="00CF0697" w:rsidP="00CF0697">
            <w:pPr>
              <w:pStyle w:val="Tabele"/>
            </w:pPr>
            <w:r w:rsidRPr="007B5903">
              <w:t>ANËTAR</w:t>
            </w:r>
          </w:p>
        </w:tc>
        <w:tc>
          <w:tcPr>
            <w:tcW w:w="3206" w:type="dxa"/>
          </w:tcPr>
          <w:p w:rsidR="00CF0697" w:rsidRPr="007B5903" w:rsidRDefault="00CF0697" w:rsidP="00CF0697">
            <w:pPr>
              <w:pStyle w:val="Tabele"/>
            </w:pPr>
            <w:r w:rsidRPr="007B5903">
              <w:t>ANËTAR</w:t>
            </w:r>
          </w:p>
        </w:tc>
      </w:tr>
      <w:tr w:rsidR="00CF0697" w:rsidRPr="007B5903">
        <w:tblPrEx>
          <w:tblCellMar>
            <w:top w:w="0" w:type="dxa"/>
            <w:bottom w:w="0" w:type="dxa"/>
          </w:tblCellMar>
        </w:tblPrEx>
        <w:tc>
          <w:tcPr>
            <w:tcW w:w="3206" w:type="dxa"/>
          </w:tcPr>
          <w:p w:rsidR="00CF0697" w:rsidRPr="007B5903" w:rsidRDefault="00CF0697" w:rsidP="00CF0697">
            <w:pPr>
              <w:pStyle w:val="Tabele"/>
            </w:pPr>
            <w:r w:rsidRPr="007B5903">
              <w:lastRenderedPageBreak/>
              <w:t>N.Sheshi</w:t>
            </w:r>
          </w:p>
        </w:tc>
        <w:tc>
          <w:tcPr>
            <w:tcW w:w="3206" w:type="dxa"/>
          </w:tcPr>
          <w:p w:rsidR="00CF0697" w:rsidRPr="007B5903" w:rsidRDefault="00CF0697" w:rsidP="00CF0697">
            <w:pPr>
              <w:pStyle w:val="Tabele"/>
            </w:pPr>
            <w:r w:rsidRPr="007B5903">
              <w:t>Kundra</w:t>
            </w:r>
          </w:p>
        </w:tc>
        <w:tc>
          <w:tcPr>
            <w:tcW w:w="3206" w:type="dxa"/>
          </w:tcPr>
          <w:p w:rsidR="00CF0697" w:rsidRPr="007B5903" w:rsidRDefault="00CF0697" w:rsidP="00CF0697">
            <w:pPr>
              <w:pStyle w:val="Tabele"/>
            </w:pPr>
            <w:r w:rsidRPr="007B5903">
              <w:t>Y Myrtja</w:t>
            </w:r>
          </w:p>
        </w:tc>
      </w:tr>
      <w:tr w:rsidR="00CF0697" w:rsidRPr="007B5903">
        <w:tblPrEx>
          <w:tblCellMar>
            <w:top w:w="0" w:type="dxa"/>
            <w:bottom w:w="0" w:type="dxa"/>
          </w:tblCellMar>
        </w:tblPrEx>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r w:rsidRPr="007B5903">
              <w:t>B.Caka</w:t>
            </w:r>
          </w:p>
        </w:tc>
        <w:tc>
          <w:tcPr>
            <w:tcW w:w="3206" w:type="dxa"/>
          </w:tcPr>
          <w:p w:rsidR="00CF0697" w:rsidRPr="007B5903" w:rsidRDefault="00CF0697" w:rsidP="00CF0697">
            <w:pPr>
              <w:pStyle w:val="Tabele"/>
            </w:pPr>
          </w:p>
        </w:tc>
      </w:tr>
      <w:tr w:rsidR="00CF0697" w:rsidRPr="007B5903">
        <w:tblPrEx>
          <w:tblCellMar>
            <w:top w:w="0" w:type="dxa"/>
            <w:bottom w:w="0" w:type="dxa"/>
          </w:tblCellMar>
        </w:tblPrEx>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r>
      <w:tr w:rsidR="00CF0697" w:rsidRPr="007B5903">
        <w:tblPrEx>
          <w:tblCellMar>
            <w:top w:w="0" w:type="dxa"/>
            <w:bottom w:w="0" w:type="dxa"/>
          </w:tblCellMar>
        </w:tblPrEx>
        <w:tc>
          <w:tcPr>
            <w:tcW w:w="3206" w:type="dxa"/>
          </w:tcPr>
          <w:p w:rsidR="00CF0697" w:rsidRPr="007B5903" w:rsidRDefault="00CF0697" w:rsidP="00CF0697">
            <w:pPr>
              <w:pStyle w:val="Tabele"/>
            </w:pPr>
            <w:r w:rsidRPr="007B5903">
              <w:t>ANËTAR</w:t>
            </w:r>
          </w:p>
        </w:tc>
        <w:tc>
          <w:tcPr>
            <w:tcW w:w="3206" w:type="dxa"/>
          </w:tcPr>
          <w:p w:rsidR="00CF0697" w:rsidRPr="007B5903" w:rsidRDefault="00CF0697" w:rsidP="00CF0697">
            <w:pPr>
              <w:pStyle w:val="Tabele"/>
            </w:pPr>
            <w:r w:rsidRPr="007B5903">
              <w:t>ANËTAR</w:t>
            </w:r>
          </w:p>
        </w:tc>
        <w:tc>
          <w:tcPr>
            <w:tcW w:w="3206" w:type="dxa"/>
          </w:tcPr>
          <w:p w:rsidR="00CF0697" w:rsidRPr="007B5903" w:rsidRDefault="00CF0697" w:rsidP="00CF0697">
            <w:pPr>
              <w:pStyle w:val="Tabele"/>
            </w:pPr>
            <w:r w:rsidRPr="007B5903">
              <w:t>ANËTAR</w:t>
            </w:r>
          </w:p>
        </w:tc>
      </w:tr>
      <w:tr w:rsidR="00CF0697" w:rsidRPr="007B5903">
        <w:tblPrEx>
          <w:tblCellMar>
            <w:top w:w="0" w:type="dxa"/>
            <w:bottom w:w="0" w:type="dxa"/>
          </w:tblCellMar>
        </w:tblPrEx>
        <w:tc>
          <w:tcPr>
            <w:tcW w:w="3206" w:type="dxa"/>
          </w:tcPr>
          <w:p w:rsidR="00CF0697" w:rsidRPr="007B5903" w:rsidRDefault="00CF0697" w:rsidP="00CF0697">
            <w:pPr>
              <w:pStyle w:val="Tabele"/>
            </w:pPr>
            <w:r w:rsidRPr="007B5903">
              <w:t>M.Saraçi</w:t>
            </w:r>
          </w:p>
        </w:tc>
        <w:tc>
          <w:tcPr>
            <w:tcW w:w="3206" w:type="dxa"/>
          </w:tcPr>
          <w:p w:rsidR="00CF0697" w:rsidRPr="007B5903" w:rsidRDefault="00CF0697" w:rsidP="00CF0697">
            <w:pPr>
              <w:pStyle w:val="Tabele"/>
            </w:pPr>
            <w:r w:rsidRPr="007B5903">
              <w:t>V.Kosta</w:t>
            </w:r>
          </w:p>
        </w:tc>
        <w:tc>
          <w:tcPr>
            <w:tcW w:w="3206" w:type="dxa"/>
          </w:tcPr>
          <w:p w:rsidR="00CF0697" w:rsidRPr="007B5903" w:rsidRDefault="00CF0697" w:rsidP="00CF0697">
            <w:pPr>
              <w:pStyle w:val="Tabele"/>
            </w:pPr>
            <w:r w:rsidRPr="007B5903">
              <w:t>T.Zaka</w:t>
            </w:r>
          </w:p>
        </w:tc>
      </w:tr>
      <w:tr w:rsidR="00CF0697" w:rsidRPr="007B5903">
        <w:tblPrEx>
          <w:tblCellMar>
            <w:top w:w="0" w:type="dxa"/>
            <w:bottom w:w="0" w:type="dxa"/>
          </w:tblCellMar>
        </w:tblPrEx>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r>
      <w:tr w:rsidR="00CF0697" w:rsidRPr="007B5903">
        <w:tblPrEx>
          <w:tblCellMar>
            <w:top w:w="0" w:type="dxa"/>
            <w:bottom w:w="0" w:type="dxa"/>
          </w:tblCellMar>
        </w:tblPrEx>
        <w:tc>
          <w:tcPr>
            <w:tcW w:w="3206" w:type="dxa"/>
          </w:tcPr>
          <w:p w:rsidR="00CF0697" w:rsidRPr="007B5903" w:rsidRDefault="00CF0697" w:rsidP="00CF0697">
            <w:pPr>
              <w:pStyle w:val="Tabele"/>
            </w:pPr>
            <w:r w:rsidRPr="007B5903">
              <w:t>ANËTAR</w:t>
            </w:r>
          </w:p>
        </w:tc>
        <w:tc>
          <w:tcPr>
            <w:tcW w:w="3206" w:type="dxa"/>
          </w:tcPr>
          <w:p w:rsidR="00CF0697" w:rsidRPr="007B5903" w:rsidRDefault="00CF0697" w:rsidP="00CF0697">
            <w:pPr>
              <w:pStyle w:val="Tabele"/>
            </w:pPr>
            <w:r w:rsidRPr="007B5903">
              <w:t>ANËTAR</w:t>
            </w:r>
          </w:p>
        </w:tc>
        <w:tc>
          <w:tcPr>
            <w:tcW w:w="3206" w:type="dxa"/>
          </w:tcPr>
          <w:p w:rsidR="00CF0697" w:rsidRPr="007B5903" w:rsidRDefault="00CF0697" w:rsidP="00CF0697">
            <w:pPr>
              <w:pStyle w:val="Tabele"/>
            </w:pPr>
            <w:r w:rsidRPr="007B5903">
              <w:t>ANËTAR</w:t>
            </w:r>
          </w:p>
        </w:tc>
      </w:tr>
      <w:tr w:rsidR="00CF0697" w:rsidRPr="007B5903">
        <w:tblPrEx>
          <w:tblCellMar>
            <w:top w:w="0" w:type="dxa"/>
            <w:bottom w:w="0" w:type="dxa"/>
          </w:tblCellMar>
        </w:tblPrEx>
        <w:tc>
          <w:tcPr>
            <w:tcW w:w="3206" w:type="dxa"/>
          </w:tcPr>
          <w:p w:rsidR="00CF0697" w:rsidRPr="007B5903" w:rsidRDefault="00CF0697" w:rsidP="00CF0697">
            <w:pPr>
              <w:pStyle w:val="Tabele"/>
            </w:pPr>
            <w:r w:rsidRPr="007B5903">
              <w:t>Z.Poda</w:t>
            </w:r>
          </w:p>
        </w:tc>
        <w:tc>
          <w:tcPr>
            <w:tcW w:w="3206" w:type="dxa"/>
          </w:tcPr>
          <w:p w:rsidR="00CF0697" w:rsidRPr="007B5903" w:rsidRDefault="00CF0697" w:rsidP="00CF0697">
            <w:pPr>
              <w:pStyle w:val="Tabele"/>
            </w:pPr>
            <w:r w:rsidRPr="007B5903">
              <w:t>V.Bineri</w:t>
            </w:r>
          </w:p>
        </w:tc>
        <w:tc>
          <w:tcPr>
            <w:tcW w:w="3206" w:type="dxa"/>
          </w:tcPr>
          <w:p w:rsidR="00CF0697" w:rsidRPr="007B5903" w:rsidRDefault="00CF0697" w:rsidP="00CF0697">
            <w:pPr>
              <w:pStyle w:val="Tabele"/>
            </w:pPr>
            <w:r w:rsidRPr="007B5903">
              <w:t>V.Metani</w:t>
            </w:r>
          </w:p>
        </w:tc>
      </w:tr>
      <w:tr w:rsidR="00CF0697" w:rsidRPr="007B5903">
        <w:tblPrEx>
          <w:tblCellMar>
            <w:top w:w="0" w:type="dxa"/>
            <w:bottom w:w="0" w:type="dxa"/>
          </w:tblCellMar>
        </w:tblPrEx>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p>
        </w:tc>
      </w:tr>
      <w:tr w:rsidR="00CF0697" w:rsidRPr="007B5903">
        <w:tblPrEx>
          <w:tblCellMar>
            <w:top w:w="0" w:type="dxa"/>
            <w:bottom w:w="0" w:type="dxa"/>
          </w:tblCellMar>
        </w:tblPrEx>
        <w:tc>
          <w:tcPr>
            <w:tcW w:w="3206" w:type="dxa"/>
          </w:tcPr>
          <w:p w:rsidR="00CF0697" w:rsidRPr="007B5903" w:rsidRDefault="00CF0697" w:rsidP="00CF0697">
            <w:pPr>
              <w:pStyle w:val="Tabele"/>
            </w:pPr>
          </w:p>
        </w:tc>
        <w:tc>
          <w:tcPr>
            <w:tcW w:w="3206" w:type="dxa"/>
          </w:tcPr>
          <w:p w:rsidR="00CF0697" w:rsidRPr="007B5903" w:rsidRDefault="00CF0697" w:rsidP="00CF0697">
            <w:pPr>
              <w:pStyle w:val="Tabele"/>
            </w:pPr>
            <w:r w:rsidRPr="007B5903">
              <w:t>L.H</w:t>
            </w:r>
          </w:p>
        </w:tc>
        <w:tc>
          <w:tcPr>
            <w:tcW w:w="3206" w:type="dxa"/>
          </w:tcPr>
          <w:p w:rsidR="00CF0697" w:rsidRPr="007B5903" w:rsidRDefault="00CF0697" w:rsidP="00CF0697">
            <w:pPr>
              <w:pStyle w:val="Tabele"/>
            </w:pPr>
          </w:p>
        </w:tc>
      </w:tr>
    </w:tbl>
    <w:p w:rsidR="00CF0697" w:rsidRPr="007B5903" w:rsidRDefault="00CF0697" w:rsidP="00CF0697">
      <w:pPr>
        <w:pStyle w:val="Paragrafi"/>
      </w:pPr>
    </w:p>
    <w:p w:rsidR="00CF0697" w:rsidRPr="007B5903" w:rsidRDefault="00CF0697" w:rsidP="00CF0697">
      <w:pPr>
        <w:pStyle w:val="Paragrafi"/>
      </w:pPr>
    </w:p>
    <w:p w:rsidR="00CF0697" w:rsidRPr="007B5903" w:rsidRDefault="00CF0697" w:rsidP="00CF0697">
      <w:pPr>
        <w:pStyle w:val="Paragrafi"/>
      </w:pPr>
    </w:p>
    <w:p w:rsidR="00CF0697" w:rsidRPr="000C792A" w:rsidRDefault="00CF0697" w:rsidP="00CF0697">
      <w:pPr>
        <w:pStyle w:val="TitulliTitull"/>
        <w:rPr>
          <w:b/>
        </w:rPr>
      </w:pPr>
      <w:r w:rsidRPr="000C792A">
        <w:rPr>
          <w:b/>
        </w:rPr>
        <w:t>MENDIM I PAKICËS</w:t>
      </w:r>
    </w:p>
    <w:p w:rsidR="00CF0697" w:rsidRPr="007B5903" w:rsidRDefault="00CF0697" w:rsidP="00CF0697">
      <w:pPr>
        <w:pStyle w:val="TitulliTitull"/>
      </w:pPr>
    </w:p>
    <w:p w:rsidR="00CF0697" w:rsidRPr="007B5903" w:rsidRDefault="00CF0697" w:rsidP="00CF0697">
      <w:pPr>
        <w:pStyle w:val="Paragrafi"/>
      </w:pPr>
      <w:r w:rsidRPr="007B5903">
        <w:t>Ndryshe nga sa konkludon shumica, kemi mendimin se mbrojtësi i zgjedhur nga të afërmit e të pandehurit legjitimohet të bëjë ankim kundër vendimit të dhënë në mungesë të të pandehurit.</w:t>
      </w:r>
    </w:p>
    <w:p w:rsidR="00CF0697" w:rsidRPr="007B5903" w:rsidRDefault="00CF0697" w:rsidP="00CF0697">
      <w:pPr>
        <w:pStyle w:val="Paragrafi"/>
      </w:pPr>
      <w:r w:rsidRPr="007B5903">
        <w:t>Të pandehurit Baki dhe Albert Huqi  janë akuzuar për vrasje në bashkëpunim  sipas nenit 76 të Kodit Penal.</w:t>
      </w:r>
    </w:p>
    <w:p w:rsidR="00CF0697" w:rsidRPr="007B5903" w:rsidRDefault="00CF0697" w:rsidP="00CF0697">
      <w:pPr>
        <w:pStyle w:val="Paragrafi"/>
      </w:pPr>
      <w:r w:rsidRPr="007B5903">
        <w:t>Ndonëse janë njoftuar dhe kërkuar nga organi procedues i akuzës nuk janë paraqitur. Po ashtu nuk janë paraqitur  as edhe në gjykimin e çështjes  prandaj në bazë të nenit  141 të K.Pr.Penale  eshtë marrë vendim për mosgjetjen e tyre dhe në bazë  të nenit 351 të K.Pr.Penale  gjykata ka deklaruar mungesën  e të pandehurve. Konform dispozitave të lartëpërmendura  në rast se i pandehuri nuk ka mbrojtës organi procedues  ka detyrimin që të pandehurit  në mungesë t’i caktojë  një mbrojtës kryesisht  që ta përfaqësojë, veprim i cili nuk është  kryer nga organi procedues, për shkak se të afërmit  e të pandehurit kanë zgjedhur mbrojtësi i cili pasi  është pajisur me akt përfaqësimi  të përpiluar përpara noterit  ka marrë të drejtën për t’i mbrojtur dhe përfaqësuar  të pandehurit në të gjitha shkallët e gjykimit.</w:t>
      </w:r>
    </w:p>
    <w:p w:rsidR="00CF0697" w:rsidRPr="007B5903" w:rsidRDefault="00CF0697" w:rsidP="00CF0697">
      <w:pPr>
        <w:pStyle w:val="Paragrafi"/>
      </w:pPr>
      <w:r w:rsidRPr="007B5903">
        <w:t>Në këto rrethana përderisa mbrojtësi është zgjedhur nga të afërmit e të pandehurit,  e drejtë e tyre kjo bazuar  në nenin 48/2/3 të K.Pr.Penale  dhe është pajisur me akt përfaqësimi noterial , mendojmë se ankimi i tij gjen  mbështetje në nenin 410 /2  të K.Pr.Penale dhe duhet të investojë gjykatën  për shqyrtimin e çështjes. Në bazë të kësaj dispozite  kundër vendimit të dhënë në mungesë  mbrojtësi mund të bëjë ankim vetëm  kur është pajisur me  akt përfaqësimi në format e parashikuara në ligj, pra jo në çdo formë  por vetëm në format ligjore  një prej të cilave është edhe dhënia  e aktit të përfaqësimit  nga të afërmit e të pandehurit  sipas nenit 48/2/3 të K.Pr.Penale. Duke ju referuar përmbajtjes së neneve 141 dhe 351 të K.Pr.Penale pas marrjes së vendimit për mosgjetjen  e të pandehurit dhe deklarimit të mungesës  organi procedues ka detyrimin  ligjor të caktojë një mbrojtës  kryesisht që e përfaqëson të pandehurin. Nga terminologjia  e përdorur, konstatohet,  se në këtë rast mbrojtësi nuk është  vetën ndihmës për garantimin  e të drejtave proceduriale  dhe mbrojtjen e interesave  të të pandehurit,  por edhe përfaqësuesi i tij  me të drejtat që përmenden  në aktin e përfaqësimit. Pra, përderisa  është respektuar  forma ligjore , mbrojtësi përfaqësues  mund të bëjë ankim kundër vendimit  të gjykatës  edhe pa dijeninë e të pandehurit.</w:t>
      </w:r>
    </w:p>
    <w:p w:rsidR="00CF0697" w:rsidRPr="007B5903" w:rsidRDefault="00CF0697" w:rsidP="00CF0697">
      <w:pPr>
        <w:pStyle w:val="Paragrafi"/>
      </w:pPr>
      <w:r w:rsidRPr="007B5903">
        <w:t>Për rastin  konkret nuk cënohet e drejta  e të pandehurit për të bërë  vetë ankim  kundër vendimit,   sepse nenet 410/1/2 të K.Pr.Penale, krahas të pandehurit nuk përjashtojnë  as të drejtën  e mbrojtësit për të bërë ankim, por gjithmonë me pëlqimin  e të pandehurit, kur ky është i pranishëm  dhe kur pajiset me akt përfaqësimi në format  e parashikuara në ligj, kur ai është në mungesë  si është dhënia e aktit të përfaqësimit  nga të afërmit e të pandehurit  sipas nenit  48/1/ 2 të K.Pr.Penale . Në këto kushte  mendojmë, se nuk veprohet  as në kundërshtim  me përmbajtjen  e nenit 50 pika 1 e K.Pr.Penale ku thuhet, se mbrojtësi i ka të drejtat që ligji i njeh  të pandehurit përveç atyre që i rezervohen  personalisht këtij të fundit.</w:t>
      </w:r>
    </w:p>
    <w:p w:rsidR="00CF0697" w:rsidRPr="007B5903" w:rsidRDefault="00CF0697" w:rsidP="00CF0697">
      <w:pPr>
        <w:pStyle w:val="Paragrafi"/>
      </w:pPr>
      <w:r w:rsidRPr="007B5903">
        <w:t>Në pamundësi që i pandehuri të bëjë vetë zgjedhjen, mbrojtësi i zgjedhur nga të afërmit e tij nuk cënon, por mbron dhe garanton të drejtat proceduriale të të pandehurit në mungesë.</w:t>
      </w:r>
    </w:p>
    <w:p w:rsidR="00CF0697" w:rsidRPr="007B5903" w:rsidRDefault="00CF0697" w:rsidP="00CF0697">
      <w:pPr>
        <w:pStyle w:val="Paragrafi"/>
      </w:pPr>
      <w:r w:rsidRPr="007B5903">
        <w:t xml:space="preserve">Pas shpalljes së vendimit dhe njoftimeve përkatëse sipas neneve 384 dhe 386 të K.Pr.Penale për të pandehurin në mungesë vendimi merr formën e prerë  dhe mund të vihet në ekzekutim në çdo kohë. Fakti që në bazë të nenit 147/2 i K.Pr.Penale i pandehuri ka të drejtë, të kërkojë rivendosjen në </w:t>
      </w:r>
      <w:r w:rsidRPr="007B5903">
        <w:lastRenderedPageBreak/>
        <w:t xml:space="preserve">afat  nuk do të thotë se atij i është garantuar  e drejta e ankimit sepse kjo varet nga çmuarja  që do të bëjë pë çdo rast organi i procedurës që do të marrë në shqyrtim kërkesën.                                                           </w:t>
      </w:r>
    </w:p>
    <w:p w:rsidR="00CF0697" w:rsidRPr="007B5903" w:rsidRDefault="00CF0697" w:rsidP="00CF0697">
      <w:pPr>
        <w:pStyle w:val="Paragrafi"/>
      </w:pPr>
      <w:r w:rsidRPr="007B5903">
        <w:t xml:space="preserve"> Përveç sa sipër vendimi mund të ankimohet nga të pandehur të tjerë të pranishëm që akuzohen  në bashkëpunim me të pandehurin në mungesë ose nga palë të tjera  në proces si prokurori etj., mbi ankimin e të cilit  në bazë të nenit 425 pika 2/a,b,c e K.Pr.Penale  edhe mund të rëndohet pozita  e të pandehurit në mungesë dhe pasi të kalohen  të gjitha shkallët e gjykimit  duke u shqyrtuar çështja në tërësi  vendimi të marrë formën e prerë edhe për  të pandehurin në mungesë. Kështu atij i hiqet mundësia që të kërkonte  qoftë edhe rivendosjen e afatit të ankimit. Sipas nenit 147/2, 148 të K.Pr.Penale  kjo e drejtë mund të realizohej derisa  çështja është për shqyrtim  në një nga shkallët e procesit  gjyqësor, ndërsa pas përfundimit  të procesit deri në Gjykatën e Lartë  nga pikëpamja proceduriale  nuk mund të bëhet më fjalë për rivendosje në afat të ankimit, sepse gjykatat nuk mund të dispononin më  mbi vendimet e mëparshme. Ato nuk mund të gjykonin më sërish  për të njëjtin person  dhe për të njëjtën vepër penale, ndryshe do të vepronin në kundërshtim me nenin 34 të Kushtetutës së Republikës së Shqipërisë. Pra pas ankimit të palëve të tjera në proces vendimi merr formën e prerë  edhe për të pandehurin në mungesë, ndërsa këtij të fundit që nuk ka mundësi të zgjedhë vetë i mohohet edhe e drejta e ankimit nëpërmjet mbrojtësit të zgjedhur nga familjarët e tij sipas nenit 48/2/3 të K.Pr.Penale, pra i mohohet e drejta të ankimojë  një vendim që e deklaron  fajtor dhe e dënon për një vepër penale.</w:t>
      </w:r>
    </w:p>
    <w:p w:rsidR="00CF0697" w:rsidRPr="007B5903" w:rsidRDefault="00CF0697" w:rsidP="00CF0697">
      <w:pPr>
        <w:pStyle w:val="Paragrafi"/>
      </w:pPr>
      <w:r w:rsidRPr="007B5903">
        <w:t>Duke parë e vlerësuar në tërësi të gjitha dispozitat e lartëpërmendura  konstatojmë, se pozita e të pandehurit në mungesë në aspektin procedurial është më e mbrojtur duke legjitimuar mbrojtësin  e zgjedhur nga familjarët të bëjë ankim kundër vendimit të dhënë në mungesë ndërsa moslegjitimimi i tij ndikon për mosgarantimin  e të drejtave proceduriale, mbrojtjen  e  interesave të të pandehurit  dhe në tërësi pengon zhvillimin e një procesi të rregullt ligjor  konform kërkesave të nenit 31 të Kushtetutës  së Republikës së Shqipërisë.</w:t>
      </w:r>
    </w:p>
    <w:p w:rsidR="00CF0697" w:rsidRPr="007B5903" w:rsidRDefault="00CF0697" w:rsidP="00CF0697">
      <w:pPr>
        <w:pStyle w:val="Paragrafi"/>
      </w:pPr>
    </w:p>
    <w:p w:rsidR="00CF0697" w:rsidRPr="007B5903" w:rsidRDefault="00CF0697" w:rsidP="00CF0697">
      <w:pPr>
        <w:pStyle w:val="Paragrafi"/>
      </w:pPr>
      <w:r w:rsidRPr="007B5903">
        <w:t xml:space="preserve">B.Caka </w:t>
      </w:r>
      <w:r w:rsidR="00D3036C">
        <w:tab/>
      </w:r>
      <w:r w:rsidR="00D3036C">
        <w:tab/>
      </w:r>
      <w:r w:rsidR="00D3036C">
        <w:tab/>
      </w:r>
      <w:r w:rsidR="00D3036C">
        <w:tab/>
      </w:r>
      <w:r w:rsidR="00D3036C">
        <w:tab/>
      </w:r>
      <w:r w:rsidR="00D3036C">
        <w:tab/>
      </w:r>
      <w:r w:rsidR="00D3036C">
        <w:tab/>
      </w:r>
      <w:r w:rsidRPr="007B5903">
        <w:t>N.Kita</w:t>
      </w:r>
    </w:p>
    <w:p w:rsidR="00D3036C" w:rsidRDefault="00D3036C" w:rsidP="00CF0697">
      <w:pPr>
        <w:pStyle w:val="Paragrafi"/>
      </w:pPr>
    </w:p>
    <w:p w:rsidR="00CF0697" w:rsidRPr="007B5903" w:rsidRDefault="00CF0697" w:rsidP="00CF0697">
      <w:pPr>
        <w:pStyle w:val="Paragrafi"/>
      </w:pPr>
      <w:r w:rsidRPr="007B5903">
        <w:t>Nr</w:t>
      </w:r>
      <w:r w:rsidR="00D3036C">
        <w:t>.</w:t>
      </w:r>
      <w:r w:rsidRPr="007B5903">
        <w:t xml:space="preserve"> 156 i Regj. Themeltar.</w:t>
      </w:r>
    </w:p>
    <w:p w:rsidR="00A0784B" w:rsidRPr="007732C8" w:rsidRDefault="00CF0697" w:rsidP="00D3036C">
      <w:pPr>
        <w:pStyle w:val="Paragrafi"/>
      </w:pPr>
      <w:r w:rsidRPr="007B5903">
        <w:t>Nr. 386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C792A"/>
    <w:rsid w:val="00134ADF"/>
    <w:rsid w:val="00187855"/>
    <w:rsid w:val="001A58B2"/>
    <w:rsid w:val="001C7978"/>
    <w:rsid w:val="00220D3B"/>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86829"/>
    <w:rsid w:val="007B0B5A"/>
    <w:rsid w:val="007D19F3"/>
    <w:rsid w:val="0080475E"/>
    <w:rsid w:val="008072B9"/>
    <w:rsid w:val="008105AD"/>
    <w:rsid w:val="00841EC5"/>
    <w:rsid w:val="008521B4"/>
    <w:rsid w:val="00872000"/>
    <w:rsid w:val="00881600"/>
    <w:rsid w:val="008B2C4A"/>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0697"/>
    <w:rsid w:val="00CF2E64"/>
    <w:rsid w:val="00D1319A"/>
    <w:rsid w:val="00D3036C"/>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8E26596-D6EE-4C1C-8A4E-818FB86CE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69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2734</Words>
  <Characters>15588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2019-03-14T10:48:00Z</dcterms:created>
  <dcterms:modified xsi:type="dcterms:W3CDTF">2019-03-14T10:48:00Z</dcterms:modified>
</cp:coreProperties>
</file>