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12CB" w:rsidRPr="003B5769" w:rsidRDefault="007412CB" w:rsidP="007412CB">
      <w:pPr>
        <w:pStyle w:val="NumriData"/>
      </w:pPr>
      <w:bookmarkStart w:id="0" w:name="_GoBack"/>
      <w:bookmarkEnd w:id="0"/>
      <w:r w:rsidRPr="003B5769">
        <w:t>VENDIM</w:t>
      </w:r>
    </w:p>
    <w:p w:rsidR="007412CB" w:rsidRPr="003B5769" w:rsidRDefault="007412CB" w:rsidP="007412CB">
      <w:pPr>
        <w:pStyle w:val="NumriData"/>
      </w:pPr>
      <w:r w:rsidRPr="003B5769">
        <w:t>Nr.2, datë 30.6.2004</w:t>
      </w:r>
    </w:p>
    <w:p w:rsidR="007412CB" w:rsidRPr="002804A6" w:rsidRDefault="007412CB" w:rsidP="007412CB">
      <w:pPr>
        <w:pStyle w:val="Paragrafi"/>
        <w:rPr>
          <w:sz w:val="16"/>
        </w:rPr>
      </w:pPr>
    </w:p>
    <w:p w:rsidR="007412CB" w:rsidRPr="003B5769" w:rsidRDefault="007412CB" w:rsidP="007412CB">
      <w:pPr>
        <w:pStyle w:val="TitulliTitull"/>
      </w:pPr>
      <w:r w:rsidRPr="003B5769">
        <w:t>NË EMËR TË REPUBLIKËS</w:t>
      </w:r>
      <w:r>
        <w:t xml:space="preserve"> SË SHQIPËRISË</w:t>
      </w:r>
    </w:p>
    <w:p w:rsidR="007412CB" w:rsidRPr="002804A6" w:rsidRDefault="007412CB" w:rsidP="007412CB">
      <w:pPr>
        <w:pStyle w:val="Paragrafi"/>
        <w:rPr>
          <w:sz w:val="16"/>
        </w:rPr>
      </w:pPr>
    </w:p>
    <w:p w:rsidR="007412CB" w:rsidRPr="003B5769" w:rsidRDefault="007412CB" w:rsidP="007412CB">
      <w:pPr>
        <w:pStyle w:val="Paragrafi"/>
      </w:pPr>
      <w:r w:rsidRPr="003B5769">
        <w:t>Kolegjet e Bashkuara të Gjykatës së Lartë të përbëra nga:</w:t>
      </w:r>
    </w:p>
    <w:p w:rsidR="007412CB" w:rsidRPr="003B5769" w:rsidRDefault="007412CB" w:rsidP="007412CB">
      <w:pPr>
        <w:pStyle w:val="Paragrafi"/>
      </w:pPr>
    </w:p>
    <w:p w:rsidR="007412CB" w:rsidRPr="003B5769" w:rsidRDefault="007412CB" w:rsidP="007412CB">
      <w:pPr>
        <w:pStyle w:val="Paragrafi"/>
      </w:pPr>
      <w:r w:rsidRPr="003B5769">
        <w:t>Thimjo Kondi</w:t>
      </w:r>
      <w:r w:rsidRPr="003B5769">
        <w:tab/>
      </w:r>
      <w:r>
        <w:tab/>
      </w:r>
      <w:r w:rsidRPr="003B5769">
        <w:t>Kryetar</w:t>
      </w:r>
    </w:p>
    <w:p w:rsidR="007412CB" w:rsidRPr="003B5769" w:rsidRDefault="007412CB" w:rsidP="007412CB">
      <w:pPr>
        <w:pStyle w:val="Paragrafi"/>
      </w:pPr>
      <w:r w:rsidRPr="003B5769">
        <w:t>Kristaq Ngjela</w:t>
      </w:r>
      <w:r w:rsidRPr="003B5769">
        <w:tab/>
      </w:r>
      <w:r w:rsidRPr="003B5769">
        <w:tab/>
        <w:t>Anëtar</w:t>
      </w:r>
    </w:p>
    <w:p w:rsidR="007412CB" w:rsidRPr="003B5769" w:rsidRDefault="007412CB" w:rsidP="007412CB">
      <w:pPr>
        <w:pStyle w:val="Paragrafi"/>
      </w:pPr>
      <w:r w:rsidRPr="003B5769">
        <w:t>Zamir Poda</w:t>
      </w:r>
      <w:r w:rsidRPr="003B5769">
        <w:tab/>
      </w:r>
      <w:r w:rsidRPr="003B5769">
        <w:tab/>
        <w:t xml:space="preserve"> Anëtar </w:t>
      </w:r>
    </w:p>
    <w:p w:rsidR="007412CB" w:rsidRPr="003B5769" w:rsidRDefault="007412CB" w:rsidP="007412CB">
      <w:pPr>
        <w:pStyle w:val="Paragrafi"/>
      </w:pPr>
      <w:r w:rsidRPr="003B5769">
        <w:t>Bashkim Caka</w:t>
      </w:r>
      <w:r w:rsidRPr="003B5769">
        <w:tab/>
      </w:r>
      <w:r w:rsidRPr="003B5769">
        <w:tab/>
        <w:t xml:space="preserve">Anëtar </w:t>
      </w:r>
    </w:p>
    <w:p w:rsidR="007412CB" w:rsidRPr="003B5769" w:rsidRDefault="007412CB" w:rsidP="007412CB">
      <w:pPr>
        <w:pStyle w:val="Paragrafi"/>
      </w:pPr>
      <w:r w:rsidRPr="003B5769">
        <w:t>Agron Lamaj</w:t>
      </w:r>
      <w:r w:rsidRPr="003B5769">
        <w:tab/>
      </w:r>
      <w:r>
        <w:tab/>
      </w:r>
      <w:r w:rsidRPr="003B5769">
        <w:t xml:space="preserve">Anëtar    </w:t>
      </w:r>
    </w:p>
    <w:p w:rsidR="007412CB" w:rsidRPr="003B5769" w:rsidRDefault="007412CB" w:rsidP="007412CB">
      <w:pPr>
        <w:pStyle w:val="Paragrafi"/>
      </w:pPr>
      <w:r w:rsidRPr="003B5769">
        <w:t>Perikli Zaharia</w:t>
      </w:r>
      <w:r w:rsidRPr="003B5769">
        <w:tab/>
        <w:t xml:space="preserve"> </w:t>
      </w:r>
      <w:r>
        <w:tab/>
      </w:r>
      <w:r w:rsidRPr="003B5769">
        <w:t xml:space="preserve">Anëtar </w:t>
      </w:r>
    </w:p>
    <w:p w:rsidR="007412CB" w:rsidRPr="003B5769" w:rsidRDefault="007412CB" w:rsidP="007412CB">
      <w:pPr>
        <w:pStyle w:val="Paragrafi"/>
      </w:pPr>
      <w:r w:rsidRPr="003B5769">
        <w:t>Evjeni Sinojmeri</w:t>
      </w:r>
      <w:r w:rsidRPr="003B5769">
        <w:tab/>
        <w:t>Anëtare</w:t>
      </w:r>
    </w:p>
    <w:p w:rsidR="007412CB" w:rsidRPr="003B5769" w:rsidRDefault="007412CB" w:rsidP="007412CB">
      <w:pPr>
        <w:pStyle w:val="Paragrafi"/>
      </w:pPr>
      <w:r w:rsidRPr="003B5769">
        <w:t>Vladimir Bineri</w:t>
      </w:r>
      <w:r w:rsidRPr="003B5769">
        <w:tab/>
      </w:r>
      <w:r>
        <w:tab/>
      </w:r>
      <w:r w:rsidRPr="003B5769">
        <w:t xml:space="preserve">Anëtar     </w:t>
      </w:r>
    </w:p>
    <w:p w:rsidR="007412CB" w:rsidRPr="003B5769" w:rsidRDefault="007412CB" w:rsidP="007412CB">
      <w:pPr>
        <w:pStyle w:val="Paragrafi"/>
      </w:pPr>
      <w:r w:rsidRPr="003B5769">
        <w:t>Ylvi Myrtja</w:t>
      </w:r>
      <w:r w:rsidRPr="003B5769">
        <w:tab/>
      </w:r>
      <w:r>
        <w:tab/>
      </w:r>
      <w:r w:rsidRPr="003B5769">
        <w:t xml:space="preserve">Anëtar     </w:t>
      </w:r>
    </w:p>
    <w:p w:rsidR="007412CB" w:rsidRPr="003B5769" w:rsidRDefault="007412CB" w:rsidP="007412CB">
      <w:pPr>
        <w:pStyle w:val="Paragrafi"/>
      </w:pPr>
      <w:r w:rsidRPr="003B5769">
        <w:t>Artan Hoxha</w:t>
      </w:r>
      <w:r w:rsidRPr="003B5769">
        <w:tab/>
      </w:r>
      <w:r>
        <w:tab/>
      </w:r>
      <w:r w:rsidRPr="003B5769">
        <w:t xml:space="preserve">Anëtar     </w:t>
      </w:r>
    </w:p>
    <w:p w:rsidR="007412CB" w:rsidRPr="003B5769" w:rsidRDefault="007412CB" w:rsidP="007412CB">
      <w:pPr>
        <w:pStyle w:val="Paragrafi"/>
      </w:pPr>
      <w:r w:rsidRPr="003B5769">
        <w:t>Nikoleta Kita</w:t>
      </w:r>
      <w:r w:rsidRPr="003B5769">
        <w:tab/>
      </w:r>
      <w:r>
        <w:tab/>
      </w:r>
      <w:r w:rsidRPr="003B5769">
        <w:t xml:space="preserve">Anëtare     </w:t>
      </w:r>
    </w:p>
    <w:p w:rsidR="007412CB" w:rsidRPr="003B5769" w:rsidRDefault="007412CB" w:rsidP="007412CB">
      <w:pPr>
        <w:pStyle w:val="Paragrafi"/>
      </w:pPr>
      <w:r w:rsidRPr="003B5769">
        <w:t>Vladimir Metani</w:t>
      </w:r>
      <w:r w:rsidRPr="003B5769">
        <w:tab/>
        <w:t xml:space="preserve">Anëtar     </w:t>
      </w:r>
    </w:p>
    <w:p w:rsidR="007412CB" w:rsidRPr="003B5769" w:rsidRDefault="007412CB" w:rsidP="007412CB">
      <w:pPr>
        <w:pStyle w:val="Paragrafi"/>
      </w:pPr>
      <w:r w:rsidRPr="003B5769">
        <w:t>Irma Bala</w:t>
      </w:r>
      <w:r w:rsidRPr="003B5769">
        <w:tab/>
      </w:r>
      <w:r>
        <w:tab/>
      </w:r>
      <w:r w:rsidRPr="003B5769">
        <w:t xml:space="preserve">Anëtare     </w:t>
      </w:r>
    </w:p>
    <w:p w:rsidR="007412CB" w:rsidRPr="003B5769" w:rsidRDefault="007412CB" w:rsidP="007412CB">
      <w:pPr>
        <w:pStyle w:val="Paragrafi"/>
      </w:pPr>
      <w:r w:rsidRPr="003B5769">
        <w:t>Spiro Spiro</w:t>
      </w:r>
      <w:r w:rsidRPr="003B5769">
        <w:tab/>
      </w:r>
      <w:r>
        <w:tab/>
      </w:r>
      <w:r w:rsidRPr="003B5769">
        <w:t xml:space="preserve">Anëtar     </w:t>
      </w:r>
    </w:p>
    <w:p w:rsidR="007412CB" w:rsidRPr="003B5769" w:rsidRDefault="007412CB" w:rsidP="007412CB">
      <w:pPr>
        <w:pStyle w:val="Paragrafi"/>
      </w:pPr>
      <w:r w:rsidRPr="003B5769">
        <w:t>Shpresa Beçaj</w:t>
      </w:r>
      <w:r w:rsidRPr="003B5769">
        <w:tab/>
      </w:r>
      <w:r>
        <w:tab/>
      </w:r>
      <w:r w:rsidRPr="003B5769">
        <w:t xml:space="preserve">Anëtare     </w:t>
      </w:r>
      <w:r w:rsidRPr="003B5769">
        <w:tab/>
      </w:r>
    </w:p>
    <w:p w:rsidR="007412CB" w:rsidRPr="002804A6" w:rsidRDefault="007412CB" w:rsidP="007412CB">
      <w:pPr>
        <w:pStyle w:val="Paragrafi"/>
        <w:rPr>
          <w:sz w:val="16"/>
        </w:rPr>
      </w:pPr>
    </w:p>
    <w:p w:rsidR="007412CB" w:rsidRPr="003B5769" w:rsidRDefault="007412CB" w:rsidP="007412CB">
      <w:pPr>
        <w:pStyle w:val="Paragrafi"/>
      </w:pPr>
      <w:r w:rsidRPr="003B5769">
        <w:t>në seancën gjyqësore të datës 30.6.2004 morën në shqyrtim çështjen penale nr.2, që i përket:</w:t>
      </w:r>
    </w:p>
    <w:p w:rsidR="007412CB" w:rsidRPr="002804A6" w:rsidRDefault="007412CB" w:rsidP="007412CB">
      <w:pPr>
        <w:pStyle w:val="Paragrafi"/>
        <w:rPr>
          <w:sz w:val="16"/>
        </w:rPr>
      </w:pPr>
    </w:p>
    <w:p w:rsidR="007412CB" w:rsidRPr="003B5769" w:rsidRDefault="007412CB" w:rsidP="007412CB">
      <w:pPr>
        <w:pStyle w:val="Paragrafi"/>
      </w:pPr>
      <w:r w:rsidRPr="003B5769">
        <w:t>TË PANDEHURVE:</w:t>
      </w:r>
      <w:r w:rsidRPr="003B5769">
        <w:tab/>
        <w:t>KUJTIM GJURA</w:t>
      </w:r>
    </w:p>
    <w:p w:rsidR="007412CB" w:rsidRPr="003B5769" w:rsidRDefault="007412CB" w:rsidP="007412CB">
      <w:pPr>
        <w:pStyle w:val="Paragrafi"/>
      </w:pPr>
      <w:r w:rsidRPr="003B5769">
        <w:tab/>
      </w:r>
      <w:r>
        <w:tab/>
      </w:r>
      <w:r>
        <w:tab/>
      </w:r>
      <w:r w:rsidRPr="003B5769">
        <w:t>KUJTIM DERVISHI</w:t>
      </w:r>
    </w:p>
    <w:p w:rsidR="007412CB" w:rsidRPr="003B5769" w:rsidRDefault="007412CB" w:rsidP="007412CB">
      <w:pPr>
        <w:pStyle w:val="Paragrafi"/>
      </w:pPr>
      <w:r w:rsidRPr="003B5769">
        <w:tab/>
      </w:r>
      <w:r>
        <w:tab/>
      </w:r>
      <w:r>
        <w:tab/>
      </w:r>
      <w:r w:rsidRPr="003B5769">
        <w:t>NAZMI ÇELA</w:t>
      </w:r>
    </w:p>
    <w:p w:rsidR="007412CB" w:rsidRPr="003B5769" w:rsidRDefault="007412CB" w:rsidP="007412CB">
      <w:pPr>
        <w:pStyle w:val="Paragrafi"/>
      </w:pPr>
      <w:r w:rsidRPr="003B5769">
        <w:tab/>
      </w:r>
      <w:r>
        <w:tab/>
      </w:r>
      <w:r>
        <w:tab/>
      </w:r>
      <w:r w:rsidRPr="003B5769">
        <w:t>AGIM DEMAJ</w:t>
      </w:r>
    </w:p>
    <w:p w:rsidR="007412CB" w:rsidRPr="003B5769" w:rsidRDefault="007412CB" w:rsidP="007412CB">
      <w:pPr>
        <w:pStyle w:val="Paragrafi"/>
      </w:pPr>
      <w:r w:rsidRPr="003B5769">
        <w:tab/>
      </w:r>
      <w:r>
        <w:tab/>
      </w:r>
      <w:r>
        <w:tab/>
      </w:r>
      <w:r w:rsidRPr="003B5769">
        <w:t>ILIR TOPI</w:t>
      </w:r>
    </w:p>
    <w:p w:rsidR="007412CB" w:rsidRPr="003B5769" w:rsidRDefault="007412CB" w:rsidP="007412CB">
      <w:pPr>
        <w:pStyle w:val="Paragrafi"/>
      </w:pPr>
      <w:r w:rsidRPr="003B5769">
        <w:tab/>
      </w:r>
      <w:r>
        <w:tab/>
      </w:r>
      <w:r>
        <w:tab/>
      </w:r>
      <w:r w:rsidRPr="003B5769">
        <w:t>ILIR DAUTI</w:t>
      </w:r>
      <w:r w:rsidRPr="003B5769">
        <w:tab/>
      </w:r>
      <w:r w:rsidRPr="003B5769">
        <w:tab/>
      </w:r>
      <w:r w:rsidRPr="003B5769">
        <w:tab/>
      </w:r>
      <w:r w:rsidRPr="003B5769">
        <w:tab/>
      </w:r>
      <w:r w:rsidRPr="003B5769">
        <w:tab/>
      </w:r>
      <w:r w:rsidRPr="003B5769">
        <w:tab/>
      </w:r>
      <w:r w:rsidRPr="003B5769">
        <w:tab/>
      </w:r>
    </w:p>
    <w:p w:rsidR="007412CB" w:rsidRPr="003B5769" w:rsidRDefault="007412CB" w:rsidP="007412CB">
      <w:pPr>
        <w:pStyle w:val="Paragrafi"/>
      </w:pPr>
      <w:r>
        <w:t>AKUZA: Shpërdorim detyre</w:t>
      </w:r>
      <w:r w:rsidRPr="003B5769">
        <w:t>, parashikuar nga neni 70/2 i Kodi P</w:t>
      </w:r>
      <w:r>
        <w:t>enal Ushtarak, shpërdorim detyre</w:t>
      </w:r>
      <w:r w:rsidRPr="003B5769">
        <w:t>, parash</w:t>
      </w:r>
      <w:r>
        <w:t>ikuar nga neni 248 i Kodi Penal</w:t>
      </w:r>
      <w:r w:rsidRPr="003B5769">
        <w:t>, dhe shkelje të rregullave të shërbimit</w:t>
      </w:r>
      <w:r>
        <w:t xml:space="preserve"> të rojë</w:t>
      </w:r>
      <w:r w:rsidRPr="003B5769">
        <w:t>s, parashikuar nga neni 41/2 i Kodi</w:t>
      </w:r>
      <w:r>
        <w:t>t</w:t>
      </w:r>
      <w:r w:rsidRPr="003B5769">
        <w:t xml:space="preserve"> Penal Ushtarak.</w:t>
      </w:r>
    </w:p>
    <w:p w:rsidR="007412CB" w:rsidRPr="003B5769" w:rsidRDefault="007412CB" w:rsidP="007412CB">
      <w:pPr>
        <w:pStyle w:val="Paragrafi"/>
      </w:pPr>
      <w:r w:rsidRPr="003B5769">
        <w:t>Gjykata Ushtarake e Rrethit Tiranë, me vendimin nr.217, datë 23.7.2003, ka vendosur:</w:t>
      </w:r>
    </w:p>
    <w:p w:rsidR="007412CB" w:rsidRPr="003B5769" w:rsidRDefault="007412CB" w:rsidP="007412CB">
      <w:pPr>
        <w:pStyle w:val="Paragrafi"/>
      </w:pPr>
      <w:r w:rsidRPr="003B5769">
        <w:t>Deklarimin fajtor të të pandehurit Kujtim Gjura për veprën penale të shpërdorimit të detyrës dhe në bazë të nenit 70/2 të Kodi</w:t>
      </w:r>
      <w:r>
        <w:t>t</w:t>
      </w:r>
      <w:r w:rsidRPr="003B5769">
        <w:t xml:space="preserve"> Penal Ushtarak, dënimin e tij me 3 vjet b</w:t>
      </w:r>
      <w:r>
        <w:t>urg, duke i filluar vuajtja e dë</w:t>
      </w:r>
      <w:r w:rsidRPr="003B5769">
        <w:t xml:space="preserve">nimit nga data e ndalimit 8.8.2002. </w:t>
      </w:r>
    </w:p>
    <w:p w:rsidR="007412CB" w:rsidRPr="003B5769" w:rsidRDefault="007412CB" w:rsidP="007412CB">
      <w:pPr>
        <w:pStyle w:val="Paragrafi"/>
      </w:pPr>
      <w:r w:rsidRPr="003B5769">
        <w:t>Deklarimin fajtor të të pandehurit Kujtim Dervishi për veprën penale të shpërdorimit të detyrës dhe në bazë të nenit 70/2 të Kodi</w:t>
      </w:r>
      <w:r>
        <w:t>t</w:t>
      </w:r>
      <w:r w:rsidRPr="003B5769">
        <w:t xml:space="preserve"> Penal Ushtarak, dënimin e tij me 3 vjet burg, duke urdh</w:t>
      </w:r>
      <w:r>
        <w:t>ëruar që në bazë të nenit 59 të</w:t>
      </w:r>
      <w:r w:rsidRPr="003B5769">
        <w:t xml:space="preserve"> Kodi</w:t>
      </w:r>
      <w:r>
        <w:t>t</w:t>
      </w:r>
      <w:r w:rsidRPr="003B5769">
        <w:t xml:space="preserve"> Penal </w:t>
      </w:r>
      <w:r>
        <w:t xml:space="preserve">ky </w:t>
      </w:r>
      <w:r w:rsidRPr="003B5769">
        <w:t>dënim të mos</w:t>
      </w:r>
      <w:r>
        <w:t xml:space="preserve"> </w:t>
      </w:r>
      <w:r w:rsidRPr="003B5769">
        <w:t>ekzekutohet për një kohë prej 2 vjet</w:t>
      </w:r>
      <w:r>
        <w:t>ësh</w:t>
      </w:r>
      <w:r w:rsidRPr="003B5769">
        <w:t>, që është koha e provës.</w:t>
      </w:r>
    </w:p>
    <w:p w:rsidR="007412CB" w:rsidRPr="003B5769" w:rsidRDefault="007412CB" w:rsidP="007412CB">
      <w:pPr>
        <w:pStyle w:val="Paragrafi"/>
      </w:pPr>
      <w:r w:rsidRPr="003B5769">
        <w:t>Deklarimin e pafajshëm të të pandehurit Nazm</w:t>
      </w:r>
      <w:r>
        <w:t>i Çela për veprën penale të shpë</w:t>
      </w:r>
      <w:r w:rsidRPr="003B5769">
        <w:t>rdorimit të detyrës, parashikuar nga neni 248 i Kodi</w:t>
      </w:r>
      <w:r>
        <w:t>t</w:t>
      </w:r>
      <w:r w:rsidRPr="003B5769">
        <w:t xml:space="preserve"> Penal</w:t>
      </w:r>
      <w:r>
        <w:t>.</w:t>
      </w:r>
    </w:p>
    <w:p w:rsidR="007412CB" w:rsidRPr="003B5769" w:rsidRDefault="007412CB" w:rsidP="007412CB">
      <w:pPr>
        <w:pStyle w:val="Paragrafi"/>
      </w:pPr>
      <w:r w:rsidRPr="003B5769">
        <w:t>Deklarimin fajtor të të pandehurve Agim Demaj, Ilir Topi dhe Ilir Dauti për veprën penale të shkeljes së</w:t>
      </w:r>
      <w:r>
        <w:t xml:space="preserve"> rregullave të shërbimit të rojë</w:t>
      </w:r>
      <w:r w:rsidRPr="003B5769">
        <w:t>s dhe në bazë të nenit 41/2 të Kodi</w:t>
      </w:r>
      <w:r>
        <w:t>t</w:t>
      </w:r>
      <w:r w:rsidRPr="003B5769">
        <w:t xml:space="preserve"> Penal Ushtarak dëni</w:t>
      </w:r>
      <w:r>
        <w:t>min e secilit prej tyre</w:t>
      </w:r>
      <w:r w:rsidRPr="003B5769">
        <w:t xml:space="preserve"> me</w:t>
      </w:r>
      <w:r>
        <w:t xml:space="preserve"> nga 1 vit e 9 muaj burg, duke u</w:t>
      </w:r>
      <w:r w:rsidRPr="003B5769">
        <w:t xml:space="preserve"> filluar vuajtja e dënimit nga data 8.8.2002.    </w:t>
      </w:r>
    </w:p>
    <w:p w:rsidR="007412CB" w:rsidRPr="003B5769" w:rsidRDefault="007412CB" w:rsidP="007412CB">
      <w:pPr>
        <w:pStyle w:val="Paragrafi"/>
      </w:pPr>
      <w:r w:rsidRPr="003B5769">
        <w:t xml:space="preserve"> Gjykata Ushtarake e Apelit Tiranë, me vendimin nr.72, datë 21.10.2003, </w:t>
      </w:r>
    </w:p>
    <w:p w:rsidR="007412CB" w:rsidRPr="003B5769" w:rsidRDefault="007412CB" w:rsidP="007412CB">
      <w:pPr>
        <w:pStyle w:val="Paragrafi"/>
      </w:pPr>
      <w:r w:rsidRPr="003B5769">
        <w:t>Ka lënë në fuqi vendimin nr.217, datë 23.7.2003 të Gjykatës Ushtarake të Rrethit Tiranë.</w:t>
      </w:r>
    </w:p>
    <w:p w:rsidR="007412CB" w:rsidRPr="003B5769" w:rsidRDefault="007412CB" w:rsidP="007412CB">
      <w:pPr>
        <w:pStyle w:val="Paragrafi"/>
      </w:pPr>
      <w:r w:rsidRPr="003B5769">
        <w:t>Kundër vendimit të Gj</w:t>
      </w:r>
      <w:r>
        <w:t>ykatës Ushtarake të Apelit dhe Gjykatës Ushtarake të S</w:t>
      </w:r>
      <w:r w:rsidRPr="003B5769">
        <w:t xml:space="preserve">hkallës së </w:t>
      </w:r>
      <w:r>
        <w:t>P</w:t>
      </w:r>
      <w:r w:rsidRPr="003B5769">
        <w:t>arë, kanë paraqitur rekurs të gjykuarit, të cilët kërkojnë prishjen e vendimit dhe pafajësi, duke parashtruar këto shkaqe:</w:t>
      </w:r>
    </w:p>
    <w:p w:rsidR="007412CB" w:rsidRPr="003B5769" w:rsidRDefault="007412CB" w:rsidP="007412CB">
      <w:pPr>
        <w:pStyle w:val="Paragrafi"/>
      </w:pPr>
      <w:r w:rsidRPr="003B5769">
        <w:t>I gjykuari Agim Demaj:</w:t>
      </w:r>
    </w:p>
    <w:p w:rsidR="007412CB" w:rsidRPr="003B5769" w:rsidRDefault="007412CB" w:rsidP="007412CB">
      <w:pPr>
        <w:pStyle w:val="Paragrafi"/>
      </w:pPr>
      <w:r>
        <w:t xml:space="preserve">- </w:t>
      </w:r>
      <w:r w:rsidRPr="003B5769">
        <w:t>Nuk janë zbatuar nga gjykata kërkesat e nenit 3 dhe 38</w:t>
      </w:r>
      <w:r>
        <w:t>0 të Kodit të Procedurës Penale</w:t>
      </w:r>
      <w:r w:rsidRPr="003B5769">
        <w:t>, të cilat përcaktojnë detyrimin e gjykatës për të marrë vendimin vetëm mbi bazën e atyre provave që janë marrë, ose verifikuar në seancë</w:t>
      </w:r>
      <w:r>
        <w:t xml:space="preserve"> gjyqësore gjatë shqyrtimit të ç</w:t>
      </w:r>
      <w:r w:rsidRPr="003B5769">
        <w:t>ështjes.</w:t>
      </w:r>
    </w:p>
    <w:p w:rsidR="007412CB" w:rsidRPr="003B5769" w:rsidRDefault="007412CB" w:rsidP="007412CB">
      <w:pPr>
        <w:pStyle w:val="Paragrafi"/>
      </w:pPr>
      <w:r>
        <w:lastRenderedPageBreak/>
        <w:t xml:space="preserve">- </w:t>
      </w:r>
      <w:r w:rsidRPr="003B5769">
        <w:t>Vendimit i mungojnë elemen</w:t>
      </w:r>
      <w:r>
        <w:t>tet e përcaktuara në nenin 383 ge</w:t>
      </w:r>
      <w:r w:rsidRPr="003B5769">
        <w:t xml:space="preserve">rma “ç” e Kodit të Procedurës Penale. </w:t>
      </w:r>
      <w:smartTag w:uri="urn:schemas-microsoft-com:office:smarttags" w:element="place">
        <w:r w:rsidRPr="003B5769">
          <w:t>Po</w:t>
        </w:r>
      </w:smartTag>
      <w:r w:rsidRPr="003B5769">
        <w:t xml:space="preserve"> ashtu edhe gjykata e apelit nuk e ka arsyetuar vendimin e saj.</w:t>
      </w:r>
    </w:p>
    <w:p w:rsidR="007412CB" w:rsidRPr="003B5769" w:rsidRDefault="007412CB" w:rsidP="007412CB">
      <w:pPr>
        <w:pStyle w:val="Paragrafi"/>
      </w:pPr>
      <w:r>
        <w:t xml:space="preserve">- </w:t>
      </w:r>
      <w:r w:rsidRPr="003B5769">
        <w:t>Nga ana e të dyja gjykatave nuk janë marrë prova të rëndësishme të kërkuara nga ana jonë dhe që kanë të bëjnë dre</w:t>
      </w:r>
      <w:r>
        <w:t>jtpërdrejt me gjykimin e kësaj ç</w:t>
      </w:r>
      <w:r w:rsidRPr="003B5769">
        <w:t>ështje siç është administrimi i kasetave të regjistrimit të veprimtarisë së punonjësve edhe të të pandehurve, gjë që do të provonte pafajësinë e tij.</w:t>
      </w:r>
    </w:p>
    <w:p w:rsidR="007412CB" w:rsidRPr="003B5769" w:rsidRDefault="007412CB" w:rsidP="007412CB">
      <w:pPr>
        <w:pStyle w:val="Paragrafi"/>
      </w:pPr>
      <w:r>
        <w:t xml:space="preserve">- </w:t>
      </w:r>
      <w:r w:rsidRPr="003B5769">
        <w:t>I gjykuari akuzohet për veprën penale të shkeljes së</w:t>
      </w:r>
      <w:r>
        <w:t xml:space="preserve"> rregullave të shërbimit të rojë</w:t>
      </w:r>
      <w:r w:rsidRPr="003B5769">
        <w:t>s që ka sjellë pasoja të rënda, parashikuar nga neni 41/2 i Kodit  Penal Ushtarak. Duke iu referuar kësaj dispozite</w:t>
      </w:r>
      <w:r>
        <w:t>,</w:t>
      </w:r>
      <w:r w:rsidRPr="003B5769">
        <w:t xml:space="preserve"> element i domosdoshëm i anës objektive është ekzistenca e pasojës së rëndë. Pra në rastin konkret nuk ka ardhur pasojë dhe nuk kemi vepër penale.</w:t>
      </w:r>
    </w:p>
    <w:p w:rsidR="007412CB" w:rsidRPr="003B5769" w:rsidRDefault="007412CB" w:rsidP="007412CB">
      <w:pPr>
        <w:pStyle w:val="Paragrafi"/>
      </w:pPr>
      <w:r>
        <w:t xml:space="preserve">- </w:t>
      </w:r>
      <w:r w:rsidRPr="003B5769">
        <w:t>Nuk janë respektuar kërkesat e nenit 14 e vijues të Kodi</w:t>
      </w:r>
      <w:r>
        <w:t>t</w:t>
      </w:r>
      <w:r w:rsidRPr="003B5769">
        <w:t xml:space="preserve"> Penal</w:t>
      </w:r>
      <w:r>
        <w:t>.</w:t>
      </w:r>
      <w:r w:rsidRPr="003B5769">
        <w:t xml:space="preserve"> Nuk u provua asnjë nga format e fajit dashja, apo pakujdesia në kryerjen e detyrës nga i gjykuari, por përkundrazi u provua se ai ka qenë korrekt në kryerjen e detyrës, profesional dhe si rezultat i veprimeve të tij u bë e mundur parandalimi i pasojës, largimi i të dënuarve. Pra veprës i mungon edhe ana subjektive.</w:t>
      </w:r>
    </w:p>
    <w:p w:rsidR="007412CB" w:rsidRPr="003B5769" w:rsidRDefault="007412CB" w:rsidP="007412CB">
      <w:pPr>
        <w:pStyle w:val="Paragrafi"/>
      </w:pPr>
      <w:r w:rsidRPr="003B5769">
        <w:t>I gjykuari Kujtim Dervishi:</w:t>
      </w:r>
    </w:p>
    <w:p w:rsidR="007412CB" w:rsidRPr="003B5769" w:rsidRDefault="007412CB" w:rsidP="007412CB">
      <w:pPr>
        <w:pStyle w:val="Paragrafi"/>
      </w:pPr>
      <w:r>
        <w:t xml:space="preserve">- </w:t>
      </w:r>
      <w:r w:rsidRPr="003B5769">
        <w:t>Vendimi i gjykatës së</w:t>
      </w:r>
      <w:r>
        <w:t xml:space="preserve"> apelit është i padrejtë dhe al</w:t>
      </w:r>
      <w:r w:rsidRPr="003B5769">
        <w:t>ogjik sepse ai është rrjedhojë e mosrespektimit dhe interpretimit të gabuar të ligjit material.</w:t>
      </w:r>
    </w:p>
    <w:p w:rsidR="007412CB" w:rsidRPr="003B5769" w:rsidRDefault="007412CB" w:rsidP="007412CB">
      <w:pPr>
        <w:pStyle w:val="Paragrafi"/>
      </w:pPr>
      <w:r>
        <w:t xml:space="preserve">- </w:t>
      </w:r>
      <w:r w:rsidRPr="003B5769">
        <w:t>I pandehuri</w:t>
      </w:r>
      <w:r>
        <w:t>,</w:t>
      </w:r>
      <w:r w:rsidRPr="003B5769">
        <w:t xml:space="preserve"> për veprën penale që ësh</w:t>
      </w:r>
      <w:r>
        <w:t>të akuzuar dhe dënuar, nuk është</w:t>
      </w:r>
      <w:r w:rsidRPr="003B5769">
        <w:t xml:space="preserve"> subjekt i juridiksionit penal ushtarak, por i nënshtrohet juridiksionit të zakonshëm. Ai </w:t>
      </w:r>
      <w:r>
        <w:t>nuk është subjekt i dispozitës s</w:t>
      </w:r>
      <w:r w:rsidRPr="003B5769">
        <w:t>ë parashikuar nga neni 70/2 i Kodi</w:t>
      </w:r>
      <w:r>
        <w:t>t</w:t>
      </w:r>
      <w:r w:rsidRPr="003B5769">
        <w:t xml:space="preserve"> Penal Ushtarak, sepse ai nuk nuk ka qenë i inkuadruar me shërbim në kohën kur ka ndodhur vepra penale dhe për rrjedhojë, duhet të përgjigjet </w:t>
      </w:r>
      <w:r>
        <w:t>sipas nenit 248 të Kodit  Penal (</w:t>
      </w:r>
      <w:r w:rsidRPr="003B5769">
        <w:t>Civil).</w:t>
      </w:r>
    </w:p>
    <w:p w:rsidR="007412CB" w:rsidRPr="003B5769" w:rsidRDefault="007412CB" w:rsidP="007412CB">
      <w:pPr>
        <w:pStyle w:val="Paragrafi"/>
      </w:pPr>
      <w:r>
        <w:t xml:space="preserve">- </w:t>
      </w:r>
      <w:r w:rsidRPr="003B5769">
        <w:t>Si përsa i përket nenit 248 të Kodi</w:t>
      </w:r>
      <w:r>
        <w:t>t</w:t>
      </w:r>
      <w:r w:rsidRPr="003B5769">
        <w:t xml:space="preserve"> Penal, ashtu edhe nenit 70/2 të Kodi</w:t>
      </w:r>
      <w:r>
        <w:t>t</w:t>
      </w:r>
      <w:r w:rsidRPr="003B5769">
        <w:t xml:space="preserve"> Penal Ushtarak, i gjykuari Kujtim nuk ka konsumuar asnjërën nga veprat penale, pasi mungon një nga elementet e saj, pasoja. </w:t>
      </w:r>
    </w:p>
    <w:p w:rsidR="007412CB" w:rsidRPr="003B5769" w:rsidRDefault="007412CB" w:rsidP="007412CB">
      <w:pPr>
        <w:pStyle w:val="Paragrafi"/>
      </w:pPr>
      <w:r w:rsidRPr="003B5769">
        <w:t>I Gjykuari Kujtim Gjura:</w:t>
      </w:r>
    </w:p>
    <w:p w:rsidR="007412CB" w:rsidRPr="003B5769" w:rsidRDefault="007412CB" w:rsidP="007412CB">
      <w:pPr>
        <w:pStyle w:val="Paragrafi"/>
      </w:pPr>
      <w:r>
        <w:t xml:space="preserve">- </w:t>
      </w:r>
      <w:r w:rsidRPr="003B5769">
        <w:t>Është zbatuar gabim ligji material</w:t>
      </w:r>
      <w:r>
        <w:t>.</w:t>
      </w:r>
      <w:r w:rsidRPr="003B5769">
        <w:t xml:space="preserve"> Oficeri i policisë së burgjeve nuk mund të jetë subjekt i një vepr</w:t>
      </w:r>
      <w:r>
        <w:t>e penale ushtarake. Objekti i ce</w:t>
      </w:r>
      <w:r w:rsidRPr="003B5769">
        <w:t>nuar nuk është i fush</w:t>
      </w:r>
      <w:r>
        <w:t>ës së mbrojtjes, por i një fushe</w:t>
      </w:r>
      <w:r w:rsidRPr="003B5769">
        <w:t xml:space="preserve"> civile.</w:t>
      </w:r>
    </w:p>
    <w:p w:rsidR="007412CB" w:rsidRPr="003B5769" w:rsidRDefault="007412CB" w:rsidP="007412CB">
      <w:pPr>
        <w:pStyle w:val="Paragrafi"/>
      </w:pPr>
      <w:r>
        <w:t xml:space="preserve">- </w:t>
      </w:r>
      <w:r w:rsidRPr="003B5769">
        <w:t>Nga ana objektive, vepra penale e shpërdorimit të detyrës qoftë ushtarake, qoftë civile, kërkon domosdoshmëris</w:t>
      </w:r>
      <w:r>
        <w:t>ht ardhjen e një pasoje të rëndë</w:t>
      </w:r>
      <w:r w:rsidRPr="003B5769">
        <w:t xml:space="preserve">. Me pasojë të rëndë gjykatat kanë pranuar atë që është çrregulluar veprimtaria normale e institucionit. Kuptimi i pasojës së rëndë duhet të jetë real, i dukshëm dhe jo abstrakt. </w:t>
      </w:r>
    </w:p>
    <w:p w:rsidR="007412CB" w:rsidRPr="003B5769" w:rsidRDefault="007412CB" w:rsidP="007412CB">
      <w:pPr>
        <w:pStyle w:val="Paragrafi"/>
      </w:pPr>
      <w:r w:rsidRPr="003B5769">
        <w:t>Kolegji Penal i Gjykatës së Lartë, me vendimin nr.264 akti, datë 19.5.2004, ka vendosur:</w:t>
      </w:r>
    </w:p>
    <w:p w:rsidR="007412CB" w:rsidRPr="003B5769" w:rsidRDefault="007412CB" w:rsidP="007412CB">
      <w:pPr>
        <w:pStyle w:val="Paragrafi"/>
      </w:pPr>
      <w:r>
        <w:t>Dërgimin e ç</w:t>
      </w:r>
      <w:r w:rsidRPr="003B5769">
        <w:t>ështjes në Kolegjet e Bashkuara për njehsimin e praktikës gjyqësore për t’u mbajtur qëndrim i unifikuar sa më poshtë:</w:t>
      </w:r>
    </w:p>
    <w:p w:rsidR="007412CB" w:rsidRPr="003B5769" w:rsidRDefault="007412CB" w:rsidP="007412CB">
      <w:pPr>
        <w:pStyle w:val="Paragrafi"/>
      </w:pPr>
      <w:r>
        <w:t>Punonjësit e Policisë së B</w:t>
      </w:r>
      <w:r w:rsidRPr="003B5769">
        <w:t>urgjeve barazohen apo jo me ushtarakët për efekt të zbatimit të përkohshëm të Kodit Penal Ushtarak.</w:t>
      </w:r>
    </w:p>
    <w:p w:rsidR="007412CB" w:rsidRPr="003B5769" w:rsidRDefault="007412CB" w:rsidP="007412CB">
      <w:pPr>
        <w:pStyle w:val="Paragrafi"/>
      </w:pPr>
      <w:r w:rsidRPr="003B5769">
        <w:t>Nëse punonjësit e policisë e gëzojnë apo jo cilësinë e ushtarakut.</w:t>
      </w:r>
    </w:p>
    <w:p w:rsidR="007412CB" w:rsidRPr="003B5769" w:rsidRDefault="007412CB" w:rsidP="007412CB">
      <w:pPr>
        <w:pStyle w:val="Paragrafi"/>
      </w:pPr>
      <w:r w:rsidRPr="003B5769">
        <w:t>Cilësimi juridik i veprave penale të kryera nga të pandehurit do të bëhet në bazë të nenit 248 të Kodi</w:t>
      </w:r>
      <w:r>
        <w:t>t</w:t>
      </w:r>
      <w:r w:rsidRPr="003B5769">
        <w:t xml:space="preserve"> Penal Ushtarak apo në bazë të nenit 70 të Kodit Penal Ushtarak.</w:t>
      </w:r>
    </w:p>
    <w:p w:rsidR="007412CB" w:rsidRDefault="007412CB" w:rsidP="007412CB">
      <w:pPr>
        <w:pStyle w:val="Paragrafi"/>
      </w:pPr>
    </w:p>
    <w:p w:rsidR="007412CB" w:rsidRDefault="007412CB" w:rsidP="007412CB">
      <w:pPr>
        <w:pStyle w:val="VENDOSI"/>
      </w:pPr>
      <w:r w:rsidRPr="003B5769">
        <w:t>KOLEGJET E BASHKUARA TË GJYKATËS SË LARTË</w:t>
      </w:r>
      <w:r>
        <w:t>,</w:t>
      </w:r>
    </w:p>
    <w:p w:rsidR="007412CB" w:rsidRPr="003B5769" w:rsidRDefault="007412CB" w:rsidP="007412CB">
      <w:pPr>
        <w:pStyle w:val="Paragrafi"/>
      </w:pPr>
    </w:p>
    <w:p w:rsidR="007412CB" w:rsidRPr="003B5769" w:rsidRDefault="007412CB" w:rsidP="007412CB">
      <w:pPr>
        <w:pStyle w:val="Paragrafi"/>
      </w:pPr>
      <w:r w:rsidRPr="003B5769">
        <w:t xml:space="preserve">pasi dëgjuan relacionin e gjyqtarëve Artan Hoxha dhe Kristaq Ngjela, </w:t>
      </w:r>
    </w:p>
    <w:p w:rsidR="007412CB" w:rsidRPr="003B5769" w:rsidRDefault="007412CB" w:rsidP="007412CB">
      <w:pPr>
        <w:pStyle w:val="Paragrafi"/>
      </w:pPr>
      <w:r w:rsidRPr="003B5769">
        <w:t xml:space="preserve">prokurorin, Skënder Breca, i cili kërkoi lënien në fuqi të vendimeve, </w:t>
      </w:r>
    </w:p>
    <w:p w:rsidR="007412CB" w:rsidRPr="003B5769" w:rsidRDefault="007412CB" w:rsidP="007412CB">
      <w:pPr>
        <w:pStyle w:val="Paragrafi"/>
      </w:pPr>
      <w:r w:rsidRPr="003B5769">
        <w:t>mbrojtësin e të gjykuarit Kujtim Dervishi, avokatin Ridvan Shkëmbi, i cili kërkoi deklarimin e pafajshëm të të gjykuarit,</w:t>
      </w:r>
    </w:p>
    <w:p w:rsidR="007412CB" w:rsidRDefault="007412CB" w:rsidP="007412CB">
      <w:pPr>
        <w:pStyle w:val="Paragrafi"/>
      </w:pPr>
      <w:r w:rsidRPr="003B5769">
        <w:t>dhe pasi biseduan çështjen në tërësi,</w:t>
      </w:r>
    </w:p>
    <w:p w:rsidR="007412CB" w:rsidRPr="003B5769" w:rsidRDefault="007412CB" w:rsidP="007412CB">
      <w:pPr>
        <w:pStyle w:val="Paragrafi"/>
      </w:pPr>
    </w:p>
    <w:p w:rsidR="007412CB" w:rsidRDefault="007412CB" w:rsidP="007412CB">
      <w:pPr>
        <w:pStyle w:val="VENDOSI"/>
      </w:pPr>
      <w:r>
        <w:t>VËREJN</w:t>
      </w:r>
      <w:r w:rsidRPr="003B5769">
        <w:t>Ë</w:t>
      </w:r>
      <w:r>
        <w:t>:</w:t>
      </w:r>
    </w:p>
    <w:p w:rsidR="007412CB" w:rsidRPr="003B5769" w:rsidRDefault="007412CB" w:rsidP="007412CB">
      <w:pPr>
        <w:pStyle w:val="Paragrafi"/>
      </w:pPr>
    </w:p>
    <w:p w:rsidR="007412CB" w:rsidRPr="003B5769" w:rsidRDefault="007412CB" w:rsidP="007412CB">
      <w:pPr>
        <w:pStyle w:val="Paragrafi"/>
      </w:pPr>
      <w:r w:rsidRPr="003B5769">
        <w:t>Vendimet e të dy gjykatave duhet të prishen për shkak të aplikimit të gabuar të ligjit penal.</w:t>
      </w:r>
    </w:p>
    <w:p w:rsidR="007412CB" w:rsidRPr="003B5769" w:rsidRDefault="007412CB" w:rsidP="007412CB">
      <w:pPr>
        <w:pStyle w:val="Paragrafi"/>
      </w:pPr>
      <w:r w:rsidRPr="003B5769">
        <w:t>Rezulton se të gjykuarit janë akuzuar për veprat penale të shpërdorimit të detyrës nga ushtaraku, shpërdorimit të detyrës, shkeljes së</w:t>
      </w:r>
      <w:r>
        <w:t xml:space="preserve"> rregullave të shërbimit të rojë</w:t>
      </w:r>
      <w:r w:rsidRPr="003B5769">
        <w:t>s, sikurse është paraqitur në pjesën hyrëse të v</w:t>
      </w:r>
      <w:r>
        <w:t>endimit, për shkak se në datën 6.</w:t>
      </w:r>
      <w:r w:rsidRPr="003B5769">
        <w:t xml:space="preserve">8.2002, në Burgun e Sigurisë së Lartë 302 në Tiranë, të burgosurit Gazmend Braka, Viktor Ymeri dhe Taulant Balliu, kanë tentuar të largohen prej </w:t>
      </w:r>
      <w:r w:rsidRPr="003B5769">
        <w:lastRenderedPageBreak/>
        <w:t>tij. Nga gjykimi, ka rezultuar se të burgosurit kanë hapur murin ndërmjet dhomave 10 e 11</w:t>
      </w:r>
      <w:r>
        <w:t>,</w:t>
      </w:r>
      <w:r w:rsidRPr="003B5769">
        <w:t xml:space="preserve"> si dhe </w:t>
      </w:r>
      <w:r>
        <w:t>të banjove të këtyre dhomave dhe</w:t>
      </w:r>
      <w:r w:rsidRPr="003B5769">
        <w:t xml:space="preserve"> kanë dalë në </w:t>
      </w:r>
      <w:r>
        <w:t>ambi</w:t>
      </w:r>
      <w:r w:rsidRPr="003B5769">
        <w:t>ente të tjera të burgut, por në tentativë për t</w:t>
      </w:r>
      <w:r>
        <w:t>'</w:t>
      </w:r>
      <w:r w:rsidRPr="003B5769">
        <w:t>u larguar, ata janë kapur. Sipas organit të akuzës ngjarja ka ndodhur edhe për shkak se të gjykuarit</w:t>
      </w:r>
      <w:r>
        <w:t>,</w:t>
      </w:r>
      <w:r w:rsidRPr="003B5769">
        <w:t xml:space="preserve"> duke shkelur rregullat e caktuara për ta në aktet ligjore e nënligjore, kanë krijuar kushte të favorshme, me moszbatimin e detyrës së tyre, që të burgosurit të tentojnë të largohen nga vendi i vuajtjes së dënimit.</w:t>
      </w:r>
    </w:p>
    <w:p w:rsidR="007412CB" w:rsidRPr="003B5769" w:rsidRDefault="007412CB" w:rsidP="007412CB">
      <w:pPr>
        <w:pStyle w:val="Paragrafi"/>
      </w:pPr>
      <w:r w:rsidRPr="003B5769">
        <w:t>Gjykatat, me përjashtim të Drejtorit të Burgut 302, të gjykuarit</w:t>
      </w:r>
      <w:r>
        <w:t xml:space="preserve"> Nazmi Çela, të cilit i kanë dhë</w:t>
      </w:r>
      <w:r w:rsidRPr="003B5769">
        <w:t>në pafajësi, për akuzën e shpërdorimit të detyrë</w:t>
      </w:r>
      <w:r>
        <w:t xml:space="preserve">s, parashikuar nga neni 248 i Kodit </w:t>
      </w:r>
      <w:r w:rsidRPr="003B5769">
        <w:t xml:space="preserve">Penal, të gjykuarit </w:t>
      </w:r>
      <w:r>
        <w:t>e tjerë i kanë deklaruar fajtorë</w:t>
      </w:r>
      <w:r w:rsidRPr="003B5769">
        <w:t xml:space="preserve"> për akuzat në ngarkim të tyre sipas dispo</w:t>
      </w:r>
      <w:r>
        <w:t xml:space="preserve">zitave të Kodit Penal Ushtarak. </w:t>
      </w:r>
      <w:r w:rsidRPr="003B5769">
        <w:t xml:space="preserve">Konkretisht, të gjykuarin Kujtim Gjura, me detyrën </w:t>
      </w:r>
      <w:r>
        <w:t xml:space="preserve">e specialistit të policisë për </w:t>
      </w:r>
      <w:r w:rsidRPr="003B5769">
        <w:t>regjimin e brendshëm në burg dhe Kujtim Dervishin, shef i policisë së burgut, i ka deklarua</w:t>
      </w:r>
      <w:r>
        <w:t>r fajtorë</w:t>
      </w:r>
      <w:r w:rsidRPr="003B5769">
        <w:t xml:space="preserve"> për shpërdorimin e detyrës nga ushtaraku, parashikuar nga neni 70/2 i Kodi</w:t>
      </w:r>
      <w:r>
        <w:t>t</w:t>
      </w:r>
      <w:r w:rsidRPr="003B5769">
        <w:t xml:space="preserve"> Penal Ushtarak, ndërsa të gjykuarit Agim Demaj</w:t>
      </w:r>
      <w:r>
        <w:t>,</w:t>
      </w:r>
      <w:r w:rsidRPr="003B5769">
        <w:t xml:space="preserve"> me detyrën e inspektorit të informacionit dhe të gjykuarit Ilir Topi dhe Ilir Dauti, me detyrën e policit të regjimit të bre</w:t>
      </w:r>
      <w:r>
        <w:t>ndshëm, i ka gjetur fajtorë</w:t>
      </w:r>
      <w:r w:rsidRPr="003B5769">
        <w:t xml:space="preserve"> dhe dënuar për veprën penale të shkeljes së</w:t>
      </w:r>
      <w:r>
        <w:t xml:space="preserve"> rregullave të shërbimit të rojë</w:t>
      </w:r>
      <w:r w:rsidRPr="003B5769">
        <w:t>s, parashikuar nga neni 41/2 i Kodi</w:t>
      </w:r>
      <w:r>
        <w:t>t</w:t>
      </w:r>
      <w:r w:rsidRPr="003B5769">
        <w:t xml:space="preserve"> Penal Ushtarak.</w:t>
      </w:r>
    </w:p>
    <w:p w:rsidR="007412CB" w:rsidRPr="003B5769" w:rsidRDefault="007412CB" w:rsidP="007412CB">
      <w:pPr>
        <w:pStyle w:val="Paragrafi"/>
      </w:pPr>
      <w:r w:rsidRPr="003B5769">
        <w:t>Kundër ven</w:t>
      </w:r>
      <w:r>
        <w:t>dimit të Gjykatës Ushtarake të Shkallës së Parë Tiranë, nr.217, datë 23.</w:t>
      </w:r>
      <w:r w:rsidRPr="003B5769">
        <w:t>7.2003 dhe të Gjykatës Ushtarake të Apelit nr.72, datë 21.10.2003, kanë paraqitur rekurs në Gjykatën e Lartë të gjykua</w:t>
      </w:r>
      <w:r>
        <w:t>rit Agim Demaj, Kujtim Dervishi</w:t>
      </w:r>
      <w:r w:rsidRPr="003B5769">
        <w:t xml:space="preserve"> e Kujtim Gjura, të cilët kërkojnë të deklarohen të pafajshëm. Veç shkaqeve të tjera, ata kanë parashtruar edhe se gabimisht si organi i prokurorisë, ashtu edhe gjykatat, kanë pranuar t’i trajtojnë ata si subjekte të procedimit penal ushtarak, ndërkohë që nuk janë subjekte të tij.</w:t>
      </w:r>
    </w:p>
    <w:p w:rsidR="007412CB" w:rsidRPr="003B5769" w:rsidRDefault="007412CB" w:rsidP="007412CB">
      <w:pPr>
        <w:pStyle w:val="Paragrafi"/>
      </w:pPr>
      <w:r w:rsidRPr="003B5769">
        <w:t>Ko</w:t>
      </w:r>
      <w:r>
        <w:t>legji Penal i Gjykatës së Lartë</w:t>
      </w:r>
      <w:r w:rsidRPr="003B5769">
        <w:t xml:space="preserve"> në seancën gjyqësore të datës 19.5.2004, vendosi ta kalojë çështjen për gjykim në Kolegjet e Bashkuara, për të unifikuar praktikën gjyqësore lidhur me sa pretendohet prej të gjykuarve, nëse ata si punonjës të policisë së burgjeve, do të trajtohen si subjekte ushtarake për efekte të përgjegjësisë penale, ose jo.</w:t>
      </w:r>
    </w:p>
    <w:p w:rsidR="007412CB" w:rsidRPr="003B5769" w:rsidRDefault="007412CB" w:rsidP="007412CB">
      <w:pPr>
        <w:pStyle w:val="Paragrafi"/>
      </w:pPr>
      <w:r w:rsidRPr="003B5769">
        <w:t>Kolegjet e Bashkura të Gjykatës së Lartë, e gjejnë të bazuar pretendimin e të gjykuarve lidhur me faktin se ata nuk janë subjekt i posaçëm dhe për pasojë ata nuk kanë përgjegjësi penale sipas dispozitave të Kodi</w:t>
      </w:r>
      <w:r>
        <w:t>t</w:t>
      </w:r>
      <w:r w:rsidRPr="003B5769">
        <w:t xml:space="preserve"> Penal Ushtarak. Kushtetuta e Republikës së Shqipër</w:t>
      </w:r>
      <w:r>
        <w:t>isë, e cila shfuqizoi dispozitat kryesore k</w:t>
      </w:r>
      <w:r w:rsidRPr="003B5769">
        <w:t xml:space="preserve">ushtetuese të vitit 1991, ka bërë një ndryshim thelbësor lidhur </w:t>
      </w:r>
      <w:r>
        <w:t>me përcaktimin e strukturës së Forcave të Armatosura. Sipas dispozitave kryesore kushtetuese, në Forcat e A</w:t>
      </w:r>
      <w:r w:rsidRPr="003B5769">
        <w:t>rmatosura përfshiheshin ushtria, forcat e Ministrisë së Brendshme dhe forcat e Shërbimit Informativ Kombëtar. Ndërsa s</w:t>
      </w:r>
      <w:r>
        <w:t>ipas nenit 168 të Kushtetutës, Forcat e A</w:t>
      </w:r>
      <w:r w:rsidRPr="003B5769">
        <w:t xml:space="preserve">rmatosura të Republikës së Shqipërisë përbëhen nga forcat tokësore, detare dhe ajrore. Si rezultat i këtij ndryshimi kushtetues, tashmë në </w:t>
      </w:r>
      <w:r>
        <w:t>Forcat e A</w:t>
      </w:r>
      <w:r w:rsidRPr="003B5769">
        <w:t xml:space="preserve">rmatosura nuk bëjnë me pjesë </w:t>
      </w:r>
      <w:r>
        <w:t>forcat e Ministrisë së Rendit, Shërbimit I</w:t>
      </w:r>
      <w:r w:rsidRPr="003B5769">
        <w:t>nformativ dhe struktura të tjera policore që funksionojnë në Sh</w:t>
      </w:r>
      <w:r>
        <w:t xml:space="preserve">qipëri. Ky ndryshim kushtetues </w:t>
      </w:r>
      <w:r w:rsidRPr="003B5769">
        <w:t xml:space="preserve">sjell efekte edhe lidhur me pozitën e posaçme të subjekteve lidhur me përgjegjësinë penale. </w:t>
      </w:r>
    </w:p>
    <w:p w:rsidR="007412CB" w:rsidRPr="003B5769" w:rsidRDefault="007412CB" w:rsidP="007412CB">
      <w:pPr>
        <w:pStyle w:val="Paragrafi"/>
      </w:pPr>
      <w:r>
        <w:t>Fakti që në Forcat e Armatosura përfshihe</w:t>
      </w:r>
      <w:r w:rsidRPr="003B5769">
        <w:t>n vetëm ato të ushtrisë, vë për diskutim nëse personat e barazuar me ushtarakët dhe që kanë natyrë të përafërt</w:t>
      </w:r>
      <w:r>
        <w:t xml:space="preserve"> funksionale, a duhet të konside</w:t>
      </w:r>
      <w:r w:rsidRPr="003B5769">
        <w:t xml:space="preserve">rohen të barabartë edhe për efekte të përgjegjësisë penale për vepra penale të kryera në detyrë. </w:t>
      </w:r>
    </w:p>
    <w:p w:rsidR="007412CB" w:rsidRPr="003B5769" w:rsidRDefault="007412CB" w:rsidP="007412CB">
      <w:pPr>
        <w:pStyle w:val="Paragrafi"/>
      </w:pPr>
      <w:r w:rsidRPr="003B5769">
        <w:t>Neni 6 i Kodi</w:t>
      </w:r>
      <w:r>
        <w:t>t</w:t>
      </w:r>
      <w:r w:rsidRPr="003B5769">
        <w:t xml:space="preserve"> Penal Ushtarak i p</w:t>
      </w:r>
      <w:r>
        <w:t>andryshuar, me ushtarak kupton ata persona që bëjnë pjesë në Forcat e A</w:t>
      </w:r>
      <w:r w:rsidRPr="003B5769">
        <w:t>rmatosura, si dhe ata persona që ligji i barazon me ushtarakët. Bazuar mbi këtë dispozitë e cila ka qenë në fuqi deri në korrik të vitit 2002, edhe pse Kushtetuta kishte bërë përcakti</w:t>
      </w:r>
      <w:r>
        <w:t>me të ndryshme të përbërjes së Forcave të A</w:t>
      </w:r>
      <w:r w:rsidRPr="003B5769">
        <w:t>rmatosura, subjekte si Policia e Shtetit, Policia e Burgjeve apo të barazuara me ta, janë trajtuar si subjekte të posaçme të procedimit penal ushtarak, për vepra të kryera në detyrë.</w:t>
      </w:r>
    </w:p>
    <w:p w:rsidR="007412CB" w:rsidRPr="003B5769" w:rsidRDefault="007412CB" w:rsidP="007412CB">
      <w:pPr>
        <w:pStyle w:val="Paragrafi"/>
      </w:pPr>
      <w:r>
        <w:t>Me ligjin nr.8919, datë 4.</w:t>
      </w:r>
      <w:r w:rsidRPr="003B5769">
        <w:t>7.2002, në Kodin Penal Ushtarak janë bërë ndryshime të rëndësishme</w:t>
      </w:r>
      <w:r>
        <w:t>,</w:t>
      </w:r>
      <w:r w:rsidRPr="003B5769">
        <w:t xml:space="preserve"> të cilat kanë pasqyruar dallimin thelbësor që Kushtetuta e vitit 1998 ka në raport me atë të vitit 1991, lidhur me përbër</w:t>
      </w:r>
      <w:r>
        <w:t>jen e Forcave të A</w:t>
      </w:r>
      <w:r w:rsidRPr="003B5769">
        <w:t>rmatosura. Kështu në nenin 6 të ndryshuar të Kodi</w:t>
      </w:r>
      <w:r>
        <w:t>t</w:t>
      </w:r>
      <w:r w:rsidRPr="003B5769">
        <w:t xml:space="preserve"> Penal Ushtarak është përcaktuar se me ushtarak kuptohen</w:t>
      </w:r>
      <w:r>
        <w:t xml:space="preserve"> ata persona që bëjnë pjesë në Forcat e A</w:t>
      </w:r>
      <w:r w:rsidRPr="003B5769">
        <w:t xml:space="preserve">rmatosura. </w:t>
      </w:r>
      <w:smartTag w:uri="urn:schemas-microsoft-com:office:smarttags" w:element="place">
        <w:r w:rsidRPr="003B5769">
          <w:t>Po</w:t>
        </w:r>
      </w:smartTag>
      <w:r w:rsidRPr="003B5769">
        <w:t xml:space="preserve"> ashtu</w:t>
      </w:r>
      <w:r>
        <w:t>, në këtë nen</w:t>
      </w:r>
      <w:r w:rsidRPr="003B5769">
        <w:t xml:space="preserve"> pë</w:t>
      </w:r>
      <w:r>
        <w:t>rcaktohet se subjekte të këtij Kodi janë edhe pe</w:t>
      </w:r>
      <w:r w:rsidRPr="003B5769">
        <w:t>rsona të tjerë të përcaktuar si të tillë sipas ligjit të veçantë.</w:t>
      </w:r>
    </w:p>
    <w:p w:rsidR="007412CB" w:rsidRPr="003B5769" w:rsidRDefault="007412CB" w:rsidP="007412CB">
      <w:pPr>
        <w:pStyle w:val="Paragrafi"/>
      </w:pPr>
      <w:r w:rsidRPr="003B5769">
        <w:t xml:space="preserve">Këto ndryshime </w:t>
      </w:r>
      <w:r>
        <w:t>të bëra në Kodin Penal Ushtarak</w:t>
      </w:r>
      <w:r w:rsidRPr="003B5769">
        <w:t xml:space="preserve"> kanë përcaktuar tashmë qartë se dispozita</w:t>
      </w:r>
      <w:r>
        <w:t>t e këtij K</w:t>
      </w:r>
      <w:r w:rsidRPr="003B5769">
        <w:t>odi ap</w:t>
      </w:r>
      <w:r>
        <w:t>likohen vetëm për ushtarakët e Forcave të A</w:t>
      </w:r>
      <w:r w:rsidRPr="003B5769">
        <w:t>rmatosura, të tjerë që ligji i posaçëm i përcakton si subjekte të përgjegjësisë penale ushtarake, si dhe ata që kryejnë vepra penale në bashkëpunim me ushtarakët (neni 2 dhe 5 i Kodit Penal Ushtarak).</w:t>
      </w:r>
    </w:p>
    <w:p w:rsidR="007412CB" w:rsidRPr="003B5769" w:rsidRDefault="007412CB" w:rsidP="007412CB">
      <w:pPr>
        <w:pStyle w:val="Paragrafi"/>
      </w:pPr>
      <w:r w:rsidRPr="003B5769">
        <w:t xml:space="preserve">Për të arritur në përfundimet e veta, Kolegjet e Bashkuara të Gjykatës së Lartë, veç </w:t>
      </w:r>
      <w:r w:rsidRPr="003B5769">
        <w:lastRenderedPageBreak/>
        <w:t>ndryshimeve të bëra në Kodi</w:t>
      </w:r>
      <w:r>
        <w:t>n</w:t>
      </w:r>
      <w:r w:rsidRPr="003B5769">
        <w:t xml:space="preserve"> Penal Ushtarak, analizuan edhe legjislacion</w:t>
      </w:r>
      <w:r>
        <w:t>in që rregullon veprimtarinë e Policisë së S</w:t>
      </w:r>
      <w:r w:rsidRPr="003B5769">
        <w:t>ht</w:t>
      </w:r>
      <w:r>
        <w:t>etit, statusin e ushtarakut të Forcave të Armatosura, ligjin për Policinë e B</w:t>
      </w:r>
      <w:r w:rsidRPr="003B5769">
        <w:t>urgjeve dhe akte të tjera nënligjore të dala në bazë e për zbatim të tyre. Në nenin 56 të ligjit nr.8553</w:t>
      </w:r>
      <w:r>
        <w:t>, datë 25.11.1999 “Për Policinë e S</w:t>
      </w:r>
      <w:r w:rsidRPr="003B5769">
        <w:t xml:space="preserve">htetit”, është përcaktuar se </w:t>
      </w:r>
      <w:r w:rsidRPr="000D6CB7">
        <w:rPr>
          <w:i/>
        </w:rPr>
        <w:t>“punonjësi i policisë i nënshtrohet juridiksionit penal të zakonshëm, ndërsa për veprat penale të kryera në shërbim, përgjigjet si</w:t>
      </w:r>
      <w:r>
        <w:rPr>
          <w:i/>
        </w:rPr>
        <w:t xml:space="preserve">pas dispozitave të veçanta të Kodit </w:t>
      </w:r>
      <w:r w:rsidRPr="000D6CB7">
        <w:rPr>
          <w:i/>
        </w:rPr>
        <w:t>Penal”</w:t>
      </w:r>
      <w:r w:rsidRPr="003B5769">
        <w:t xml:space="preserve">. Ndërsa në nenin 68/2, është përcaktuar që </w:t>
      </w:r>
      <w:r w:rsidRPr="000D6CB7">
        <w:rPr>
          <w:i/>
        </w:rPr>
        <w:t>“deri në miratimin e dispozitave të parashikuara në nenin 56 të këtij ligji, punonjësi i policisë, për vepra penale të kryera në shërbim, përg</w:t>
      </w:r>
      <w:r>
        <w:rPr>
          <w:i/>
        </w:rPr>
        <w:t>jigjet sipas dispozitave të Kodit</w:t>
      </w:r>
      <w:r w:rsidRPr="000D6CB7">
        <w:rPr>
          <w:i/>
        </w:rPr>
        <w:t xml:space="preserve"> Penal Ushtarak të Republikës së Shqipërisë”.</w:t>
      </w:r>
      <w:r w:rsidRPr="003B5769">
        <w:t xml:space="preserve"> Sikurse rezulton nga këto dy dispozita, por edhe nga ligji në tërësi, edh</w:t>
      </w:r>
      <w:r>
        <w:t>e pse trajtimi i punonjësve të Policisë së S</w:t>
      </w:r>
      <w:r w:rsidRPr="003B5769">
        <w:t>htetit bëhet s</w:t>
      </w:r>
      <w:r>
        <w:t>ipas statusit të ushtarakut të Forcave të A</w:t>
      </w:r>
      <w:r w:rsidRPr="003B5769">
        <w:t>rmatosura, ata janë subjekte të juridiksionit penal të zakonshëm</w:t>
      </w:r>
      <w:r>
        <w:t xml:space="preserve"> dhe jo të atij ushtarak. </w:t>
      </w:r>
      <w:r w:rsidRPr="003B5769">
        <w:t>Megjithatë, duke marrë në konsider</w:t>
      </w:r>
      <w:r>
        <w:t>atë veçantinë e funksioneve të Policisë së S</w:t>
      </w:r>
      <w:r w:rsidRPr="003B5769">
        <w:t>htetit, ligji ka vënë detyrë që të plotësohet Kodi Penal me dispozita të posaçme, të cilat të rregullojnë përgjegjësinë penale të punonjësi</w:t>
      </w:r>
      <w:r>
        <w:t>t të policisë. Deri më</w:t>
      </w:r>
      <w:r w:rsidRPr="003B5769">
        <w:t xml:space="preserve"> sot, këto dispozita akoma nuk i janë shtuar këtij Kodi e për pasojë, deri me daljen e tyre, për veprat penale të kry</w:t>
      </w:r>
      <w:r>
        <w:t>era në detyrë nga punonjësit e Policisë së S</w:t>
      </w:r>
      <w:r w:rsidRPr="003B5769">
        <w:t>htetit, do të aplikohen dispozitat e Kodi</w:t>
      </w:r>
      <w:r>
        <w:t>t</w:t>
      </w:r>
      <w:r w:rsidRPr="003B5769">
        <w:t xml:space="preserve"> Penal Ushtarak. Kjo parashikohet në mënyrë të shprehur n</w:t>
      </w:r>
      <w:r>
        <w:t>ë ligj, sikurse citohet me lart</w:t>
      </w:r>
      <w:r w:rsidRPr="003B5769">
        <w:t>.</w:t>
      </w:r>
    </w:p>
    <w:p w:rsidR="007412CB" w:rsidRPr="003B5769" w:rsidRDefault="007412CB" w:rsidP="007412CB">
      <w:pPr>
        <w:pStyle w:val="Paragrafi"/>
      </w:pPr>
      <w:r>
        <w:t>Ky status trans</w:t>
      </w:r>
      <w:r w:rsidRPr="003B5769">
        <w:t>i</w:t>
      </w:r>
      <w:r>
        <w:t>tor i pozitës së punonjësit të Policisë së S</w:t>
      </w:r>
      <w:r w:rsidRPr="003B5769">
        <w:t xml:space="preserve">htetit lidhur me përgjegjësinë e tij penale, përcaktuar në ligj, i çon Kolegjet e Bashkuara të Gjykatës së Lartë në përfundimin unifikues se, </w:t>
      </w:r>
      <w:r>
        <w:rPr>
          <w:b/>
        </w:rPr>
        <w:t>punonjësit e Policisë së Shtetit që kryejnë</w:t>
      </w:r>
      <w:r w:rsidRPr="000D6CB7">
        <w:rPr>
          <w:b/>
        </w:rPr>
        <w:t xml:space="preserve"> vepra penale gjatë ushtrimit të detyrës së tyre deri në daljen e dis</w:t>
      </w:r>
      <w:r>
        <w:rPr>
          <w:b/>
        </w:rPr>
        <w:t xml:space="preserve">pozitave të posaçme për ta në Kodin </w:t>
      </w:r>
      <w:r w:rsidRPr="000D6CB7">
        <w:rPr>
          <w:b/>
        </w:rPr>
        <w:t>Penal, do të jenë subjekte dhe do të përgjigjen sipas dispozitave të Kodi</w:t>
      </w:r>
      <w:r>
        <w:rPr>
          <w:b/>
        </w:rPr>
        <w:t>t</w:t>
      </w:r>
      <w:r w:rsidRPr="000D6CB7">
        <w:rPr>
          <w:b/>
        </w:rPr>
        <w:t xml:space="preserve"> Penal Ushtarak. Aktualisht ata janë subjekte të procedimit penal sipas Kodi</w:t>
      </w:r>
      <w:r>
        <w:rPr>
          <w:b/>
        </w:rPr>
        <w:t>t</w:t>
      </w:r>
      <w:r w:rsidRPr="000D6CB7">
        <w:rPr>
          <w:b/>
        </w:rPr>
        <w:t xml:space="preserve"> Penal Ushtarak, për vepra të kryera gjatë shërbimit.</w:t>
      </w:r>
    </w:p>
    <w:p w:rsidR="007412CB" w:rsidRPr="003B5769" w:rsidRDefault="007412CB" w:rsidP="007412CB">
      <w:pPr>
        <w:pStyle w:val="Paragrafi"/>
      </w:pPr>
      <w:r w:rsidRPr="003B5769">
        <w:t>Kolegjet e</w:t>
      </w:r>
      <w:r>
        <w:t xml:space="preserve"> Bashkuara të Gjykatës së Lartë</w:t>
      </w:r>
      <w:r w:rsidRPr="003B5769">
        <w:t xml:space="preserve"> nuk mbajnë të njëjtin </w:t>
      </w:r>
      <w:r>
        <w:t>qëndrim lidhur me punonjësit e Policisë së B</w:t>
      </w:r>
      <w:r w:rsidRPr="003B5769">
        <w:t>urgjeve, apo subjekte të tjera që për efekte  të statusit gëzojnë të drejta</w:t>
      </w:r>
      <w:r>
        <w:t xml:space="preserve"> të njëjta me atë të Policisë së S</w:t>
      </w:r>
      <w:r w:rsidRPr="003B5769">
        <w:t>htetit. Në neni</w:t>
      </w:r>
      <w:r>
        <w:t>n 1 të ligjit nr.8321, datë 2.4.1998</w:t>
      </w:r>
      <w:r w:rsidRPr="003B5769">
        <w:t xml:space="preserve"> </w:t>
      </w:r>
      <w:r>
        <w:t xml:space="preserve">“Për Policinë e Burgjeve”, </w:t>
      </w:r>
      <w:r w:rsidRPr="003B5769">
        <w:t>është bërë një ndry</w:t>
      </w:r>
      <w:r>
        <w:t>shim i mëvonshëm, me të cilin Policia e B</w:t>
      </w:r>
      <w:r w:rsidRPr="003B5769">
        <w:t>urgjeve gëzon të gjitha të drejtat që parashikon ligji p</w:t>
      </w:r>
      <w:r>
        <w:t>ër Policinë e S</w:t>
      </w:r>
      <w:r w:rsidRPr="003B5769">
        <w:t>htetit, në vend të rregullimit të mëparshëm, i cili përcaktonte barazinë</w:t>
      </w:r>
      <w:r>
        <w:t xml:space="preserve"> në të drejta, me ushtarakun e Forcave të A</w:t>
      </w:r>
      <w:r w:rsidRPr="003B5769">
        <w:t>rmatosura. Në këto ndryshime të vit</w:t>
      </w:r>
      <w:r>
        <w:t>it 2001, nuk ka ndonjë dispozitë</w:t>
      </w:r>
      <w:r w:rsidRPr="003B5769">
        <w:t xml:space="preserve"> </w:t>
      </w:r>
      <w:r>
        <w:t>që të përcaktojë pozitë të posaçme lidhur me përgjegjë</w:t>
      </w:r>
      <w:r w:rsidRPr="003B5769">
        <w:t xml:space="preserve">sinë </w:t>
      </w:r>
      <w:r>
        <w:t>penale të punonjësve të Policisë së Burgjeve, sikurse ka bërë ligji për Policinë e S</w:t>
      </w:r>
      <w:r w:rsidRPr="003B5769">
        <w:t xml:space="preserve">htetit. </w:t>
      </w:r>
    </w:p>
    <w:p w:rsidR="007412CB" w:rsidRPr="003B5769" w:rsidRDefault="007412CB" w:rsidP="007412CB">
      <w:pPr>
        <w:pStyle w:val="Paragrafi"/>
      </w:pPr>
      <w:r>
        <w:t>Nga kjo, Kolegjet e Bashkuara ç</w:t>
      </w:r>
      <w:r w:rsidRPr="003B5769">
        <w:t>mo</w:t>
      </w:r>
      <w:r>
        <w:t>jnë se barazimi në të drejta i Policisë së Burgjeve me Policinë e S</w:t>
      </w:r>
      <w:r w:rsidRPr="003B5769">
        <w:t>htetit nuk passjell edhe juridiksion penal të njëjtë për ta. Edhe po t’i referohemi rregullimeve të bëra në dispozitën e nenit 6 të Kodi</w:t>
      </w:r>
      <w:r>
        <w:t>t</w:t>
      </w:r>
      <w:r w:rsidRPr="003B5769">
        <w:t xml:space="preserve"> Penal Ushtarak, rezulton se është shfuqizuar pjesa që pë</w:t>
      </w:r>
      <w:r>
        <w:t>rcaktonte se subjekte të këtij Kodi, veç</w:t>
      </w:r>
      <w:r w:rsidRPr="003B5769">
        <w:t xml:space="preserve"> ushtarakëve, janë edhe personat që ligji i barazon me ta. Po ashtu, në mënyrë me eksplicite kjo dispozitë kalon nga barazia me ushtarak</w:t>
      </w:r>
      <w:r>
        <w:t>ët, te përcaktimi i shprehur se subjekte të këtij K</w:t>
      </w:r>
      <w:r w:rsidRPr="003B5769">
        <w:t>odi, veç ushtarakëve, janë edhe persona të tjerë të përcaktuar si të tillë me ligj të veçantë.</w:t>
      </w:r>
    </w:p>
    <w:p w:rsidR="007412CB" w:rsidRPr="000D6CB7" w:rsidRDefault="007412CB" w:rsidP="007412CB">
      <w:pPr>
        <w:pStyle w:val="Paragrafi"/>
        <w:rPr>
          <w:b/>
        </w:rPr>
      </w:pPr>
      <w:r w:rsidRPr="003B5769">
        <w:t>Në një vështri</w:t>
      </w:r>
      <w:r>
        <w:t>m më të përgjithshëm, Kolegjet e</w:t>
      </w:r>
      <w:r w:rsidRPr="003B5769">
        <w:t xml:space="preserve"> Bashkuara të Gjykatës së Lartë arrijnë përfundimin unifikues se, </w:t>
      </w:r>
      <w:r w:rsidRPr="000D6CB7">
        <w:rPr>
          <w:b/>
        </w:rPr>
        <w:t>përgjegj</w:t>
      </w:r>
      <w:r>
        <w:rPr>
          <w:b/>
        </w:rPr>
        <w:t>ësia penale është kurdoherë e pë</w:t>
      </w:r>
      <w:r w:rsidRPr="000D6CB7">
        <w:rPr>
          <w:b/>
        </w:rPr>
        <w:t>rcaktuar në mënyrë</w:t>
      </w:r>
      <w:r>
        <w:rPr>
          <w:b/>
        </w:rPr>
        <w:t xml:space="preserve"> të shprehur në dispozita të veç</w:t>
      </w:r>
      <w:r w:rsidRPr="000D6CB7">
        <w:rPr>
          <w:b/>
        </w:rPr>
        <w:t xml:space="preserve">anta, ajo nuk mund </w:t>
      </w:r>
      <w:r>
        <w:rPr>
          <w:b/>
        </w:rPr>
        <w:t>të</w:t>
      </w:r>
      <w:r w:rsidRPr="000D6CB7">
        <w:rPr>
          <w:b/>
        </w:rPr>
        <w:t xml:space="preserve"> jetë kurrë e nënkuptuar dhe të nxirret me analogji. Për pasojë, derisa nuk ka një dispozitë të posaçme me karakter</w:t>
      </w:r>
      <w:r>
        <w:rPr>
          <w:b/>
        </w:rPr>
        <w:t xml:space="preserve"> penal në ligjin për Policinë e Burgjeve, punonjësit e saj pë</w:t>
      </w:r>
      <w:r w:rsidRPr="000D6CB7">
        <w:rPr>
          <w:b/>
        </w:rPr>
        <w:t>r vepra penale që kryejnë në detyrë, duhet të përgjigjen sipas dispozitave të Kodi</w:t>
      </w:r>
      <w:r>
        <w:rPr>
          <w:b/>
        </w:rPr>
        <w:t>t</w:t>
      </w:r>
      <w:r w:rsidRPr="000D6CB7">
        <w:rPr>
          <w:b/>
        </w:rPr>
        <w:t xml:space="preserve"> Penal e jo atij Penal Ushtarak. Barazia në status nuk nënkupton edhe juridiksion të njëjtë penal.</w:t>
      </w:r>
    </w:p>
    <w:p w:rsidR="007412CB" w:rsidRPr="003B5769" w:rsidRDefault="007412CB" w:rsidP="007412CB">
      <w:pPr>
        <w:pStyle w:val="Paragrafi"/>
      </w:pPr>
      <w:r w:rsidRPr="003B5769">
        <w:t>Kolegjet e Bashkuara bazuar në parimin ku</w:t>
      </w:r>
      <w:r>
        <w:t>shtetues dhe procedural të mosrë</w:t>
      </w:r>
      <w:r w:rsidRPr="003B5769">
        <w:t>n</w:t>
      </w:r>
      <w:r>
        <w:t>dimit të pozitës, për shkak se ç</w:t>
      </w:r>
      <w:r w:rsidRPr="003B5769">
        <w:t>ështja është shqyrtuar nga gjykata e apelit, po ashtu edhe nga Gjykata e Lartë vetëm mbi ankimin e të gjykuarve, në eventualitetin se ata gjenden fajtor</w:t>
      </w:r>
      <w:r>
        <w:t>ë</w:t>
      </w:r>
      <w:r w:rsidRPr="003B5769">
        <w:t xml:space="preserve"> për vepra penale që lidhen me detyrën si</w:t>
      </w:r>
      <w:r>
        <w:t>pas Kodit Penal (Civil), dënimi</w:t>
      </w:r>
      <w:r w:rsidRPr="003B5769">
        <w:t xml:space="preserve"> nuk duhet të kalojë dënimet e dhëna me parë. Gjyk</w:t>
      </w:r>
      <w:r>
        <w:t>ata në rishqyrtim nuk mund të rëndojnë pozitën e të gjykuarve</w:t>
      </w:r>
      <w:r w:rsidRPr="003B5769">
        <w:t xml:space="preserve"> (</w:t>
      </w:r>
      <w:r w:rsidRPr="000D6CB7">
        <w:rPr>
          <w:i/>
        </w:rPr>
        <w:t>reformatio në peius</w:t>
      </w:r>
      <w:r w:rsidRPr="003B5769">
        <w:t xml:space="preserve">).                              </w:t>
      </w:r>
    </w:p>
    <w:p w:rsidR="007412CB" w:rsidRPr="003B5769" w:rsidRDefault="007412CB" w:rsidP="007412CB">
      <w:pPr>
        <w:pStyle w:val="Paragrafi"/>
      </w:pPr>
      <w:r w:rsidRPr="003B5769">
        <w:t xml:space="preserve">        </w:t>
      </w:r>
    </w:p>
    <w:p w:rsidR="007412CB" w:rsidRDefault="007412CB" w:rsidP="007412CB">
      <w:pPr>
        <w:pStyle w:val="VENDOSI"/>
      </w:pPr>
      <w:r w:rsidRPr="003B5769">
        <w:t>PËR KËTO ARSYE</w:t>
      </w:r>
      <w:r>
        <w:t>:</w:t>
      </w:r>
    </w:p>
    <w:p w:rsidR="007412CB" w:rsidRPr="003B5769" w:rsidRDefault="007412CB" w:rsidP="007412CB">
      <w:pPr>
        <w:pStyle w:val="Paragrafi"/>
      </w:pPr>
    </w:p>
    <w:p w:rsidR="007412CB" w:rsidRPr="003B5769" w:rsidRDefault="007412CB" w:rsidP="007412CB">
      <w:pPr>
        <w:pStyle w:val="Paragrafi"/>
      </w:pPr>
      <w:r w:rsidRPr="003B5769">
        <w:t>Kolegjet e Bashkuara të Gjykatës së Lartë, në mbështetje të nenit 141/2 të Kushtetutës, nenit 441 germa “ç” të Kodit të Pro</w:t>
      </w:r>
      <w:r>
        <w:t>cedurës Penale dhe nenit 17 të ligjit nr.8588, datë 15.3.2000</w:t>
      </w:r>
      <w:r w:rsidRPr="003B5769">
        <w:t xml:space="preserve"> “Për organizimin dhe funksionimin e Gjykatës së Lartë”,</w:t>
      </w:r>
    </w:p>
    <w:p w:rsidR="007412CB" w:rsidRPr="003B5769" w:rsidRDefault="007412CB" w:rsidP="007412CB">
      <w:pPr>
        <w:pStyle w:val="Paragrafi"/>
      </w:pPr>
    </w:p>
    <w:p w:rsidR="007412CB" w:rsidRDefault="007412CB" w:rsidP="007412CB">
      <w:pPr>
        <w:pStyle w:val="VENDOSI"/>
      </w:pPr>
      <w:r>
        <w:t>VENDOSË</w:t>
      </w:r>
      <w:r w:rsidRPr="003B5769">
        <w:t>N</w:t>
      </w:r>
      <w:r>
        <w:t>:</w:t>
      </w:r>
    </w:p>
    <w:p w:rsidR="007412CB" w:rsidRPr="003B5769" w:rsidRDefault="007412CB" w:rsidP="007412CB">
      <w:pPr>
        <w:pStyle w:val="Paragrafi"/>
      </w:pPr>
    </w:p>
    <w:p w:rsidR="007412CB" w:rsidRPr="003B5769" w:rsidRDefault="007412CB" w:rsidP="007412CB">
      <w:pPr>
        <w:pStyle w:val="Paragrafi"/>
      </w:pPr>
      <w:r>
        <w:t xml:space="preserve">- </w:t>
      </w:r>
      <w:r w:rsidRPr="003B5769">
        <w:t xml:space="preserve">Prishjen e vendimit nr.217, datë 23.7.2003 të Gjykatës Ushtarake të Rrethit Tiranë dhe vendimit nr.72, datë 21.10.2003 të Gjykatës Ushtarake të Apelit Tiranë dhe dërgimin e çështjes për rigjykim në Gjykatën e Rrethit Gjyqësor Tiranë. </w:t>
      </w:r>
    </w:p>
    <w:p w:rsidR="007412CB" w:rsidRPr="003B5769" w:rsidRDefault="007412CB" w:rsidP="007412CB">
      <w:pPr>
        <w:pStyle w:val="Paragrafi"/>
      </w:pPr>
      <w:r>
        <w:t xml:space="preserve">- </w:t>
      </w:r>
      <w:r w:rsidRPr="003B5769">
        <w:t>Unifikimin e praktikës gjyqësore</w:t>
      </w:r>
      <w:r>
        <w:t>,</w:t>
      </w:r>
      <w:r w:rsidRPr="003B5769">
        <w:t xml:space="preserve"> sikurse përcaktohet në këtë vendim.</w:t>
      </w:r>
    </w:p>
    <w:p w:rsidR="007412CB" w:rsidRPr="003B5769" w:rsidRDefault="007412CB" w:rsidP="007412CB">
      <w:pPr>
        <w:pStyle w:val="Paragrafi"/>
      </w:pPr>
      <w:r>
        <w:t xml:space="preserve">- </w:t>
      </w:r>
      <w:r w:rsidRPr="003B5769">
        <w:t>Dërgimin për botim në Fletoren</w:t>
      </w:r>
      <w:r>
        <w:t xml:space="preserve"> Zyrtare të këtij vendimi që nje</w:t>
      </w:r>
      <w:r w:rsidRPr="003B5769">
        <w:t>hson praktikën gjyqësore.</w:t>
      </w:r>
    </w:p>
    <w:p w:rsidR="007412CB" w:rsidRPr="003B5769" w:rsidRDefault="007412CB" w:rsidP="007412CB">
      <w:pPr>
        <w:pStyle w:val="Paragrafi"/>
      </w:pPr>
    </w:p>
    <w:p w:rsidR="007412CB" w:rsidRPr="003B5769" w:rsidRDefault="007412CB" w:rsidP="007412CB">
      <w:pPr>
        <w:pStyle w:val="Paragrafi"/>
      </w:pPr>
    </w:p>
    <w:p w:rsidR="007412CB" w:rsidRDefault="007412CB" w:rsidP="007412CB">
      <w:pPr>
        <w:pStyle w:val="TitulliTitull"/>
      </w:pPr>
      <w:r w:rsidRPr="003B5769">
        <w:t>MENDIMI I PAKICËS</w:t>
      </w:r>
    </w:p>
    <w:p w:rsidR="007412CB" w:rsidRPr="003B5769" w:rsidRDefault="007412CB" w:rsidP="007412CB">
      <w:pPr>
        <w:pStyle w:val="TitulliTitull"/>
      </w:pPr>
    </w:p>
    <w:p w:rsidR="007412CB" w:rsidRPr="003B5769" w:rsidRDefault="007412CB" w:rsidP="007412CB">
      <w:pPr>
        <w:pStyle w:val="Paragrafi"/>
      </w:pPr>
      <w:r w:rsidRPr="003B5769">
        <w:t>Në lidhje me</w:t>
      </w:r>
      <w:r>
        <w:t xml:space="preserve"> vendimin nr.2, datë 30.6.2004</w:t>
      </w:r>
      <w:r w:rsidRPr="003B5769">
        <w:t xml:space="preserve"> të Kolegjeve të Bashkuara të Gjykatës</w:t>
      </w:r>
      <w:r>
        <w:t xml:space="preserve"> së Lartë,</w:t>
      </w:r>
    </w:p>
    <w:p w:rsidR="007412CB" w:rsidRPr="003B5769" w:rsidRDefault="007412CB" w:rsidP="007412CB">
      <w:pPr>
        <w:pStyle w:val="Paragrafi"/>
      </w:pPr>
      <w:r w:rsidRPr="003B5769">
        <w:t>Nuk jemi dokord me m</w:t>
      </w:r>
      <w:r>
        <w:t>endimin e shumicës së Kole</w:t>
      </w:r>
      <w:r w:rsidRPr="003B5769">
        <w:t>gjeve të Bashkuara, shpr</w:t>
      </w:r>
      <w:r>
        <w:t>ehur në vendimin nr.2, datë 30.</w:t>
      </w:r>
      <w:r w:rsidRPr="003B5769">
        <w:t>6.2004, të tyre, jo në tërësi, por vetëm p</w:t>
      </w:r>
      <w:r>
        <w:t>ë</w:t>
      </w:r>
      <w:r w:rsidRPr="003B5769">
        <w:t xml:space="preserve">rsa i përket moszbatimit të Kodit Penal Ushtarak, kuptohet, </w:t>
      </w:r>
      <w:r w:rsidRPr="000D6CB7">
        <w:rPr>
          <w:u w:val="single"/>
        </w:rPr>
        <w:t>përkohësisht</w:t>
      </w:r>
      <w:r w:rsidRPr="003B5769">
        <w:t>, për veprat pen</w:t>
      </w:r>
      <w:r>
        <w:t>ale që kryhen nga punonjësit e Policisë së B</w:t>
      </w:r>
      <w:r w:rsidRPr="003B5769">
        <w:t xml:space="preserve">urgjeve gjatë shërbimit, </w:t>
      </w:r>
      <w:r>
        <w:t>në zbatim të ligjit nr.8321, datë 2.4.1998</w:t>
      </w:r>
      <w:r w:rsidRPr="003B5769">
        <w:t xml:space="preserve"> ndr</w:t>
      </w:r>
      <w:r>
        <w:t>yshuar me ligjin nr.8757, datë 26.3.2001</w:t>
      </w:r>
      <w:r w:rsidRPr="003B5769">
        <w:t xml:space="preserve"> "Për Policinë e Burgjeve".</w:t>
      </w:r>
    </w:p>
    <w:p w:rsidR="007412CB" w:rsidRDefault="007412CB" w:rsidP="007412CB">
      <w:pPr>
        <w:pStyle w:val="Paragrafi"/>
      </w:pPr>
      <w:r w:rsidRPr="003B5769">
        <w:t xml:space="preserve">Shumica, me arsyetimin se përgjegjësia penale nuk është e nënkuptuar dhe nuk mund të nxirret me analogji, pohim ky që, edhe për mendimin tonë, </w:t>
      </w:r>
      <w:r w:rsidRPr="000D6CB7">
        <w:rPr>
          <w:u w:val="single"/>
        </w:rPr>
        <w:t>si rregull, është teorikisht i drejtë</w:t>
      </w:r>
      <w:r w:rsidRPr="003B5769">
        <w:t>, arrin në përfundimin se: “. . . derisa nuk ka një dispozitë të posaçme në ligjin për Policinë e Burgjeve, punonjësit e saj për veprat penale që kryejnë në detyrë, duhet të përgjigjen sipas dispozitave të Kodi</w:t>
      </w:r>
      <w:r>
        <w:t>t</w:t>
      </w:r>
      <w:r w:rsidRPr="003B5769">
        <w:t xml:space="preserve"> Penal e jo atij Penal Ushtarak” dhe se “Barazia në status nuk nënkupton edhe juridiksion të njëjtë penal”.</w:t>
      </w:r>
    </w:p>
    <w:p w:rsidR="007412CB" w:rsidRPr="003B5769" w:rsidRDefault="007412CB" w:rsidP="007412CB">
      <w:pPr>
        <w:pStyle w:val="Paragrafi"/>
      </w:pPr>
      <w:r w:rsidRPr="003B5769">
        <w:t xml:space="preserve">Këto përfundime në kushtet e mangësive, jo aq të ligjit të përmendur për Policinë e Burgjeve, </w:t>
      </w:r>
      <w:r>
        <w:t>por, më tepër, të mos</w:t>
      </w:r>
      <w:r w:rsidRPr="003B5769">
        <w:t>plotësimit të Kodi</w:t>
      </w:r>
      <w:r>
        <w:t>t</w:t>
      </w:r>
      <w:r w:rsidRPr="003B5769">
        <w:t xml:space="preserve"> Penal edhe me dispozita të veçanta për vepra penale të kryera, si nga punonjësit e kësaj policie, ashtu edhe të Policisë së Shtetit, për shkak të disa detyrave specifike që ato kryejnë, i kon</w:t>
      </w:r>
      <w:r>
        <w:t>siderojmë të parakoh</w:t>
      </w:r>
      <w:r w:rsidRPr="003B5769">
        <w:t>shme dhe, përsa i përket rastit kur ato kry</w:t>
      </w:r>
      <w:r>
        <w:t>hen nga të parët (punonjësit e Policisë së B</w:t>
      </w:r>
      <w:r w:rsidRPr="003B5769">
        <w:t>urgjeve) me p</w:t>
      </w:r>
      <w:r>
        <w:t>asoja në drejtim të dobësimit të</w:t>
      </w:r>
      <w:r w:rsidRPr="003B5769">
        <w:t xml:space="preserve"> rolit parandalues që duhet të luajë dënimi penal për forcimin e disiplinës së punës në një sektor sa të rëndësishëm</w:t>
      </w:r>
      <w:r>
        <w:t>,</w:t>
      </w:r>
      <w:r w:rsidRPr="003B5769">
        <w:t xml:space="preserve"> aq edhe delikat pë</w:t>
      </w:r>
      <w:r>
        <w:t>r interesat e shtetit e të shoqë</w:t>
      </w:r>
      <w:r w:rsidRPr="003B5769">
        <w:t>risë, sikurse janë burgjet.</w:t>
      </w:r>
    </w:p>
    <w:p w:rsidR="007412CB" w:rsidRPr="003B5769" w:rsidRDefault="007412CB" w:rsidP="007412CB">
      <w:pPr>
        <w:pStyle w:val="Paragrafi"/>
      </w:pPr>
      <w:r w:rsidRPr="003B5769">
        <w:t>Në fillim nën</w:t>
      </w:r>
      <w:r>
        <w:t>vizuam faktin se nuk jemi dakord</w:t>
      </w:r>
      <w:r w:rsidRPr="003B5769">
        <w:t xml:space="preserve"> përsa i përket moszbatimit, </w:t>
      </w:r>
      <w:r w:rsidRPr="003F42BB">
        <w:rPr>
          <w:u w:val="single"/>
        </w:rPr>
        <w:t>përkohësisht</w:t>
      </w:r>
      <w:r w:rsidRPr="003B5769">
        <w:t>, të Kodi</w:t>
      </w:r>
      <w:r>
        <w:t>t</w:t>
      </w:r>
      <w:r w:rsidRPr="003B5769">
        <w:t xml:space="preserve"> Penal Ushtarak pë</w:t>
      </w:r>
      <w:r>
        <w:t>r këtë kategori personash, pasi</w:t>
      </w:r>
      <w:r w:rsidRPr="003B5769">
        <w:t xml:space="preserve"> çmojmë nevojë urgjente plotësimin e Kodit Penal me dispozita të posaçme që të </w:t>
      </w:r>
      <w:r w:rsidRPr="003F42BB">
        <w:t>parashikojnë</w:t>
      </w:r>
      <w:r w:rsidRPr="003B5769">
        <w:t>, si vepra penale, disa raste specifike moskryerje të detyrës funksionale nga ana e punonjësve të Policisë së Burgjeve që</w:t>
      </w:r>
      <w:r>
        <w:t xml:space="preserve"> kanë të bëjnë: me ruajtjen e ve</w:t>
      </w:r>
      <w:r w:rsidRPr="003B5769">
        <w:t>ndeve të vuajtjes së dënimit me burgim dhe zbatimin e rregullave të brendshme në to, në përgjithësi dhe me ruajtjen perimetrike; hyrjet e daljet në institucionet e vuajtjes së dënimit, sigurimin</w:t>
      </w:r>
      <w:r>
        <w:t xml:space="preserve"> e zbatimit të rregullave të bre</w:t>
      </w:r>
      <w:r w:rsidRPr="003B5769">
        <w:t>ndshme dhe të sigurisë brenda këtyre institucioneve; shoqërimin e të dënuarit gjatë transferimeve, në lejet speciale dhe në lëvizjet jashtë institucionit, si dhe në sigurimin e ruajtjes s</w:t>
      </w:r>
      <w:r>
        <w:t>ë të dënuarve në spitale ose qe</w:t>
      </w:r>
      <w:r w:rsidRPr="003B5769">
        <w:t>ndra të tjera mjekësore, në veçanti, raste këto që kanë të bëjnë me masat që duhet të merren për kryerjen me korrektësi të detyrave funksionale që parashikohen nga neni 5 i ligjit për Policinë e Burgjeve.</w:t>
      </w:r>
    </w:p>
    <w:p w:rsidR="007412CB" w:rsidRPr="003B5769" w:rsidRDefault="007412CB" w:rsidP="007412CB">
      <w:pPr>
        <w:pStyle w:val="Paragrafi"/>
      </w:pPr>
      <w:r w:rsidRPr="003B5769">
        <w:t xml:space="preserve">Sjellim në vëmendje se në Kodin Penal Ushtarak, në nenet 41, 42/1, 44 dhe 45 të tij </w:t>
      </w:r>
      <w:r w:rsidRPr="003F42BB">
        <w:t>parashikohen</w:t>
      </w:r>
      <w:r>
        <w:t>, pë</w:t>
      </w:r>
      <w:r w:rsidRPr="003B5769">
        <w:t>rkatësisht, veprat penale të shkeljes së rregulla</w:t>
      </w:r>
      <w:r>
        <w:t>ve të shërbimit të rojë</w:t>
      </w:r>
      <w:r w:rsidRPr="003B5769">
        <w:t>s; shkelja e</w:t>
      </w:r>
      <w:r>
        <w:t xml:space="preserve"> rregullave të shërbimit të rojë</w:t>
      </w:r>
      <w:r w:rsidRPr="003B5769">
        <w:t>s në objekte të rëndësishme (theksojmë se burgjet si tek ne</w:t>
      </w:r>
      <w:r>
        <w:t>,</w:t>
      </w:r>
      <w:r w:rsidRPr="003B5769">
        <w:t xml:space="preserve"> edhe kudo gjetkë janë konsideruar dhe vazhdojnë të konsiderohen objekte të tilla); shkelja e r</w:t>
      </w:r>
      <w:r>
        <w:t>regullave të shoqërimit dhe mos</w:t>
      </w:r>
      <w:r w:rsidRPr="003B5769">
        <w:t>caktimi i rojeve.</w:t>
      </w:r>
    </w:p>
    <w:p w:rsidR="007412CB" w:rsidRPr="003B5769" w:rsidRDefault="007412CB" w:rsidP="007412CB">
      <w:pPr>
        <w:pStyle w:val="Paragrafi"/>
      </w:pPr>
      <w:r w:rsidRPr="003B5769">
        <w:t>Këto, për nga natyra e tyre, janë përafërsisht të të njëjtit lloj me ato që u renditën në një paragraf më lart dhe në kushtet aktuale, (të mungesës së dispozitave të posaç</w:t>
      </w:r>
      <w:r>
        <w:t>me, analoge, në Kodin Penal) në</w:t>
      </w:r>
      <w:r w:rsidRPr="003B5769">
        <w:t>se do të pranohet si i drejtë mendimi i shumicës, do të mbeteshin pa u ndëshkuar, përveç masave disiplinore, edhe me masa penale.</w:t>
      </w:r>
    </w:p>
    <w:p w:rsidR="007412CB" w:rsidRPr="003B5769" w:rsidRDefault="007412CB" w:rsidP="007412CB">
      <w:pPr>
        <w:pStyle w:val="Paragrafi"/>
      </w:pPr>
      <w:r w:rsidRPr="003B5769">
        <w:t xml:space="preserve">Prandaj, nisur nga barazimi jo vetëm ligjor, por edhe faktik që, në kushtet aktuale, i është bërë statusit të këtyre dy policive (Policisë së Shtetit dhe asaj të Burgjeve) pa devijuar nga </w:t>
      </w:r>
      <w:r>
        <w:t>rregulli që përgjegjësia penale nuk është e nënkuptuar dhe nuk mund të</w:t>
      </w:r>
      <w:r w:rsidRPr="003B5769">
        <w:t xml:space="preserve"> nxirret me analogji, mendojmë se do të ishte më e drejtë dhe me vlera praktike që për punonjës me të njëjtin status, </w:t>
      </w:r>
      <w:r w:rsidRPr="003F42BB">
        <w:rPr>
          <w:u w:val="single"/>
        </w:rPr>
        <w:t xml:space="preserve">deri në plotësimin e Kodit </w:t>
      </w:r>
      <w:r w:rsidRPr="003F42BB">
        <w:rPr>
          <w:u w:val="single"/>
        </w:rPr>
        <w:lastRenderedPageBreak/>
        <w:t xml:space="preserve">Penal, </w:t>
      </w:r>
      <w:r w:rsidRPr="003B5769">
        <w:t xml:space="preserve">të zbatohej urdhërimi kalimtar i nenit 68/II të ligjit "Për Policinë e </w:t>
      </w:r>
      <w:r>
        <w:t>Shtetit" edhe për punonjësit e Policisë së Burgjeve, urdhërim ky nëpërmjet të cilit vetë ligjvënësi ka shprehur vullnetin për të bërë përjashtim të përkohshëm nga rregulli i pë</w:t>
      </w:r>
      <w:r w:rsidRPr="003B5769">
        <w:t xml:space="preserve">rmendur.                </w:t>
      </w:r>
    </w:p>
    <w:p w:rsidR="007412CB" w:rsidRDefault="007412CB" w:rsidP="007412CB">
      <w:pPr>
        <w:pStyle w:val="Paragrafi"/>
      </w:pPr>
    </w:p>
    <w:p w:rsidR="007412CB" w:rsidRPr="003B5769" w:rsidRDefault="007412CB" w:rsidP="007412CB">
      <w:pPr>
        <w:pStyle w:val="Paragrafi"/>
      </w:pPr>
      <w:r>
        <w:t xml:space="preserve">Perikli Zaharia, </w:t>
      </w:r>
      <w:r w:rsidRPr="003B5769">
        <w:t>Spiro Spiro</w:t>
      </w:r>
      <w:r w:rsidRPr="003B5769">
        <w:tab/>
      </w: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46FF9"/>
    <w:rsid w:val="000637B6"/>
    <w:rsid w:val="00074162"/>
    <w:rsid w:val="00075BF5"/>
    <w:rsid w:val="000A2FF5"/>
    <w:rsid w:val="000B29AB"/>
    <w:rsid w:val="00116978"/>
    <w:rsid w:val="00134ADF"/>
    <w:rsid w:val="00187855"/>
    <w:rsid w:val="001A58B2"/>
    <w:rsid w:val="001C7978"/>
    <w:rsid w:val="001E3F0B"/>
    <w:rsid w:val="0022170D"/>
    <w:rsid w:val="002C6BAB"/>
    <w:rsid w:val="00304413"/>
    <w:rsid w:val="00383FD5"/>
    <w:rsid w:val="003941D1"/>
    <w:rsid w:val="003E06F6"/>
    <w:rsid w:val="003F043A"/>
    <w:rsid w:val="004107B9"/>
    <w:rsid w:val="00411E6E"/>
    <w:rsid w:val="00470F9C"/>
    <w:rsid w:val="0050367C"/>
    <w:rsid w:val="00504A56"/>
    <w:rsid w:val="00507AF2"/>
    <w:rsid w:val="00543147"/>
    <w:rsid w:val="00544065"/>
    <w:rsid w:val="00545117"/>
    <w:rsid w:val="0058563C"/>
    <w:rsid w:val="005A53C5"/>
    <w:rsid w:val="005D4BA8"/>
    <w:rsid w:val="00634290"/>
    <w:rsid w:val="00697FDD"/>
    <w:rsid w:val="006A37D8"/>
    <w:rsid w:val="006E35E0"/>
    <w:rsid w:val="00705463"/>
    <w:rsid w:val="007412CB"/>
    <w:rsid w:val="0074183C"/>
    <w:rsid w:val="00767527"/>
    <w:rsid w:val="007B0B5A"/>
    <w:rsid w:val="0080475E"/>
    <w:rsid w:val="008072B9"/>
    <w:rsid w:val="00841EC5"/>
    <w:rsid w:val="008521B4"/>
    <w:rsid w:val="008656D4"/>
    <w:rsid w:val="00872000"/>
    <w:rsid w:val="00881600"/>
    <w:rsid w:val="009C29DF"/>
    <w:rsid w:val="009F72BC"/>
    <w:rsid w:val="00A0784B"/>
    <w:rsid w:val="00A16F91"/>
    <w:rsid w:val="00A246D1"/>
    <w:rsid w:val="00A43657"/>
    <w:rsid w:val="00A47BC4"/>
    <w:rsid w:val="00A923BE"/>
    <w:rsid w:val="00AA3124"/>
    <w:rsid w:val="00AA4D4B"/>
    <w:rsid w:val="00B673CE"/>
    <w:rsid w:val="00BB3954"/>
    <w:rsid w:val="00BB5AB5"/>
    <w:rsid w:val="00BC6B73"/>
    <w:rsid w:val="00C22BA7"/>
    <w:rsid w:val="00C36B40"/>
    <w:rsid w:val="00C7710C"/>
    <w:rsid w:val="00D1319A"/>
    <w:rsid w:val="00D92AC6"/>
    <w:rsid w:val="00DC64E5"/>
    <w:rsid w:val="00E06AA7"/>
    <w:rsid w:val="00E624E2"/>
    <w:rsid w:val="00E645E3"/>
    <w:rsid w:val="00EA206E"/>
    <w:rsid w:val="00EC5F99"/>
    <w:rsid w:val="00EE2805"/>
    <w:rsid w:val="00F15D98"/>
    <w:rsid w:val="00F52BF2"/>
    <w:rsid w:val="00F55282"/>
    <w:rsid w:val="00F95181"/>
    <w:rsid w:val="00FB705B"/>
    <w:rsid w:val="00FD4FC8"/>
    <w:rsid w:val="00FD56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73BFDEAD-8B25-492D-9EB6-2FBDE246E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3160</Words>
  <Characters>18017</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21135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2019-03-14T17:34:00Z</dcterms:created>
  <dcterms:modified xsi:type="dcterms:W3CDTF">2019-03-14T17:34:00Z</dcterms:modified>
</cp:coreProperties>
</file>