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890" w:rsidRPr="00CD5584" w:rsidRDefault="00C01890" w:rsidP="00C01890">
      <w:pPr>
        <w:pStyle w:val="Akti"/>
        <w:rPr>
          <w:sz w:val="21"/>
          <w:szCs w:val="21"/>
        </w:rPr>
      </w:pPr>
      <w:bookmarkStart w:id="0" w:name="_GoBack"/>
      <w:bookmarkEnd w:id="0"/>
      <w:r w:rsidRPr="00CD5584">
        <w:rPr>
          <w:sz w:val="21"/>
          <w:szCs w:val="21"/>
        </w:rPr>
        <w:t>Ndreqje gabimi</w:t>
      </w:r>
    </w:p>
    <w:p w:rsidR="00C01890" w:rsidRPr="00CD5584" w:rsidRDefault="00C01890" w:rsidP="00C01890">
      <w:pPr>
        <w:pStyle w:val="Paragrafi0"/>
        <w:rPr>
          <w:sz w:val="21"/>
          <w:szCs w:val="21"/>
        </w:rPr>
      </w:pPr>
    </w:p>
    <w:p w:rsidR="00C01890" w:rsidRPr="00CD5584" w:rsidRDefault="00C01890" w:rsidP="00C01890">
      <w:pPr>
        <w:pStyle w:val="Paragrafi0"/>
        <w:rPr>
          <w:sz w:val="21"/>
          <w:szCs w:val="21"/>
        </w:rPr>
      </w:pPr>
      <w:r w:rsidRPr="00CD5584">
        <w:rPr>
          <w:sz w:val="21"/>
          <w:szCs w:val="21"/>
        </w:rPr>
        <w:t>Në vendimin nr.27, datë 27.7.2009, me objekt: Shfuqizimi si të papajtueshëm me Kushtetutën e Republikës së Shqipërisë, i vendimeve nr.752, datë 16.2.2005 të Gjykatës së Rrethit Gjyqësor Tiranë; nr.799, datë 7.7.2005 të Gjykatës së Apelit Tiranë dhe i vendimit nr.00-2006-256 (770), datë 2.6.2006 të Kolegjit Civil të Gjykatës së Lartë“, i publikuar në Fletoren Zyrtare nr.119, datë 22 gusht 2009, në pjesën e fundit:</w:t>
      </w:r>
    </w:p>
    <w:p w:rsidR="00C01890" w:rsidRPr="00CD5584" w:rsidRDefault="00C01890" w:rsidP="00C01890">
      <w:pPr>
        <w:pStyle w:val="Paragrafi0"/>
        <w:rPr>
          <w:sz w:val="21"/>
          <w:szCs w:val="21"/>
        </w:rPr>
      </w:pPr>
      <w:r w:rsidRPr="00CD5584">
        <w:rPr>
          <w:b/>
          <w:sz w:val="21"/>
          <w:szCs w:val="21"/>
        </w:rPr>
        <w:t>Është</w:t>
      </w:r>
      <w:r w:rsidRPr="00CD5584">
        <w:rPr>
          <w:sz w:val="21"/>
          <w:szCs w:val="21"/>
        </w:rPr>
        <w:t xml:space="preserve">: Anëtarë pro:Vladimir Kristo (Kryetar), Vitore Tusha, Kujtim Puto, Admir Thanza, </w:t>
      </w:r>
    </w:p>
    <w:p w:rsidR="00C01890" w:rsidRPr="00CD5584" w:rsidRDefault="00C01890" w:rsidP="00C01890">
      <w:pPr>
        <w:pStyle w:val="Paragrafi0"/>
        <w:rPr>
          <w:b/>
          <w:sz w:val="21"/>
          <w:szCs w:val="21"/>
        </w:rPr>
      </w:pPr>
      <w:r w:rsidRPr="00CD5584">
        <w:rPr>
          <w:b/>
          <w:sz w:val="21"/>
          <w:szCs w:val="21"/>
        </w:rPr>
        <w:t xml:space="preserve">Bëhet: </w:t>
      </w:r>
      <w:r w:rsidRPr="00CD5584">
        <w:rPr>
          <w:sz w:val="21"/>
          <w:szCs w:val="21"/>
        </w:rPr>
        <w:t xml:space="preserve">Anëtarë pro:Vladimir Kristo (Kryetar),Vitore Tusha, Kujtim Puto, Admir Thanza, </w:t>
      </w:r>
      <w:r w:rsidRPr="00CD5584">
        <w:rPr>
          <w:b/>
          <w:sz w:val="21"/>
          <w:szCs w:val="21"/>
        </w:rPr>
        <w:t>Fehmi Abdiu.</w:t>
      </w:r>
    </w:p>
    <w:sectPr w:rsidR="00C01890" w:rsidRPr="00CD55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1890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57C5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099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890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B42CB1-50A0-4C9A-A3A8-F93D331F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C0189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