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C8308" w14:textId="48E3C0AE" w:rsidR="00DC6701" w:rsidRPr="00144D33" w:rsidRDefault="00CB3EA3" w:rsidP="00CB3EA3">
      <w:pPr>
        <w:spacing w:after="0" w:line="240" w:lineRule="auto"/>
        <w:ind w:firstLine="284"/>
        <w:jc w:val="center"/>
        <w:rPr>
          <w:rFonts w:ascii="Garamond" w:hAnsi="Garamond"/>
          <w:b/>
          <w:lang w:val="sq-AL"/>
        </w:rPr>
      </w:pPr>
      <w:r w:rsidRPr="00144D33">
        <w:rPr>
          <w:rFonts w:ascii="Garamond" w:hAnsi="Garamond"/>
          <w:b/>
          <w:lang w:val="sq-AL"/>
        </w:rPr>
        <w:t>VENDIM</w:t>
      </w:r>
    </w:p>
    <w:p w14:paraId="01BE0E30" w14:textId="508BBF0E" w:rsidR="000F74B6" w:rsidRPr="00144D33" w:rsidRDefault="00CB3EA3" w:rsidP="00CB3EA3">
      <w:pPr>
        <w:spacing w:after="0" w:line="240" w:lineRule="auto"/>
        <w:ind w:firstLine="284"/>
        <w:jc w:val="center"/>
        <w:rPr>
          <w:rFonts w:ascii="Garamond" w:hAnsi="Garamond"/>
          <w:b/>
          <w:lang w:val="sq-AL"/>
        </w:rPr>
      </w:pPr>
      <w:r w:rsidRPr="00144D33">
        <w:rPr>
          <w:rFonts w:ascii="Garamond" w:hAnsi="Garamond"/>
          <w:b/>
          <w:lang w:val="sq-AL"/>
        </w:rPr>
        <w:t>Nr</w:t>
      </w:r>
      <w:r w:rsidR="00DA4A9B" w:rsidRPr="00144D33">
        <w:rPr>
          <w:rFonts w:ascii="Garamond" w:hAnsi="Garamond"/>
          <w:b/>
          <w:lang w:val="sq-AL"/>
        </w:rPr>
        <w:t>.</w:t>
      </w:r>
      <w:r w:rsidR="00A36976">
        <w:rPr>
          <w:rFonts w:ascii="Garamond" w:hAnsi="Garamond"/>
          <w:b/>
          <w:lang w:val="sq-AL"/>
        </w:rPr>
        <w:t>00-2021-1134(</w:t>
      </w:r>
      <w:r w:rsidR="0008284A" w:rsidRPr="00144D33">
        <w:rPr>
          <w:rFonts w:ascii="Garamond" w:hAnsi="Garamond"/>
          <w:b/>
          <w:lang w:val="sq-AL"/>
        </w:rPr>
        <w:t>62</w:t>
      </w:r>
      <w:r w:rsidR="00A36976">
        <w:rPr>
          <w:rFonts w:ascii="Garamond" w:hAnsi="Garamond"/>
          <w:b/>
          <w:lang w:val="sq-AL"/>
        </w:rPr>
        <w:t>)</w:t>
      </w:r>
      <w:r w:rsidR="0008284A" w:rsidRPr="00144D33">
        <w:rPr>
          <w:rFonts w:ascii="Garamond" w:hAnsi="Garamond"/>
          <w:b/>
          <w:lang w:val="sq-AL"/>
        </w:rPr>
        <w:t>, datë 1.11.2021</w:t>
      </w:r>
    </w:p>
    <w:p w14:paraId="044B7227" w14:textId="77777777" w:rsidR="00CB3EA3" w:rsidRPr="00144D33" w:rsidRDefault="00CB3EA3" w:rsidP="00CB3E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3D5E89E" w14:textId="77777777" w:rsidR="00CB3EA3" w:rsidRPr="00144D33" w:rsidRDefault="00CB3EA3" w:rsidP="00CB3E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44D33">
        <w:rPr>
          <w:rFonts w:ascii="Garamond" w:hAnsi="Garamond" w:cs="Times New Roman"/>
          <w:b/>
          <w:bCs/>
          <w:color w:val="000000"/>
          <w:sz w:val="24"/>
          <w:szCs w:val="24"/>
          <w:lang w:val="sq-AL"/>
        </w:rPr>
        <w:t>NË EMËR TË REPUBLIKËS</w:t>
      </w:r>
    </w:p>
    <w:p w14:paraId="3049C5B9" w14:textId="77777777" w:rsidR="00CB3EA3" w:rsidRPr="00144D33" w:rsidRDefault="00CB3EA3" w:rsidP="00CB3EA3">
      <w:pPr>
        <w:autoSpaceDE w:val="0"/>
        <w:autoSpaceDN w:val="0"/>
        <w:adjustRightInd w:val="0"/>
        <w:spacing w:after="0" w:line="240" w:lineRule="auto"/>
        <w:ind w:firstLine="284"/>
        <w:rPr>
          <w:rFonts w:ascii="Garamond" w:hAnsi="Garamond" w:cs="Times New Roman"/>
          <w:b/>
          <w:bCs/>
          <w:color w:val="000000"/>
          <w:sz w:val="24"/>
          <w:szCs w:val="24"/>
          <w:lang w:val="sq-AL"/>
        </w:rPr>
      </w:pPr>
    </w:p>
    <w:p w14:paraId="19331942" w14:textId="77777777"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Kolegji Penal i Gjykatës së Lartë, i përbërë nga gjyqtarët:</w:t>
      </w:r>
    </w:p>
    <w:p w14:paraId="79F12609" w14:textId="47729D51" w:rsidR="00CB3EA3" w:rsidRPr="00EE3445" w:rsidRDefault="00454E3B" w:rsidP="000811C3">
      <w:pPr>
        <w:autoSpaceDE w:val="0"/>
        <w:autoSpaceDN w:val="0"/>
        <w:adjustRightInd w:val="0"/>
        <w:spacing w:after="0" w:line="240" w:lineRule="auto"/>
        <w:ind w:firstLine="284"/>
        <w:rPr>
          <w:rFonts w:ascii="Garamond" w:hAnsi="Garamond" w:cs="Times New Roman"/>
          <w:bCs/>
          <w:color w:val="000000"/>
          <w:sz w:val="24"/>
          <w:szCs w:val="24"/>
        </w:rPr>
      </w:pPr>
      <w:r w:rsidRPr="00144D33">
        <w:rPr>
          <w:rFonts w:ascii="Garamond" w:hAnsi="Garamond" w:cs="Times New Roman"/>
          <w:bCs/>
          <w:color w:val="000000"/>
          <w:sz w:val="24"/>
          <w:szCs w:val="24"/>
          <w:lang w:val="sq-AL"/>
        </w:rPr>
        <w:t>Ilir Panda</w:t>
      </w:r>
      <w:r w:rsidR="00144D33">
        <w:rPr>
          <w:rFonts w:ascii="Garamond" w:hAnsi="Garamond" w:cs="Times New Roman"/>
          <w:bCs/>
          <w:color w:val="000000"/>
          <w:sz w:val="24"/>
          <w:szCs w:val="24"/>
          <w:lang w:val="sq-AL"/>
        </w:rPr>
        <w:t xml:space="preserve"> </w:t>
      </w:r>
      <w:r w:rsidRPr="00144D33">
        <w:rPr>
          <w:rFonts w:ascii="Garamond" w:hAnsi="Garamond" w:cs="Times New Roman"/>
          <w:bCs/>
          <w:color w:val="000000"/>
          <w:sz w:val="24"/>
          <w:szCs w:val="24"/>
          <w:lang w:val="sq-AL"/>
        </w:rPr>
        <w:tab/>
      </w:r>
      <w:r w:rsidRPr="00144D33">
        <w:rPr>
          <w:rFonts w:ascii="Garamond" w:hAnsi="Garamond" w:cs="Times New Roman"/>
          <w:bCs/>
          <w:color w:val="000000"/>
          <w:sz w:val="24"/>
          <w:szCs w:val="24"/>
          <w:lang w:val="sq-AL"/>
        </w:rPr>
        <w:tab/>
        <w:t>kryesues</w:t>
      </w:r>
      <w:r w:rsidR="00EE3445">
        <w:rPr>
          <w:rFonts w:ascii="Garamond" w:hAnsi="Garamond" w:cs="Times New Roman"/>
          <w:bCs/>
          <w:color w:val="000000"/>
          <w:sz w:val="24"/>
          <w:szCs w:val="24"/>
        </w:rPr>
        <w:t>;</w:t>
      </w:r>
    </w:p>
    <w:p w14:paraId="334D32A3" w14:textId="33536859" w:rsidR="00CB3EA3" w:rsidRPr="00144D33" w:rsidRDefault="00454E3B" w:rsidP="00CB3EA3">
      <w:pPr>
        <w:autoSpaceDE w:val="0"/>
        <w:autoSpaceDN w:val="0"/>
        <w:adjustRightInd w:val="0"/>
        <w:spacing w:after="0" w:line="240" w:lineRule="auto"/>
        <w:ind w:firstLine="284"/>
        <w:rPr>
          <w:rFonts w:ascii="Garamond" w:hAnsi="Garamond" w:cs="Times New Roman"/>
          <w:bCs/>
          <w:color w:val="000000"/>
          <w:sz w:val="24"/>
          <w:szCs w:val="24"/>
          <w:lang w:val="sq-AL"/>
        </w:rPr>
      </w:pPr>
      <w:r w:rsidRPr="00144D33">
        <w:rPr>
          <w:rFonts w:ascii="Garamond" w:hAnsi="Garamond" w:cs="Times New Roman"/>
          <w:bCs/>
          <w:color w:val="000000"/>
          <w:sz w:val="24"/>
          <w:szCs w:val="24"/>
          <w:lang w:val="sq-AL"/>
        </w:rPr>
        <w:t>Sokol Binaj</w:t>
      </w:r>
      <w:r w:rsidR="00144D33">
        <w:rPr>
          <w:rFonts w:ascii="Garamond" w:hAnsi="Garamond" w:cs="Times New Roman"/>
          <w:bCs/>
          <w:color w:val="000000"/>
          <w:sz w:val="24"/>
          <w:szCs w:val="24"/>
          <w:lang w:val="sq-AL"/>
        </w:rPr>
        <w:t xml:space="preserve"> </w:t>
      </w:r>
      <w:r w:rsidRPr="00144D33">
        <w:rPr>
          <w:rFonts w:ascii="Garamond" w:hAnsi="Garamond" w:cs="Times New Roman"/>
          <w:bCs/>
          <w:color w:val="000000"/>
          <w:sz w:val="24"/>
          <w:szCs w:val="24"/>
          <w:lang w:val="sq-AL"/>
        </w:rPr>
        <w:tab/>
      </w:r>
      <w:r w:rsidR="00144D33">
        <w:rPr>
          <w:rFonts w:ascii="Garamond" w:hAnsi="Garamond" w:cs="Times New Roman"/>
          <w:bCs/>
          <w:color w:val="000000"/>
          <w:sz w:val="24"/>
          <w:szCs w:val="24"/>
          <w:lang w:val="sq-AL"/>
        </w:rPr>
        <w:tab/>
      </w:r>
      <w:r w:rsidRPr="00144D33">
        <w:rPr>
          <w:rFonts w:ascii="Garamond" w:hAnsi="Garamond" w:cs="Times New Roman"/>
          <w:bCs/>
          <w:color w:val="000000"/>
          <w:sz w:val="24"/>
          <w:szCs w:val="24"/>
          <w:lang w:val="sq-AL"/>
        </w:rPr>
        <w:t>anëtar</w:t>
      </w:r>
      <w:r w:rsidR="00214CF9">
        <w:rPr>
          <w:rFonts w:ascii="Garamond" w:hAnsi="Garamond" w:cs="Times New Roman"/>
          <w:bCs/>
          <w:color w:val="000000"/>
          <w:sz w:val="24"/>
          <w:szCs w:val="24"/>
          <w:lang w:val="sq-AL"/>
        </w:rPr>
        <w:t>;</w:t>
      </w:r>
    </w:p>
    <w:p w14:paraId="339C6B5C" w14:textId="21D6EB83" w:rsidR="00CB3EA3" w:rsidRPr="00144D33" w:rsidRDefault="00454E3B" w:rsidP="00CB3EA3">
      <w:pPr>
        <w:autoSpaceDE w:val="0"/>
        <w:autoSpaceDN w:val="0"/>
        <w:adjustRightInd w:val="0"/>
        <w:spacing w:after="0" w:line="240" w:lineRule="auto"/>
        <w:ind w:firstLine="284"/>
        <w:rPr>
          <w:rFonts w:ascii="Garamond" w:hAnsi="Garamond" w:cs="Times New Roman"/>
          <w:bCs/>
          <w:color w:val="000000"/>
          <w:sz w:val="24"/>
          <w:szCs w:val="24"/>
          <w:lang w:val="sq-AL"/>
        </w:rPr>
      </w:pPr>
      <w:r w:rsidRPr="00144D33">
        <w:rPr>
          <w:rFonts w:ascii="Garamond" w:hAnsi="Garamond" w:cs="Times New Roman"/>
          <w:bCs/>
          <w:color w:val="000000"/>
          <w:sz w:val="24"/>
          <w:szCs w:val="24"/>
          <w:lang w:val="sq-AL"/>
        </w:rPr>
        <w:t xml:space="preserve">Albana Boksi </w:t>
      </w:r>
      <w:r w:rsidRPr="00144D33">
        <w:rPr>
          <w:rFonts w:ascii="Garamond" w:hAnsi="Garamond" w:cs="Times New Roman"/>
          <w:bCs/>
          <w:color w:val="000000"/>
          <w:sz w:val="24"/>
          <w:szCs w:val="24"/>
          <w:lang w:val="sq-AL"/>
        </w:rPr>
        <w:tab/>
        <w:t>anëtare</w:t>
      </w:r>
      <w:r w:rsidR="00214CF9">
        <w:rPr>
          <w:rFonts w:ascii="Garamond" w:hAnsi="Garamond" w:cs="Times New Roman"/>
          <w:bCs/>
          <w:color w:val="000000"/>
          <w:sz w:val="24"/>
          <w:szCs w:val="24"/>
          <w:lang w:val="sq-AL"/>
        </w:rPr>
        <w:t>;</w:t>
      </w:r>
    </w:p>
    <w:p w14:paraId="12CF8197" w14:textId="4D15B783" w:rsidR="00CB3EA3" w:rsidRPr="00144D33" w:rsidRDefault="00454E3B" w:rsidP="00CB3EA3">
      <w:pPr>
        <w:autoSpaceDE w:val="0"/>
        <w:autoSpaceDN w:val="0"/>
        <w:adjustRightInd w:val="0"/>
        <w:spacing w:after="0" w:line="240" w:lineRule="auto"/>
        <w:ind w:firstLine="284"/>
        <w:rPr>
          <w:rFonts w:ascii="Garamond" w:hAnsi="Garamond" w:cs="Times New Roman"/>
          <w:bCs/>
          <w:color w:val="000000"/>
          <w:sz w:val="24"/>
          <w:szCs w:val="24"/>
          <w:lang w:val="sq-AL"/>
        </w:rPr>
      </w:pPr>
      <w:r w:rsidRPr="00144D33">
        <w:rPr>
          <w:rFonts w:ascii="Garamond" w:hAnsi="Garamond" w:cs="Times New Roman"/>
          <w:bCs/>
          <w:color w:val="000000"/>
          <w:sz w:val="24"/>
          <w:szCs w:val="24"/>
          <w:lang w:val="sq-AL"/>
        </w:rPr>
        <w:t xml:space="preserve">Sandër Simoni </w:t>
      </w:r>
      <w:r w:rsidRPr="00144D33">
        <w:rPr>
          <w:rFonts w:ascii="Garamond" w:hAnsi="Garamond" w:cs="Times New Roman"/>
          <w:bCs/>
          <w:color w:val="000000"/>
          <w:sz w:val="24"/>
          <w:szCs w:val="24"/>
          <w:lang w:val="sq-AL"/>
        </w:rPr>
        <w:tab/>
        <w:t>anëtar</w:t>
      </w:r>
      <w:r w:rsidR="00214CF9">
        <w:rPr>
          <w:rFonts w:ascii="Garamond" w:hAnsi="Garamond" w:cs="Times New Roman"/>
          <w:bCs/>
          <w:color w:val="000000"/>
          <w:sz w:val="24"/>
          <w:szCs w:val="24"/>
          <w:lang w:val="sq-AL"/>
        </w:rPr>
        <w:t>;</w:t>
      </w:r>
    </w:p>
    <w:p w14:paraId="3DAB372D" w14:textId="552DFBE6" w:rsidR="00CB3EA3" w:rsidRPr="00144D33" w:rsidRDefault="00454E3B" w:rsidP="00CB3EA3">
      <w:pPr>
        <w:autoSpaceDE w:val="0"/>
        <w:autoSpaceDN w:val="0"/>
        <w:adjustRightInd w:val="0"/>
        <w:spacing w:after="0" w:line="240" w:lineRule="auto"/>
        <w:ind w:firstLine="284"/>
        <w:rPr>
          <w:rFonts w:ascii="Garamond" w:hAnsi="Garamond" w:cs="Times New Roman"/>
          <w:bCs/>
          <w:color w:val="000000"/>
          <w:sz w:val="24"/>
          <w:szCs w:val="24"/>
          <w:lang w:val="sq-AL"/>
        </w:rPr>
      </w:pPr>
      <w:r w:rsidRPr="00144D33">
        <w:rPr>
          <w:rFonts w:ascii="Garamond" w:hAnsi="Garamond" w:cs="Times New Roman"/>
          <w:bCs/>
          <w:color w:val="000000"/>
          <w:sz w:val="24"/>
          <w:szCs w:val="24"/>
          <w:lang w:val="sq-AL"/>
        </w:rPr>
        <w:t xml:space="preserve">Klodian Kurushi </w:t>
      </w:r>
      <w:r w:rsidRPr="00144D33">
        <w:rPr>
          <w:rFonts w:ascii="Garamond" w:hAnsi="Garamond" w:cs="Times New Roman"/>
          <w:bCs/>
          <w:color w:val="000000"/>
          <w:sz w:val="24"/>
          <w:szCs w:val="24"/>
          <w:lang w:val="sq-AL"/>
        </w:rPr>
        <w:tab/>
        <w:t>anëtar</w:t>
      </w:r>
      <w:r w:rsidR="00214CF9">
        <w:rPr>
          <w:rFonts w:ascii="Garamond" w:hAnsi="Garamond" w:cs="Times New Roman"/>
          <w:bCs/>
          <w:color w:val="000000"/>
          <w:sz w:val="24"/>
          <w:szCs w:val="24"/>
          <w:lang w:val="sq-AL"/>
        </w:rPr>
        <w:t>,</w:t>
      </w:r>
    </w:p>
    <w:p w14:paraId="35894D16" w14:textId="20D49B68" w:rsidR="00CB3EA3" w:rsidRPr="00144D33" w:rsidRDefault="00CB3EA3" w:rsidP="009F602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në datat 26.10.2021 dhe 1.11.2021, mori në shqyrtim, në seancë gjyqësore, çështjen penale që i përket:</w:t>
      </w:r>
    </w:p>
    <w:p w14:paraId="2C1546BF" w14:textId="201DDF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bCs/>
          <w:color w:val="000000"/>
          <w:sz w:val="24"/>
          <w:szCs w:val="24"/>
          <w:lang w:val="sq-AL"/>
        </w:rPr>
        <w:t>KËRKUES:</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Durim Vata</w:t>
      </w:r>
    </w:p>
    <w:p w14:paraId="2A6D858A" w14:textId="0F29B316" w:rsidR="00CB3EA3" w:rsidRPr="00144D33" w:rsidRDefault="009F6028" w:rsidP="00CB3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bCs/>
          <w:color w:val="000000"/>
          <w:sz w:val="24"/>
          <w:szCs w:val="24"/>
          <w:lang w:val="sq-AL"/>
        </w:rPr>
        <w:t>PERSON I INTERESUAR:</w:t>
      </w:r>
      <w:r>
        <w:rPr>
          <w:rFonts w:ascii="Garamond" w:hAnsi="Garamond" w:cs="Times New Roman"/>
          <w:bCs/>
          <w:color w:val="000000"/>
          <w:sz w:val="24"/>
          <w:szCs w:val="24"/>
          <w:lang w:val="sq-AL"/>
        </w:rPr>
        <w:t xml:space="preserve"> </w:t>
      </w:r>
      <w:r w:rsidR="00CB3EA3" w:rsidRPr="00144D33">
        <w:rPr>
          <w:rFonts w:ascii="Garamond" w:hAnsi="Garamond" w:cs="Times New Roman"/>
          <w:color w:val="000000"/>
          <w:sz w:val="24"/>
          <w:szCs w:val="24"/>
          <w:lang w:val="sq-AL"/>
        </w:rPr>
        <w:t>Prokuroria pranë Gjy</w:t>
      </w:r>
      <w:r w:rsidR="00D1045B">
        <w:rPr>
          <w:rFonts w:ascii="Garamond" w:hAnsi="Garamond" w:cs="Times New Roman"/>
          <w:color w:val="000000"/>
          <w:sz w:val="24"/>
          <w:szCs w:val="24"/>
          <w:lang w:val="sq-AL"/>
        </w:rPr>
        <w:t>katës së Rrethit Gjyqësor Kukës</w:t>
      </w:r>
    </w:p>
    <w:p w14:paraId="552E6A6C" w14:textId="3BCE48E4" w:rsidR="00CB3EA3" w:rsidRPr="00144D33" w:rsidRDefault="00CB3EA3" w:rsidP="00CB3EA3">
      <w:pPr>
        <w:tabs>
          <w:tab w:val="left" w:pos="-47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bCs/>
          <w:color w:val="000000"/>
          <w:sz w:val="24"/>
          <w:szCs w:val="24"/>
          <w:lang w:val="sq-AL"/>
        </w:rPr>
        <w:t>OBJEKTI:</w:t>
      </w:r>
      <w:r w:rsidR="00144D33">
        <w:rPr>
          <w:rFonts w:ascii="Garamond" w:hAnsi="Garamond" w:cs="Times New Roman"/>
          <w:bCs/>
          <w:color w:val="000000"/>
          <w:sz w:val="24"/>
          <w:szCs w:val="24"/>
          <w:lang w:val="sq-AL"/>
        </w:rPr>
        <w:t xml:space="preserve"> </w:t>
      </w:r>
      <w:r w:rsidRPr="00144D33">
        <w:rPr>
          <w:rFonts w:ascii="Garamond" w:hAnsi="Garamond" w:cs="Times New Roman"/>
          <w:color w:val="000000"/>
          <w:sz w:val="24"/>
          <w:szCs w:val="24"/>
          <w:lang w:val="sq-AL"/>
        </w:rPr>
        <w:t>Shuarje e masës së sigurimit.</w:t>
      </w:r>
    </w:p>
    <w:p w14:paraId="02A786EB" w14:textId="21393A36" w:rsidR="00CB3EA3" w:rsidRPr="00144D33" w:rsidRDefault="00CB3EA3" w:rsidP="00103804">
      <w:pPr>
        <w:autoSpaceDE w:val="0"/>
        <w:autoSpaceDN w:val="0"/>
        <w:adjustRightInd w:val="0"/>
        <w:spacing w:after="0" w:line="240" w:lineRule="auto"/>
        <w:ind w:firstLine="284"/>
        <w:rPr>
          <w:rFonts w:ascii="Garamond" w:hAnsi="Garamond" w:cs="Times New Roman"/>
          <w:color w:val="000000"/>
          <w:sz w:val="24"/>
          <w:szCs w:val="24"/>
          <w:lang w:val="sq-AL"/>
        </w:rPr>
      </w:pPr>
      <w:r w:rsidRPr="00144D33">
        <w:rPr>
          <w:rFonts w:ascii="Garamond" w:hAnsi="Garamond" w:cs="Times New Roman"/>
          <w:bCs/>
          <w:color w:val="000000"/>
          <w:sz w:val="24"/>
          <w:szCs w:val="24"/>
          <w:lang w:val="sq-AL"/>
        </w:rPr>
        <w:t>BAZA LIGJORE</w:t>
      </w:r>
      <w:r w:rsidRPr="00144D33">
        <w:rPr>
          <w:rFonts w:ascii="Garamond" w:hAnsi="Garamond" w:cs="Times New Roman"/>
          <w:b/>
          <w:bCs/>
          <w:color w:val="000000"/>
          <w:sz w:val="24"/>
          <w:szCs w:val="24"/>
          <w:lang w:val="sq-AL"/>
        </w:rPr>
        <w:t xml:space="preserve">: </w:t>
      </w:r>
      <w:r w:rsidRPr="00144D33">
        <w:rPr>
          <w:rFonts w:ascii="Garamond" w:hAnsi="Garamond" w:cs="Times New Roman"/>
          <w:color w:val="000000"/>
          <w:sz w:val="24"/>
          <w:szCs w:val="24"/>
          <w:lang w:val="sq-AL"/>
        </w:rPr>
        <w:t>Nenet 238, 261/1</w:t>
      </w:r>
      <w:r w:rsidR="0010380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ç, 262 dhe 263/2</w:t>
      </w:r>
      <w:r w:rsidR="007773BA">
        <w:rPr>
          <w:rFonts w:ascii="Garamond" w:hAnsi="Garamond" w:cs="Times New Roman"/>
          <w:color w:val="000000"/>
          <w:sz w:val="24"/>
          <w:szCs w:val="24"/>
          <w:lang w:val="sq-AL"/>
        </w:rPr>
        <w:t>/b</w:t>
      </w:r>
      <w:r w:rsidRPr="00144D33">
        <w:rPr>
          <w:rFonts w:ascii="Garamond" w:hAnsi="Garamond" w:cs="Times New Roman"/>
          <w:color w:val="000000"/>
          <w:sz w:val="24"/>
          <w:szCs w:val="24"/>
          <w:lang w:val="sq-AL"/>
        </w:rPr>
        <w:t xml:space="preserve"> të Kodit të Procedurës Penale (në vijim </w:t>
      </w:r>
      <w:r w:rsidR="005772A3">
        <w:rPr>
          <w:rFonts w:ascii="Garamond" w:hAnsi="Garamond" w:cs="Times New Roman"/>
          <w:color w:val="000000"/>
          <w:sz w:val="24"/>
          <w:szCs w:val="24"/>
          <w:lang w:val="sq-AL"/>
        </w:rPr>
        <w:t>“</w:t>
      </w:r>
      <w:r w:rsidRPr="00144D33">
        <w:rPr>
          <w:rFonts w:ascii="Garamond" w:hAnsi="Garamond" w:cs="Times New Roman"/>
          <w:color w:val="000000"/>
          <w:sz w:val="24"/>
          <w:szCs w:val="24"/>
          <w:lang w:val="sq-AL"/>
        </w:rPr>
        <w:t>KPP</w:t>
      </w:r>
      <w:r w:rsidR="005772A3">
        <w:rPr>
          <w:rFonts w:ascii="Garamond" w:hAnsi="Garamond" w:cs="Times New Roman"/>
          <w:color w:val="000000"/>
          <w:sz w:val="24"/>
          <w:szCs w:val="24"/>
          <w:lang w:val="sq-AL"/>
        </w:rPr>
        <w:t>”</w:t>
      </w:r>
      <w:r w:rsidRPr="00144D33">
        <w:rPr>
          <w:rFonts w:ascii="Garamond" w:hAnsi="Garamond" w:cs="Times New Roman"/>
          <w:color w:val="000000"/>
          <w:sz w:val="24"/>
          <w:szCs w:val="24"/>
          <w:lang w:val="sq-AL"/>
        </w:rPr>
        <w:t>).</w:t>
      </w:r>
    </w:p>
    <w:p w14:paraId="6FEFA0A3" w14:textId="77777777" w:rsidR="00CB3EA3" w:rsidRPr="00144D33" w:rsidRDefault="00CB3EA3" w:rsidP="00CB3EA3">
      <w:pPr>
        <w:autoSpaceDE w:val="0"/>
        <w:autoSpaceDN w:val="0"/>
        <w:adjustRightInd w:val="0"/>
        <w:spacing w:after="0" w:line="240" w:lineRule="auto"/>
        <w:ind w:firstLine="284"/>
        <w:rPr>
          <w:rFonts w:ascii="Garamond" w:hAnsi="Garamond" w:cs="Times New Roman"/>
          <w:b/>
          <w:bCs/>
          <w:color w:val="000000"/>
          <w:sz w:val="24"/>
          <w:szCs w:val="24"/>
          <w:lang w:val="sq-AL"/>
        </w:rPr>
      </w:pPr>
    </w:p>
    <w:p w14:paraId="304DDFF6" w14:textId="26C0764E" w:rsidR="00CB3EA3" w:rsidRPr="00144D33" w:rsidRDefault="00CB3EA3" w:rsidP="00CB3EA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44D33">
        <w:rPr>
          <w:rFonts w:ascii="Garamond" w:hAnsi="Garamond" w:cs="Times New Roman"/>
          <w:bCs/>
          <w:color w:val="000000"/>
          <w:sz w:val="24"/>
          <w:szCs w:val="24"/>
          <w:lang w:val="sq-AL"/>
        </w:rPr>
        <w:t>KOLEGJI PENAL I GJYKATËS SË LARTË</w:t>
      </w:r>
      <w:r w:rsidR="00144D33" w:rsidRPr="00144D33">
        <w:rPr>
          <w:rFonts w:ascii="Garamond" w:hAnsi="Garamond" w:cs="Times New Roman"/>
          <w:bCs/>
          <w:color w:val="000000"/>
          <w:sz w:val="24"/>
          <w:szCs w:val="24"/>
          <w:lang w:val="sq-AL"/>
        </w:rPr>
        <w:t>,</w:t>
      </w:r>
    </w:p>
    <w:p w14:paraId="3695AD18" w14:textId="77777777" w:rsidR="00CB3EA3" w:rsidRPr="00144D33" w:rsidRDefault="00CB3EA3" w:rsidP="00CB3E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44D33">
        <w:rPr>
          <w:rFonts w:ascii="Garamond" w:hAnsi="Garamond" w:cs="Times New Roman"/>
          <w:b/>
          <w:bCs/>
          <w:color w:val="000000"/>
          <w:sz w:val="24"/>
          <w:szCs w:val="24"/>
          <w:lang w:val="sq-AL"/>
        </w:rPr>
        <w:t xml:space="preserve"> </w:t>
      </w:r>
    </w:p>
    <w:p w14:paraId="271E4B8F" w14:textId="68F94585"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Pasi dëgjoi relatimin e gjyqtarit Sokol Binaj; </w:t>
      </w:r>
      <w:r w:rsidR="00DC3268" w:rsidRPr="00144D33">
        <w:rPr>
          <w:rFonts w:ascii="Garamond" w:hAnsi="Garamond" w:cs="Times New Roman"/>
          <w:color w:val="000000"/>
          <w:sz w:val="24"/>
          <w:szCs w:val="24"/>
          <w:lang w:val="sq-AL"/>
        </w:rPr>
        <w:t xml:space="preserve">avokatin </w:t>
      </w:r>
      <w:r w:rsidRPr="00144D33">
        <w:rPr>
          <w:rFonts w:ascii="Garamond" w:hAnsi="Garamond" w:cs="Times New Roman"/>
          <w:color w:val="000000"/>
          <w:sz w:val="24"/>
          <w:szCs w:val="24"/>
          <w:lang w:val="sq-AL"/>
        </w:rPr>
        <w:t xml:space="preserve">Sokol Tahiraj, mbrojtës i kërkuesit Durim Vata, që kërkoi nga Kolegji Penal shuarjen e masës së sigurimit; Prokurorin e Prokurorisë së Përgjithshme Arqilea Koça, që kërkoi lënien në fuqi të vendimit të Gjykatës së Apelit Shkodër; si dhe bisedoi çështjen në tërësi, </w:t>
      </w:r>
    </w:p>
    <w:p w14:paraId="50457E9F" w14:textId="450E25C7" w:rsidR="00CB3EA3" w:rsidRPr="00144D33" w:rsidRDefault="00CB3EA3" w:rsidP="00CB3EA3">
      <w:pPr>
        <w:autoSpaceDE w:val="0"/>
        <w:autoSpaceDN w:val="0"/>
        <w:adjustRightInd w:val="0"/>
        <w:spacing w:after="0" w:line="240" w:lineRule="auto"/>
        <w:ind w:firstLine="284"/>
        <w:jc w:val="center"/>
        <w:outlineLvl w:val="1"/>
        <w:rPr>
          <w:rFonts w:ascii="Garamond" w:hAnsi="Garamond" w:cs="Times New Roman"/>
          <w:bCs/>
          <w:color w:val="000000"/>
          <w:sz w:val="24"/>
          <w:szCs w:val="24"/>
          <w:lang w:val="sq-AL"/>
        </w:rPr>
      </w:pPr>
      <w:r w:rsidRPr="00144D33">
        <w:rPr>
          <w:rFonts w:ascii="Garamond" w:hAnsi="Garamond" w:cs="Times New Roman"/>
          <w:bCs/>
          <w:color w:val="000000"/>
          <w:sz w:val="24"/>
          <w:szCs w:val="24"/>
          <w:lang w:val="sq-AL"/>
        </w:rPr>
        <w:t>VËRE</w:t>
      </w:r>
      <w:r w:rsidR="00DC3268">
        <w:rPr>
          <w:rFonts w:ascii="Garamond" w:hAnsi="Garamond" w:cs="Times New Roman"/>
          <w:bCs/>
          <w:color w:val="000000"/>
          <w:sz w:val="24"/>
          <w:szCs w:val="24"/>
          <w:lang w:val="sq-AL"/>
        </w:rPr>
        <w:t>N</w:t>
      </w:r>
      <w:r w:rsidRPr="00144D33">
        <w:rPr>
          <w:rFonts w:ascii="Garamond" w:hAnsi="Garamond" w:cs="Times New Roman"/>
          <w:bCs/>
          <w:color w:val="000000"/>
          <w:sz w:val="24"/>
          <w:szCs w:val="24"/>
          <w:lang w:val="sq-AL"/>
        </w:rPr>
        <w:t>:</w:t>
      </w:r>
    </w:p>
    <w:p w14:paraId="15177327" w14:textId="77777777" w:rsidR="00CB3EA3" w:rsidRPr="00144D33" w:rsidRDefault="00CB3EA3" w:rsidP="00CB3EA3">
      <w:pPr>
        <w:autoSpaceDE w:val="0"/>
        <w:autoSpaceDN w:val="0"/>
        <w:adjustRightInd w:val="0"/>
        <w:spacing w:after="0" w:line="240" w:lineRule="auto"/>
        <w:ind w:firstLine="284"/>
        <w:rPr>
          <w:rFonts w:ascii="Garamond" w:hAnsi="Garamond" w:cs="Times New Roman"/>
          <w:color w:val="000000"/>
          <w:sz w:val="24"/>
          <w:szCs w:val="24"/>
          <w:lang w:val="sq-AL"/>
        </w:rPr>
      </w:pPr>
    </w:p>
    <w:p w14:paraId="3FA96D65" w14:textId="57DCE660" w:rsidR="00CB3EA3" w:rsidRPr="00144D33" w:rsidRDefault="00CB3EA3" w:rsidP="00CB3EA3">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44D33">
        <w:rPr>
          <w:rFonts w:ascii="Garamond" w:hAnsi="Garamond" w:cs="Times New Roman"/>
          <w:b/>
          <w:bCs/>
          <w:color w:val="000000"/>
          <w:sz w:val="24"/>
          <w:szCs w:val="24"/>
          <w:lang w:val="sq-AL"/>
        </w:rPr>
        <w:t>I. Rrethanat e çështjes</w:t>
      </w:r>
    </w:p>
    <w:p w14:paraId="7E16EC63" w14:textId="7E14AA99"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 Gjykata e Rrethit Gjyqës</w:t>
      </w:r>
      <w:r w:rsidR="00BC1B5B">
        <w:rPr>
          <w:rFonts w:ascii="Garamond" w:hAnsi="Garamond" w:cs="Times New Roman"/>
          <w:color w:val="000000"/>
          <w:sz w:val="24"/>
          <w:szCs w:val="24"/>
          <w:lang w:val="sq-AL"/>
        </w:rPr>
        <w:t>or Kukës, me vendimin nr. (467)</w:t>
      </w:r>
      <w:r w:rsidRPr="00144D33">
        <w:rPr>
          <w:rFonts w:ascii="Garamond" w:hAnsi="Garamond" w:cs="Times New Roman"/>
          <w:color w:val="000000"/>
          <w:sz w:val="24"/>
          <w:szCs w:val="24"/>
          <w:lang w:val="sq-AL"/>
        </w:rPr>
        <w:t>25, datë 1</w:t>
      </w:r>
      <w:r w:rsidR="00BC1B5B">
        <w:rPr>
          <w:rFonts w:ascii="Garamond" w:hAnsi="Garamond" w:cs="Times New Roman"/>
          <w:color w:val="000000"/>
          <w:sz w:val="24"/>
          <w:szCs w:val="24"/>
          <w:lang w:val="sq-AL"/>
        </w:rPr>
        <w:t>8.</w:t>
      </w:r>
      <w:r w:rsidRPr="00144D33">
        <w:rPr>
          <w:rFonts w:ascii="Garamond" w:hAnsi="Garamond" w:cs="Times New Roman"/>
          <w:color w:val="000000"/>
          <w:sz w:val="24"/>
          <w:szCs w:val="24"/>
          <w:lang w:val="sq-AL"/>
        </w:rPr>
        <w:t>5.2020, ka caktuar masën e sigurimit personal “arrest në burg”, të parashikuar nga neni 238 i KPP</w:t>
      </w:r>
      <w:r w:rsidR="00BC1B5B">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midis të tjerëve edhe për shtetasin Durim Vata, me cilësinë e personit të dyshuar (hetuar) për kryerjen e veprës penale “Kultivimi i bimëve narkotike”, në bashkëpunim, parashikuar nga neni 284/2 i Kodit Penal (në vijim </w:t>
      </w:r>
      <w:r w:rsidR="00BC1B5B">
        <w:rPr>
          <w:rFonts w:ascii="Garamond" w:hAnsi="Garamond" w:cs="Times New Roman"/>
          <w:color w:val="000000"/>
          <w:sz w:val="24"/>
          <w:szCs w:val="24"/>
          <w:lang w:val="sq-AL"/>
        </w:rPr>
        <w:t>“</w:t>
      </w:r>
      <w:r w:rsidRPr="00144D33">
        <w:rPr>
          <w:rFonts w:ascii="Garamond" w:hAnsi="Garamond" w:cs="Times New Roman"/>
          <w:color w:val="000000"/>
          <w:sz w:val="24"/>
          <w:szCs w:val="24"/>
          <w:lang w:val="sq-AL"/>
        </w:rPr>
        <w:t>KP</w:t>
      </w:r>
      <w:r w:rsidR="00BC1B5B">
        <w:rPr>
          <w:rFonts w:ascii="Garamond" w:hAnsi="Garamond" w:cs="Times New Roman"/>
          <w:color w:val="000000"/>
          <w:sz w:val="24"/>
          <w:szCs w:val="24"/>
          <w:lang w:val="sq-AL"/>
        </w:rPr>
        <w:t>”</w:t>
      </w:r>
      <w:r w:rsidRPr="00144D33">
        <w:rPr>
          <w:rFonts w:ascii="Garamond" w:hAnsi="Garamond" w:cs="Times New Roman"/>
          <w:color w:val="000000"/>
          <w:sz w:val="24"/>
          <w:szCs w:val="24"/>
          <w:lang w:val="sq-AL"/>
        </w:rPr>
        <w:t>).</w:t>
      </w:r>
    </w:p>
    <w:p w14:paraId="50779936" w14:textId="1B83DB89" w:rsidR="00CB3EA3" w:rsidRPr="00144D33" w:rsidRDefault="00BC1B5B" w:rsidP="00CB3EA3">
      <w:pPr>
        <w:tabs>
          <w:tab w:val="left" w:pos="0"/>
          <w:tab w:val="left" w:pos="700"/>
          <w:tab w:val="left" w:pos="5040"/>
          <w:tab w:val="left" w:pos="594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 Më datë 21.</w:t>
      </w:r>
      <w:r w:rsidR="00CB3EA3" w:rsidRPr="00144D33">
        <w:rPr>
          <w:rFonts w:ascii="Garamond" w:hAnsi="Garamond" w:cs="Times New Roman"/>
          <w:color w:val="000000"/>
          <w:sz w:val="24"/>
          <w:szCs w:val="24"/>
          <w:lang w:val="sq-AL"/>
        </w:rPr>
        <w:t>5.2020, nga oficerët e policisë gjyqësore pranë Komisariatit të Policisë Kukës, është depozituar në gjykatë procesverbali i zbatimit të masës së sigurimit personal të caktuar ndaj kërkuesit Durim Vata. Gjykata e Rrethit Gjyqësor Kukës, gjyqtari për hetimet paraprake pranë asaj</w:t>
      </w:r>
      <w:r w:rsidR="00793ABB">
        <w:rPr>
          <w:rFonts w:ascii="Garamond" w:hAnsi="Garamond" w:cs="Times New Roman"/>
          <w:color w:val="000000"/>
          <w:sz w:val="24"/>
          <w:szCs w:val="24"/>
          <w:lang w:val="sq-AL"/>
        </w:rPr>
        <w:t xml:space="preserve"> gjykate, me vendimin nr. (471)242, datë 21.</w:t>
      </w:r>
      <w:r w:rsidR="00CB3EA3" w:rsidRPr="00144D33">
        <w:rPr>
          <w:rFonts w:ascii="Garamond" w:hAnsi="Garamond" w:cs="Times New Roman"/>
          <w:color w:val="000000"/>
          <w:sz w:val="24"/>
          <w:szCs w:val="24"/>
          <w:lang w:val="sq-AL"/>
        </w:rPr>
        <w:t>5.2020, ndër të tjera, ka verifikuar pozitivisht, në përputhje me përcaktimet e nenit 248/2 të KPP</w:t>
      </w:r>
      <w:r w:rsidR="00793ABB">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kushtet dhe kriteret e caktimit dhe të zbatimit të masës së sigurimit personal të “arrestit në burg”, ndaj të hetuarit Vata, (si dhe nevojat e sigurimit, sipas përcaktimit të neneve 228, 229, 230 të KPP</w:t>
      </w:r>
      <w:r w:rsidR="007119FA">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xml:space="preserve">). </w:t>
      </w:r>
    </w:p>
    <w:p w14:paraId="173D8137" w14:textId="3EF5BAA6" w:rsidR="00CB3EA3" w:rsidRPr="00144D33" w:rsidRDefault="00B61536" w:rsidP="00B61536">
      <w:pPr>
        <w:tabs>
          <w:tab w:val="left" w:pos="0"/>
          <w:tab w:val="left" w:pos="560"/>
          <w:tab w:val="left" w:pos="4960"/>
          <w:tab w:val="left" w:pos="504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 Më datë 30.</w:t>
      </w:r>
      <w:r w:rsidR="00CB3EA3" w:rsidRPr="00144D33">
        <w:rPr>
          <w:rFonts w:ascii="Garamond" w:hAnsi="Garamond" w:cs="Times New Roman"/>
          <w:color w:val="000000"/>
          <w:sz w:val="24"/>
          <w:szCs w:val="24"/>
          <w:lang w:val="sq-AL"/>
        </w:rPr>
        <w:t>7.2020, Prokuroria pranë Gjykatës së Rrethit Gjyqësor Kukës ka paraqitur kërkesë për dërgimin për gjykim të çështjes penale që i përket procedimit penal me nr. 420, të vitit 2018, ku, ndër të tjerë, është marrë i pandehur edhe kërkuesi Durim Vata, për veprën penale “Kultivimi i lëndës narkotike”, në bashkëpunim,</w:t>
      </w:r>
      <w:r>
        <w:rPr>
          <w:rFonts w:ascii="Garamond" w:hAnsi="Garamond" w:cs="Times New Roman"/>
          <w:color w:val="000000"/>
          <w:sz w:val="24"/>
          <w:szCs w:val="24"/>
          <w:lang w:val="sq-AL"/>
        </w:rPr>
        <w:t xml:space="preserve"> parashikuar nga neni 283/2 i K</w:t>
      </w:r>
      <w:r w:rsidR="00CB3EA3" w:rsidRPr="00144D33">
        <w:rPr>
          <w:rFonts w:ascii="Garamond" w:hAnsi="Garamond" w:cs="Times New Roman"/>
          <w:color w:val="000000"/>
          <w:sz w:val="24"/>
          <w:szCs w:val="24"/>
          <w:lang w:val="sq-AL"/>
        </w:rPr>
        <w:t>P</w:t>
      </w:r>
      <w:r>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xml:space="preserve"> Me</w:t>
      </w:r>
      <w:r>
        <w:rPr>
          <w:rFonts w:ascii="Garamond" w:hAnsi="Garamond" w:cs="Times New Roman"/>
          <w:color w:val="000000"/>
          <w:sz w:val="24"/>
          <w:szCs w:val="24"/>
          <w:lang w:val="sq-AL"/>
        </w:rPr>
        <w:t xml:space="preserve"> vendimin nr. (1107) 355, datë </w:t>
      </w:r>
      <w:r w:rsidR="00CB3EA3" w:rsidRPr="00144D33">
        <w:rPr>
          <w:rFonts w:ascii="Garamond" w:hAnsi="Garamond" w:cs="Times New Roman"/>
          <w:color w:val="000000"/>
          <w:sz w:val="24"/>
          <w:szCs w:val="24"/>
          <w:lang w:val="sq-AL"/>
        </w:rPr>
        <w:t xml:space="preserve">6.11.2020, Gjykata e Rrethit Gjyqësor Kukës, gjyqtari i seancës paraprake pranë asaj gjykate, ka vendosur pranimin e kërkesës së prokurorit dhe dërgimin për gjykim të çështjes penale që i përket procedimit penal me nr. 420, viti 2018, me të pandehur, ndër të tjerë, edhe kërkuesin Durim Vata. </w:t>
      </w:r>
    </w:p>
    <w:p w14:paraId="2D92D13B" w14:textId="26C80DA1" w:rsidR="00CB3EA3" w:rsidRPr="00144D33" w:rsidRDefault="00B61536" w:rsidP="00CB3EA3">
      <w:pPr>
        <w:tabs>
          <w:tab w:val="left" w:pos="0"/>
          <w:tab w:val="left" w:pos="560"/>
          <w:tab w:val="left" w:pos="4960"/>
          <w:tab w:val="left" w:pos="504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4. Më datë 10.</w:t>
      </w:r>
      <w:r w:rsidR="00CB3EA3" w:rsidRPr="00144D33">
        <w:rPr>
          <w:rFonts w:ascii="Garamond" w:hAnsi="Garamond" w:cs="Times New Roman"/>
          <w:color w:val="000000"/>
          <w:sz w:val="24"/>
          <w:szCs w:val="24"/>
          <w:lang w:val="sq-AL"/>
        </w:rPr>
        <w:t>6.2021, kërkuesi Durim Vata ka paraqitur kërkesë për shuarje të masës së sigurimit personal të “arrestit në burg”, caktuar</w:t>
      </w:r>
      <w:r>
        <w:rPr>
          <w:rFonts w:ascii="Garamond" w:hAnsi="Garamond" w:cs="Times New Roman"/>
          <w:color w:val="000000"/>
          <w:sz w:val="24"/>
          <w:szCs w:val="24"/>
          <w:lang w:val="sq-AL"/>
        </w:rPr>
        <w:t xml:space="preserve"> ndaj tij me vendimin nr. (467)25, datë 18.</w:t>
      </w:r>
      <w:r w:rsidR="00CB3EA3" w:rsidRPr="00144D33">
        <w:rPr>
          <w:rFonts w:ascii="Garamond" w:hAnsi="Garamond" w:cs="Times New Roman"/>
          <w:color w:val="000000"/>
          <w:sz w:val="24"/>
          <w:szCs w:val="24"/>
          <w:lang w:val="sq-AL"/>
        </w:rPr>
        <w:t>5.2020, të Gjykatës së Rrethit Gjyqësor Kukës. Kjo kërkesë është marrë në shqyrtim nga kolegji gjykues në disponim të të cilit rezulton, ndërkohë, gjykimi në themel i akuzës së kontestuar nga prokurori, të pandehurit Vata, si gjykata kompetente, që disponon aktet në zbatim të nenit 261/3 të KPP</w:t>
      </w:r>
      <w:r w:rsidR="00C52181">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xml:space="preserve">. Kërkuesi pretendon se është në kushtet e verifikimit të tejkalimit të afateve të paraburgimit të vuajtura prej tij, për efekt të aplikimit të asaj mase, të përcaktuara në nëntë muaj </w:t>
      </w:r>
      <w:r w:rsidR="00C52181">
        <w:rPr>
          <w:rFonts w:ascii="Garamond" w:hAnsi="Garamond" w:cs="Times New Roman"/>
          <w:color w:val="000000"/>
          <w:sz w:val="24"/>
          <w:szCs w:val="24"/>
          <w:lang w:val="sq-AL"/>
        </w:rPr>
        <w:t>–</w:t>
      </w:r>
      <w:r w:rsidR="00CB3EA3" w:rsidRPr="00144D33">
        <w:rPr>
          <w:rFonts w:ascii="Garamond" w:hAnsi="Garamond" w:cs="Times New Roman"/>
          <w:color w:val="000000"/>
          <w:sz w:val="24"/>
          <w:szCs w:val="24"/>
          <w:lang w:val="sq-AL"/>
        </w:rPr>
        <w:t xml:space="preserve"> pa u dhënë vendimi i dënimit </w:t>
      </w:r>
      <w:r w:rsidR="00C52181">
        <w:rPr>
          <w:rFonts w:ascii="Garamond" w:hAnsi="Garamond" w:cs="Times New Roman"/>
          <w:color w:val="000000"/>
          <w:sz w:val="24"/>
          <w:szCs w:val="24"/>
          <w:lang w:val="sq-AL"/>
        </w:rPr>
        <w:t>–</w:t>
      </w:r>
      <w:r w:rsidR="00CB3EA3" w:rsidRPr="00144D33">
        <w:rPr>
          <w:rFonts w:ascii="Garamond" w:hAnsi="Garamond" w:cs="Times New Roman"/>
          <w:color w:val="000000"/>
          <w:sz w:val="24"/>
          <w:szCs w:val="24"/>
          <w:lang w:val="sq-AL"/>
        </w:rPr>
        <w:t xml:space="preserve"> sipas përmbajtjes së nenit </w:t>
      </w:r>
      <w:r w:rsidR="007773BA">
        <w:rPr>
          <w:rFonts w:ascii="Garamond" w:hAnsi="Garamond" w:cs="Times New Roman"/>
          <w:color w:val="000000"/>
          <w:sz w:val="24"/>
          <w:szCs w:val="24"/>
          <w:lang w:val="sq-AL"/>
        </w:rPr>
        <w:t>263/2/b</w:t>
      </w:r>
      <w:bookmarkStart w:id="0" w:name="_GoBack"/>
      <w:bookmarkEnd w:id="0"/>
      <w:r w:rsidR="00CB3EA3" w:rsidRPr="00144D33">
        <w:rPr>
          <w:rFonts w:ascii="Garamond" w:hAnsi="Garamond" w:cs="Times New Roman"/>
          <w:color w:val="000000"/>
          <w:sz w:val="24"/>
          <w:szCs w:val="24"/>
          <w:lang w:val="sq-AL"/>
        </w:rPr>
        <w:t xml:space="preserve"> të KPP</w:t>
      </w:r>
      <w:r w:rsidR="003F272F">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pasi sanksioni i parashikuar në dispozitën që i atribuohet këtij të fundit, sipas akuzës neni 283/2 të KP</w:t>
      </w:r>
      <w:r w:rsidR="003F272F">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parashikon një dënim, në maksimum deri në 10 vjet.</w:t>
      </w:r>
    </w:p>
    <w:p w14:paraId="74718B63" w14:textId="6C5BD70B" w:rsidR="00CB3EA3" w:rsidRPr="00144D33" w:rsidRDefault="00CB3EA3" w:rsidP="00CB3EA3">
      <w:pPr>
        <w:tabs>
          <w:tab w:val="left" w:pos="0"/>
          <w:tab w:val="left" w:pos="560"/>
          <w:tab w:val="left" w:pos="4960"/>
          <w:tab w:val="left" w:pos="504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5. </w:t>
      </w:r>
      <w:r w:rsidRPr="00144D33">
        <w:rPr>
          <w:rFonts w:ascii="Garamond" w:hAnsi="Garamond" w:cs="Times New Roman"/>
          <w:b/>
          <w:bCs/>
          <w:color w:val="000000"/>
          <w:sz w:val="24"/>
          <w:szCs w:val="24"/>
          <w:lang w:val="sq-AL"/>
        </w:rPr>
        <w:t>Gjykata e Rrethit Gjyqësor Kukës</w:t>
      </w:r>
      <w:r w:rsidRPr="00144D33">
        <w:rPr>
          <w:rFonts w:ascii="Garamond" w:hAnsi="Garamond" w:cs="Times New Roman"/>
          <w:color w:val="000000"/>
          <w:sz w:val="24"/>
          <w:szCs w:val="24"/>
          <w:lang w:val="sq-AL"/>
        </w:rPr>
        <w:t>, me vendimin nr. 104 të</w:t>
      </w:r>
      <w:r w:rsidR="003F272F">
        <w:rPr>
          <w:rFonts w:ascii="Garamond" w:hAnsi="Garamond" w:cs="Times New Roman"/>
          <w:color w:val="000000"/>
          <w:sz w:val="24"/>
          <w:szCs w:val="24"/>
          <w:lang w:val="sq-AL"/>
        </w:rPr>
        <w:t xml:space="preserve"> Regjistrit Themeltar, datë 12.</w:t>
      </w:r>
      <w:r w:rsidRPr="00144D33">
        <w:rPr>
          <w:rFonts w:ascii="Garamond" w:hAnsi="Garamond" w:cs="Times New Roman"/>
          <w:color w:val="000000"/>
          <w:sz w:val="24"/>
          <w:szCs w:val="24"/>
          <w:lang w:val="sq-AL"/>
        </w:rPr>
        <w:t xml:space="preserve">6.2021, ka vendosur: </w:t>
      </w:r>
    </w:p>
    <w:p w14:paraId="42FD55B1" w14:textId="77777777" w:rsidR="00CB3EA3" w:rsidRPr="00144D33" w:rsidRDefault="00CB3EA3" w:rsidP="00CB3EA3">
      <w:pPr>
        <w:tabs>
          <w:tab w:val="left" w:pos="0"/>
          <w:tab w:val="left" w:pos="8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color w:val="000000"/>
          <w:sz w:val="24"/>
          <w:szCs w:val="24"/>
          <w:lang w:val="sq-AL"/>
        </w:rPr>
        <w:t>“</w:t>
      </w:r>
      <w:r w:rsidRPr="00144D33">
        <w:rPr>
          <w:rFonts w:ascii="Garamond" w:hAnsi="Garamond" w:cs="Times New Roman"/>
          <w:i/>
          <w:iCs/>
          <w:color w:val="000000"/>
          <w:sz w:val="24"/>
          <w:szCs w:val="24"/>
          <w:lang w:val="sq-AL"/>
        </w:rPr>
        <w:t>- Rrëzimin e kërkesës së kërkuesit Durim Vata.</w:t>
      </w:r>
    </w:p>
    <w:p w14:paraId="0BCD438B" w14:textId="77777777" w:rsidR="00CB3EA3" w:rsidRPr="00144D33" w:rsidRDefault="00CB3EA3" w:rsidP="00CB3EA3">
      <w:pPr>
        <w:tabs>
          <w:tab w:val="left" w:pos="0"/>
          <w:tab w:val="left" w:pos="8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 Shpenzimet gjyqësore lihen siç janë bërë.</w:t>
      </w:r>
    </w:p>
    <w:p w14:paraId="5CA4CF9C" w14:textId="1A55A27B" w:rsidR="00CB3EA3" w:rsidRPr="00144D33" w:rsidRDefault="00CB3EA3" w:rsidP="00CB3EA3">
      <w:pPr>
        <w:tabs>
          <w:tab w:val="left" w:pos="140"/>
          <w:tab w:val="left" w:pos="8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i/>
          <w:iCs/>
          <w:color w:val="000000"/>
          <w:sz w:val="24"/>
          <w:szCs w:val="24"/>
          <w:lang w:val="sq-AL"/>
        </w:rPr>
        <w:t>- Kundër këtij vendimi mund të bëhet ankim në Gjykatën e Apelit Shkodër brenda 5 ditëve, afat ky që fillon nga dita e njoftimit të vendimit</w:t>
      </w:r>
      <w:r w:rsidRPr="003F272F">
        <w:rPr>
          <w:rFonts w:ascii="Garamond" w:hAnsi="Garamond" w:cs="Times New Roman"/>
          <w:i/>
          <w:iCs/>
          <w:color w:val="000000"/>
          <w:sz w:val="24"/>
          <w:szCs w:val="24"/>
          <w:lang w:val="sq-AL"/>
        </w:rPr>
        <w:t>.”.</w:t>
      </w:r>
    </w:p>
    <w:p w14:paraId="39BD82A4" w14:textId="245BE997" w:rsidR="00CB3EA3" w:rsidRPr="00144D33" w:rsidRDefault="00CB3EA3" w:rsidP="00CB3EA3">
      <w:pPr>
        <w:tabs>
          <w:tab w:val="left" w:pos="0"/>
          <w:tab w:val="left" w:pos="840"/>
          <w:tab w:val="left" w:pos="4520"/>
          <w:tab w:val="left" w:pos="504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6. Gjykata e Rrethit Gjyqësor Kukës ka arsyetuar, ndër të tjera, se:</w:t>
      </w:r>
    </w:p>
    <w:p w14:paraId="3649A7CB" w14:textId="6247084C" w:rsidR="00CB3EA3" w:rsidRPr="00144D33" w:rsidRDefault="00CB3EA3" w:rsidP="00CB3EA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“Nga interpretimi gramatikor logjik dhe sistematik, i neneve 332/dh, 332/c dhe 332/d të Kodit të Procedurës Penale, gjykata çmon se Seanca Paraprake është parashikuar nga legjislatori si një fazë filtrimi i aktivitetit hetimor të prokurorisë, gjatë së cilës vlerësohen pretendimet për pavlefshmëri të akteve dhe papërdorshmëri të provave, kontrollohen veprimet hetimore të kryera dhe nëse çmohet e nevojshme disponohet për plotësimin e tyre</w:t>
      </w:r>
      <w:r w:rsidR="003F272F">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duke përcaktuar edhe drejtimet përkatëse, kontrollohet cilësimi juridik i akuzës së formuluar dhe bëhet një vlerësim paraprak mbi provueshmërinë e akuzës mbi kriterin e provave të mjaftueshme.</w:t>
      </w:r>
    </w:p>
    <w:p w14:paraId="42B6E4E5" w14:textId="5A162D9D" w:rsidR="00CB3EA3" w:rsidRPr="00144D33" w:rsidRDefault="00CB3EA3" w:rsidP="00CB3EA3">
      <w:pPr>
        <w:tabs>
          <w:tab w:val="left" w:pos="0"/>
          <w:tab w:val="left" w:pos="8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Sa më sipër, gjykata çmon se kjo fazë e procesit penal (seanca paraprake), nuk mund të kualifikohet si fazë e gjykimit në themel të çështjes , e për pasojë, përllogaritja e afatit të paraburgimit parashikuar nga neni 263, pika 2, germa “b” e Kodit të Procedurës Penale duhet të fillojë nga momenti kur gjyqtari i seancës paraprake disponon me vendimin për dërgimin e çështjes në gjykim, pasi prej gjykatës çmohet se kjo është dita e dorëzimit të akteve në gjykatë dhe jo momenti kur Prokurori disponon me kërkesën për dërgimin e çështjes në gjyq përpara Gjyqtarit të Seancës Paraprake.”</w:t>
      </w:r>
      <w:r w:rsidR="003F272F">
        <w:rPr>
          <w:rFonts w:ascii="Garamond" w:hAnsi="Garamond" w:cs="Times New Roman"/>
          <w:i/>
          <w:iCs/>
          <w:color w:val="000000"/>
          <w:sz w:val="24"/>
          <w:szCs w:val="24"/>
          <w:lang w:val="sq-AL"/>
        </w:rPr>
        <w:t>.</w:t>
      </w:r>
    </w:p>
    <w:p w14:paraId="7D781056" w14:textId="3D012113" w:rsidR="00CB3EA3" w:rsidRPr="00144D33" w:rsidRDefault="00CB3EA3" w:rsidP="00DC1575">
      <w:pPr>
        <w:tabs>
          <w:tab w:val="left" w:pos="0"/>
          <w:tab w:val="left" w:pos="560"/>
          <w:tab w:val="left" w:pos="5040"/>
          <w:tab w:val="left" w:pos="524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7. Ndaj vendimit të mësipërm ka ushtruar ankim i pandehuri</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Durim Vata, duke kërkuar: “Ndryshim</w:t>
      </w:r>
      <w:r w:rsidR="002417D5">
        <w:rPr>
          <w:rFonts w:ascii="Garamond" w:hAnsi="Garamond" w:cs="Times New Roman"/>
          <w:color w:val="000000"/>
          <w:sz w:val="24"/>
          <w:szCs w:val="24"/>
          <w:lang w:val="sq-AL"/>
        </w:rPr>
        <w:t>in e vendimit nr. 104, datë 12.</w:t>
      </w:r>
      <w:r w:rsidRPr="00144D33">
        <w:rPr>
          <w:rFonts w:ascii="Garamond" w:hAnsi="Garamond" w:cs="Times New Roman"/>
          <w:color w:val="000000"/>
          <w:sz w:val="24"/>
          <w:szCs w:val="24"/>
          <w:lang w:val="sq-AL"/>
        </w:rPr>
        <w:t>6.2021, të Gjykatës së Rrethit Gjyqësor Kukës, dhe deklarimin e shuarjes së masës së sigurimit personal të “arrestit n</w:t>
      </w:r>
      <w:r w:rsidR="00DC1575">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burg” të aplikuar ndaj tij”.</w:t>
      </w:r>
    </w:p>
    <w:p w14:paraId="0217A9B5" w14:textId="171A48B8" w:rsidR="00CB3EA3" w:rsidRPr="00144D33" w:rsidRDefault="00CB3EA3" w:rsidP="00CB3EA3">
      <w:pPr>
        <w:tabs>
          <w:tab w:val="left" w:pos="0"/>
          <w:tab w:val="left" w:pos="560"/>
          <w:tab w:val="left" w:pos="5040"/>
          <w:tab w:val="left" w:pos="510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8. </w:t>
      </w:r>
      <w:r w:rsidRPr="00144D33">
        <w:rPr>
          <w:rFonts w:ascii="Garamond" w:hAnsi="Garamond" w:cs="Times New Roman"/>
          <w:b/>
          <w:bCs/>
          <w:color w:val="000000"/>
          <w:sz w:val="24"/>
          <w:szCs w:val="24"/>
          <w:lang w:val="sq-AL"/>
        </w:rPr>
        <w:t>Gjykata Apelit Shkodër</w:t>
      </w:r>
      <w:r w:rsidRPr="00144D33">
        <w:rPr>
          <w:rFonts w:ascii="Garamond" w:hAnsi="Garamond" w:cs="Times New Roman"/>
          <w:color w:val="000000"/>
          <w:sz w:val="24"/>
          <w:szCs w:val="24"/>
          <w:lang w:val="sq-AL"/>
        </w:rPr>
        <w:t>,</w:t>
      </w:r>
      <w:r w:rsidRPr="00144D33">
        <w:rPr>
          <w:rFonts w:ascii="Garamond" w:hAnsi="Garamond" w:cs="Times New Roman"/>
          <w:b/>
          <w:bCs/>
          <w:color w:val="000000"/>
          <w:sz w:val="24"/>
          <w:szCs w:val="24"/>
          <w:lang w:val="sq-AL"/>
        </w:rPr>
        <w:t xml:space="preserve"> </w:t>
      </w:r>
      <w:r w:rsidR="002417D5">
        <w:rPr>
          <w:rFonts w:ascii="Garamond" w:hAnsi="Garamond" w:cs="Times New Roman"/>
          <w:color w:val="000000"/>
          <w:sz w:val="24"/>
          <w:szCs w:val="24"/>
          <w:lang w:val="sq-AL"/>
        </w:rPr>
        <w:t>me vendimin nr. 145, datë 24.</w:t>
      </w:r>
      <w:r w:rsidRPr="00144D33">
        <w:rPr>
          <w:rFonts w:ascii="Garamond" w:hAnsi="Garamond" w:cs="Times New Roman"/>
          <w:color w:val="000000"/>
          <w:sz w:val="24"/>
          <w:szCs w:val="24"/>
          <w:lang w:val="sq-AL"/>
        </w:rPr>
        <w:t xml:space="preserve">6.2021, ka vendosur: </w:t>
      </w:r>
    </w:p>
    <w:p w14:paraId="60D63EF9" w14:textId="35DAB21C" w:rsidR="00CB3EA3" w:rsidRPr="00144D33" w:rsidRDefault="00CB3EA3" w:rsidP="00CB3EA3">
      <w:pPr>
        <w:tabs>
          <w:tab w:val="left" w:pos="0"/>
          <w:tab w:val="left" w:pos="140"/>
          <w:tab w:val="left" w:pos="560"/>
          <w:tab w:val="left" w:pos="2160"/>
          <w:tab w:val="left" w:pos="2880"/>
          <w:tab w:val="left" w:pos="3600"/>
          <w:tab w:val="left" w:pos="5040"/>
          <w:tab w:val="left" w:pos="510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 Lënien në fuqi të</w:t>
      </w:r>
      <w:r w:rsidR="002417D5">
        <w:rPr>
          <w:rFonts w:ascii="Garamond" w:hAnsi="Garamond" w:cs="Times New Roman"/>
          <w:i/>
          <w:iCs/>
          <w:color w:val="000000"/>
          <w:sz w:val="24"/>
          <w:szCs w:val="24"/>
          <w:lang w:val="sq-AL"/>
        </w:rPr>
        <w:t xml:space="preserve"> vendimit nr.(639)104, datë 12.</w:t>
      </w:r>
      <w:r w:rsidRPr="00144D33">
        <w:rPr>
          <w:rFonts w:ascii="Garamond" w:hAnsi="Garamond" w:cs="Times New Roman"/>
          <w:i/>
          <w:iCs/>
          <w:color w:val="000000"/>
          <w:sz w:val="24"/>
          <w:szCs w:val="24"/>
          <w:lang w:val="sq-AL"/>
        </w:rPr>
        <w:t>6.2021, të Gjykatës së Rrethit Gjyqësor Kukës.</w:t>
      </w:r>
    </w:p>
    <w:p w14:paraId="163AB579" w14:textId="77777777" w:rsidR="00CB3EA3" w:rsidRPr="00144D33" w:rsidRDefault="00CB3EA3" w:rsidP="00CB3EA3">
      <w:pPr>
        <w:tabs>
          <w:tab w:val="left" w:pos="0"/>
          <w:tab w:val="left" w:pos="140"/>
          <w:tab w:val="left" w:pos="560"/>
          <w:tab w:val="left" w:pos="2160"/>
          <w:tab w:val="left" w:pos="2880"/>
          <w:tab w:val="left" w:pos="3600"/>
          <w:tab w:val="left" w:pos="5040"/>
          <w:tab w:val="left" w:pos="5100"/>
          <w:tab w:val="left" w:pos="6480"/>
          <w:tab w:val="left" w:pos="7200"/>
          <w:tab w:val="left" w:pos="7920"/>
          <w:tab w:val="left" w:pos="8640"/>
          <w:tab w:val="left" w:pos="9360"/>
          <w:tab w:val="left" w:pos="10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i/>
          <w:iCs/>
          <w:color w:val="000000"/>
          <w:sz w:val="24"/>
          <w:szCs w:val="24"/>
          <w:lang w:val="sq-AL"/>
        </w:rPr>
        <w:t>- Kundër vendimit lejohet rekurs në Gjykatën e Lartë, brenda afatit ligjor që është 45 ditëve nga e nesërmja e komunikimit të vendimit</w:t>
      </w:r>
      <w:r w:rsidRPr="002417D5">
        <w:rPr>
          <w:rFonts w:ascii="Garamond" w:hAnsi="Garamond" w:cs="Times New Roman"/>
          <w:i/>
          <w:iCs/>
          <w:color w:val="000000"/>
          <w:sz w:val="24"/>
          <w:szCs w:val="24"/>
          <w:lang w:val="sq-AL"/>
        </w:rPr>
        <w:t>.”.</w:t>
      </w:r>
      <w:r w:rsidRPr="00144D33">
        <w:rPr>
          <w:rFonts w:ascii="Garamond" w:hAnsi="Garamond" w:cs="Times New Roman"/>
          <w:color w:val="000000"/>
          <w:sz w:val="24"/>
          <w:szCs w:val="24"/>
          <w:lang w:val="sq-AL"/>
        </w:rPr>
        <w:t xml:space="preserve"> </w:t>
      </w:r>
    </w:p>
    <w:p w14:paraId="6550935C" w14:textId="273885BE" w:rsidR="00CB3EA3" w:rsidRPr="00144D33" w:rsidRDefault="00CB3EA3" w:rsidP="00CB3EA3">
      <w:pPr>
        <w:tabs>
          <w:tab w:val="left" w:pos="0"/>
          <w:tab w:val="left" w:pos="560"/>
          <w:tab w:val="left" w:pos="51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9. Kjo gjykatë ka arsyetuar se, në analizë të përmbajtjes së nenit 332/dh të KPP</w:t>
      </w:r>
      <w:r w:rsidR="00D04D1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që bën fjalë për “vendimin e gjyqtarit të seancës paraprake”, në kuadër të kësaj vendimmarrjeje rezultojnë të verifikuara dy faza të identifikuara në: fazën e parë, që konfiguron disponimin e gjyqtarit të seancës paraprake për dërgimin e çështjes në gjykim që vijon deri në momentin e shprehjes së këtij gjyqtari lidhur me kërkesën e prokurorit për dërgimin e çështjes në gjyq. Në këtë fazë nuk kemi dorëzim aktesh në gjykatë për efekt gjykimi, por për efekt verifikimi nëse ekzistojnë kushtet për dërgimin e çështjes në gjyq disponim ky që përkon me kërkesat e nenit 332/dh të KPP</w:t>
      </w:r>
      <w:r w:rsidR="00D04D1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Në seancë paraprake, gjyqtari sipas nenit 332/ç të KPP</w:t>
      </w:r>
      <w:r w:rsidR="00D04D1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mund të urdhërojë edhe plotësimin e hetimeve</w:t>
      </w:r>
      <w:r w:rsidR="00D04D16">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duke përcaktuar drejtimin dhe, kur është rasti, edhe aktet që duhet të kryhen. Gjykata cakton afatin brenda të cilit hetimet duhet të përfundojnë dhe datën e seancës së re. Qartazi, veprimet e kryera prej këtij gjyqtari nuk mund të konsiderohen si të kryera në fazën e gjykimit në themel të çështjes, po kështu, në pikën 3, të kësaj dispozite – nenit 332/dh të KPP</w:t>
      </w:r>
      <w:r w:rsidR="00D04D1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parashikohet ndër të tjera, se procedura e shqyrtimit </w:t>
      </w:r>
      <w:r w:rsidRPr="00144D33">
        <w:rPr>
          <w:rFonts w:ascii="Garamond" w:hAnsi="Garamond" w:cs="Times New Roman"/>
          <w:color w:val="000000"/>
          <w:sz w:val="24"/>
          <w:szCs w:val="24"/>
          <w:lang w:val="sq-AL"/>
        </w:rPr>
        <w:lastRenderedPageBreak/>
        <w:t>në seancë paraprake nuk zëvendëson gjykimin e çështjes në themel. Kjo do të thotë se gjykimi i themelit është i ndryshëm nga gjykimi në seancë paraprake. Në çdo fazë të procedimit ka afate të caktuara procedurale.</w:t>
      </w:r>
    </w:p>
    <w:p w14:paraId="5F32174C" w14:textId="135A6AB7" w:rsidR="00CB3EA3" w:rsidRPr="00144D33" w:rsidRDefault="00520D3F" w:rsidP="00CB3EA3">
      <w:pPr>
        <w:tabs>
          <w:tab w:val="left" w:pos="0"/>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Data 30.</w:t>
      </w:r>
      <w:r w:rsidR="00CB3EA3" w:rsidRPr="00144D33">
        <w:rPr>
          <w:rFonts w:ascii="Garamond" w:hAnsi="Garamond" w:cs="Times New Roman"/>
          <w:color w:val="000000"/>
          <w:sz w:val="24"/>
          <w:szCs w:val="24"/>
          <w:lang w:val="sq-AL"/>
        </w:rPr>
        <w:t>7.2020, e identifikuar nga kërkuesi si momenti i fillimit të konsumimit të afateve të paraburgimit të fazës së gjykimit (9 muaj), ka të bëjë me momentin e dërgimit nga prokurori të akteve në gjykatë për shqyrtimin e kërkesës për dërgimin e çështjes në gjyq, dhe jo me depozitimin e akteve për gjykimin e themelit të çështjes. Ndaj ky afat, për aq sa u arsyetua më lart nuk mund të shërbejë si moment i fillimit të llogaritjes së afateve të paraburgimit, të kësaj faze, të gjykimit, pasi në këtë rast aktet nuk dërgohen në gjykatë për gjykimin e themelit të çështjes. Pra, afati i paraburgimit i përcaktuar në nenin 263/2 të KPP</w:t>
      </w:r>
      <w:r>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xml:space="preserve"> duhet të llogaritet duke filluar nga dita e paraqitjes së akteve në gjykatë për gjykimin në themel të çështjes.</w:t>
      </w:r>
    </w:p>
    <w:p w14:paraId="1FB4A783" w14:textId="4CC3E8B6"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10. </w:t>
      </w:r>
      <w:r w:rsidRPr="00144D33">
        <w:rPr>
          <w:rFonts w:ascii="Garamond" w:hAnsi="Garamond" w:cs="Times New Roman"/>
          <w:b/>
          <w:bCs/>
          <w:color w:val="000000"/>
          <w:sz w:val="24"/>
          <w:szCs w:val="24"/>
          <w:lang w:val="sq-AL"/>
        </w:rPr>
        <w:t>Ku</w:t>
      </w:r>
      <w:r w:rsidR="00F93350">
        <w:rPr>
          <w:rFonts w:ascii="Garamond" w:hAnsi="Garamond" w:cs="Times New Roman"/>
          <w:b/>
          <w:bCs/>
          <w:color w:val="000000"/>
          <w:sz w:val="24"/>
          <w:szCs w:val="24"/>
          <w:lang w:val="sq-AL"/>
        </w:rPr>
        <w:t>ndër vendimit nr. 145, datë 24.</w:t>
      </w:r>
      <w:r w:rsidRPr="00144D33">
        <w:rPr>
          <w:rFonts w:ascii="Garamond" w:hAnsi="Garamond" w:cs="Times New Roman"/>
          <w:b/>
          <w:bCs/>
          <w:color w:val="000000"/>
          <w:sz w:val="24"/>
          <w:szCs w:val="24"/>
          <w:lang w:val="sq-AL"/>
        </w:rPr>
        <w:t>6.2021, të Gjykatës</w:t>
      </w:r>
      <w:r w:rsidR="00F93350">
        <w:rPr>
          <w:rFonts w:ascii="Garamond" w:hAnsi="Garamond" w:cs="Times New Roman"/>
          <w:b/>
          <w:bCs/>
          <w:color w:val="000000"/>
          <w:sz w:val="24"/>
          <w:szCs w:val="24"/>
          <w:lang w:val="sq-AL"/>
        </w:rPr>
        <w:t xml:space="preserve"> së Apelit Shkodër, më datë 8.</w:t>
      </w:r>
      <w:r w:rsidRPr="00144D33">
        <w:rPr>
          <w:rFonts w:ascii="Garamond" w:hAnsi="Garamond" w:cs="Times New Roman"/>
          <w:b/>
          <w:bCs/>
          <w:color w:val="000000"/>
          <w:sz w:val="24"/>
          <w:szCs w:val="24"/>
          <w:lang w:val="sq-AL"/>
        </w:rPr>
        <w:t>7.2021, ka paraqitur rekurs kërkuesi Durim Vata</w:t>
      </w:r>
      <w:r w:rsidRPr="00144D33">
        <w:rPr>
          <w:rFonts w:ascii="Garamond" w:hAnsi="Garamond" w:cs="Times New Roman"/>
          <w:color w:val="000000"/>
          <w:sz w:val="24"/>
          <w:szCs w:val="24"/>
          <w:lang w:val="sq-AL"/>
        </w:rPr>
        <w:t>, i cili ka kërkuar:</w:t>
      </w:r>
    </w:p>
    <w:p w14:paraId="708B0B74" w14:textId="68EE13E2" w:rsidR="00CB3EA3" w:rsidRPr="00144D33" w:rsidRDefault="00CB3EA3" w:rsidP="004F046E">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color w:val="000000"/>
          <w:sz w:val="24"/>
          <w:szCs w:val="24"/>
          <w:lang w:val="sq-AL"/>
        </w:rPr>
        <w:t xml:space="preserve">- </w:t>
      </w:r>
      <w:r w:rsidRPr="00144D33">
        <w:rPr>
          <w:rFonts w:ascii="Garamond" w:hAnsi="Garamond" w:cs="Times New Roman"/>
          <w:i/>
          <w:iCs/>
          <w:color w:val="000000"/>
          <w:sz w:val="24"/>
          <w:szCs w:val="24"/>
          <w:lang w:val="sq-AL"/>
        </w:rPr>
        <w:t>Ndryshimin e vendimeve të Gjykatës së Apelit Shkodër nr</w:t>
      </w:r>
      <w:r w:rsidR="00F93350">
        <w:rPr>
          <w:rFonts w:ascii="Garamond" w:hAnsi="Garamond" w:cs="Times New Roman"/>
          <w:i/>
          <w:iCs/>
          <w:color w:val="000000"/>
          <w:sz w:val="24"/>
          <w:szCs w:val="24"/>
          <w:lang w:val="sq-AL"/>
        </w:rPr>
        <w:t>. 145, datë 24.</w:t>
      </w:r>
      <w:r w:rsidRPr="00144D33">
        <w:rPr>
          <w:rFonts w:ascii="Garamond" w:hAnsi="Garamond" w:cs="Times New Roman"/>
          <w:i/>
          <w:iCs/>
          <w:color w:val="000000"/>
          <w:sz w:val="24"/>
          <w:szCs w:val="24"/>
          <w:lang w:val="sq-AL"/>
        </w:rPr>
        <w:t>6.2021, që ka vendosur</w:t>
      </w:r>
      <w:r w:rsidR="00F93350">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“lënien n</w:t>
      </w:r>
      <w:r w:rsidR="00F93350">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fuqi” të vendimit</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të Gjykatës së Rrethit Gj</w:t>
      </w:r>
      <w:r w:rsidR="00F93350">
        <w:rPr>
          <w:rFonts w:ascii="Garamond" w:hAnsi="Garamond" w:cs="Times New Roman"/>
          <w:i/>
          <w:iCs/>
          <w:color w:val="000000"/>
          <w:sz w:val="24"/>
          <w:szCs w:val="24"/>
          <w:lang w:val="sq-AL"/>
        </w:rPr>
        <w:t>yqësor Kukës – nr. 104, datë 12</w:t>
      </w:r>
      <w:r w:rsidRPr="00144D33">
        <w:rPr>
          <w:rFonts w:ascii="Garamond" w:hAnsi="Garamond" w:cs="Times New Roman"/>
          <w:i/>
          <w:iCs/>
          <w:color w:val="000000"/>
          <w:sz w:val="24"/>
          <w:szCs w:val="24"/>
          <w:lang w:val="sq-AL"/>
        </w:rPr>
        <w:t>06.2020, dhe të këtij vendimi, deklarimin e shuarjes së masës së sigurimit personal të “arrestit në burg”, të caktuar me vendimin nr. (467) 25, dat</w:t>
      </w:r>
      <w:r w:rsidR="004F046E">
        <w:rPr>
          <w:rFonts w:ascii="Garamond" w:hAnsi="Garamond" w:cs="Times New Roman"/>
          <w:i/>
          <w:iCs/>
          <w:color w:val="000000"/>
          <w:sz w:val="24"/>
          <w:szCs w:val="24"/>
          <w:lang w:val="sq-AL"/>
        </w:rPr>
        <w:t>ë 18.</w:t>
      </w:r>
      <w:r w:rsidRPr="00144D33">
        <w:rPr>
          <w:rFonts w:ascii="Garamond" w:hAnsi="Garamond" w:cs="Times New Roman"/>
          <w:i/>
          <w:iCs/>
          <w:color w:val="000000"/>
          <w:sz w:val="24"/>
          <w:szCs w:val="24"/>
          <w:lang w:val="sq-AL"/>
        </w:rPr>
        <w:t>5.2020, të Gjykatës së Rrethit Gjyqësor Kukës, gjyqtarit për hetimet paraprake pranë a</w:t>
      </w:r>
      <w:r w:rsidR="004F046E">
        <w:rPr>
          <w:rFonts w:ascii="Garamond" w:hAnsi="Garamond" w:cs="Times New Roman"/>
          <w:i/>
          <w:iCs/>
          <w:color w:val="000000"/>
          <w:sz w:val="24"/>
          <w:szCs w:val="24"/>
          <w:lang w:val="sq-AL"/>
        </w:rPr>
        <w:t>saj gjykate, ndaj të hetuarit (</w:t>
      </w:r>
      <w:r w:rsidRPr="00144D33">
        <w:rPr>
          <w:rFonts w:ascii="Garamond" w:hAnsi="Garamond" w:cs="Times New Roman"/>
          <w:i/>
          <w:iCs/>
          <w:color w:val="000000"/>
          <w:sz w:val="24"/>
          <w:szCs w:val="24"/>
          <w:lang w:val="sq-AL"/>
        </w:rPr>
        <w:t>të pandehurit aktualisht)</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Durim Vata, si i dyshuar për kryerjen e veprës penale të “Kultivimit të bimëve narkotike</w:t>
      </w:r>
      <w:r w:rsidR="004F046E">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në bashkëpunim, të parashikuar nga neni 284/2 i Kodit Penal.</w:t>
      </w:r>
    </w:p>
    <w:p w14:paraId="21434A31" w14:textId="21AEDDCF" w:rsidR="00CB3EA3" w:rsidRPr="00144D33" w:rsidRDefault="00CB3EA3" w:rsidP="00BD59A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10.1 Në mënyrë të përmbledhur, në rekurs janë parashtruar këto shkaqe:</w:t>
      </w:r>
    </w:p>
    <w:p w14:paraId="2D8206C1" w14:textId="4A0BD797" w:rsidR="00CB3EA3" w:rsidRPr="00144D33" w:rsidRDefault="00CB3EA3" w:rsidP="0067229C">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 - Për</w:t>
      </w:r>
      <w:r w:rsidR="00BD59A4">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sa i përket shuarjes së masës së sigurimit personal “arrest në burg”, të vendosur ndaj kërkuesit, nga dita e regjistrimit të çështj</w:t>
      </w:r>
      <w:r w:rsidR="001669D4">
        <w:rPr>
          <w:rFonts w:ascii="Garamond" w:hAnsi="Garamond" w:cs="Times New Roman"/>
          <w:color w:val="000000"/>
          <w:sz w:val="24"/>
          <w:szCs w:val="24"/>
          <w:lang w:val="sq-AL"/>
        </w:rPr>
        <w:t>es në gjykatë, datë 30.7.2020 deri më datë 7.</w:t>
      </w:r>
      <w:r w:rsidRPr="00144D33">
        <w:rPr>
          <w:rFonts w:ascii="Garamond" w:hAnsi="Garamond" w:cs="Times New Roman"/>
          <w:color w:val="000000"/>
          <w:sz w:val="24"/>
          <w:szCs w:val="24"/>
          <w:lang w:val="sq-AL"/>
        </w:rPr>
        <w:t>7.2021, që përkon me momentin e gjykimit të çështjes (kërkesës) nga Gjykata e Apelit Shkodër, kanë kaluar 11 muaj e 7 ditë. Referuar nenit 263/2/b të KPP</w:t>
      </w:r>
      <w:r w:rsidR="001669D4">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afatet e kohëzgjatjes së paraburgimit konsiderohen të tejkaluara, me pasoj</w:t>
      </w:r>
      <w:r w:rsidR="0067229C">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humbjen e fuqisë – shuarjen </w:t>
      </w:r>
      <w:r w:rsidR="0067229C">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e masës së sigurimit personal, të caktuar, në rastin konkret, të masës së “arrestit në burg”, në qoftë se nga dita e dorëzimit të akteve në gjykatë ka kaluar afati prej 9 muaj</w:t>
      </w:r>
      <w:r w:rsidR="00DF1928">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kur procedohet për krime që dënohen në maksimum deri në 10 vjet burgim dhe nuk është dhënë dënim.</w:t>
      </w:r>
    </w:p>
    <w:p w14:paraId="7049E27E" w14:textId="73E14567" w:rsidR="00CB3EA3" w:rsidRPr="00144D33" w:rsidRDefault="00CB3EA3" w:rsidP="003D73AA">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 - Mbi bazën e këtyre të dhënave, duke llogaritur edhe pezullimet e afatit të paraburgimit të të pandehurit Vata, të operuar nga Gjykata e Rrethit Gjyqësor Kukës, gjatë gjykimit të themelit të çështjes penale, në ngarkim të tij, të cilat rezultojnë në masën e gjashtë ditëve, natyrshëm, konkludohet se afati i paraburgimit të konsumuar nga i pandehuri Vata, për fazën e gjykimit të çështjes, në shkallë të parë, i parashikuar prej nenit 263/2, germa “b”, të KPP</w:t>
      </w:r>
      <w:r w:rsidR="00DF1928">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(llogaritja e këtij afati prej nëntë muaj, sipas kësaj dispozite, “mbulon” periudhën nga “dita e dorëzimit të akteve në gjykate deri në konkludimin e gjykimit të çështjes në shkallë të parë”), verifikohet i tejkaluar, prej afër dy muaj</w:t>
      </w:r>
      <w:r w:rsidR="00DF1928">
        <w:rPr>
          <w:rFonts w:ascii="Garamond" w:hAnsi="Garamond" w:cs="Times New Roman"/>
          <w:color w:val="000000"/>
          <w:sz w:val="24"/>
          <w:szCs w:val="24"/>
          <w:lang w:val="sq-AL"/>
        </w:rPr>
        <w:t>sh</w:t>
      </w:r>
      <w:r w:rsidRPr="00144D33">
        <w:rPr>
          <w:rFonts w:ascii="Garamond" w:hAnsi="Garamond" w:cs="Times New Roman"/>
          <w:color w:val="000000"/>
          <w:sz w:val="24"/>
          <w:szCs w:val="24"/>
          <w:lang w:val="sq-AL"/>
        </w:rPr>
        <w:t>, me konsekuenc</w:t>
      </w:r>
      <w:r w:rsidR="003D73AA">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të pashmangshme, humbjen e fuqisë – shuarjen – e masës së sigurimit personal të “arrestit në burg”, të caktuar dhe të zbatuar ndaj të pandehurit Vata. Me konstatimin e këtij fakti, në mënyrë imediate prej gjykatës duhet deklaruar, gjithnjë duke konsideruar me cilësinë e momentit fillestar të llogaritjes së këtij afati – ditën e dorëzimit të akteve në gjykatë – momentin (ditën) e depozitimit, në sekretarinë e gjykatës – gjyqtarit të seancës paraprake – të kërkesës së prokurorit “për dërgimin e çështjes në gjyq”, në përputhje me përcaktimet e nenit 331 të KPP</w:t>
      </w:r>
      <w:r w:rsidR="003D73AA">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w:t>
      </w:r>
    </w:p>
    <w:p w14:paraId="5D82E772" w14:textId="3B654482"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11. Kolegji Penal i Gjykatës së Lartë, në dhomë këshillimi, meqenëse ndërmjet gjykatave më të ulëta ka qëndrime dhe arsyetime të ndryshme në lidhje me llogaritjen e afatit të paraburgimit të konsumuar gjatë periudhës së gjykimit të kërkesës së prokurorit nga gjyqtari i seancës par</w:t>
      </w:r>
      <w:r w:rsidR="00070A0F">
        <w:rPr>
          <w:rFonts w:ascii="Garamond" w:hAnsi="Garamond" w:cs="Times New Roman"/>
          <w:color w:val="000000"/>
          <w:sz w:val="24"/>
          <w:szCs w:val="24"/>
          <w:lang w:val="sq-AL"/>
        </w:rPr>
        <w:t>aprake, me vendimin e datës 30.</w:t>
      </w:r>
      <w:r w:rsidRPr="00144D33">
        <w:rPr>
          <w:rFonts w:ascii="Garamond" w:hAnsi="Garamond" w:cs="Times New Roman"/>
          <w:color w:val="000000"/>
          <w:sz w:val="24"/>
          <w:szCs w:val="24"/>
          <w:lang w:val="sq-AL"/>
        </w:rPr>
        <w:t>9.2021, vendosi kalimin në seancë gjyqësore për shqyrtimin e çështjes penale me nr. 61010-0</w:t>
      </w:r>
      <w:r w:rsidR="00070A0F">
        <w:rPr>
          <w:rFonts w:ascii="Garamond" w:hAnsi="Garamond" w:cs="Times New Roman"/>
          <w:color w:val="000000"/>
          <w:sz w:val="24"/>
          <w:szCs w:val="24"/>
          <w:lang w:val="sq-AL"/>
        </w:rPr>
        <w:t>0587-2021, datë regjistrimi 28.</w:t>
      </w:r>
      <w:r w:rsidRPr="00144D33">
        <w:rPr>
          <w:rFonts w:ascii="Garamond" w:hAnsi="Garamond" w:cs="Times New Roman"/>
          <w:color w:val="000000"/>
          <w:sz w:val="24"/>
          <w:szCs w:val="24"/>
          <w:lang w:val="sq-AL"/>
        </w:rPr>
        <w:t>7.2021, me qëllim njësimin e praktikës gjyqësore</w:t>
      </w:r>
      <w:r w:rsidR="00070A0F">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në lidhje me çështjen:</w:t>
      </w:r>
    </w:p>
    <w:p w14:paraId="01F5DB02"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lastRenderedPageBreak/>
        <w:t>“Cilës fazë procedurale i takon afati i paraburgimit që konsumohet gjatë gjykimit nga gjyqtari i seancës paraprake?”</w:t>
      </w:r>
      <w:r w:rsidRPr="00144D33">
        <w:rPr>
          <w:rFonts w:ascii="Garamond" w:hAnsi="Garamond" w:cs="Times New Roman"/>
          <w:color w:val="000000"/>
          <w:sz w:val="24"/>
          <w:szCs w:val="24"/>
          <w:lang w:val="sq-AL"/>
        </w:rPr>
        <w:t>.</w:t>
      </w:r>
    </w:p>
    <w:p w14:paraId="4FDF7FFE" w14:textId="3CC53F16"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12. Në seancë gjyqësore, mbrojtësi i kërkuesit Durim Vata kërkoi shuarjen e masës së sigurimit, si pasojë e llogaritjes së afatit të paraburgimit të konsumuar gjatë gjykimit në seancë paraprake, si afat i kaluar për llogari të afateve gjykimore. Nga ana e tij, në seancë u parashtruan këto argumente: </w:t>
      </w:r>
    </w:p>
    <w:p w14:paraId="4C3E09D1"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 Ndjekja penale fillon me dërgimin e kërkesës së prokurorit për dërgimin e çështjes për gjyq, pasi vetëm në këtë çast kemi krijimin e një marrëdhënie procedurale me gjykatën. </w:t>
      </w:r>
    </w:p>
    <w:p w14:paraId="030B7FE8" w14:textId="0CB75BC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Vetëm pas njoftimit të përfundimit të hetimeve paraprake, prokurori</w:t>
      </w:r>
      <w:r w:rsidR="008C5A8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sipas nenit 327, pika 6</w:t>
      </w:r>
      <w:r w:rsidR="00A97BF6">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të KPP</w:t>
      </w:r>
      <w:r w:rsidR="00A97BF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pasi i ka njoftuar edhe akuzën dhe i ka njohur të drejtën për të ushtruar mbrojtjen brenda 10 ditëve të pandehurit, kur nuk ka proceduar sipas neneve 400 (gjykimi i drejtpërdrejtë), 406/a (urdhër penal) dhe 406/dh (me marrëveshje), të KPP</w:t>
      </w:r>
      <w:r w:rsidR="00A97BF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bën kërkesë për dërgimin e çështjes në gjyq. </w:t>
      </w:r>
    </w:p>
    <w:p w14:paraId="6B3686C0"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 Pra, është në këtë çast kohor që kemi ushtrimin e ndjekjes penale, dhe në këtë çast duhet të konsiderohet se afatet e paraburgimit duhet të lidhen me fazën e gjykimit të themelit të shkallës së parë dhe jo me atë të hetimeve. </w:t>
      </w:r>
    </w:p>
    <w:p w14:paraId="25DC58AF" w14:textId="3716A130" w:rsidR="00CB3EA3" w:rsidRPr="00144D33" w:rsidRDefault="00CB3EA3" w:rsidP="00A97BF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 Çdo gjë që ndodh në fazën e seancës paraprake dhe koha që kalon aty, pra edhe ecja e afateve të paraburgimit, me paraqitjen e kërkesës së prokurorit për dërgimin e çështjes për gjyq që shënon çastin e ushtrimit të ndjekjes penale duhet të konsiderohet si fazë paraprake </w:t>
      </w:r>
      <w:r w:rsidR="00A97BF6">
        <w:rPr>
          <w:rFonts w:ascii="Garamond" w:hAnsi="Garamond" w:cs="Times New Roman"/>
          <w:color w:val="000000"/>
          <w:sz w:val="24"/>
          <w:szCs w:val="24"/>
          <w:lang w:val="sq-AL"/>
        </w:rPr>
        <w:t>“</w:t>
      </w:r>
      <w:r w:rsidRPr="00144D33">
        <w:rPr>
          <w:rFonts w:ascii="Garamond" w:hAnsi="Garamond" w:cs="Times New Roman"/>
          <w:color w:val="000000"/>
          <w:sz w:val="24"/>
          <w:szCs w:val="24"/>
          <w:lang w:val="sq-AL"/>
        </w:rPr>
        <w:t>gjykimi</w:t>
      </w:r>
      <w:r w:rsidR="00A97BF6">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dhe jo si pjesë e hetimeve paraprake.</w:t>
      </w:r>
    </w:p>
    <w:p w14:paraId="1142EF65" w14:textId="7A328ECB"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13. Prokurori</w:t>
      </w:r>
      <w:r w:rsidR="00A97BF6">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pranë Prokurorisë së Përgjithshme, kërkoi nga Kolegji Penal lënien në fuqi të vendimit të Gjykatës së Apelit Shkodër, duke llogaritur afatin e paraburgimit të konsumuar gjatë gjykimit në seancë paraprake, si afat i kaluar për llogari të afateve të hetimit paraprak. Prokurori ka parashtruar këto argumente: </w:t>
      </w:r>
    </w:p>
    <w:p w14:paraId="4FE6A38C"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Për të kuptuar qëllimin e seancës paraprake duhet parë synimi i këtij instituti, që është kalimi në një filtër gjyqësor të vendimmarrjes së prokurorit gjatë hetimeve paraprake; kontrollin gjyqësor të diligjencës/kujdesit të prokurorit gjatë hetimeve paraprake; efektiviteti i shqyrtimit gjyqësor në themel të procedimit penal nëpërmjet parandalimit dhe riparimit të të metave; mbrojtjen e të drejtave dhe lirive themelore të individëve pjesëmarrës në një procedim penal nga një shqyrtim në themel me debatin gjyqësor.</w:t>
      </w:r>
    </w:p>
    <w:p w14:paraId="5E1D11FE" w14:textId="4C4CFD2C" w:rsidR="00CB3EA3" w:rsidRPr="00144D33" w:rsidRDefault="00CB3EA3" w:rsidP="006B5F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 Në interpretim sistematik, konstatojmë se instituti i seancës paraprake është parashikuar në </w:t>
      </w:r>
      <w:r w:rsidR="00A97BF6" w:rsidRPr="00144D33">
        <w:rPr>
          <w:rFonts w:ascii="Garamond" w:hAnsi="Garamond" w:cs="Times New Roman"/>
          <w:color w:val="000000"/>
          <w:sz w:val="24"/>
          <w:szCs w:val="24"/>
          <w:lang w:val="sq-AL"/>
        </w:rPr>
        <w:t xml:space="preserve">kreun </w:t>
      </w:r>
      <w:r w:rsidRPr="00144D33">
        <w:rPr>
          <w:rFonts w:ascii="Garamond" w:hAnsi="Garamond" w:cs="Times New Roman"/>
          <w:color w:val="000000"/>
          <w:sz w:val="24"/>
          <w:szCs w:val="24"/>
          <w:lang w:val="sq-AL"/>
        </w:rPr>
        <w:t>IX të KPP</w:t>
      </w:r>
      <w:r w:rsidR="00A97BF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i cili nga ana e tij është pjesë përbërëse e titullit IV të tij “Hetimet paraprake”. Ky titull pasndiqet nga titulli V nën emërtimin </w:t>
      </w:r>
      <w:r w:rsidR="006B5FE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Gjykimet</w:t>
      </w:r>
      <w:r w:rsidR="006B5FE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pra nisur nga ky interpretim konkludohet se ligjvënësi e ka vendosur institutin e seancës paraprake si pjesë përbërëse e fazës së hetimeve e për pasojë, bazuar në logjikë formale, afati i paraburgimit i konsumuar gjatë gjykimit të seancës paraprake, i takon fazës së hetimit paraprak. </w:t>
      </w:r>
    </w:p>
    <w:p w14:paraId="1C4818D7"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Në interpretim analogjik me jurisprudencën italiane, konkludohet se për t’i dhënë një përgjigje çështjes së shtruar për zgjidhje bazuar në lidhje me parashikimet e bëra në nenin 332/dh të Kodit tonë të Procedurës Penale duhet të mbështetemi në mënyrë kumulative në dy kritere. Kriteri i parë është ai që buron nga interpretimi sistematik i dispozitës që sikurse argumentuam çon në konkluzionin se instituti i seancës paraprake është pjesë e fazës së hetimeve paraprake e për rrjedhojë dhe paraburgimi i konsumuar gjatë kësaj faze i takon fazës së hetimit paraprak. Dhe kriteri i dytë është kriteri funksional i organit procedues, në rastin konkret të gjykatës. Pra vlerësimi se në cilin moment gjykata ushtron funksionet kontrolluese vlerësuese të hetimeve paraprake dhe në cilin moment gjykata ushtron funksionet kushtetuese të bërjes së drejtësisë.</w:t>
      </w:r>
    </w:p>
    <w:p w14:paraId="14EDA23C" w14:textId="4C48F8F5"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Aktiviteti i gjykatës</w:t>
      </w:r>
      <w:r w:rsidR="000243D7">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pas vendimmarrjes së përshkruar kryesisht në shkronjat “b” dhe “c” të nenit 332/dh të KPP</w:t>
      </w:r>
      <w:r w:rsidR="000243D7">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përfshihen në aktivitetin funksional kushtetues të gjykatës dhe nuk i takon fazës së hetimit paraprak e për pasojë dhe afatet e paraburgimit të konsumuara pas vendimmarrjes së mësipërme i takojnë fazës së gjykimit.</w:t>
      </w:r>
    </w:p>
    <w:p w14:paraId="7B759F20"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A668BD4" w14:textId="3A8A2889" w:rsidR="00CB3EA3" w:rsidRPr="00144D33" w:rsidRDefault="00CB3EA3" w:rsidP="00CB3EA3">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44D33">
        <w:rPr>
          <w:rFonts w:ascii="Garamond" w:hAnsi="Garamond" w:cs="Times New Roman"/>
          <w:b/>
          <w:bCs/>
          <w:color w:val="000000"/>
          <w:sz w:val="24"/>
          <w:szCs w:val="24"/>
          <w:lang w:val="sq-AL"/>
        </w:rPr>
        <w:t>II. Vlerësimi i Kolegjit Penal</w:t>
      </w:r>
      <w:r w:rsidR="00144D33">
        <w:rPr>
          <w:rFonts w:ascii="Garamond" w:hAnsi="Garamond" w:cs="Times New Roman"/>
          <w:b/>
          <w:bCs/>
          <w:color w:val="000000"/>
          <w:sz w:val="24"/>
          <w:szCs w:val="24"/>
          <w:lang w:val="sq-AL"/>
        </w:rPr>
        <w:t xml:space="preserve"> </w:t>
      </w:r>
    </w:p>
    <w:p w14:paraId="10FB8993" w14:textId="36F6F9BE"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14. Kolegji Penal i Gjykatës së Lartë (në vijim </w:t>
      </w:r>
      <w:r w:rsidR="000243D7">
        <w:rPr>
          <w:rFonts w:ascii="Garamond" w:hAnsi="Garamond" w:cs="Times New Roman"/>
          <w:color w:val="000000"/>
          <w:sz w:val="24"/>
          <w:szCs w:val="24"/>
          <w:lang w:val="sq-AL"/>
        </w:rPr>
        <w:t>“</w:t>
      </w:r>
      <w:r w:rsidRPr="00144D33">
        <w:rPr>
          <w:rFonts w:ascii="Garamond" w:hAnsi="Garamond" w:cs="Times New Roman"/>
          <w:color w:val="000000"/>
          <w:sz w:val="24"/>
          <w:szCs w:val="24"/>
          <w:lang w:val="sq-AL"/>
        </w:rPr>
        <w:t>Kolegji</w:t>
      </w:r>
      <w:r w:rsidR="000243D7">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n</w:t>
      </w:r>
      <w:r w:rsidR="007B6DF9">
        <w:rPr>
          <w:rFonts w:ascii="Garamond" w:hAnsi="Garamond" w:cs="Times New Roman"/>
          <w:color w:val="000000"/>
          <w:sz w:val="24"/>
          <w:szCs w:val="24"/>
          <w:lang w:val="sq-AL"/>
        </w:rPr>
        <w:t>ë dhomë këshillimi, në datë 30.</w:t>
      </w:r>
      <w:r w:rsidRPr="00144D33">
        <w:rPr>
          <w:rFonts w:ascii="Garamond" w:hAnsi="Garamond" w:cs="Times New Roman"/>
          <w:color w:val="000000"/>
          <w:sz w:val="24"/>
          <w:szCs w:val="24"/>
          <w:lang w:val="sq-AL"/>
        </w:rPr>
        <w:t>9.2021, verifikoi rekursin e paraqitur nga kërkuesi/i pandehuri Vata, në funksion të plotësimit të kushteve formale dhe substanciale të pranueshmërisë së tij, në përputhje me përcaktimet e neneve 432 dhe 433 të KPP</w:t>
      </w:r>
      <w:r w:rsidR="007B6DF9">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Kolegji vlerësoi se rekursi objekt shqyrtimi plotëson kërkesat e ligjit për t</w:t>
      </w:r>
      <w:r w:rsidR="007B6DF9">
        <w:rPr>
          <w:rFonts w:ascii="Garamond" w:hAnsi="Garamond" w:cs="Times New Roman"/>
          <w:color w:val="000000"/>
          <w:sz w:val="24"/>
          <w:szCs w:val="24"/>
          <w:lang w:val="sq-AL"/>
        </w:rPr>
        <w:t>’</w:t>
      </w:r>
      <w:r w:rsidRPr="00144D33">
        <w:rPr>
          <w:rFonts w:ascii="Garamond" w:hAnsi="Garamond" w:cs="Times New Roman"/>
          <w:color w:val="000000"/>
          <w:sz w:val="24"/>
          <w:szCs w:val="24"/>
          <w:lang w:val="sq-AL"/>
        </w:rPr>
        <w:t>u pranuar, konkretisht të kushtit të karakterit substancial, të përcaktuar në germën “a”, të paragrafit të parë të nenit 432 të KPP</w:t>
      </w:r>
      <w:r w:rsidR="007B6DF9">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të identifikuar në</w:t>
      </w:r>
      <w:r w:rsidR="003869B5">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“mosrespektimin ose zbatimin e gabuar të ligjit procedural”, prej gjykatave të të dy</w:t>
      </w:r>
      <w:r w:rsidR="003869B5">
        <w:rPr>
          <w:rFonts w:ascii="Garamond" w:hAnsi="Garamond" w:cs="Times New Roman"/>
          <w:color w:val="000000"/>
          <w:sz w:val="24"/>
          <w:szCs w:val="24"/>
          <w:lang w:val="sq-AL"/>
        </w:rPr>
        <w:t>ja</w:t>
      </w:r>
      <w:r w:rsidRPr="00144D33">
        <w:rPr>
          <w:rFonts w:ascii="Garamond" w:hAnsi="Garamond" w:cs="Times New Roman"/>
          <w:color w:val="000000"/>
          <w:sz w:val="24"/>
          <w:szCs w:val="24"/>
          <w:lang w:val="sq-AL"/>
        </w:rPr>
        <w:t xml:space="preserve"> shkallëve (të Rrethit Gjyqësor Kukës dhe të Apelit Shkodër), lidhur me kërkesën e paraqitur nga kërkuesi/i pandehuri Vata, gjatë gjykimit në themel të çështjes penale në ngarkim të tij, me objekt deklarimin e humbjes së fuqisë (shuarjes) së masës së sigurimit personal të “arrestit në burg” caktuar ndaj tij.</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Gjykatat e faktit, në shqyrtimin e kësaj kërkese, kanë disponuar për rrëzimin e saj, duke vlerësuar qëndrimin e mbrojtësit se afatet e paraburgimit janë konsumuar, pasi kanë kaluar nëntë muaj pa u shprehur gjykata me vendim përfundimtar, si të pabazuar në ligj. Në interpretimin e ligjit procedural penal, gjykatat e faktit kanë arritur në konkluzionin se afati i paraburgimit i “konsumuar”/që ka kaluar gjatë kohës së shqyrtimit të çështjes nga gjyqtari i seancës paraprake deri në momentin që ky i fundit ka disponuar “për dërgimin e çështjes në gjyq”, duhet përfshirë si afat i fazës së hetimit paraprak. Sipas gjykatave të shkallës së parë dhe të apelit, afati i parashikuar në nenin 263/2 të KPP</w:t>
      </w:r>
      <w:r w:rsidR="00413457">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për fazën e gjykimit, fillon nga momenti i depozitimit dhe i regjistrimi</w:t>
      </w:r>
      <w:r w:rsidR="0004548D">
        <w:rPr>
          <w:rFonts w:ascii="Garamond" w:hAnsi="Garamond" w:cs="Times New Roman"/>
          <w:color w:val="000000"/>
          <w:sz w:val="24"/>
          <w:szCs w:val="24"/>
          <w:lang w:val="sq-AL"/>
        </w:rPr>
        <w:t>t të fashikullit të gjykimit te</w:t>
      </w:r>
      <w:r w:rsidRPr="00144D33">
        <w:rPr>
          <w:rFonts w:ascii="Garamond" w:hAnsi="Garamond" w:cs="Times New Roman"/>
          <w:color w:val="000000"/>
          <w:sz w:val="24"/>
          <w:szCs w:val="24"/>
          <w:lang w:val="sq-AL"/>
        </w:rPr>
        <w:t xml:space="preserve"> gjyqtari i gjykimit të çështjes në themel, duke vlerësuar këtë moment</w:t>
      </w:r>
      <w:r w:rsidR="00CD08CA">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w:t>
      </w:r>
      <w:r w:rsidR="00CD08CA">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“dorëzimi i akteve në gjykatë”.</w:t>
      </w:r>
    </w:p>
    <w:p w14:paraId="1CD987AC" w14:textId="57D67D84"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15. Në verifikim të praktikës gjyqësore në drejtimin e sipërcituar, duke mbajtur në konsideratë edhe faktin e rëndësishëm të ndryshimeve që ka pësuar KPP</w:t>
      </w:r>
      <w:r w:rsidR="00EE7815">
        <w:rPr>
          <w:rFonts w:ascii="Garamond" w:hAnsi="Garamond" w:cs="Times New Roman"/>
          <w:color w:val="000000"/>
          <w:sz w:val="24"/>
          <w:szCs w:val="24"/>
          <w:lang w:val="sq-AL"/>
        </w:rPr>
        <w:t>-ja</w:t>
      </w:r>
      <w:r w:rsidRPr="00144D33">
        <w:rPr>
          <w:rFonts w:ascii="Garamond" w:hAnsi="Garamond" w:cs="Times New Roman"/>
          <w:color w:val="000000"/>
          <w:sz w:val="24"/>
          <w:szCs w:val="24"/>
          <w:lang w:val="sq-AL"/>
        </w:rPr>
        <w:t xml:space="preserve"> (</w:t>
      </w:r>
      <w:r w:rsidR="003E5594">
        <w:rPr>
          <w:rFonts w:ascii="Garamond" w:hAnsi="Garamond" w:cs="Times New Roman"/>
          <w:color w:val="000000"/>
          <w:sz w:val="24"/>
          <w:szCs w:val="24"/>
          <w:lang w:val="sq-AL"/>
        </w:rPr>
        <w:t>me ligjin nr. 35/2017, datë 30.</w:t>
      </w:r>
      <w:r w:rsidRPr="00144D33">
        <w:rPr>
          <w:rFonts w:ascii="Garamond" w:hAnsi="Garamond" w:cs="Times New Roman"/>
          <w:color w:val="000000"/>
          <w:sz w:val="24"/>
          <w:szCs w:val="24"/>
          <w:lang w:val="sq-AL"/>
        </w:rPr>
        <w:t>3.2017), ku është parashikuar seanca paraprake si një fazë e procedimit penal, por, nga ana tjetër, edhe faktin që ky ndryshim nuk është shoqëruar edhe me ndryshimin e nenit 263 të KPP</w:t>
      </w:r>
      <w:r w:rsidR="003E5594">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Kolegji çmoi se ekzistojnë kushtet e parashikuara në nenin 438 të KPP</w:t>
      </w:r>
      <w:r w:rsidR="00B0345A">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për inicimin e procedurës së gjykimit për njësimin e praktikës gjyqësore. Seanca paraprake është parashikuar si një fazë e rëndësishme dhe e pashmangshme e procedimit penal, që synon të garantojë të drejtat e mbrojtjes, duke verifikuar dhe kontrolluar plotësinë e hetimeve të kryera, veprimet dhe vendimmarrjen e prokurorit gjatë fazës së hetimit paraprak.</w:t>
      </w:r>
      <w:r w:rsidR="008C613D" w:rsidRPr="00144D33">
        <w:rPr>
          <w:rStyle w:val="FootnoteReference"/>
          <w:rFonts w:ascii="Garamond" w:hAnsi="Garamond" w:cs="Times New Roman"/>
          <w:color w:val="000000"/>
          <w:sz w:val="24"/>
          <w:szCs w:val="24"/>
          <w:lang w:val="sq-AL"/>
        </w:rPr>
        <w:footnoteReference w:id="2"/>
      </w:r>
      <w:r w:rsidRPr="00144D33">
        <w:rPr>
          <w:rFonts w:ascii="Garamond" w:hAnsi="Garamond" w:cs="Times New Roman"/>
          <w:color w:val="000000"/>
          <w:sz w:val="24"/>
          <w:szCs w:val="24"/>
          <w:lang w:val="sq-AL"/>
        </w:rPr>
        <w:t xml:space="preserve"> Kolegji konstaton se, ndonëse ligjvënësi ka parashikuar seancën paraprake në procesin penal, nuk e ka shoqëruar këtë ndryshim të rëndësishëm edhe me ndryshimin e nenit 263 që parashikon afatet e paraburgimit për çdo fazë të procedimit. Ndërkohë, në funksion të ushtrimit të kontrollit të hetimeve paraprake, gjyqtari i seancës paraprake mund të disponojë edhe për plotësimin e hetimeve, sipas nenit 332/ç të KPP</w:t>
      </w:r>
      <w:r w:rsidR="00E86BBB">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dhe/ose për korrigjimin ose saktësimin e akuzës, sipas nenit 332/d të KPP</w:t>
      </w:r>
      <w:r w:rsidR="00E86BBB">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fakt ky që ndikon edhe në afatin e paraburgimit, për të pandehurin ndaj të cilit është caktuar masa e arrestit.</w:t>
      </w:r>
      <w:r w:rsidR="00144D33">
        <w:rPr>
          <w:rFonts w:ascii="Garamond" w:hAnsi="Garamond" w:cs="Times New Roman"/>
          <w:color w:val="000000"/>
          <w:sz w:val="24"/>
          <w:szCs w:val="24"/>
          <w:lang w:val="sq-AL"/>
        </w:rPr>
        <w:t xml:space="preserve"> </w:t>
      </w:r>
    </w:p>
    <w:p w14:paraId="60369EF5" w14:textId="46224D54"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16. Përballur me problematikën e sipërcituar, Kolegji konstaton se nga gjykatat e faktit ka pasur qëndrime të ndryshme, në lidhje me kohëzgjatjen e paraburgimit dhe ndikimin e kësaj faze të re të procedimit (seanca paraprake) në afatet e posaçme (të secilës fazë përkatëse) dhe/ose në ato të përgjithshme (tërësore) të paraburgimit, të parashikuara në nenin 263 të KPP</w:t>
      </w:r>
      <w:r w:rsidR="00E86BBB">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Në rastin konkret, gjykatat e Rrethit Gjyqësor Kukës dhe e Apelit Shkodër, kanë përcaktuar se seanca paraprake, pa</w:t>
      </w:r>
      <w:r w:rsidR="00B907C0">
        <w:rPr>
          <w:rFonts w:ascii="Garamond" w:hAnsi="Garamond" w:cs="Times New Roman"/>
          <w:color w:val="000000"/>
          <w:sz w:val="24"/>
          <w:szCs w:val="24"/>
          <w:lang w:val="sq-AL"/>
        </w:rPr>
        <w:t>rashikuar në nenet 332–</w:t>
      </w:r>
      <w:r w:rsidRPr="00144D33">
        <w:rPr>
          <w:rFonts w:ascii="Garamond" w:hAnsi="Garamond" w:cs="Times New Roman"/>
          <w:color w:val="000000"/>
          <w:sz w:val="24"/>
          <w:szCs w:val="24"/>
          <w:lang w:val="sq-AL"/>
        </w:rPr>
        <w:t>332/gj të KPP</w:t>
      </w:r>
      <w:r w:rsidR="00B907C0">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është pjesë e fazës së hetimeve paraprake, për efekt të llogaritjes së afateve të paraburgimit (të kohëzgjatjes së tyre). Ndërkohë, në raste të tjera të ngjashme, gjykatat kanë mbajtur qëndrimin se seanca paraprake dhe afati i zgjatjes së saj është pjesë e fazës së gjykimit, për efekt të llogaritjes së afateve të paraburgimit (për më tepër,</w:t>
      </w:r>
      <w:r w:rsidR="00E91DFB">
        <w:rPr>
          <w:rFonts w:ascii="Garamond" w:hAnsi="Garamond" w:cs="Times New Roman"/>
          <w:color w:val="000000"/>
          <w:sz w:val="24"/>
          <w:szCs w:val="24"/>
          <w:lang w:val="sq-AL"/>
        </w:rPr>
        <w:t xml:space="preserve"> shih vendimet nr. 77, datë 30.</w:t>
      </w:r>
      <w:r w:rsidRPr="00144D33">
        <w:rPr>
          <w:rFonts w:ascii="Garamond" w:hAnsi="Garamond" w:cs="Times New Roman"/>
          <w:color w:val="000000"/>
          <w:sz w:val="24"/>
          <w:szCs w:val="24"/>
          <w:lang w:val="sq-AL"/>
        </w:rPr>
        <w:t>7.2018 dhe nr. 219, datë 27.11.2019 të (ish) Gjykatës së Apelit për Krime të Rënda). Në ndryshim nga ligji procedural penal shqiptar, KPP</w:t>
      </w:r>
      <w:r w:rsidR="00E91DFB">
        <w:rPr>
          <w:rFonts w:ascii="Garamond" w:hAnsi="Garamond" w:cs="Times New Roman"/>
          <w:color w:val="000000"/>
          <w:sz w:val="24"/>
          <w:szCs w:val="24"/>
          <w:lang w:val="sq-AL"/>
        </w:rPr>
        <w:t>-ja</w:t>
      </w:r>
      <w:r w:rsidRPr="00144D33">
        <w:rPr>
          <w:rFonts w:ascii="Garamond" w:hAnsi="Garamond" w:cs="Times New Roman"/>
          <w:color w:val="000000"/>
          <w:sz w:val="24"/>
          <w:szCs w:val="24"/>
          <w:lang w:val="sq-AL"/>
        </w:rPr>
        <w:t xml:space="preserve"> italiane që është marrë si model referimi nga ligjvënësi shqiptar, parashikon afate të qarta paraburgimi për secilën fazë, përfshi këtu edhe seancën paraprake. Kolegji vlerëson me rëndësi të theksojë faktin se edhe pas ndryshimeve të fundit të KPP</w:t>
      </w:r>
      <w:r w:rsidR="001B7E59">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me ligjin nr. 41/2021, ku faza e seancës paraprake ka pësuar ndryshime thelbësore, ligjvënësi nuk ka reflektuar në përmbajtjen e nenit 263 të KPP</w:t>
      </w:r>
      <w:r w:rsidR="00105E8D">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w:t>
      </w:r>
    </w:p>
    <w:p w14:paraId="2A7D162A" w14:textId="579CB43D" w:rsidR="00CB3EA3" w:rsidRPr="00144D33" w:rsidRDefault="00CB3EA3" w:rsidP="001378A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17. Në terma të tjer</w:t>
      </w:r>
      <w:r w:rsidR="001378A1">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kjo problematikë</w:t>
      </w:r>
      <w:r w:rsidR="001B7E59">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se</w:t>
      </w:r>
      <w:r w:rsidR="001B7E59">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“Cilës fazë procedurale i përket (i atashohet) afati i (kohëzgjatjes) paraburgimit të konsumuar, prej të pandehurit, gjatë fazës së procedimit të gjykimit (trajtimit) të çështjes prej gjyqtarit të seancës paraprake”, objekt i këtij gjykimi njësues, do të gjejë zgjidhje në varësi të interpretimit nëse kjo fazë e re e procedimit penal do të cilësohet si një fazë ndërmjetëse midis fazës së hetimeve paraprake dhe fazës së gjykimit të çështjes (në shkallë të parë dhe të dytë) apo do të renditet/përfshihet </w:t>
      </w:r>
      <w:r w:rsidR="00AE76D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w:t>
      </w:r>
      <w:r w:rsidRPr="00144D33">
        <w:rPr>
          <w:rFonts w:ascii="Garamond" w:hAnsi="Garamond" w:cs="Times New Roman"/>
          <w:i/>
          <w:iCs/>
          <w:color w:val="000000"/>
          <w:sz w:val="24"/>
          <w:szCs w:val="24"/>
          <w:lang w:val="sq-AL"/>
        </w:rPr>
        <w:t>tout court/thjesht</w:t>
      </w:r>
      <w:r w:rsidRPr="00144D33">
        <w:rPr>
          <w:rFonts w:ascii="Garamond" w:hAnsi="Garamond" w:cs="Times New Roman"/>
          <w:color w:val="000000"/>
          <w:sz w:val="24"/>
          <w:szCs w:val="24"/>
          <w:lang w:val="sq-AL"/>
        </w:rPr>
        <w:t xml:space="preserve"> </w:t>
      </w:r>
      <w:r w:rsidR="00F3679A">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në përbërje të njërës apo </w:t>
      </w:r>
      <w:r w:rsidR="001B7E59">
        <w:rPr>
          <w:rFonts w:ascii="Garamond" w:hAnsi="Garamond" w:cs="Times New Roman"/>
          <w:color w:val="000000"/>
          <w:sz w:val="24"/>
          <w:szCs w:val="24"/>
          <w:lang w:val="sq-AL"/>
        </w:rPr>
        <w:t xml:space="preserve">të </w:t>
      </w:r>
      <w:r w:rsidRPr="00144D33">
        <w:rPr>
          <w:rFonts w:ascii="Garamond" w:hAnsi="Garamond" w:cs="Times New Roman"/>
          <w:color w:val="000000"/>
          <w:sz w:val="24"/>
          <w:szCs w:val="24"/>
          <w:lang w:val="sq-AL"/>
        </w:rPr>
        <w:t>tjetrës fazë (hetim apo gjykim). Në këtë vështrim, Kolegji vlerëson me rëndësi të evidentojë qëllimin e përfshirjes së kësaj faze procedurale në procesin penal, rolin dhe kompetencat që ka gjyqtari i seancës paraprake.</w:t>
      </w:r>
    </w:p>
    <w:p w14:paraId="1BC81816" w14:textId="162FF137"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pacing w:val="15"/>
          <w:sz w:val="24"/>
          <w:szCs w:val="24"/>
          <w:lang w:val="sq-AL"/>
        </w:rPr>
        <w:t>18. Kolegji sjell edhe një herë në vëmendje se, me l</w:t>
      </w:r>
      <w:r w:rsidRPr="00144D33">
        <w:rPr>
          <w:rFonts w:ascii="Garamond" w:hAnsi="Garamond" w:cs="Times New Roman"/>
          <w:color w:val="000000"/>
          <w:sz w:val="24"/>
          <w:szCs w:val="24"/>
          <w:lang w:val="sq-AL"/>
        </w:rPr>
        <w:t>igjin nr. 35/2017, “Për disa shtesa dhe ndryshi</w:t>
      </w:r>
      <w:r w:rsidR="00D001CA">
        <w:rPr>
          <w:rFonts w:ascii="Garamond" w:hAnsi="Garamond" w:cs="Times New Roman"/>
          <w:color w:val="000000"/>
          <w:sz w:val="24"/>
          <w:szCs w:val="24"/>
          <w:lang w:val="sq-AL"/>
        </w:rPr>
        <w:t>me në ligjin nr. 7905, datë 21.</w:t>
      </w:r>
      <w:r w:rsidRPr="00144D33">
        <w:rPr>
          <w:rFonts w:ascii="Garamond" w:hAnsi="Garamond" w:cs="Times New Roman"/>
          <w:color w:val="000000"/>
          <w:sz w:val="24"/>
          <w:szCs w:val="24"/>
          <w:lang w:val="sq-AL"/>
        </w:rPr>
        <w:t>3.1995, “Kodi i Procedurës Penale i Republikës së Shqipërisë”, (të ndryshuar), është parashikuar faza e seancës paraprake, si një fazë “filtri dhe kontrolli” mbi veprimet dhe vendimmarrjen e prokurorit. Gjyqtari i seancës paraprake ka kompetencë të verifikojë provat e mbledhura në ngarkim të të pandehurit gjatë fazës së hetimeve paraprake, si dhe bazueshmërinë/qëndrueshmërinë e akuzës në gjykimin e themelit. Me fjalë të tjera, detyra kryesore e gjyqtarit të seancës paraprake është të kontrollojë nëse kërkesa e prokurorit për dërgimin e çështjes në gjyq është e bazuar, si nga pikëpamja e mjaftueshmërisë së provave, ashtu edhe nga pikëpamja e përdorshmërisë dhe vlefshmërisë së akteve, por nuk ka si qëllim të arrijë në konkluzione mbi fajësinë e të pandehurit. Kontrolli i ushtruar nga gjyqtari i seancës paraprake mbi hetimet e kryera, përfshi këtu edhe saktësimin apo korrigjimin e akuzës, nuk do të thotë se ai merr funksionet e prokurorit në ushtrimin e ndjekjes penale.</w:t>
      </w:r>
    </w:p>
    <w:p w14:paraId="6650BAC3" w14:textId="6995145C"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19. Përfshirja e seancës paraprake si një nga fazat e procedimit penal, paraqet rëndësi në funksion të forcimit të institutit të mbrojtjes, nëpërmjet kontrollit (filtrimit) të akuzave të nxituara dhe të pambështetura, të paraqitura prej prokurorit, fryt i një veprimtarie hetimore të pakompletuar/të paplotë, përfshirë sidomos rastet kur prokurori anashkalon apo nuk tregon vëmendjen e duhur në lidhje me integrimin e kontributit të mbrojtjes në funksion të kësaj kompletueshmërie. Ligjvënësi, gjithsesi ndryshe nga fazat e tjera klasike të procedimit penal, të hetimeve paraprake dhe të gjykimit të çështjes në themel (në shkallë të parë dhe të dytë), nuk parashikoi </w:t>
      </w:r>
      <w:r w:rsidRPr="003E6C04">
        <w:rPr>
          <w:rFonts w:ascii="Garamond" w:hAnsi="Garamond" w:cs="Times New Roman"/>
          <w:i/>
          <w:iCs/>
          <w:color w:val="000000"/>
          <w:sz w:val="24"/>
          <w:szCs w:val="24"/>
          <w:lang w:val="sq-AL"/>
        </w:rPr>
        <w:t>(ometoi)</w:t>
      </w:r>
      <w:r w:rsidRPr="00144D33">
        <w:rPr>
          <w:rFonts w:ascii="Garamond" w:hAnsi="Garamond" w:cs="Times New Roman"/>
          <w:color w:val="000000"/>
          <w:sz w:val="24"/>
          <w:szCs w:val="24"/>
          <w:lang w:val="sq-AL"/>
        </w:rPr>
        <w:t xml:space="preserve"> afate të veçanta kohëzgjatje</w:t>
      </w:r>
      <w:r w:rsidR="001B7E59">
        <w:rPr>
          <w:rFonts w:ascii="Garamond" w:hAnsi="Garamond" w:cs="Times New Roman"/>
          <w:color w:val="000000"/>
          <w:sz w:val="24"/>
          <w:szCs w:val="24"/>
          <w:lang w:val="sq-AL"/>
        </w:rPr>
        <w:t>je</w:t>
      </w:r>
      <w:r w:rsidRPr="00144D33">
        <w:rPr>
          <w:rFonts w:ascii="Garamond" w:hAnsi="Garamond" w:cs="Times New Roman"/>
          <w:color w:val="000000"/>
          <w:sz w:val="24"/>
          <w:szCs w:val="24"/>
          <w:lang w:val="sq-AL"/>
        </w:rPr>
        <w:t xml:space="preserve"> të paraburgimit për këtë fazë dhe as një pasqyrim të ndikimit të kësaj faze të re, të shtuar, të procedimit, në afatin tërësor të kohëzgjatjes së paraburgimit, të parashikuar në nenin 263/6 të KPP</w:t>
      </w:r>
      <w:r w:rsidR="002B734B">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Kjo fazë e procedimit penal ka ndikim në ecurinë e gjithë procesit, përfshi këtu edhe në kohëzgjatjen e e paraburgimit për të pandehurin.</w:t>
      </w:r>
      <w:r w:rsidR="00144D33">
        <w:rPr>
          <w:rFonts w:ascii="Garamond" w:hAnsi="Garamond" w:cs="Times New Roman"/>
          <w:color w:val="000000"/>
          <w:sz w:val="24"/>
          <w:szCs w:val="24"/>
          <w:lang w:val="sq-AL"/>
        </w:rPr>
        <w:t xml:space="preserve"> </w:t>
      </w:r>
    </w:p>
    <w:p w14:paraId="4219C293" w14:textId="762CA9B5"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20. Verifikimi i kësaj situate ligjore nga njëra anë, dhe “modelimi” i seancës paraprake, nga ana tjetër, për</w:t>
      </w:r>
      <w:r w:rsidR="001B7E59">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sa i përket aspektit procedural të zhvillimit të saj, sipas tipologjisë së zhvillimit të seancës gjyqësore të gjykimit të çështjes në themel, me elemente tipike</w:t>
      </w:r>
      <w:r w:rsidR="002B734B">
        <w:rPr>
          <w:rFonts w:ascii="Garamond" w:hAnsi="Garamond" w:cs="Times New Roman"/>
          <w:color w:val="000000"/>
          <w:sz w:val="24"/>
          <w:szCs w:val="24"/>
          <w:lang w:val="sq-AL"/>
        </w:rPr>
        <w:t xml:space="preserve"> karakterizues të këtij gjykimi</w:t>
      </w:r>
      <w:r w:rsidRPr="00144D33">
        <w:rPr>
          <w:rFonts w:ascii="Garamond" w:hAnsi="Garamond" w:cs="Times New Roman"/>
          <w:color w:val="000000"/>
          <w:sz w:val="24"/>
          <w:szCs w:val="24"/>
          <w:lang w:val="sq-AL"/>
        </w:rPr>
        <w:t xml:space="preserve"> </w:t>
      </w:r>
      <w:r w:rsidRPr="003E6C04">
        <w:rPr>
          <w:rFonts w:ascii="Garamond" w:hAnsi="Garamond" w:cs="Times New Roman"/>
          <w:i/>
          <w:iCs/>
          <w:color w:val="000000"/>
          <w:sz w:val="24"/>
          <w:szCs w:val="24"/>
          <w:lang w:val="sq-AL"/>
        </w:rPr>
        <w:t xml:space="preserve">(in primis </w:t>
      </w:r>
      <w:r w:rsidRPr="00144D33">
        <w:rPr>
          <w:rFonts w:ascii="Garamond" w:hAnsi="Garamond" w:cs="Times New Roman"/>
          <w:color w:val="000000"/>
          <w:sz w:val="24"/>
          <w:szCs w:val="24"/>
          <w:lang w:val="sq-AL"/>
        </w:rPr>
        <w:t>“kompetenca” e gjyqtarit të seancës paraprake, për të pezulluar afatet e paraburgimit të të pandehurit, në përputhje me përcaktimet e nenit 265 të KPP</w:t>
      </w:r>
      <w:r w:rsidR="00084060">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sipas konsideratës së këtij Kolegji imponon pashmangshmërisht, një linjë interpretimi të problematikës së identifikuar në këtë gjykim njësues, në favor të konsiderimit të periudhës së kohëzgjatjes së paraburgimit, të vuajtur prej të pandehurit gjatë seancës paraprake, si periudhë që i përket (integrohet) në fazën e gjykimit të çështjes, të parashikuar në paragrafin e dytë të nenit 263 të KPP</w:t>
      </w:r>
      <w:r w:rsidR="00AD259D">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Ky afat fillon prej momentit (ditës) të “dorëzimit të akteve në gjykatë”, nga prokurori dhe zgjat deri në momentin e “dhënies së vendimit të dënimit në gjykatën e shkallës së parë”, gjithnjë duke respektuar kjo kohëzgjatje afatet e parashikuara, me pasojë humbjen e fuqisë së masës (shuarjen e saj), në shkronjat “a”, “b”, “c”, të paragrafit të dytë të kësaj dispozite, sipas llojit të akuzës për të cilën</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procedohet.</w:t>
      </w:r>
    </w:p>
    <w:p w14:paraId="714A6547" w14:textId="6DA06F47"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21. Por, nga ana tjetër, Kolegji konstaton se gjyqtari i seancës paraprake në ushtrim të funksioneve që i ka njohur ligji, mund të disponojë edhe për plotësimin e hetimeve, kur ato nuk janë të plota, si dhe mund të urdhërojë prokurorin të korrigjojë a</w:t>
      </w:r>
      <w:r w:rsidR="007802C2">
        <w:rPr>
          <w:rFonts w:ascii="Garamond" w:hAnsi="Garamond" w:cs="Times New Roman"/>
          <w:color w:val="000000"/>
          <w:sz w:val="24"/>
          <w:szCs w:val="24"/>
          <w:lang w:val="sq-AL"/>
        </w:rPr>
        <w:t>po të saktësojë akuzën e atribu</w:t>
      </w:r>
      <w:r w:rsidRPr="00144D33">
        <w:rPr>
          <w:rFonts w:ascii="Garamond" w:hAnsi="Garamond" w:cs="Times New Roman"/>
          <w:color w:val="000000"/>
          <w:sz w:val="24"/>
          <w:szCs w:val="24"/>
          <w:lang w:val="sq-AL"/>
        </w:rPr>
        <w:t>ar të pandehurit. Vendimmarrja e gjyqtarit të seancës paraprake në këto raste, nuk i jep fund seancës paraprake, pra nuk përmbyll këtë fazë të procedimit penal. Diskutimi që lind në këtë rast është nëse kemi një regres në fazën e hetimit paraprak apo kjo vendimmarrje është pjesë e seancës paraprake dhe rolit të saj si një fazë që synon kontrollin e plotësisë së hetimeve dhe garantimin e të drejtave procedurale të të pandehurit.</w:t>
      </w:r>
      <w:r w:rsidR="00144D33">
        <w:rPr>
          <w:rFonts w:ascii="Garamond" w:hAnsi="Garamond" w:cs="Times New Roman"/>
          <w:color w:val="000000"/>
          <w:sz w:val="24"/>
          <w:szCs w:val="24"/>
          <w:lang w:val="sq-AL"/>
        </w:rPr>
        <w:t xml:space="preserve"> </w:t>
      </w:r>
    </w:p>
    <w:p w14:paraId="4E1C59DD" w14:textId="10F37885" w:rsidR="00CB3EA3" w:rsidRPr="00144D33" w:rsidRDefault="00CB3EA3" w:rsidP="003A5B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22. Për arritjen në një përfundim në lidhje me sa më lart parashtroi, Kolegji vlerëson se duhet bërë një interpretim i normave procedurale që rregullojnë institutin e ri të seancës paraprake, por duke e lidhur me mungesën e reflektimit të kësaj fazë të re të procedimit për</w:t>
      </w:r>
      <w:r w:rsidR="003A5BC9">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sa </w:t>
      </w:r>
      <w:r w:rsidR="003A5BC9">
        <w:rPr>
          <w:rFonts w:ascii="Garamond" w:hAnsi="Garamond" w:cs="Times New Roman"/>
          <w:color w:val="000000"/>
          <w:sz w:val="24"/>
          <w:szCs w:val="24"/>
          <w:lang w:val="sq-AL"/>
        </w:rPr>
        <w:t>u</w:t>
      </w:r>
      <w:r w:rsidRPr="00144D33">
        <w:rPr>
          <w:rFonts w:ascii="Garamond" w:hAnsi="Garamond" w:cs="Times New Roman"/>
          <w:color w:val="000000"/>
          <w:sz w:val="24"/>
          <w:szCs w:val="24"/>
          <w:lang w:val="sq-AL"/>
        </w:rPr>
        <w:t xml:space="preserve"> përket afateve të paraburgimit. Kolegji çmon se parashikimi i figurës së gjyqtarit të seancës paraprake synon jo thjesht ushtrimin e një “kontrolli” mbi veprimtarinë procedurale të prokurorit gjatë hetimit paraprak, por, mbi të gjitha, garantimin e të drejtave të mbrojtjes, duke synuar edhe efektivitetin e gjykimit të çështjes penale në themel. </w:t>
      </w:r>
    </w:p>
    <w:p w14:paraId="30B063E7" w14:textId="57C92AB3"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23. Në mungesë të parashikimit ligjor në lidhje me afatin e paraburgimit të konsumuar gjatë seancës paraprake, Kolegji vlerëson se duhet analizuar edhe përmbajtja e nenit 263 të KPP</w:t>
      </w:r>
      <w:r w:rsidR="00133882">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Neni 263/2</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i KPP</w:t>
      </w:r>
      <w:r w:rsidR="00133882">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në gjendjen aktuale edhe pas ndryshimeve të vitit 2017, parashikon se: “</w:t>
      </w:r>
      <w:r w:rsidRPr="00144D33">
        <w:rPr>
          <w:rFonts w:ascii="Garamond" w:hAnsi="Garamond" w:cs="Times New Roman"/>
          <w:i/>
          <w:iCs/>
          <w:color w:val="000000"/>
          <w:sz w:val="24"/>
          <w:szCs w:val="24"/>
          <w:lang w:val="sq-AL"/>
        </w:rPr>
        <w:t xml:space="preserve">Paraburgimi e humbet fuqinë në qoftë se nga dita e dorëzimit të akteve në gjykatë kanë kaluar afatet e mëposhtme, pa u dhënë vendimi i dënimit në shkallë të parë: </w:t>
      </w:r>
    </w:p>
    <w:p w14:paraId="79F56EFB" w14:textId="3AD70826" w:rsidR="00CB3EA3" w:rsidRPr="003E6C04" w:rsidRDefault="00CB3EA3" w:rsidP="00CB3EA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6C04">
        <w:rPr>
          <w:rFonts w:ascii="Garamond" w:hAnsi="Garamond" w:cs="Times New Roman"/>
          <w:i/>
          <w:iCs/>
          <w:color w:val="000000"/>
          <w:sz w:val="24"/>
          <w:szCs w:val="24"/>
          <w:lang w:val="sq-AL"/>
        </w:rPr>
        <w:t>a) dy muaj, ku procedohet për kund</w:t>
      </w:r>
      <w:r w:rsidR="00133882" w:rsidRPr="003E6C04">
        <w:rPr>
          <w:rFonts w:ascii="Garamond" w:hAnsi="Garamond" w:cs="Times New Roman"/>
          <w:i/>
          <w:iCs/>
          <w:color w:val="000000"/>
          <w:sz w:val="24"/>
          <w:szCs w:val="24"/>
          <w:lang w:val="sq-AL"/>
        </w:rPr>
        <w:t>ër</w:t>
      </w:r>
      <w:r w:rsidRPr="003E6C04">
        <w:rPr>
          <w:rFonts w:ascii="Garamond" w:hAnsi="Garamond" w:cs="Times New Roman"/>
          <w:i/>
          <w:iCs/>
          <w:color w:val="000000"/>
          <w:sz w:val="24"/>
          <w:szCs w:val="24"/>
          <w:lang w:val="sq-AL"/>
        </w:rPr>
        <w:t>vajtje penale</w:t>
      </w:r>
      <w:r w:rsidR="00133882" w:rsidRPr="003E6C04">
        <w:rPr>
          <w:rFonts w:ascii="Garamond" w:hAnsi="Garamond" w:cs="Times New Roman"/>
          <w:i/>
          <w:iCs/>
          <w:color w:val="000000"/>
          <w:sz w:val="24"/>
          <w:szCs w:val="24"/>
          <w:lang w:val="sq-AL"/>
        </w:rPr>
        <w:t>;</w:t>
      </w:r>
    </w:p>
    <w:p w14:paraId="57AF79C2" w14:textId="66606ED9" w:rsidR="00CB3EA3" w:rsidRPr="003E6C04" w:rsidRDefault="00CB3EA3" w:rsidP="00454E3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6C04">
        <w:rPr>
          <w:rFonts w:ascii="Garamond" w:hAnsi="Garamond" w:cs="Times New Roman"/>
          <w:i/>
          <w:iCs/>
          <w:color w:val="000000"/>
          <w:sz w:val="24"/>
          <w:szCs w:val="24"/>
          <w:lang w:val="sq-AL"/>
        </w:rPr>
        <w:t>b) nëntë muaj kur procedohet për krime që dënohen në maksimum deri në dhjetë vjet burgim</w:t>
      </w:r>
      <w:r w:rsidR="00133882" w:rsidRPr="003E6C04">
        <w:rPr>
          <w:rFonts w:ascii="Garamond" w:hAnsi="Garamond" w:cs="Times New Roman"/>
          <w:i/>
          <w:iCs/>
          <w:color w:val="000000"/>
          <w:sz w:val="24"/>
          <w:szCs w:val="24"/>
          <w:lang w:val="sq-AL"/>
        </w:rPr>
        <w:t>;</w:t>
      </w:r>
    </w:p>
    <w:p w14:paraId="01DEFAF2" w14:textId="5CF5D28E" w:rsidR="00CB3EA3" w:rsidRPr="00144D33" w:rsidRDefault="00CB3EA3" w:rsidP="00454E3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6C04">
        <w:rPr>
          <w:rFonts w:ascii="Garamond" w:hAnsi="Garamond" w:cs="Times New Roman"/>
          <w:i/>
          <w:iCs/>
          <w:color w:val="000000"/>
          <w:sz w:val="24"/>
          <w:szCs w:val="24"/>
          <w:lang w:val="sq-AL"/>
        </w:rPr>
        <w:t>c) dymbëdhjetë muaj, kur procedohet për krime që dënohen në maksimum jo më pak se dhjetë vjet burgim ose me</w:t>
      </w:r>
      <w:r w:rsidRPr="00144D33">
        <w:rPr>
          <w:rFonts w:ascii="Garamond" w:hAnsi="Garamond" w:cs="Times New Roman"/>
          <w:i/>
          <w:iCs/>
          <w:color w:val="000000"/>
          <w:sz w:val="24"/>
          <w:szCs w:val="24"/>
          <w:lang w:val="sq-AL"/>
        </w:rPr>
        <w:t xml:space="preserve"> burgim të përjetshëm. </w:t>
      </w:r>
    </w:p>
    <w:p w14:paraId="624DC5DE" w14:textId="725DD01E" w:rsidR="00CB3EA3" w:rsidRPr="00144D33" w:rsidRDefault="00133882" w:rsidP="00DC157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23.1</w:t>
      </w:r>
      <w:r w:rsidR="00CB3EA3" w:rsidRPr="00144D33">
        <w:rPr>
          <w:rFonts w:ascii="Garamond" w:hAnsi="Garamond" w:cs="Times New Roman"/>
          <w:color w:val="000000"/>
          <w:sz w:val="24"/>
          <w:szCs w:val="24"/>
          <w:lang w:val="sq-AL"/>
        </w:rPr>
        <w:t xml:space="preserve"> Ndërsa, neni 263/6 i KPP</w:t>
      </w:r>
      <w:r w:rsidR="000F589D">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xml:space="preserve"> përcakton se:</w:t>
      </w:r>
      <w:r w:rsidR="000F589D">
        <w:rPr>
          <w:rFonts w:ascii="Garamond" w:hAnsi="Garamond" w:cs="Times New Roman"/>
          <w:color w:val="000000"/>
          <w:sz w:val="24"/>
          <w:szCs w:val="24"/>
          <w:lang w:val="sq-AL"/>
        </w:rPr>
        <w:t xml:space="preserve"> </w:t>
      </w:r>
      <w:r w:rsidR="00CB3EA3" w:rsidRPr="000F589D">
        <w:rPr>
          <w:rFonts w:ascii="Garamond" w:hAnsi="Garamond" w:cs="Times New Roman"/>
          <w:i/>
          <w:iCs/>
          <w:color w:val="000000"/>
          <w:sz w:val="24"/>
          <w:szCs w:val="24"/>
          <w:lang w:val="sq-AL"/>
        </w:rPr>
        <w:t>“</w:t>
      </w:r>
      <w:r w:rsidR="00CB3EA3" w:rsidRPr="00144D33">
        <w:rPr>
          <w:rFonts w:ascii="Garamond" w:hAnsi="Garamond" w:cs="Times New Roman"/>
          <w:i/>
          <w:iCs/>
          <w:color w:val="000000"/>
          <w:sz w:val="24"/>
          <w:szCs w:val="24"/>
          <w:lang w:val="sq-AL"/>
        </w:rPr>
        <w:t>kohëzgjatja tërësore e paraburgimit, duke marr</w:t>
      </w:r>
      <w:r w:rsidR="000F589D">
        <w:rPr>
          <w:rFonts w:ascii="Garamond" w:hAnsi="Garamond" w:cs="Times New Roman"/>
          <w:i/>
          <w:iCs/>
          <w:color w:val="000000"/>
          <w:sz w:val="24"/>
          <w:szCs w:val="24"/>
          <w:lang w:val="sq-AL"/>
        </w:rPr>
        <w:t xml:space="preserve">ë </w:t>
      </w:r>
      <w:r w:rsidR="00CB3EA3" w:rsidRPr="00144D33">
        <w:rPr>
          <w:rFonts w:ascii="Garamond" w:hAnsi="Garamond" w:cs="Times New Roman"/>
          <w:i/>
          <w:iCs/>
          <w:color w:val="000000"/>
          <w:sz w:val="24"/>
          <w:szCs w:val="24"/>
          <w:lang w:val="sq-AL"/>
        </w:rPr>
        <w:t>parasysh dhe zgjatjen e parashikuar nga neni 264</w:t>
      </w:r>
      <w:r w:rsidR="000F589D">
        <w:rPr>
          <w:rFonts w:ascii="Garamond" w:hAnsi="Garamond" w:cs="Times New Roman"/>
          <w:i/>
          <w:iCs/>
          <w:color w:val="000000"/>
          <w:sz w:val="24"/>
          <w:szCs w:val="24"/>
          <w:lang w:val="sq-AL"/>
        </w:rPr>
        <w:t>,</w:t>
      </w:r>
      <w:r w:rsidR="00CB3EA3" w:rsidRPr="00144D33">
        <w:rPr>
          <w:rFonts w:ascii="Garamond" w:hAnsi="Garamond" w:cs="Times New Roman"/>
          <w:i/>
          <w:iCs/>
          <w:color w:val="000000"/>
          <w:sz w:val="24"/>
          <w:szCs w:val="24"/>
          <w:lang w:val="sq-AL"/>
        </w:rPr>
        <w:t xml:space="preserve"> pika 2, nuk mund t</w:t>
      </w:r>
      <w:r w:rsidR="00DC1575">
        <w:rPr>
          <w:rFonts w:ascii="Garamond" w:hAnsi="Garamond" w:cs="Times New Roman"/>
          <w:i/>
          <w:iCs/>
          <w:color w:val="000000"/>
          <w:sz w:val="24"/>
          <w:szCs w:val="24"/>
          <w:lang w:val="sq-AL"/>
        </w:rPr>
        <w:t>ë</w:t>
      </w:r>
      <w:r w:rsidR="00CB3EA3" w:rsidRPr="00144D33">
        <w:rPr>
          <w:rFonts w:ascii="Garamond" w:hAnsi="Garamond" w:cs="Times New Roman"/>
          <w:i/>
          <w:iCs/>
          <w:color w:val="000000"/>
          <w:sz w:val="24"/>
          <w:szCs w:val="24"/>
          <w:lang w:val="sq-AL"/>
        </w:rPr>
        <w:t xml:space="preserve"> kaloj</w:t>
      </w:r>
      <w:r w:rsidR="000F589D">
        <w:rPr>
          <w:rFonts w:ascii="Garamond" w:hAnsi="Garamond" w:cs="Times New Roman"/>
          <w:i/>
          <w:iCs/>
          <w:color w:val="000000"/>
          <w:sz w:val="24"/>
          <w:szCs w:val="24"/>
          <w:lang w:val="sq-AL"/>
        </w:rPr>
        <w:t>ë</w:t>
      </w:r>
      <w:r w:rsidR="00CB3EA3" w:rsidRPr="00144D33">
        <w:rPr>
          <w:rFonts w:ascii="Garamond" w:hAnsi="Garamond" w:cs="Times New Roman"/>
          <w:i/>
          <w:iCs/>
          <w:color w:val="000000"/>
          <w:sz w:val="24"/>
          <w:szCs w:val="24"/>
          <w:lang w:val="sq-AL"/>
        </w:rPr>
        <w:t xml:space="preserve"> këto afate:</w:t>
      </w:r>
    </w:p>
    <w:p w14:paraId="5CACB914" w14:textId="658B609C" w:rsidR="00CB3EA3" w:rsidRPr="00144D33" w:rsidRDefault="00CB3EA3" w:rsidP="000F589D">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a</w:t>
      </w:r>
      <w:r w:rsidR="00133882">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w:t>
      </w:r>
      <w:r w:rsidR="00133882" w:rsidRPr="00144D33">
        <w:rPr>
          <w:rFonts w:ascii="Garamond" w:hAnsi="Garamond" w:cs="Times New Roman"/>
          <w:i/>
          <w:iCs/>
          <w:color w:val="000000"/>
          <w:sz w:val="24"/>
          <w:szCs w:val="24"/>
          <w:lang w:val="sq-AL"/>
        </w:rPr>
        <w:t xml:space="preserve">dhjetë </w:t>
      </w:r>
      <w:r w:rsidRPr="00144D33">
        <w:rPr>
          <w:rFonts w:ascii="Garamond" w:hAnsi="Garamond" w:cs="Times New Roman"/>
          <w:i/>
          <w:iCs/>
          <w:color w:val="000000"/>
          <w:sz w:val="24"/>
          <w:szCs w:val="24"/>
          <w:lang w:val="sq-AL"/>
        </w:rPr>
        <w:t>muaj, kur procedohet për kund</w:t>
      </w:r>
      <w:r w:rsidR="000F589D">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rvajtje penale;</w:t>
      </w:r>
    </w:p>
    <w:p w14:paraId="69452687" w14:textId="2B1E7F6C" w:rsidR="00CB3EA3" w:rsidRPr="00144D33" w:rsidRDefault="00CB3EA3" w:rsidP="00C4217E">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b</w:t>
      </w:r>
      <w:r w:rsidR="00133882">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w:t>
      </w:r>
      <w:r w:rsidR="00133882" w:rsidRPr="00144D33">
        <w:rPr>
          <w:rFonts w:ascii="Garamond" w:hAnsi="Garamond" w:cs="Times New Roman"/>
          <w:i/>
          <w:iCs/>
          <w:color w:val="000000"/>
          <w:sz w:val="24"/>
          <w:szCs w:val="24"/>
          <w:lang w:val="sq-AL"/>
        </w:rPr>
        <w:t xml:space="preserve">dy </w:t>
      </w:r>
      <w:r w:rsidRPr="00144D33">
        <w:rPr>
          <w:rFonts w:ascii="Garamond" w:hAnsi="Garamond" w:cs="Times New Roman"/>
          <w:i/>
          <w:iCs/>
          <w:color w:val="000000"/>
          <w:sz w:val="24"/>
          <w:szCs w:val="24"/>
          <w:lang w:val="sq-AL"/>
        </w:rPr>
        <w:t>vjet, kur procedohet për krime q</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dënohen n</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maksimum deri n</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dhjet</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vjet burgim;</w:t>
      </w:r>
    </w:p>
    <w:p w14:paraId="1CE40953" w14:textId="22D71752" w:rsidR="00CB3EA3" w:rsidRPr="00144D33" w:rsidRDefault="00CB3EA3" w:rsidP="00C4217E">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c</w:t>
      </w:r>
      <w:r w:rsidR="00133882">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w:t>
      </w:r>
      <w:r w:rsidR="00133882" w:rsidRPr="00144D33">
        <w:rPr>
          <w:rFonts w:ascii="Garamond" w:hAnsi="Garamond" w:cs="Times New Roman"/>
          <w:i/>
          <w:iCs/>
          <w:color w:val="000000"/>
          <w:sz w:val="24"/>
          <w:szCs w:val="24"/>
          <w:lang w:val="sq-AL"/>
        </w:rPr>
        <w:t xml:space="preserve">tre </w:t>
      </w:r>
      <w:r w:rsidRPr="00144D33">
        <w:rPr>
          <w:rFonts w:ascii="Garamond" w:hAnsi="Garamond" w:cs="Times New Roman"/>
          <w:i/>
          <w:iCs/>
          <w:color w:val="000000"/>
          <w:sz w:val="24"/>
          <w:szCs w:val="24"/>
          <w:lang w:val="sq-AL"/>
        </w:rPr>
        <w:t>vjet, kur procedohet për krime q</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dënohen n</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minimum jo m</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pak se dhjet</w:t>
      </w:r>
      <w:r w:rsidR="00C4217E">
        <w:rPr>
          <w:rFonts w:ascii="Garamond" w:hAnsi="Garamond" w:cs="Times New Roman"/>
          <w:i/>
          <w:iCs/>
          <w:color w:val="000000"/>
          <w:sz w:val="24"/>
          <w:szCs w:val="24"/>
          <w:lang w:val="sq-AL"/>
        </w:rPr>
        <w:t>ë vjet burgim</w:t>
      </w:r>
      <w:r w:rsidRPr="00144D33">
        <w:rPr>
          <w:rFonts w:ascii="Garamond" w:hAnsi="Garamond" w:cs="Times New Roman"/>
          <w:i/>
          <w:iCs/>
          <w:color w:val="000000"/>
          <w:sz w:val="24"/>
          <w:szCs w:val="24"/>
          <w:lang w:val="sq-AL"/>
        </w:rPr>
        <w:t xml:space="preserve"> ose me burgim t</w:t>
      </w:r>
      <w:r w:rsidR="00C4217E">
        <w:rPr>
          <w:rFonts w:ascii="Garamond" w:hAnsi="Garamond" w:cs="Times New Roman"/>
          <w:i/>
          <w:iCs/>
          <w:color w:val="000000"/>
          <w:sz w:val="24"/>
          <w:szCs w:val="24"/>
          <w:lang w:val="sq-AL"/>
        </w:rPr>
        <w:t>ë</w:t>
      </w:r>
      <w:r w:rsidRPr="00144D33">
        <w:rPr>
          <w:rFonts w:ascii="Garamond" w:hAnsi="Garamond" w:cs="Times New Roman"/>
          <w:i/>
          <w:iCs/>
          <w:color w:val="000000"/>
          <w:sz w:val="24"/>
          <w:szCs w:val="24"/>
          <w:lang w:val="sq-AL"/>
        </w:rPr>
        <w:t xml:space="preserve"> përjetshëm</w:t>
      </w:r>
      <w:r w:rsidR="00C4217E">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w:t>
      </w:r>
    </w:p>
    <w:p w14:paraId="6EFABC3A" w14:textId="1DAEDE30" w:rsidR="00CB3EA3" w:rsidRPr="00144D33" w:rsidRDefault="00CB3EA3" w:rsidP="00AA5A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24. Kjo dispozitë, në pikën “1” të saj, e lidh humbjen e fuqisë së paraburgimit të hetimit, me kalimin e afateve të parashikuara “</w:t>
      </w:r>
      <w:r w:rsidRPr="00144D33">
        <w:rPr>
          <w:rFonts w:ascii="Garamond" w:hAnsi="Garamond" w:cs="Times New Roman"/>
          <w:i/>
          <w:iCs/>
          <w:color w:val="000000"/>
          <w:sz w:val="24"/>
          <w:szCs w:val="24"/>
          <w:lang w:val="sq-AL"/>
        </w:rPr>
        <w:t xml:space="preserve">pa u dorëzuar aktet në gjykatë”. </w:t>
      </w:r>
      <w:r w:rsidRPr="00144D33">
        <w:rPr>
          <w:rFonts w:ascii="Garamond" w:hAnsi="Garamond" w:cs="Times New Roman"/>
          <w:color w:val="000000"/>
          <w:sz w:val="24"/>
          <w:szCs w:val="24"/>
          <w:lang w:val="sq-AL"/>
        </w:rPr>
        <w:t>Interpretimi ligjor që duhet bërë nga Gjykata e Lartë</w:t>
      </w:r>
      <w:r w:rsidR="006406AF">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në këtë rast është nëse “dorëzimi i akteve në gjykatë” lidhet me momentin e parashikuar në nenin 327 pika 6, kur prokuroi në përfundim të hetimeve kërkon dërgimin e çështjes në gjyq apo në momentin kur gjyqtari i seancës paraprake disponon për pranimin e kësaj kërkese, sipas nenit 332/dh të KPP</w:t>
      </w:r>
      <w:r w:rsidR="006406AF">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Në këto dy dispozita ligjvënësi ka parashikuar: </w:t>
      </w:r>
      <w:r w:rsidRPr="00AA5ACD">
        <w:rPr>
          <w:rFonts w:ascii="Garamond" w:hAnsi="Garamond" w:cs="Times New Roman"/>
          <w:color w:val="000000"/>
          <w:sz w:val="24"/>
          <w:szCs w:val="24"/>
          <w:lang w:val="sq-AL"/>
        </w:rPr>
        <w:t>i</w:t>
      </w:r>
      <w:r w:rsidR="00AA5ACD">
        <w:rPr>
          <w:rFonts w:ascii="Garamond" w:hAnsi="Garamond" w:cs="Times New Roman"/>
          <w:color w:val="000000"/>
          <w:sz w:val="24"/>
          <w:szCs w:val="24"/>
          <w:lang w:val="sq-AL"/>
        </w:rPr>
        <w:t>.</w:t>
      </w:r>
      <w:r w:rsidRPr="00AA5ACD">
        <w:rPr>
          <w:rFonts w:ascii="Garamond" w:hAnsi="Garamond" w:cs="Times New Roman"/>
          <w:color w:val="000000"/>
          <w:sz w:val="24"/>
          <w:szCs w:val="24"/>
          <w:lang w:val="sq-AL"/>
        </w:rPr>
        <w:t xml:space="preserve"> detyrimin për prokurorin që, së bashku me kërkesën për dërgimin e çështjes në gjyq, të depozitojë edhe aktet e provat që përmban fashikulli i hetimeve, sipas nenit 331, pika “4” </w:t>
      </w:r>
      <w:r w:rsidR="00AA5ACD">
        <w:rPr>
          <w:rFonts w:ascii="Garamond" w:hAnsi="Garamond" w:cs="Times New Roman"/>
          <w:color w:val="000000"/>
          <w:sz w:val="24"/>
          <w:szCs w:val="24"/>
          <w:lang w:val="sq-AL"/>
        </w:rPr>
        <w:t xml:space="preserve">të KPP; </w:t>
      </w:r>
      <w:r w:rsidRPr="00AA5ACD">
        <w:rPr>
          <w:rFonts w:ascii="Garamond" w:hAnsi="Garamond" w:cs="Times New Roman"/>
          <w:color w:val="000000"/>
          <w:sz w:val="24"/>
          <w:szCs w:val="24"/>
          <w:lang w:val="sq-AL"/>
        </w:rPr>
        <w:t>ii</w:t>
      </w:r>
      <w:r w:rsidR="00AA5ACD">
        <w:rPr>
          <w:rFonts w:ascii="Garamond" w:hAnsi="Garamond" w:cs="Times New Roman"/>
          <w:color w:val="000000"/>
          <w:sz w:val="24"/>
          <w:szCs w:val="24"/>
          <w:lang w:val="sq-AL"/>
        </w:rPr>
        <w:t>.</w:t>
      </w:r>
      <w:r w:rsidRPr="00AA5ACD">
        <w:rPr>
          <w:rFonts w:ascii="Garamond" w:hAnsi="Garamond" w:cs="Times New Roman"/>
          <w:color w:val="000000"/>
          <w:sz w:val="24"/>
          <w:szCs w:val="24"/>
          <w:lang w:val="sq-AL"/>
        </w:rPr>
        <w:t xml:space="preserve"> dety</w:t>
      </w:r>
      <w:r w:rsidRPr="00144D33">
        <w:rPr>
          <w:rFonts w:ascii="Garamond" w:hAnsi="Garamond" w:cs="Times New Roman"/>
          <w:color w:val="000000"/>
          <w:sz w:val="24"/>
          <w:szCs w:val="24"/>
          <w:lang w:val="sq-AL"/>
        </w:rPr>
        <w:t>rimin e gjyqtarit të seancës paraprake, që kur vendos dërgimin e çështjes në gjyq, të përcaktojë aktet që duhet të përmbajë fashikulli i gjykimit (neni 332/ë) dhe më pas ta depozitojë këtë fashikull së bashku me aktet e masave të sigurimit, në sekretarinë e gjykatës kompetente (neni 332/f).</w:t>
      </w:r>
      <w:r w:rsidR="00144D33">
        <w:rPr>
          <w:rFonts w:ascii="Garamond" w:hAnsi="Garamond" w:cs="Times New Roman"/>
          <w:color w:val="000000"/>
          <w:sz w:val="24"/>
          <w:szCs w:val="24"/>
          <w:lang w:val="sq-AL"/>
        </w:rPr>
        <w:t xml:space="preserve"> </w:t>
      </w:r>
    </w:p>
    <w:p w14:paraId="2413F22F" w14:textId="2DAFCA8F" w:rsidR="00CB3EA3" w:rsidRPr="00144D33" w:rsidRDefault="00CB3EA3" w:rsidP="00454E3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25. Në interpretim të neneve që kanë rregulluar institutin e seancës paraprake, Kolegji Penal niset nga kriteri teleologjik i normës dhe nga kriteri funksional i organit procedues, në rastin konkret të gjykatës. Pra, vlerësimi se në cilin moment gjykata ushtron funksionet kontrolluese vlerësuese të hetimeve paraprake dhe në cilin moment gjykata ushtron funksionet kushtetuese të bërjes së drejtësisë. Nga vendi që zë në renditjen e normave procedurale, i vendosur në </w:t>
      </w:r>
      <w:r w:rsidR="00AA5ACD" w:rsidRPr="00144D33">
        <w:rPr>
          <w:rFonts w:ascii="Garamond" w:hAnsi="Garamond" w:cs="Times New Roman"/>
          <w:color w:val="000000"/>
          <w:sz w:val="24"/>
          <w:szCs w:val="24"/>
          <w:lang w:val="sq-AL"/>
        </w:rPr>
        <w:t xml:space="preserve">kreun </w:t>
      </w:r>
      <w:r w:rsidRPr="00144D33">
        <w:rPr>
          <w:rFonts w:ascii="Garamond" w:hAnsi="Garamond" w:cs="Times New Roman"/>
          <w:color w:val="000000"/>
          <w:sz w:val="24"/>
          <w:szCs w:val="24"/>
          <w:lang w:val="sq-AL"/>
        </w:rPr>
        <w:t>IX të KPP</w:t>
      </w:r>
      <w:r w:rsidR="00AA5ACD">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“seanca paraprake”, si dhe nga qëllimi i krijimit të kësaj figure të gjyqtarit të seancës paraprake, Kolegji vlerëson se ajo është një fazë e ndërmjetme procedurale, të cilën ligjvënësi nuk e ka përcaktuar as si pjesë e hetimit, por as si pjesë e fazës së gjykimit. Në rrethanat e parashtruara, në lidhje me llogaritjen e afateve të paraburgimit për këtë fazë, në mungesë të një parashikimi të saktë ligjor, Kolegji vlerësoi se duhet t’i referohemi natyrës së vendimmarrjes së gjyqtarit të seancës paraprake, nëse ky vendim i jep fund kësaj faze apo nëse aktet i kthehen prokurorit.</w:t>
      </w:r>
      <w:r w:rsidR="00144D33">
        <w:rPr>
          <w:rFonts w:ascii="Garamond" w:hAnsi="Garamond" w:cs="Times New Roman"/>
          <w:color w:val="000000"/>
          <w:sz w:val="24"/>
          <w:szCs w:val="24"/>
          <w:lang w:val="sq-AL"/>
        </w:rPr>
        <w:t xml:space="preserve"> </w:t>
      </w:r>
    </w:p>
    <w:p w14:paraId="2C3ECB51" w14:textId="0E81B063" w:rsidR="00CB3EA3" w:rsidRPr="00144D33" w:rsidRDefault="00CB3EA3" w:rsidP="009948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26. Kolegji vë në dukje se, në zbatim të nenit 327, pika “6” të KPP</w:t>
      </w:r>
      <w:r w:rsidR="00742E3B">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prokurori me depozitimin e kërkesës për dërgimin e çështjes në gjyq, depoziton njëkohësisht edhe të gjitha aktet në gjykatë/gjyqtari i seancës paraprake. Ky moment procedural, sipas ligjit (shprehimisht në këtë nen parashikohet: “</w:t>
      </w:r>
      <w:r w:rsidRPr="00144D33">
        <w:rPr>
          <w:rFonts w:ascii="Garamond" w:hAnsi="Garamond" w:cs="Times New Roman"/>
          <w:i/>
          <w:iCs/>
          <w:color w:val="000000"/>
          <w:sz w:val="24"/>
          <w:szCs w:val="24"/>
          <w:lang w:val="sq-AL"/>
        </w:rPr>
        <w:t>në përfundim të hetimeve</w:t>
      </w:r>
      <w:r w:rsidRPr="00144D33">
        <w:rPr>
          <w:rFonts w:ascii="Garamond" w:hAnsi="Garamond" w:cs="Times New Roman"/>
          <w:color w:val="000000"/>
          <w:sz w:val="24"/>
          <w:szCs w:val="24"/>
          <w:lang w:val="sq-AL"/>
        </w:rPr>
        <w:t xml:space="preserve"> ...”), shënon përfundimin e hetimeve paraprake. Në favor të këtij interpretimi të karakterit teleologjik, në përshtatje me qëllimin e ligjvënësit në parashikimin e këtij instituti procedural, është edhe përcaktimi i nenit 331 të KPP</w:t>
      </w:r>
      <w:r w:rsidR="00192288">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(kërkesa për dërgimin e çështjes në gjyq)</w:t>
      </w:r>
      <w:r w:rsidR="004F308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që nënkupton përfundimin e fazës së hetimeve paraprake me kontestimin/atribuimin e akuzës të pandehurit dhe dërgimin e çështjes për gjykim. Është pikërisht kjo kërkesë (për dërgimin e çështjes në gjyq) e paraqitur nga prokurori në </w:t>
      </w:r>
      <w:r w:rsidR="004F308E">
        <w:rPr>
          <w:rFonts w:ascii="Garamond" w:hAnsi="Garamond" w:cs="Times New Roman"/>
          <w:color w:val="000000"/>
          <w:sz w:val="24"/>
          <w:szCs w:val="24"/>
          <w:lang w:val="sq-AL"/>
        </w:rPr>
        <w:t>përfundim të hetimeve paraprake</w:t>
      </w:r>
      <w:r w:rsidRPr="00144D33">
        <w:rPr>
          <w:rFonts w:ascii="Garamond" w:hAnsi="Garamond" w:cs="Times New Roman"/>
          <w:color w:val="000000"/>
          <w:sz w:val="24"/>
          <w:szCs w:val="24"/>
          <w:lang w:val="sq-AL"/>
        </w:rPr>
        <w:t xml:space="preserve"> (përmbajtja e </w:t>
      </w:r>
      <w:r w:rsidR="00EE5255">
        <w:rPr>
          <w:rFonts w:ascii="Garamond" w:hAnsi="Garamond" w:cs="Times New Roman"/>
          <w:color w:val="000000"/>
          <w:sz w:val="24"/>
          <w:szCs w:val="24"/>
          <w:lang w:val="sq-AL"/>
        </w:rPr>
        <w:t>s</w:t>
      </w:r>
      <w:r w:rsidRPr="00144D33">
        <w:rPr>
          <w:rFonts w:ascii="Garamond" w:hAnsi="Garamond" w:cs="Times New Roman"/>
          <w:color w:val="000000"/>
          <w:sz w:val="24"/>
          <w:szCs w:val="24"/>
          <w:lang w:val="sq-AL"/>
        </w:rPr>
        <w:t>ë cilës pasqyron në thelb akuzën e kontestuar prej këtij të fundit të hetuarit, i cili prej këtij momenti “fiton” statusin e të pandehurit, duke u akuzuar për një akuzë të caktuar), që “provokon” konstituimin e seancës paraprake si një moment kyç në funksion, sikurse u sipërcitua, të verifikimit të akuzës të atribuar të pandehurit, si për</w:t>
      </w:r>
      <w:r w:rsidR="0099486F">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sa i përket aspektit të kompletueshmërisë së hetimeve të zhvilluara, ashtu edhe në drejtim të kualifikimit të saktë juridik të faktit penal të atribuar nëpërmjet akuzës, të pandehurit.</w:t>
      </w:r>
    </w:p>
    <w:p w14:paraId="000ABEE4" w14:textId="1D45B445"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27. Neni 327 i KPP parashikon: “</w:t>
      </w:r>
      <w:r w:rsidRPr="00144D33">
        <w:rPr>
          <w:rFonts w:ascii="Garamond" w:hAnsi="Garamond" w:cs="Times New Roman"/>
          <w:i/>
          <w:iCs/>
          <w:color w:val="000000"/>
          <w:sz w:val="24"/>
          <w:szCs w:val="24"/>
          <w:lang w:val="sq-AL"/>
        </w:rPr>
        <w:t>2. Brenda afatit të parashikuar nga neni 324, i këtij Kodi, prokurori njofton mbi përfundimin e hetimeve paraprake të pandehurin, mbrojtësin e tij, si dhe viktimën ose trashëgimtarët e saj, kur identiteti dhe vendbanimi i tyre rezultojnë nga aktet e procedimit. 3. Njoftimi përmban përshkrimin e përmbledhur të faktit penal për të cilin procedohet, kohën dhe vendin e kryerjes, cilësimin juridik, lajmërimin për depozitimin e akteve në sekretari dhe të drejtën për t’u njohur me aktet dhe për të marrë kopje. 4. I pandehuri njoftohet</w:t>
      </w:r>
      <w:r w:rsidR="00E12D48">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gjithashtu, se ka të drejtë që brenda dhjetë ditëve të paraqesë memorie e dokumente, t’i kërkojë prokurorit kryerjen e hetimeve shtesë, të bëjë deklarime apo të kërkojë që të merret në pyetje. Kur i pandehuri kërkon të pyetet, prokurori është i detyruar të procedojë me pyetjen e tij</w:t>
      </w:r>
      <w:r w:rsidR="009D6EF9">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w:t>
      </w:r>
      <w:r w:rsidRPr="00144D33">
        <w:rPr>
          <w:rFonts w:ascii="Garamond" w:hAnsi="Garamond" w:cs="Times New Roman"/>
          <w:color w:val="000000"/>
          <w:sz w:val="24"/>
          <w:szCs w:val="24"/>
          <w:lang w:val="sq-AL"/>
        </w:rPr>
        <w:t>”</w:t>
      </w:r>
      <w:r w:rsidR="00E12D48">
        <w:rPr>
          <w:rFonts w:ascii="Garamond" w:hAnsi="Garamond" w:cs="Times New Roman"/>
          <w:color w:val="000000"/>
          <w:sz w:val="24"/>
          <w:szCs w:val="24"/>
          <w:lang w:val="sq-AL"/>
        </w:rPr>
        <w:t>.</w:t>
      </w:r>
    </w:p>
    <w:p w14:paraId="3749E9D9" w14:textId="690FFF0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28. Me kryerjen e këtyre veprimeve procedurale, nga ana e prokurorit merret vendimi për dërgimin e çështjes në gjykim, duke kërkuar diçka të tillë para gjyqtarit të seancës paraprake. Në këtë mënyrë prokurori ka mbyllur fazën e tij të hetimeve duke vlerësuar se i ka kryer të gjitha veprimet e nevojshme hetimore. Zakonisht në praktikë ky moment procedural korrespondon me përmbushjen e afatit të përcaktuar nga neni 263/1 përfshi dhe atë të nenit 327 të KPP</w:t>
      </w:r>
      <w:r w:rsidR="001E7C88">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Kontrolli i hetimeve nga gjyqtari i seancë paraprake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është konfirmim</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e kryerjes së hetimeve paraprake në</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funksion të një gjykimi efektiv e që garanton më mirë të drejtat e garancitë procedurale. Por duke qenë tipar i një kontrolli gjyqësor që realizohet në debat e kontradiktoritet në mes të palëve të thirrur në seancë gjyqësore nënkuptohet që kur gjyqtari i seancës paraprake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vendos sipas nenit 332/dh të KPP</w:t>
      </w:r>
      <w:r w:rsidR="001E7C88">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ai sillet si gjyqtari i gjykimit, në një gjykim të kufizuar</w:t>
      </w:r>
      <w:r w:rsidR="005709DF">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por pa marrë</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atributet e gjyqtarit të themelit për çështje të vlerësimit të fakteve, provave e fajësisë. </w:t>
      </w:r>
    </w:p>
    <w:p w14:paraId="299D0C71" w14:textId="0CAFE7E1" w:rsidR="00CB3EA3" w:rsidRPr="00144D33" w:rsidRDefault="00CB3EA3" w:rsidP="00DA41F4">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color w:val="000000"/>
          <w:sz w:val="24"/>
          <w:szCs w:val="24"/>
          <w:lang w:val="sq-AL"/>
        </w:rPr>
        <w:t>29. Sipas interpretimit sistematik të normës, seanca paraprake është shtuar si kr</w:t>
      </w:r>
      <w:r w:rsidR="005709DF">
        <w:rPr>
          <w:rFonts w:ascii="Garamond" w:hAnsi="Garamond" w:cs="Times New Roman"/>
          <w:color w:val="000000"/>
          <w:sz w:val="24"/>
          <w:szCs w:val="24"/>
          <w:lang w:val="sq-AL"/>
        </w:rPr>
        <w:t>ye</w:t>
      </w:r>
      <w:r w:rsidRPr="00144D33">
        <w:rPr>
          <w:rFonts w:ascii="Garamond" w:hAnsi="Garamond" w:cs="Times New Roman"/>
          <w:color w:val="000000"/>
          <w:sz w:val="24"/>
          <w:szCs w:val="24"/>
          <w:lang w:val="sq-AL"/>
        </w:rPr>
        <w:t xml:space="preserve"> më vete (kreu IX, </w:t>
      </w:r>
      <w:r w:rsidR="00DA41F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Seanca paraprake</w:t>
      </w:r>
      <w:r w:rsidR="00DA41F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w:t>
      </w:r>
      <w:r w:rsidR="00DA41F4">
        <w:rPr>
          <w:rFonts w:ascii="Garamond" w:hAnsi="Garamond" w:cs="Times New Roman"/>
          <w:color w:val="000000"/>
          <w:sz w:val="24"/>
          <w:szCs w:val="24"/>
          <w:lang w:val="sq-AL"/>
        </w:rPr>
        <w:t>me ligjin nr. 35/2017, datë 30.</w:t>
      </w:r>
      <w:r w:rsidRPr="00144D33">
        <w:rPr>
          <w:rFonts w:ascii="Garamond" w:hAnsi="Garamond" w:cs="Times New Roman"/>
          <w:color w:val="000000"/>
          <w:sz w:val="24"/>
          <w:szCs w:val="24"/>
          <w:lang w:val="sq-AL"/>
        </w:rPr>
        <w:t>3.2017. Më përpara ne nuk kemi pasur një figurë të gjyqtarit të seancës paraprake, kemi pasur vetëm gjyqtarin e hetimit. Që në fillim të parashikimit të rregullave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të dhëna nga neni 332 i KPP</w:t>
      </w:r>
      <w:r w:rsidR="00DA41F4">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(i ndryshuar </w:t>
      </w:r>
      <w:r w:rsidR="00A709B9">
        <w:rPr>
          <w:rFonts w:ascii="Garamond" w:hAnsi="Garamond" w:cs="Times New Roman"/>
          <w:color w:val="000000"/>
          <w:sz w:val="24"/>
          <w:szCs w:val="24"/>
          <w:lang w:val="sq-AL"/>
        </w:rPr>
        <w:t>me ligjin nr. 35/2017, datë 30.</w:t>
      </w:r>
      <w:r w:rsidRPr="00144D33">
        <w:rPr>
          <w:rFonts w:ascii="Garamond" w:hAnsi="Garamond" w:cs="Times New Roman"/>
          <w:color w:val="000000"/>
          <w:sz w:val="24"/>
          <w:szCs w:val="24"/>
          <w:lang w:val="sq-AL"/>
        </w:rPr>
        <w:t>3.2017, ndryshuar pika 1, shtuar pika 1/1</w:t>
      </w:r>
      <w:r w:rsidR="00A709B9">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me </w:t>
      </w:r>
      <w:r w:rsidR="00A709B9">
        <w:rPr>
          <w:rFonts w:ascii="Garamond" w:hAnsi="Garamond" w:cs="Times New Roman"/>
          <w:color w:val="000000"/>
          <w:sz w:val="24"/>
          <w:szCs w:val="24"/>
          <w:lang w:val="sq-AL"/>
        </w:rPr>
        <w:t>ligjin nr. 41/2021, datë 23.</w:t>
      </w:r>
      <w:r w:rsidRPr="00144D33">
        <w:rPr>
          <w:rFonts w:ascii="Garamond" w:hAnsi="Garamond" w:cs="Times New Roman"/>
          <w:color w:val="000000"/>
          <w:sz w:val="24"/>
          <w:szCs w:val="24"/>
          <w:lang w:val="sq-AL"/>
        </w:rPr>
        <w:t>3.2021) parashikohet se</w:t>
      </w:r>
      <w:r w:rsidR="00A709B9">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w:t>
      </w:r>
      <w:r w:rsidRPr="00144D33">
        <w:rPr>
          <w:rFonts w:ascii="Garamond" w:hAnsi="Garamond" w:cs="Times New Roman"/>
          <w:i/>
          <w:iCs/>
          <w:color w:val="000000"/>
          <w:sz w:val="24"/>
          <w:szCs w:val="24"/>
          <w:lang w:val="sq-AL"/>
        </w:rPr>
        <w:t>“...</w:t>
      </w:r>
      <w:r w:rsidR="00A709B9">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kërkesa për dërgimin e çështjes</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në gjykim</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shqyrtohet në seancë paraprake nga gjyqtari i vetëm. Kërkesa për dërgimin në gjykim të çështjeve të ndara nga i njëjti procedim penal shqyrtohen nga i njëjti gjyqtar i seancë paraprake. ...</w:t>
      </w:r>
      <w:r w:rsidR="00A709B9">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Gjykata vendos mbi kërkesën për dërgimin e çështjes në gjyq brenda 30 ditëve nga data e depozitimit të saj.”</w:t>
      </w:r>
    </w:p>
    <w:p w14:paraId="08F30DAA" w14:textId="4EC6C883" w:rsidR="00CB3EA3" w:rsidRPr="00144D33" w:rsidRDefault="00CB3EA3" w:rsidP="00815E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30</w:t>
      </w:r>
      <w:r w:rsidRPr="00144D33">
        <w:rPr>
          <w:rFonts w:ascii="Garamond" w:hAnsi="Garamond" w:cs="Times New Roman"/>
          <w:i/>
          <w:iCs/>
          <w:color w:val="000000"/>
          <w:sz w:val="24"/>
          <w:szCs w:val="24"/>
          <w:lang w:val="sq-AL"/>
        </w:rPr>
        <w:t xml:space="preserve">. </w:t>
      </w:r>
      <w:r w:rsidRPr="00144D33">
        <w:rPr>
          <w:rFonts w:ascii="Garamond" w:hAnsi="Garamond" w:cs="Times New Roman"/>
          <w:color w:val="000000"/>
          <w:sz w:val="24"/>
          <w:szCs w:val="24"/>
          <w:lang w:val="sq-AL"/>
        </w:rPr>
        <w:t>Nga interpretimi i këtij rregullimi ligjor del se tashmë kemi një figurë të veçantë</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gjyqtari i cili ka kompetenca për të shqyrtuar në këtë fazë kërkesën e prokurorisë për dërgimin e çështjes në gjykim, shqyrtim i cili duhet të kryhet brenda 30 ditëve. Gjyqtari i seancës paraprake ka kompetencë</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për shqyrtimin e kërkesave të paraqitura nga palët e procesit penal, gjatë kohës që ky gjyqtar disponon me vendim për</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plotësimin e hetimeve, sipas </w:t>
      </w:r>
      <w:r w:rsidRPr="00765245">
        <w:rPr>
          <w:rFonts w:ascii="Garamond" w:hAnsi="Garamond" w:cs="Times New Roman"/>
          <w:color w:val="000000"/>
          <w:sz w:val="24"/>
          <w:szCs w:val="24"/>
          <w:lang w:val="sq-AL"/>
        </w:rPr>
        <w:t>nenit 332/</w:t>
      </w:r>
      <w:r w:rsidR="00815EBD" w:rsidRPr="00765245">
        <w:rPr>
          <w:rFonts w:ascii="Garamond" w:hAnsi="Garamond" w:cs="Times New Roman"/>
          <w:color w:val="000000"/>
          <w:sz w:val="24"/>
          <w:szCs w:val="24"/>
          <w:lang w:val="sq-AL"/>
        </w:rPr>
        <w:t>ç</w:t>
      </w:r>
      <w:r w:rsidRPr="00144D33">
        <w:rPr>
          <w:rFonts w:ascii="Garamond" w:hAnsi="Garamond" w:cs="Times New Roman"/>
          <w:color w:val="000000"/>
          <w:sz w:val="24"/>
          <w:szCs w:val="24"/>
          <w:lang w:val="sq-AL"/>
        </w:rPr>
        <w:t xml:space="preserve"> </w:t>
      </w:r>
      <w:r w:rsidR="001E7C88">
        <w:rPr>
          <w:rFonts w:ascii="Garamond" w:hAnsi="Garamond" w:cs="Times New Roman"/>
          <w:color w:val="000000"/>
          <w:sz w:val="24"/>
          <w:szCs w:val="24"/>
          <w:lang w:val="sq-AL"/>
        </w:rPr>
        <w:t xml:space="preserve">të KPP-së </w:t>
      </w:r>
      <w:r w:rsidRPr="00144D33">
        <w:rPr>
          <w:rFonts w:ascii="Garamond" w:hAnsi="Garamond" w:cs="Times New Roman"/>
          <w:color w:val="000000"/>
          <w:sz w:val="24"/>
          <w:szCs w:val="24"/>
          <w:lang w:val="sq-AL"/>
        </w:rPr>
        <w:t xml:space="preserve">shqiptare. </w:t>
      </w:r>
    </w:p>
    <w:p w14:paraId="6F5FF897" w14:textId="7109EF4B"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31. Disa nga llojet e kërkesave që mund të paraqiten nga palët e procedimit penal, gjatë kësaj kohe janë: zgjatja e afateve të paraburgimit, kërkesa që lidhen me masat e sigurimit (revokimi dhe zëvendësimi); kërkesa që lidhen me marrjen e provave të reja; kërkesa që lidhen me pavlefshmërinë e akteve procedurale dhe papërdorshmërinë e provave, të kryera këto gjatë kohës që gjyqtari i seancës paraprake ka disponuar me vendim</w:t>
      </w:r>
      <w:r w:rsidR="00BE2336">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sipas nenit 332/ç </w:t>
      </w:r>
      <w:r w:rsidR="001E7C88">
        <w:rPr>
          <w:rFonts w:ascii="Garamond" w:hAnsi="Garamond" w:cs="Times New Roman"/>
          <w:color w:val="000000"/>
          <w:sz w:val="24"/>
          <w:szCs w:val="24"/>
          <w:lang w:val="sq-AL"/>
        </w:rPr>
        <w:t xml:space="preserve">të KPP-së </w:t>
      </w:r>
      <w:r w:rsidRPr="00144D33">
        <w:rPr>
          <w:rFonts w:ascii="Garamond" w:hAnsi="Garamond" w:cs="Times New Roman"/>
          <w:color w:val="000000"/>
          <w:sz w:val="24"/>
          <w:szCs w:val="24"/>
          <w:lang w:val="sq-AL"/>
        </w:rPr>
        <w:t xml:space="preserve">shqiptare; kërkesa që paraqet i pandehuri për gjykimin e shkurtuar, pasi gjyqtari i seancës paraprake ka disponuar me vendim sipas nenit 332/ç </w:t>
      </w:r>
      <w:r w:rsidR="001E7C88">
        <w:rPr>
          <w:rFonts w:ascii="Garamond" w:hAnsi="Garamond" w:cs="Times New Roman"/>
          <w:color w:val="000000"/>
          <w:sz w:val="24"/>
          <w:szCs w:val="24"/>
          <w:lang w:val="sq-AL"/>
        </w:rPr>
        <w:t xml:space="preserve">të KPP-së </w:t>
      </w:r>
      <w:r w:rsidRPr="00144D33">
        <w:rPr>
          <w:rFonts w:ascii="Garamond" w:hAnsi="Garamond" w:cs="Times New Roman"/>
          <w:color w:val="000000"/>
          <w:sz w:val="24"/>
          <w:szCs w:val="24"/>
          <w:lang w:val="sq-AL"/>
        </w:rPr>
        <w:t>shqiptare apo kërkesa për përgjimin e komunikimeve etj</w:t>
      </w:r>
      <w:r w:rsidR="00BE2336">
        <w:rPr>
          <w:rFonts w:ascii="Garamond" w:hAnsi="Garamond" w:cs="Times New Roman"/>
          <w:color w:val="000000"/>
          <w:sz w:val="24"/>
          <w:szCs w:val="24"/>
          <w:lang w:val="sq-AL"/>
        </w:rPr>
        <w:t>.</w:t>
      </w:r>
    </w:p>
    <w:p w14:paraId="4FD09DC9" w14:textId="5DC0625E"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32. Kontrolli i hetimeve nga gjyqtari i seancës paraprake është në funksion të një gjykimi efektiv e që garanton më mirë të drejtat e garancitë procedurale të të pandehurit. Por, duke qenë tipar i një kontrolli gjyqësor që realizohet nëpërmjet debatit dhe në zbatim të kontradiktoritetit mes të palëve të thirrura në seancë gjyqësore, nënkuptohet që kur gjyqtari i seancës paraprake vendos sipas nenit 332/dh të KPP</w:t>
      </w:r>
      <w:r w:rsidR="00384CEE">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ai ushtron funksione juridiksionale (si gjyqtar i gjykimit), në një gjykim të kufizuar, por pa marrë atributet e gjyqtarit që shqyrton themelin e çështjes, në lidhje me vlerësimin e fakteve, provave dhe fajësisë së </w:t>
      </w:r>
      <w:r w:rsidR="00384CEE">
        <w:rPr>
          <w:rFonts w:ascii="Garamond" w:hAnsi="Garamond" w:cs="Times New Roman"/>
          <w:color w:val="000000"/>
          <w:sz w:val="24"/>
          <w:szCs w:val="24"/>
          <w:lang w:val="sq-AL"/>
        </w:rPr>
        <w:t xml:space="preserve">të </w:t>
      </w:r>
      <w:r w:rsidRPr="00144D33">
        <w:rPr>
          <w:rFonts w:ascii="Garamond" w:hAnsi="Garamond" w:cs="Times New Roman"/>
          <w:color w:val="000000"/>
          <w:sz w:val="24"/>
          <w:szCs w:val="24"/>
          <w:lang w:val="sq-AL"/>
        </w:rPr>
        <w:t>pandehurit.</w:t>
      </w:r>
    </w:p>
    <w:p w14:paraId="1141F546" w14:textId="0009325D"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33. Gjyqtari i seancës paraprake kontrollon hetimet paraprake dhe, nëse konstaton se akuza nuk është e plotë, urdhëron plotësimin e tyre sipas nenit 332/ç të KPP</w:t>
      </w:r>
      <w:r w:rsidR="00467C1B">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duke përcaktuar drejtimet e hetimeve, afatin brenda të cilit ato duhet të kryhen, provat që duhet të ribëhen, si dhe cakton datën e seancës së re. Nenet 332/ç </w:t>
      </w:r>
      <w:r w:rsidR="001E7C88">
        <w:rPr>
          <w:rFonts w:ascii="Garamond" w:hAnsi="Garamond" w:cs="Times New Roman"/>
          <w:color w:val="000000"/>
          <w:sz w:val="24"/>
          <w:szCs w:val="24"/>
          <w:lang w:val="sq-AL"/>
        </w:rPr>
        <w:t xml:space="preserve">të KPP-së </w:t>
      </w:r>
      <w:r w:rsidRPr="00144D33">
        <w:rPr>
          <w:rFonts w:ascii="Garamond" w:hAnsi="Garamond" w:cs="Times New Roman"/>
          <w:color w:val="000000"/>
          <w:sz w:val="24"/>
          <w:szCs w:val="24"/>
          <w:lang w:val="sq-AL"/>
        </w:rPr>
        <w:t xml:space="preserve">dhe 332/dh, parashikojnë dy situata të ndryshme rrethanash e kushtesh procedurale. </w:t>
      </w:r>
    </w:p>
    <w:p w14:paraId="2A6B3C52" w14:textId="55261141"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34. Kolegji vlerëson se, kur gjyqtari i seancës paraprake vepron sipas nenit 332/ç të KPP</w:t>
      </w:r>
      <w:r w:rsidR="0007407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duke urdhëruar plotësimin e hetimeve nuk disponon me vendim që i jep fund seancës paraprake.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Në këtë rast, gjyqtari urdhëron kryerjen e veprimeve të mirëfillta procedurale hetimore e</w:t>
      </w:r>
      <w:r w:rsidR="00074076">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për rrjedhojë, afatet e paraburgimit në këtë rast duhen llogaritur si afate të paraburgimit të fazës së hetimit. Kur gjyqtari i seancës paraprake urdhëron </w:t>
      </w:r>
      <w:r w:rsidRPr="00144D33">
        <w:rPr>
          <w:rFonts w:ascii="Garamond" w:hAnsi="Garamond" w:cs="Times New Roman"/>
          <w:i/>
          <w:iCs/>
          <w:color w:val="000000"/>
          <w:sz w:val="24"/>
          <w:szCs w:val="24"/>
          <w:lang w:val="sq-AL"/>
        </w:rPr>
        <w:t>plotësimin e hetimeve</w:t>
      </w:r>
      <w:r w:rsidR="00074076">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w:t>
      </w:r>
      <w:r w:rsidRPr="00144D33">
        <w:rPr>
          <w:rFonts w:ascii="Garamond" w:hAnsi="Garamond" w:cs="Times New Roman"/>
          <w:color w:val="000000"/>
          <w:sz w:val="24"/>
          <w:szCs w:val="24"/>
          <w:lang w:val="sq-AL"/>
        </w:rPr>
        <w:t>sipas nenit 332/ç të KPP</w:t>
      </w:r>
      <w:r w:rsidR="0007407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palët e procesit penal mund të paraqesin kërkesë për zgjatjen e afateve të paraburgimit. Afati i caktuar nga gjykata për plotësimin e hetimeve është në funksion të hetimeve, ndërsa afati i paraburgimit është autonom nga ai i hetimeve. Afati i caktuar nga gjyqtari i seancës paraprake gjithnjë duhet të jetë brenda afatit tërësor të hetimeve. Në momentin e kthimit të akteve prokurorit, lidhur me afatin e paraburgimit, nëse afati i paraburgimit përfundon gjatë periudhës kur aktet janë kthyer sipas kësaj dispozite, prokurori mund të kërkojë zgjatjen e afateve të paraburgimit, nëse më parë nuk i ka zgjatur ato, sipas nenit 264/2 të KPP</w:t>
      </w:r>
      <w:r w:rsidR="00074076">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w:t>
      </w:r>
    </w:p>
    <w:p w14:paraId="6EF5F0F9" w14:textId="35D40684" w:rsidR="00CB3EA3" w:rsidRPr="00144D33" w:rsidRDefault="00CB3EA3" w:rsidP="00E66D0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35. Gjyqtari i seancës paraprake ka kompetencë të vendosë mbi kërkesat e paraqitura nga palët e procesit penal gjatë kohës që ai ka disponuar me vendim për plotësimin e hetimeve, sipas nenit 332/ç të KPP</w:t>
      </w:r>
      <w:r w:rsidR="00E66D0E">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Kërkesat e paraqitura nga palët për zgjatjen e afatit të paraburgimit, revokimin/zëvendësimin e masave të sigurimit, marrjen e provave të reja, konstatimin e pavlefshmërisë së akteve procedurale dhe papërdorshmërisë së provave, pranimin e gjykimit të shkurtuar ap</w:t>
      </w:r>
      <w:r w:rsidR="00E66D0E">
        <w:rPr>
          <w:rFonts w:ascii="Garamond" w:hAnsi="Garamond" w:cs="Times New Roman"/>
          <w:color w:val="000000"/>
          <w:sz w:val="24"/>
          <w:szCs w:val="24"/>
          <w:lang w:val="sq-AL"/>
        </w:rPr>
        <w:t xml:space="preserve">o për përgjimin e komunikimeve </w:t>
      </w:r>
      <w:r w:rsidRPr="00144D33">
        <w:rPr>
          <w:rFonts w:ascii="Garamond" w:hAnsi="Garamond" w:cs="Times New Roman"/>
          <w:color w:val="000000"/>
          <w:sz w:val="24"/>
          <w:szCs w:val="24"/>
          <w:lang w:val="sq-AL"/>
        </w:rPr>
        <w:t>etj. shqyrtohen nga gjyqtari i seancës paraprake, gjatë kohës që ai ka urdhëruar plotësimin e hetimeve sipas nenit 332/ç të KPP</w:t>
      </w:r>
      <w:r w:rsidR="00851E64">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Një konkluzion i tillë bazohet në faktin se ligjvënësi ka parashikuar që bashkë me urdhërimin për plotësimin e hetimeve, gjyqtari i seancës paraprake cakton edhe datën kur duhet të përfundojnë hetimet</w:t>
      </w:r>
      <w:r w:rsidR="007D11C0">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 dhe seancën e re.</w:t>
      </w:r>
      <w:r w:rsidR="00144D33">
        <w:rPr>
          <w:rFonts w:ascii="Garamond" w:hAnsi="Garamond" w:cs="Times New Roman"/>
          <w:color w:val="000000"/>
          <w:sz w:val="24"/>
          <w:szCs w:val="24"/>
          <w:lang w:val="sq-AL"/>
        </w:rPr>
        <w:t xml:space="preserve"> </w:t>
      </w:r>
    </w:p>
    <w:p w14:paraId="6C2A82D4" w14:textId="6184AC68" w:rsidR="00CB3EA3" w:rsidRPr="00144D33" w:rsidRDefault="00CB3EA3" w:rsidP="00D27A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36. Ndërkohë, me ndryshimet në KPP me ligjin</w:t>
      </w:r>
      <w:r w:rsidR="007D11C0">
        <w:rPr>
          <w:rFonts w:ascii="Garamond" w:hAnsi="Garamond" w:cs="Times New Roman"/>
          <w:color w:val="000000"/>
          <w:sz w:val="24"/>
          <w:szCs w:val="24"/>
          <w:lang w:val="sq-AL"/>
        </w:rPr>
        <w:t xml:space="preserve"> nr. 41/2021, datë 23.</w:t>
      </w:r>
      <w:r w:rsidRPr="00144D33">
        <w:rPr>
          <w:rFonts w:ascii="Garamond" w:hAnsi="Garamond" w:cs="Times New Roman"/>
          <w:color w:val="000000"/>
          <w:sz w:val="24"/>
          <w:szCs w:val="24"/>
          <w:lang w:val="sq-AL"/>
        </w:rPr>
        <w:t>3.32021, gjyqtari i seancës paraprake është kompetent për vijimin e gjykimit dhe zgjidhjen përfundimtare të çështjes, kur palët paraqesin marrëveshje mbi kushtet e pranimit të fajësisë dhe caktimin e dënimit, si dhe kur i pandehuri ka kërkuar gjykim të shkurtuar.</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Në shkronjat </w:t>
      </w:r>
      <w:r w:rsidR="00D27A2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b</w:t>
      </w:r>
      <w:r w:rsidR="00D27A2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dhe </w:t>
      </w:r>
      <w:r w:rsidR="00D27A2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c</w:t>
      </w:r>
      <w:r w:rsidR="00D27A2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të nenit 332/dh të KPP</w:t>
      </w:r>
      <w:r w:rsidR="00D27A2E">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parashikohet tashmë</w:t>
      </w:r>
      <w:r w:rsidR="00D27A2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w:t>
      </w:r>
      <w:r w:rsidR="00D27A2E">
        <w:rPr>
          <w:rFonts w:ascii="Garamond" w:hAnsi="Garamond" w:cs="Times New Roman"/>
          <w:color w:val="000000"/>
          <w:sz w:val="24"/>
          <w:szCs w:val="24"/>
          <w:lang w:val="sq-AL"/>
        </w:rPr>
        <w:t>“</w:t>
      </w:r>
      <w:r w:rsidRPr="00144D33">
        <w:rPr>
          <w:rFonts w:ascii="Garamond" w:hAnsi="Garamond" w:cs="Times New Roman"/>
          <w:i/>
          <w:iCs/>
          <w:color w:val="000000"/>
          <w:sz w:val="24"/>
          <w:szCs w:val="24"/>
          <w:lang w:val="sq-AL"/>
        </w:rPr>
        <w:t>që gjyqtari i seancë</w:t>
      </w:r>
      <w:r w:rsidR="00D27A2E">
        <w:rPr>
          <w:rFonts w:ascii="Garamond" w:hAnsi="Garamond" w:cs="Times New Roman"/>
          <w:i/>
          <w:iCs/>
          <w:color w:val="000000"/>
          <w:sz w:val="24"/>
          <w:szCs w:val="24"/>
          <w:lang w:val="sq-AL"/>
        </w:rPr>
        <w:t>s</w:t>
      </w:r>
      <w:r w:rsidRPr="00144D33">
        <w:rPr>
          <w:rFonts w:ascii="Garamond" w:hAnsi="Garamond" w:cs="Times New Roman"/>
          <w:i/>
          <w:iCs/>
          <w:color w:val="000000"/>
          <w:sz w:val="24"/>
          <w:szCs w:val="24"/>
          <w:lang w:val="sq-AL"/>
        </w:rPr>
        <w:t xml:space="preserve"> paraprake</w:t>
      </w:r>
      <w:r w:rsidR="00D27A2E">
        <w:rPr>
          <w:rFonts w:ascii="Garamond" w:hAnsi="Garamond" w:cs="Times New Roman"/>
          <w:i/>
          <w:iCs/>
          <w:color w:val="000000"/>
          <w:sz w:val="24"/>
          <w:szCs w:val="24"/>
          <w:lang w:val="sq-AL"/>
        </w:rPr>
        <w:t>,</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 xml:space="preserve">pasi dëgjon diskutimet e palëve vendos: </w:t>
      </w:r>
    </w:p>
    <w:p w14:paraId="35EA0151" w14:textId="0500259A" w:rsidR="00CB3EA3" w:rsidRPr="00144D33" w:rsidRDefault="00CB3EA3" w:rsidP="00CB3EA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b) vijimin e gjykimit nga e njëjta gjykatë</w:t>
      </w:r>
      <w:r w:rsidR="00D27A2E">
        <w:rPr>
          <w:rFonts w:ascii="Garamond" w:hAnsi="Garamond" w:cs="Times New Roman"/>
          <w:i/>
          <w:iCs/>
          <w:color w:val="000000"/>
          <w:sz w:val="24"/>
          <w:szCs w:val="24"/>
          <w:lang w:val="sq-AL"/>
        </w:rPr>
        <w:t>,</w:t>
      </w:r>
      <w:r w:rsidRPr="00144D33">
        <w:rPr>
          <w:rFonts w:ascii="Garamond" w:hAnsi="Garamond" w:cs="Times New Roman"/>
          <w:i/>
          <w:iCs/>
          <w:color w:val="000000"/>
          <w:sz w:val="24"/>
          <w:szCs w:val="24"/>
          <w:lang w:val="sq-AL"/>
        </w:rPr>
        <w:t xml:space="preserve"> kur palët paraqesin marrëveshje mbi kushtet e pranimit të fajësisë dhe caktimin e</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dënimit</w:t>
      </w:r>
      <w:r w:rsidR="00D27A2E">
        <w:rPr>
          <w:rFonts w:ascii="Garamond" w:hAnsi="Garamond" w:cs="Times New Roman"/>
          <w:i/>
          <w:iCs/>
          <w:color w:val="000000"/>
          <w:sz w:val="24"/>
          <w:szCs w:val="24"/>
          <w:lang w:val="sq-AL"/>
        </w:rPr>
        <w:t>;</w:t>
      </w:r>
    </w:p>
    <w:p w14:paraId="6D415578" w14:textId="28BE5CE5" w:rsidR="00CB3EA3" w:rsidRPr="00144D33" w:rsidRDefault="00CB3EA3" w:rsidP="00CB3EA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c) të ftojë palët të paraqesin</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diskutimet përfundimtare kur i pandehuri ka kërkuar gjykim të shkurtuar, pasi kryen verifikimin</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mbi gjendjen</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e akteve, sipas parashikimit</w:t>
      </w:r>
      <w:r w:rsidR="00144D33">
        <w:rPr>
          <w:rFonts w:ascii="Garamond" w:hAnsi="Garamond" w:cs="Times New Roman"/>
          <w:i/>
          <w:iCs/>
          <w:color w:val="000000"/>
          <w:sz w:val="24"/>
          <w:szCs w:val="24"/>
          <w:lang w:val="sq-AL"/>
        </w:rPr>
        <w:t xml:space="preserve"> </w:t>
      </w:r>
      <w:r w:rsidRPr="00144D33">
        <w:rPr>
          <w:rFonts w:ascii="Garamond" w:hAnsi="Garamond" w:cs="Times New Roman"/>
          <w:i/>
          <w:iCs/>
          <w:color w:val="000000"/>
          <w:sz w:val="24"/>
          <w:szCs w:val="24"/>
          <w:lang w:val="sq-AL"/>
        </w:rPr>
        <w:t>të nenit 332/c të këtij Kodi.</w:t>
      </w:r>
      <w:r w:rsidR="00144D33">
        <w:rPr>
          <w:rFonts w:ascii="Garamond" w:hAnsi="Garamond" w:cs="Times New Roman"/>
          <w:i/>
          <w:iCs/>
          <w:color w:val="000000"/>
          <w:sz w:val="24"/>
          <w:szCs w:val="24"/>
          <w:lang w:val="sq-AL"/>
        </w:rPr>
        <w:t xml:space="preserve"> </w:t>
      </w:r>
    </w:p>
    <w:p w14:paraId="7E78BCA6" w14:textId="4F26514D"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37. Edhe në këtë rast, për këtë disponim të gjyqtarit të seancës paraprake</w:t>
      </w:r>
      <w:r w:rsidR="00D27A2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sipas pikave “b” e “c” të nenit 332/dh të KPP</w:t>
      </w:r>
      <w:r w:rsidR="00867BA5">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i cili zgjidh çështjen përfundimisht, nuk është parashikuar nëse afatet e paraburgimit i përkasin gjykimit apo nëse janë afate autonome. Kompetenca e gjyqtarit të seancës paraprake për të vlerësuar nëse ka prova të mjaftueshme për ta dërguar çështjen në gjykim ose ajo për pushimin e akuzës ose të çështjes të përcaktuara nga shkronjat “a” dhe “ç” të nenit 332/dh të KPP</w:t>
      </w:r>
      <w:r w:rsidR="00867BA5">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janë kompetenca të natyrës gjykimore, pasi në këtë rast gjyqtari i seancës paraprake bën një vlerësim tjetër nga ai i hetimeve paraprake. Një element tjetër që tregon se kjo fazë e procedimit ka një karakter juridiksional është edhe parashikimi i pezullimit të afateve të paraburgimit bazuar në nenin 265 </w:t>
      </w:r>
      <w:r w:rsidR="001E7C88">
        <w:rPr>
          <w:rFonts w:ascii="Garamond" w:hAnsi="Garamond" w:cs="Times New Roman"/>
          <w:color w:val="000000"/>
          <w:sz w:val="24"/>
          <w:szCs w:val="24"/>
          <w:lang w:val="sq-AL"/>
        </w:rPr>
        <w:t xml:space="preserve">të KPP-së </w:t>
      </w:r>
      <w:r w:rsidRPr="00144D33">
        <w:rPr>
          <w:rFonts w:ascii="Garamond" w:hAnsi="Garamond" w:cs="Times New Roman"/>
          <w:color w:val="000000"/>
          <w:sz w:val="24"/>
          <w:szCs w:val="24"/>
          <w:lang w:val="sq-AL"/>
        </w:rPr>
        <w:t>nga ana e gjyqtarit të seancës paraprake. Pezullimi është ndërprerje e afateve të paraburgimit për shkaqe të parashikuara shprehimisht në ligj, afate që rifillojnë pasi të ketë rënë shkaku i pezullimit, dhe vazhdojnë pë</w:t>
      </w:r>
      <w:r w:rsidR="00867BA5">
        <w:rPr>
          <w:rFonts w:ascii="Garamond" w:hAnsi="Garamond" w:cs="Times New Roman"/>
          <w:color w:val="000000"/>
          <w:sz w:val="24"/>
          <w:szCs w:val="24"/>
          <w:lang w:val="sq-AL"/>
        </w:rPr>
        <w:t>r pjesën e pa</w:t>
      </w:r>
      <w:r w:rsidRPr="00144D33">
        <w:rPr>
          <w:rFonts w:ascii="Garamond" w:hAnsi="Garamond" w:cs="Times New Roman"/>
          <w:color w:val="000000"/>
          <w:sz w:val="24"/>
          <w:szCs w:val="24"/>
          <w:lang w:val="sq-AL"/>
        </w:rPr>
        <w:t xml:space="preserve">konsumuar të tyre. Parashikimi i referimit nga ana e gjyqtarit të seancës paraprake i mundësisë së pezullimit të afateve të paraburgimit, sipas nenit 332/b, paragrafi 7, nënkupton një mundësi procedurale për të frenuar ecjen e pajustifikuar të këtyre afateve. </w:t>
      </w:r>
    </w:p>
    <w:p w14:paraId="78EA2769" w14:textId="7F6BB1EB" w:rsidR="00CB3EA3" w:rsidRPr="00144D33" w:rsidRDefault="00CB3EA3" w:rsidP="00DC15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38. Pezullimi i afateve të paraburgimit nga ana tjetër</w:t>
      </w:r>
      <w:r w:rsidR="00867BA5">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 një mundësi procedurale me nenin 265 të KPP</w:t>
      </w:r>
      <w:r w:rsidR="00867BA5">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nga ana e gjyqtarit të seancës paraprake nënkupton që legjislatori është mjaftuar në</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këtë mundësi procedurale për të frenuar kalimin e afateve të paraburgimit, kur shqyrtimi në seancë paraprake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nuk ecën për shkak të mungesës nga ana 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të pandehurve. Pezullimi është ndërprerje e afateve për shkaqe t</w:t>
      </w:r>
      <w:r w:rsidR="00DC1575">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parashikuara shprehimisht ne ligj dhe këto afate rifillojnë</w:t>
      </w:r>
      <w:r w:rsidR="004911B8">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pasi të ketë mbaruar, ose t</w:t>
      </w:r>
      <w:r w:rsidR="004911B8">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jet</w:t>
      </w:r>
      <w:r w:rsidR="004911B8">
        <w:rPr>
          <w:rFonts w:ascii="Garamond" w:hAnsi="Garamond" w:cs="Times New Roman"/>
          <w:color w:val="000000"/>
          <w:sz w:val="24"/>
          <w:szCs w:val="24"/>
          <w:lang w:val="sq-AL"/>
        </w:rPr>
        <w:t>ë hequr shkaku i pezullimit dhe vazhdojnë për pjesën e pa</w:t>
      </w:r>
      <w:r w:rsidRPr="00144D33">
        <w:rPr>
          <w:rFonts w:ascii="Garamond" w:hAnsi="Garamond" w:cs="Times New Roman"/>
          <w:color w:val="000000"/>
          <w:sz w:val="24"/>
          <w:szCs w:val="24"/>
          <w:lang w:val="sq-AL"/>
        </w:rPr>
        <w:t>konsumuar t</w:t>
      </w:r>
      <w:r w:rsidR="00DC1575">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tyre. </w:t>
      </w:r>
    </w:p>
    <w:p w14:paraId="49F6D1C4" w14:textId="479B981D" w:rsidR="00CB3EA3" w:rsidRPr="00144D33" w:rsidRDefault="00CB3EA3" w:rsidP="006875C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39. Kur gjykata disponon për një nga shkaqet q</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ligji parashikon për pezullim t</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afateve t</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paraburgimit, këto afate nuk ecin, por rifillojnë pas heqjes s</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pezullimit. Kjo do t</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thotë, se vet</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afati maksimal i paraburgimit nuk tejkalohet proceduralisht, por koha fizike e paraburgimit mund t</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jet</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m</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e gjat</w:t>
      </w:r>
      <w:r w:rsidR="000B17C9">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se afati tërësor. Po t’</w:t>
      </w:r>
      <w:r w:rsidR="000B17C9">
        <w:rPr>
          <w:rFonts w:ascii="Garamond" w:hAnsi="Garamond" w:cs="Times New Roman"/>
          <w:color w:val="000000"/>
          <w:sz w:val="24"/>
          <w:szCs w:val="24"/>
          <w:lang w:val="sq-AL"/>
        </w:rPr>
        <w:t>u</w:t>
      </w:r>
      <w:r w:rsidRPr="00144D33">
        <w:rPr>
          <w:rFonts w:ascii="Garamond" w:hAnsi="Garamond" w:cs="Times New Roman"/>
          <w:color w:val="000000"/>
          <w:sz w:val="24"/>
          <w:szCs w:val="24"/>
          <w:lang w:val="sq-AL"/>
        </w:rPr>
        <w:t xml:space="preserve"> referohemi shkaqeve t</w:t>
      </w:r>
      <w:r w:rsidR="006875C3">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pezullimit t</w:t>
      </w:r>
      <w:r w:rsidR="006875C3">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afateve t</w:t>
      </w:r>
      <w:r w:rsidR="006875C3">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paraburgimit, ato lidhen me veprime dhe kërkesa të padrejta të mbrojtësit apo t</w:t>
      </w:r>
      <w:r w:rsidR="006875C3">
        <w:rPr>
          <w:rFonts w:ascii="Garamond" w:hAnsi="Garamond" w:cs="Times New Roman"/>
          <w:color w:val="000000"/>
          <w:sz w:val="24"/>
          <w:szCs w:val="24"/>
          <w:lang w:val="sq-AL"/>
        </w:rPr>
        <w:t xml:space="preserve">ë të </w:t>
      </w:r>
      <w:r w:rsidRPr="00144D33">
        <w:rPr>
          <w:rFonts w:ascii="Garamond" w:hAnsi="Garamond" w:cs="Times New Roman"/>
          <w:color w:val="000000"/>
          <w:sz w:val="24"/>
          <w:szCs w:val="24"/>
          <w:lang w:val="sq-AL"/>
        </w:rPr>
        <w:t>pandehurit, apo me mosparaqitjen apo largimin e mbrojtësit nga gjykimi. Pra, pezullimi i afateve t</w:t>
      </w:r>
      <w:r w:rsidR="006875C3">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paraburgimit vendoset për shkaqe q</w:t>
      </w:r>
      <w:r w:rsidR="006875C3">
        <w:rPr>
          <w:rFonts w:ascii="Garamond" w:hAnsi="Garamond" w:cs="Times New Roman"/>
          <w:color w:val="000000"/>
          <w:sz w:val="24"/>
          <w:szCs w:val="24"/>
          <w:lang w:val="sq-AL"/>
        </w:rPr>
        <w:t>ë kanë të bëjnë me sjelljen e të</w:t>
      </w:r>
      <w:r w:rsidRPr="00144D33">
        <w:rPr>
          <w:rFonts w:ascii="Garamond" w:hAnsi="Garamond" w:cs="Times New Roman"/>
          <w:color w:val="000000"/>
          <w:sz w:val="24"/>
          <w:szCs w:val="24"/>
          <w:lang w:val="sq-AL"/>
        </w:rPr>
        <w:t xml:space="preserve"> pandehurve e </w:t>
      </w:r>
      <w:r w:rsidR="006875C3">
        <w:rPr>
          <w:rFonts w:ascii="Garamond" w:hAnsi="Garamond" w:cs="Times New Roman"/>
          <w:color w:val="000000"/>
          <w:sz w:val="24"/>
          <w:szCs w:val="24"/>
          <w:lang w:val="sq-AL"/>
        </w:rPr>
        <w:t xml:space="preserve">të </w:t>
      </w:r>
      <w:r w:rsidRPr="00144D33">
        <w:rPr>
          <w:rFonts w:ascii="Garamond" w:hAnsi="Garamond" w:cs="Times New Roman"/>
          <w:color w:val="000000"/>
          <w:sz w:val="24"/>
          <w:szCs w:val="24"/>
          <w:lang w:val="sq-AL"/>
        </w:rPr>
        <w:t>mbrojtësve t</w:t>
      </w:r>
      <w:r w:rsidR="006875C3">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tyre dhe jo me ato të organit t</w:t>
      </w:r>
      <w:r w:rsidR="006875C3">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akuzës apo të gjykatës. Parashikimi i referimit nga ana e gjyqtarit të seancës paraprake i mundësisë së pezullimit të afateve të paraburgimit, sipas nenit 332/b</w:t>
      </w:r>
      <w:r w:rsidR="006875C3">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paragrafi 7, nënkupton një mundësi procedurale për të frenuar ecjen e pajustifikuar të këtyre afateve.</w:t>
      </w:r>
    </w:p>
    <w:p w14:paraId="1CDA3854" w14:textId="2DC5FCC7" w:rsidR="00CB3EA3" w:rsidRPr="00144D33" w:rsidRDefault="00CB3EA3" w:rsidP="001948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40. Kolegji konstaton se në fakt, nga analiza e dispozitave që rregullojnë seancën paraprake, evidentohen elemente që të shtyjnë drejt konsiderimit të kësaj faze</w:t>
      </w:r>
      <w:r w:rsidR="00194895">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në përbërje të fazës së hetimeve paraprake, referuar përcaktimit të nenit 332/ç </w:t>
      </w:r>
      <w:r w:rsidR="001E7C88">
        <w:rPr>
          <w:rFonts w:ascii="Garamond" w:hAnsi="Garamond" w:cs="Times New Roman"/>
          <w:color w:val="000000"/>
          <w:sz w:val="24"/>
          <w:szCs w:val="24"/>
          <w:lang w:val="sq-AL"/>
        </w:rPr>
        <w:t xml:space="preserve">të KPP-së </w:t>
      </w:r>
      <w:r w:rsidRPr="00144D33">
        <w:rPr>
          <w:rFonts w:ascii="Garamond" w:hAnsi="Garamond" w:cs="Times New Roman"/>
          <w:color w:val="000000"/>
          <w:sz w:val="24"/>
          <w:szCs w:val="24"/>
          <w:lang w:val="sq-AL"/>
        </w:rPr>
        <w:t xml:space="preserve">(vendimi i gjyqtarit të seancës paraprake për plotësimin e hetimeve, duke përcaktuar drejtimin e tyre), si dhe </w:t>
      </w:r>
      <w:r w:rsidR="00194895">
        <w:rPr>
          <w:rFonts w:ascii="Garamond" w:hAnsi="Garamond" w:cs="Times New Roman"/>
          <w:color w:val="000000"/>
          <w:sz w:val="24"/>
          <w:szCs w:val="24"/>
          <w:lang w:val="sq-AL"/>
        </w:rPr>
        <w:t>të nenit 332/d, pika 3,</w:t>
      </w:r>
      <w:r w:rsidRPr="00144D33">
        <w:rPr>
          <w:rFonts w:ascii="Garamond" w:hAnsi="Garamond" w:cs="Times New Roman"/>
          <w:color w:val="000000"/>
          <w:sz w:val="24"/>
          <w:szCs w:val="24"/>
          <w:lang w:val="sq-AL"/>
        </w:rPr>
        <w:t xml:space="preserve"> </w:t>
      </w:r>
      <w:r w:rsidR="00194895">
        <w:rPr>
          <w:rFonts w:ascii="Garamond" w:hAnsi="Garamond" w:cs="Times New Roman"/>
          <w:color w:val="000000"/>
          <w:sz w:val="24"/>
          <w:szCs w:val="24"/>
          <w:lang w:val="sq-AL"/>
        </w:rPr>
        <w:t>të</w:t>
      </w:r>
      <w:r w:rsidRPr="00144D33">
        <w:rPr>
          <w:rFonts w:ascii="Garamond" w:hAnsi="Garamond" w:cs="Times New Roman"/>
          <w:color w:val="000000"/>
          <w:sz w:val="24"/>
          <w:szCs w:val="24"/>
          <w:lang w:val="sq-AL"/>
        </w:rPr>
        <w:t xml:space="preserve"> KPP</w:t>
      </w:r>
      <w:r w:rsidR="00DF1979">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(vendimi i gjyqtarit të seancës paraprake për kthimin e akteve prokurorit, kur ky i fundit nuk vepron për të bërë korrigjimet ose saktësimet e nevojshme të akuzës). Gjithsesi, konstatimi i këtyre diferencave në ushtrimin e funksionit të gjyqtarit të seancës paraprake, sipas Kolegjit, konsiderohet i pamjaftueshëm për të “eklipsuar” karakterin tendencialisht juridiksional të kësaj faze të procedimit penal (seancës paraprake), dhe përfshirjen e saj (për efekt të llogaritjes së afateve të paraburgimit të të pandehurit, sipas përcaktimit të nenit 263 të KPP</w:t>
      </w:r>
      <w:r w:rsidR="00DF1979">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në një fazë tjetër, të ndryshme nga faza e gjykimit të çështjes (në shkallë të parë), të asaj të hetimeve paraprake. Kolegji çmon se qëllimi i dy dispozitave të cituara më lart është në funksion të kompetencës funksionale të gjyqtarit të seancës paraprake, në lidhje me kontrollin dhe verifikimin e akuzës së paraqitur prej prokurorit, në aspektet e përmendura më lart, për</w:t>
      </w:r>
      <w:r w:rsidR="00A07BAF">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sa i përket nivelit (standardit) provues të “provave” (burimeve të provave në fakt) të mjaftueshme, për të “toleruar” (standardi minimal) gjykimin e çështjes (akuzës). Kjo kompetencë e gjyqtarit të seancës paraprake, që në thelb lidhet me verifikimin e kushteve të gjykueshmërisë së çështjes, ka diferenca edhe me funksionin e gjyqtarit të gjykimit të çështjes (akuzës) në themel, i cili duhet të verifikojë bazueshmërinë e akuzës në funksion të fajësisë së të pandehurit.</w:t>
      </w:r>
      <w:r w:rsidR="00144D33">
        <w:rPr>
          <w:rFonts w:ascii="Garamond" w:hAnsi="Garamond" w:cs="Times New Roman"/>
          <w:color w:val="000000"/>
          <w:sz w:val="24"/>
          <w:szCs w:val="24"/>
          <w:lang w:val="sq-AL"/>
        </w:rPr>
        <w:t xml:space="preserve"> </w:t>
      </w:r>
    </w:p>
    <w:p w14:paraId="7AAFA61C" w14:textId="266A1554"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41. Diferencat e evidentuara më lart, në vlerësimin e Kolegjit, mbështesin konkluzionin se seanca paraprake</w:t>
      </w:r>
      <w:r w:rsidR="00481290">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sipas ligjit procedural penal shqiptar, është një fazë e ndërmjetme, por që ka tipare juridiksionale. </w:t>
      </w:r>
    </w:p>
    <w:p w14:paraId="3F8477D5" w14:textId="21E262E6" w:rsidR="00CB3EA3" w:rsidRPr="00144D33" w:rsidRDefault="00CB3EA3" w:rsidP="00481290">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color w:val="000000"/>
          <w:sz w:val="24"/>
          <w:szCs w:val="24"/>
          <w:lang w:val="sq-AL"/>
        </w:rPr>
        <w:t>41.1 Në interpretimin teleologjik të normave, për aq sa ka parashikuar legjislacioni ynë i ri procedural, kompetencën funksionale të gjyqtarit të seancës paraprake dhe duke iu përmbajtur karakterit funksional të organit procedues në këtë rast, arrihet në përfundimin se afati 30</w:t>
      </w:r>
      <w:r w:rsidR="00481290">
        <w:rPr>
          <w:rFonts w:ascii="Garamond" w:hAnsi="Garamond" w:cs="Times New Roman"/>
          <w:color w:val="000000"/>
          <w:sz w:val="24"/>
          <w:szCs w:val="24"/>
          <w:lang w:val="sq-AL"/>
        </w:rPr>
        <w:t>-</w:t>
      </w:r>
      <w:r w:rsidRPr="00144D33">
        <w:rPr>
          <w:rFonts w:ascii="Garamond" w:hAnsi="Garamond" w:cs="Times New Roman"/>
          <w:color w:val="000000"/>
          <w:sz w:val="24"/>
          <w:szCs w:val="24"/>
          <w:lang w:val="sq-AL"/>
        </w:rPr>
        <w:t>ditor i paraburgimit që konsumohet gjatë gjykimit të çështjes para gjyqtarit të seancës paraprake, i takon fazës së gjykimit të çështjes në themel (në shkallë të parë)</w:t>
      </w:r>
      <w:r w:rsidR="00AF37BA">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kur gjyqtari i seancës paraprake disponon</w:t>
      </w:r>
      <w:r w:rsidR="00AF37BA">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për:</w:t>
      </w:r>
      <w:r w:rsidR="00144D33">
        <w:rPr>
          <w:rFonts w:ascii="Garamond" w:hAnsi="Garamond" w:cs="Times New Roman"/>
          <w:color w:val="000000"/>
          <w:sz w:val="24"/>
          <w:szCs w:val="24"/>
          <w:lang w:val="sq-AL"/>
        </w:rPr>
        <w:t xml:space="preserve"> </w:t>
      </w:r>
    </w:p>
    <w:p w14:paraId="57F6035D" w14:textId="58FBBAF0" w:rsidR="00CB3EA3" w:rsidRPr="00144D33" w:rsidRDefault="00CB3EA3" w:rsidP="00AF37B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 xml:space="preserve">- </w:t>
      </w:r>
      <w:r w:rsidRPr="00144D33">
        <w:rPr>
          <w:rFonts w:ascii="Garamond" w:hAnsi="Garamond" w:cs="Times New Roman"/>
          <w:color w:val="000000"/>
          <w:sz w:val="24"/>
          <w:szCs w:val="24"/>
          <w:lang w:val="sq-AL"/>
        </w:rPr>
        <w:t>pranimin e kërkesës së prokurorit dhe dërgimin e çështjes në gjyq</w:t>
      </w:r>
      <w:r w:rsidR="00AF37BA">
        <w:rPr>
          <w:rFonts w:ascii="Garamond" w:hAnsi="Garamond" w:cs="Times New Roman"/>
          <w:color w:val="000000"/>
          <w:sz w:val="24"/>
          <w:szCs w:val="24"/>
          <w:lang w:val="sq-AL"/>
        </w:rPr>
        <w:t>;</w:t>
      </w:r>
      <w:r w:rsidR="00144D33">
        <w:rPr>
          <w:rFonts w:ascii="Garamond" w:hAnsi="Garamond" w:cs="Times New Roman"/>
          <w:color w:val="000000"/>
          <w:sz w:val="24"/>
          <w:szCs w:val="24"/>
          <w:lang w:val="sq-AL"/>
        </w:rPr>
        <w:t xml:space="preserve"> </w:t>
      </w:r>
    </w:p>
    <w:p w14:paraId="13EBF096" w14:textId="35F7DE87" w:rsidR="00CB3EA3" w:rsidRPr="00144D33" w:rsidRDefault="00CB3EA3" w:rsidP="00AF37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i/>
          <w:iCs/>
          <w:color w:val="000000"/>
          <w:sz w:val="24"/>
          <w:szCs w:val="24"/>
          <w:lang w:val="sq-AL"/>
        </w:rPr>
        <w:t>-</w:t>
      </w:r>
      <w:r w:rsidR="00481290">
        <w:rPr>
          <w:rFonts w:ascii="Garamond" w:hAnsi="Garamond" w:cs="Times New Roman"/>
          <w:i/>
          <w:iCs/>
          <w:color w:val="000000"/>
          <w:sz w:val="24"/>
          <w:szCs w:val="24"/>
          <w:lang w:val="sq-AL"/>
        </w:rPr>
        <w:t xml:space="preserve"> </w:t>
      </w:r>
      <w:r w:rsidRPr="00481290">
        <w:rPr>
          <w:rFonts w:ascii="Garamond" w:hAnsi="Garamond" w:cs="Times New Roman"/>
          <w:color w:val="000000"/>
          <w:sz w:val="24"/>
          <w:szCs w:val="24"/>
          <w:lang w:val="sq-AL"/>
        </w:rPr>
        <w:t>vi</w:t>
      </w:r>
      <w:r w:rsidRPr="00144D33">
        <w:rPr>
          <w:rFonts w:ascii="Garamond" w:hAnsi="Garamond" w:cs="Times New Roman"/>
          <w:color w:val="000000"/>
          <w:sz w:val="24"/>
          <w:szCs w:val="24"/>
          <w:lang w:val="sq-AL"/>
        </w:rPr>
        <w:t>jimin e gjykimit nga e njëjta Gjykatë, kur palët paraqesin marrëveshje mbi kushtet e fajësisë dhe caktimit të dënimit</w:t>
      </w:r>
      <w:r w:rsidR="00AF37BA">
        <w:rPr>
          <w:rFonts w:ascii="Garamond" w:hAnsi="Garamond" w:cs="Times New Roman"/>
          <w:color w:val="000000"/>
          <w:sz w:val="24"/>
          <w:szCs w:val="24"/>
          <w:lang w:val="sq-AL"/>
        </w:rPr>
        <w:t>;</w:t>
      </w:r>
    </w:p>
    <w:p w14:paraId="5D797040" w14:textId="5E161423" w:rsidR="00CB3EA3" w:rsidRPr="00144D33" w:rsidRDefault="00CB3EA3" w:rsidP="00AF37B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color w:val="000000"/>
          <w:sz w:val="24"/>
          <w:szCs w:val="24"/>
          <w:lang w:val="sq-AL"/>
        </w:rPr>
        <w:t>- vijimin e gjykimit nga e njëjta gjykatë kur i pandehuri ka kërkuar gjykim të shkurtuar</w:t>
      </w:r>
      <w:r w:rsidR="00AF37BA">
        <w:rPr>
          <w:rFonts w:ascii="Garamond" w:hAnsi="Garamond" w:cs="Times New Roman"/>
          <w:color w:val="000000"/>
          <w:sz w:val="24"/>
          <w:szCs w:val="24"/>
          <w:lang w:val="sq-AL"/>
        </w:rPr>
        <w:t>;</w:t>
      </w:r>
    </w:p>
    <w:p w14:paraId="16D42537" w14:textId="42604168" w:rsidR="00CB3EA3" w:rsidRPr="00144D33" w:rsidRDefault="00CB3EA3" w:rsidP="00CB3EA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i/>
          <w:iCs/>
          <w:color w:val="000000"/>
          <w:sz w:val="24"/>
          <w:szCs w:val="24"/>
          <w:lang w:val="sq-AL"/>
        </w:rPr>
        <w:t>-</w:t>
      </w:r>
      <w:r w:rsidR="00AF37BA">
        <w:rPr>
          <w:rFonts w:ascii="Garamond" w:hAnsi="Garamond" w:cs="Times New Roman"/>
          <w:i/>
          <w:iCs/>
          <w:color w:val="000000"/>
          <w:sz w:val="24"/>
          <w:szCs w:val="24"/>
          <w:lang w:val="sq-AL"/>
        </w:rPr>
        <w:t xml:space="preserve"> </w:t>
      </w:r>
      <w:r w:rsidRPr="00144D33">
        <w:rPr>
          <w:rFonts w:ascii="Garamond" w:hAnsi="Garamond" w:cs="Times New Roman"/>
          <w:color w:val="000000"/>
          <w:sz w:val="24"/>
          <w:szCs w:val="24"/>
          <w:lang w:val="sq-AL"/>
        </w:rPr>
        <w:t>pushimin e akuzës ose të çështjes apo deklarimin e moskompetencës dhe dërgimin e çështjes në gjykatën kompetente, në rastet e parashikuara në ligj, sipas nenit 332/dh, shkronjat “c” dhe “d” të KPP</w:t>
      </w:r>
      <w:r w:rsidR="00AF37BA">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w:t>
      </w:r>
      <w:r w:rsidR="00144D33">
        <w:rPr>
          <w:rFonts w:ascii="Garamond" w:hAnsi="Garamond" w:cs="Times New Roman"/>
          <w:color w:val="000000"/>
          <w:sz w:val="24"/>
          <w:szCs w:val="24"/>
          <w:lang w:val="sq-AL"/>
        </w:rPr>
        <w:t xml:space="preserve"> </w:t>
      </w:r>
    </w:p>
    <w:p w14:paraId="63A459EA" w14:textId="753BDA09" w:rsidR="00CB3EA3" w:rsidRPr="00144D33" w:rsidRDefault="00CB3EA3" w:rsidP="00AF37B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44D33">
        <w:rPr>
          <w:rFonts w:ascii="Garamond" w:hAnsi="Garamond" w:cs="Times New Roman"/>
          <w:color w:val="000000"/>
          <w:sz w:val="24"/>
          <w:szCs w:val="24"/>
          <w:lang w:val="sq-AL"/>
        </w:rPr>
        <w:t>41.2 Ndërsa, për sa i përket situatës procedurale të parashikuar në nenet 332/ç dhe 332/d paragrafi i tretë i KPP</w:t>
      </w:r>
      <w:r w:rsidR="00C00687">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kur gjyqtari i seancës paraprake disponon</w:t>
      </w:r>
      <w:r w:rsidR="00C00687">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w:t>
      </w:r>
      <w:r w:rsidRPr="00144D33">
        <w:rPr>
          <w:rFonts w:ascii="Garamond" w:hAnsi="Garamond" w:cs="Times New Roman"/>
          <w:i/>
          <w:iCs/>
          <w:color w:val="000000"/>
          <w:sz w:val="24"/>
          <w:szCs w:val="24"/>
          <w:lang w:val="sq-AL"/>
        </w:rPr>
        <w:t>“kthimin e akteve prokurorit”</w:t>
      </w:r>
      <w:r w:rsidRPr="00144D33">
        <w:rPr>
          <w:rFonts w:ascii="Garamond" w:hAnsi="Garamond" w:cs="Times New Roman"/>
          <w:color w:val="000000"/>
          <w:sz w:val="24"/>
          <w:szCs w:val="24"/>
          <w:lang w:val="sq-AL"/>
        </w:rPr>
        <w:t xml:space="preserve"> </w:t>
      </w:r>
      <w:r w:rsidRPr="00C00687">
        <w:rPr>
          <w:rFonts w:ascii="Garamond" w:hAnsi="Garamond" w:cs="Times New Roman"/>
          <w:color w:val="000000"/>
          <w:sz w:val="24"/>
          <w:szCs w:val="24"/>
          <w:lang w:val="sq-AL"/>
        </w:rPr>
        <w:t xml:space="preserve">për </w:t>
      </w:r>
      <w:r w:rsidRPr="00144D33">
        <w:rPr>
          <w:rFonts w:ascii="Garamond" w:hAnsi="Garamond" w:cs="Times New Roman"/>
          <w:i/>
          <w:iCs/>
          <w:color w:val="000000"/>
          <w:sz w:val="24"/>
          <w:szCs w:val="24"/>
          <w:lang w:val="sq-AL"/>
        </w:rPr>
        <w:t>“plotësimin e hetimeve</w:t>
      </w:r>
      <w:r w:rsidRPr="00144D33">
        <w:rPr>
          <w:rFonts w:ascii="Garamond" w:hAnsi="Garamond" w:cs="Times New Roman"/>
          <w:color w:val="000000"/>
          <w:sz w:val="24"/>
          <w:szCs w:val="24"/>
          <w:lang w:val="sq-AL"/>
        </w:rPr>
        <w:t>” dhe për “</w:t>
      </w:r>
      <w:r w:rsidRPr="00144D33">
        <w:rPr>
          <w:rFonts w:ascii="Garamond" w:hAnsi="Garamond" w:cs="Times New Roman"/>
          <w:i/>
          <w:iCs/>
          <w:color w:val="000000"/>
          <w:sz w:val="24"/>
          <w:szCs w:val="24"/>
          <w:lang w:val="sq-AL"/>
        </w:rPr>
        <w:t>korrigjimin dhe saktësimin e akuzës”</w:t>
      </w:r>
      <w:r w:rsidRPr="00144D33">
        <w:rPr>
          <w:rFonts w:ascii="Garamond" w:hAnsi="Garamond" w:cs="Times New Roman"/>
          <w:color w:val="000000"/>
          <w:sz w:val="24"/>
          <w:szCs w:val="24"/>
          <w:lang w:val="sq-AL"/>
        </w:rPr>
        <w:t>,</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pra me verifikimin e pamundësisë së konkludimit të seancës paraprake, në dy rastet e sipërcituara, Kolegji, konsideron periudhën e konsumimit të afateve të paraburgimit për llogari të fazës së procedimi penal, të hetimeve paraprake.</w:t>
      </w:r>
    </w:p>
    <w:p w14:paraId="331A42EC"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42. Sa më sipër, Kolegji Penal i Gjykatës së Lartë, vlerëson që në lidhje me pyetjen e shtruar për njësim, duhet të arrihet në këtë përfundim njësues:</w:t>
      </w:r>
    </w:p>
    <w:p w14:paraId="11861434" w14:textId="1C9548D1" w:rsidR="00CB3EA3" w:rsidRPr="00B85090" w:rsidRDefault="00CB3EA3" w:rsidP="00CB3EA3">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B85090">
        <w:rPr>
          <w:rFonts w:ascii="Garamond" w:hAnsi="Garamond" w:cs="Times New Roman"/>
          <w:b/>
          <w:bCs/>
          <w:i/>
          <w:iCs/>
          <w:color w:val="000000"/>
          <w:sz w:val="24"/>
          <w:szCs w:val="24"/>
          <w:lang w:val="sq-AL"/>
        </w:rPr>
        <w:t>1. Afati i paraburgimit që konsumohet gjatë seancës paraprake i takon fazës procedurale të hetimit paraprak</w:t>
      </w:r>
      <w:r w:rsidR="00C00687" w:rsidRPr="00B85090">
        <w:rPr>
          <w:rFonts w:ascii="Garamond" w:hAnsi="Garamond" w:cs="Times New Roman"/>
          <w:b/>
          <w:bCs/>
          <w:i/>
          <w:iCs/>
          <w:color w:val="000000"/>
          <w:sz w:val="24"/>
          <w:szCs w:val="24"/>
          <w:lang w:val="sq-AL"/>
        </w:rPr>
        <w:t>, kur</w:t>
      </w:r>
      <w:r w:rsidRPr="00B85090">
        <w:rPr>
          <w:rFonts w:ascii="Garamond" w:hAnsi="Garamond" w:cs="Times New Roman"/>
          <w:b/>
          <w:bCs/>
          <w:i/>
          <w:iCs/>
          <w:color w:val="000000"/>
          <w:sz w:val="24"/>
          <w:szCs w:val="24"/>
          <w:lang w:val="sq-AL"/>
        </w:rPr>
        <w:t xml:space="preserve"> gjyqtari i seancës paraprake disponon “Për plotësimin e hetimeve”, sipas nenit 332/c dhe/ose “Për kthimin e akteve prokurorit për korrigjimin ose saktësimin e akuzës”, sipas nenit 332/d, pika 3</w:t>
      </w:r>
      <w:r w:rsidR="00C00687" w:rsidRPr="00B85090">
        <w:rPr>
          <w:rFonts w:ascii="Garamond" w:hAnsi="Garamond" w:cs="Times New Roman"/>
          <w:b/>
          <w:bCs/>
          <w:i/>
          <w:iCs/>
          <w:color w:val="000000"/>
          <w:sz w:val="24"/>
          <w:szCs w:val="24"/>
          <w:lang w:val="sq-AL"/>
        </w:rPr>
        <w:t>,</w:t>
      </w:r>
      <w:r w:rsidRPr="00B85090">
        <w:rPr>
          <w:rFonts w:ascii="Garamond" w:hAnsi="Garamond" w:cs="Times New Roman"/>
          <w:b/>
          <w:bCs/>
          <w:i/>
          <w:iCs/>
          <w:color w:val="000000"/>
          <w:sz w:val="24"/>
          <w:szCs w:val="24"/>
          <w:lang w:val="sq-AL"/>
        </w:rPr>
        <w:t xml:space="preserve"> e KPP</w:t>
      </w:r>
      <w:r w:rsidR="00C00687" w:rsidRPr="00B85090">
        <w:rPr>
          <w:rFonts w:ascii="Garamond" w:hAnsi="Garamond" w:cs="Times New Roman"/>
          <w:b/>
          <w:bCs/>
          <w:i/>
          <w:iCs/>
          <w:color w:val="000000"/>
          <w:sz w:val="24"/>
          <w:szCs w:val="24"/>
          <w:lang w:val="sq-AL"/>
        </w:rPr>
        <w:t>-së</w:t>
      </w:r>
      <w:r w:rsidRPr="00B85090">
        <w:rPr>
          <w:rFonts w:ascii="Garamond" w:hAnsi="Garamond" w:cs="Times New Roman"/>
          <w:b/>
          <w:bCs/>
          <w:i/>
          <w:iCs/>
          <w:color w:val="000000"/>
          <w:sz w:val="24"/>
          <w:szCs w:val="24"/>
          <w:lang w:val="sq-AL"/>
        </w:rPr>
        <w:t>.</w:t>
      </w:r>
    </w:p>
    <w:p w14:paraId="5FC1D8C5" w14:textId="1B85A829" w:rsidR="00CB3EA3" w:rsidRPr="00B85090" w:rsidRDefault="00CB3EA3" w:rsidP="00CB3EA3">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B85090">
        <w:rPr>
          <w:rFonts w:ascii="Garamond" w:hAnsi="Garamond" w:cs="Times New Roman"/>
          <w:b/>
          <w:bCs/>
          <w:i/>
          <w:iCs/>
          <w:color w:val="000000"/>
          <w:sz w:val="24"/>
          <w:szCs w:val="24"/>
          <w:lang w:val="sq-AL"/>
        </w:rPr>
        <w:t>2. Afati i paraburgimit që konsumohet gjatë seancës paraprake i takon fazës procedurale të gjykimit, kur gjyqtari i seancës paraprake disponon</w:t>
      </w:r>
      <w:r w:rsidR="00AB734A" w:rsidRPr="00B85090">
        <w:rPr>
          <w:rFonts w:ascii="Garamond" w:hAnsi="Garamond" w:cs="Times New Roman"/>
          <w:b/>
          <w:bCs/>
          <w:i/>
          <w:iCs/>
          <w:color w:val="000000"/>
          <w:sz w:val="24"/>
          <w:szCs w:val="24"/>
          <w:lang w:val="sq-AL"/>
        </w:rPr>
        <w:t>,</w:t>
      </w:r>
      <w:r w:rsidRPr="00B85090">
        <w:rPr>
          <w:rFonts w:ascii="Garamond" w:hAnsi="Garamond" w:cs="Times New Roman"/>
          <w:b/>
          <w:bCs/>
          <w:i/>
          <w:iCs/>
          <w:color w:val="000000"/>
          <w:sz w:val="24"/>
          <w:szCs w:val="24"/>
          <w:lang w:val="sq-AL"/>
        </w:rPr>
        <w:t xml:space="preserve"> për:</w:t>
      </w:r>
    </w:p>
    <w:p w14:paraId="2AA5DB27" w14:textId="77777777" w:rsidR="00CB3EA3" w:rsidRPr="00B85090" w:rsidRDefault="00CB3EA3" w:rsidP="00CB3EA3">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B85090">
        <w:rPr>
          <w:rFonts w:ascii="Garamond" w:hAnsi="Garamond" w:cs="Times New Roman"/>
          <w:b/>
          <w:bCs/>
          <w:i/>
          <w:iCs/>
          <w:color w:val="000000"/>
          <w:sz w:val="24"/>
          <w:szCs w:val="24"/>
          <w:lang w:val="sq-AL"/>
        </w:rPr>
        <w:t>a) pranimin e kërkesës së prokurorit dhe dërgimin e çështjes në gjyq;</w:t>
      </w:r>
    </w:p>
    <w:p w14:paraId="37D53BFD" w14:textId="168B8C04" w:rsidR="00CB3EA3" w:rsidRPr="00B85090" w:rsidRDefault="00CB3EA3" w:rsidP="00CB3EA3">
      <w:pPr>
        <w:autoSpaceDE w:val="0"/>
        <w:autoSpaceDN w:val="0"/>
        <w:adjustRightInd w:val="0"/>
        <w:spacing w:after="0" w:line="240" w:lineRule="auto"/>
        <w:ind w:firstLine="284"/>
        <w:rPr>
          <w:rFonts w:ascii="Garamond" w:hAnsi="Garamond" w:cs="Times New Roman"/>
          <w:b/>
          <w:bCs/>
          <w:i/>
          <w:iCs/>
          <w:color w:val="000000"/>
          <w:sz w:val="24"/>
          <w:szCs w:val="24"/>
          <w:lang w:val="sq-AL"/>
        </w:rPr>
      </w:pPr>
      <w:r w:rsidRPr="00B85090">
        <w:rPr>
          <w:rFonts w:ascii="Garamond" w:hAnsi="Garamond" w:cs="Times New Roman"/>
          <w:b/>
          <w:bCs/>
          <w:i/>
          <w:iCs/>
          <w:color w:val="000000"/>
          <w:sz w:val="24"/>
          <w:szCs w:val="24"/>
          <w:lang w:val="sq-AL"/>
        </w:rPr>
        <w:t xml:space="preserve">b) vijimin e gjykimit nga e njëjta gjykatë, kur palët paraqesin marrëveshje mbi kushtet e fajësisë dhe </w:t>
      </w:r>
      <w:r w:rsidR="00694B1E" w:rsidRPr="00B85090">
        <w:rPr>
          <w:rFonts w:ascii="Garamond" w:hAnsi="Garamond" w:cs="Times New Roman"/>
          <w:b/>
          <w:bCs/>
          <w:i/>
          <w:iCs/>
          <w:color w:val="000000"/>
          <w:sz w:val="24"/>
          <w:szCs w:val="24"/>
          <w:lang w:val="sq-AL"/>
        </w:rPr>
        <w:t xml:space="preserve">të </w:t>
      </w:r>
      <w:r w:rsidRPr="00B85090">
        <w:rPr>
          <w:rFonts w:ascii="Garamond" w:hAnsi="Garamond" w:cs="Times New Roman"/>
          <w:b/>
          <w:bCs/>
          <w:i/>
          <w:iCs/>
          <w:color w:val="000000"/>
          <w:sz w:val="24"/>
          <w:szCs w:val="24"/>
          <w:lang w:val="sq-AL"/>
        </w:rPr>
        <w:t>caktimit të dënimit;</w:t>
      </w:r>
    </w:p>
    <w:p w14:paraId="0A6B2411" w14:textId="6AA099BB" w:rsidR="00CB3EA3" w:rsidRPr="00B85090" w:rsidRDefault="00CB3EA3" w:rsidP="00CB3EA3">
      <w:pPr>
        <w:autoSpaceDE w:val="0"/>
        <w:autoSpaceDN w:val="0"/>
        <w:adjustRightInd w:val="0"/>
        <w:spacing w:after="0" w:line="240" w:lineRule="auto"/>
        <w:ind w:firstLine="284"/>
        <w:rPr>
          <w:rFonts w:ascii="Garamond" w:hAnsi="Garamond" w:cs="Times New Roman"/>
          <w:b/>
          <w:bCs/>
          <w:i/>
          <w:iCs/>
          <w:color w:val="000000"/>
          <w:sz w:val="24"/>
          <w:szCs w:val="24"/>
          <w:lang w:val="sq-AL"/>
        </w:rPr>
      </w:pPr>
      <w:r w:rsidRPr="00B85090">
        <w:rPr>
          <w:rFonts w:ascii="Garamond" w:hAnsi="Garamond" w:cs="Times New Roman"/>
          <w:b/>
          <w:bCs/>
          <w:i/>
          <w:iCs/>
          <w:color w:val="000000"/>
          <w:sz w:val="24"/>
          <w:szCs w:val="24"/>
          <w:lang w:val="sq-AL"/>
        </w:rPr>
        <w:t>c) vijimin e gjykimit nga e njëjta gjykatë, kur i pandehuri ka kërkuar gjykim të shkurtuar;</w:t>
      </w:r>
    </w:p>
    <w:p w14:paraId="4B535AC5" w14:textId="2C8D6532" w:rsidR="00CB3EA3" w:rsidRPr="00B85090" w:rsidRDefault="00CB3EA3" w:rsidP="00CB3EA3">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A36976">
        <w:rPr>
          <w:rFonts w:ascii="Garamond" w:hAnsi="Garamond" w:cs="Times New Roman"/>
          <w:b/>
          <w:bCs/>
          <w:i/>
          <w:iCs/>
          <w:color w:val="000000"/>
          <w:sz w:val="24"/>
          <w:szCs w:val="24"/>
          <w:lang w:val="sq-AL"/>
        </w:rPr>
        <w:t>ę)</w:t>
      </w:r>
      <w:r w:rsidR="00694B1E" w:rsidRPr="00B85090">
        <w:rPr>
          <w:rFonts w:ascii="Garamond" w:hAnsi="Garamond" w:cs="Times New Roman"/>
          <w:b/>
          <w:bCs/>
          <w:i/>
          <w:iCs/>
          <w:color w:val="000000"/>
          <w:sz w:val="24"/>
          <w:szCs w:val="24"/>
          <w:lang w:val="sq-AL"/>
        </w:rPr>
        <w:t xml:space="preserve"> </w:t>
      </w:r>
      <w:r w:rsidRPr="00B85090">
        <w:rPr>
          <w:rFonts w:ascii="Garamond" w:hAnsi="Garamond" w:cs="Times New Roman"/>
          <w:b/>
          <w:bCs/>
          <w:i/>
          <w:iCs/>
          <w:color w:val="000000"/>
          <w:sz w:val="24"/>
          <w:szCs w:val="24"/>
          <w:lang w:val="sq-AL"/>
        </w:rPr>
        <w:t>për pu</w:t>
      </w:r>
      <w:r w:rsidR="00ED61EE">
        <w:rPr>
          <w:rFonts w:ascii="Garamond" w:hAnsi="Garamond" w:cs="Times New Roman"/>
          <w:b/>
          <w:bCs/>
          <w:i/>
          <w:iCs/>
          <w:color w:val="000000"/>
          <w:sz w:val="24"/>
          <w:szCs w:val="24"/>
          <w:lang w:val="sq-AL"/>
        </w:rPr>
        <w:t>shimin e akuzës ose të çështjes</w:t>
      </w:r>
      <w:r w:rsidRPr="00B85090">
        <w:rPr>
          <w:rFonts w:ascii="Garamond" w:hAnsi="Garamond" w:cs="Times New Roman"/>
          <w:b/>
          <w:bCs/>
          <w:i/>
          <w:iCs/>
          <w:color w:val="000000"/>
          <w:sz w:val="24"/>
          <w:szCs w:val="24"/>
          <w:lang w:val="sq-AL"/>
        </w:rPr>
        <w:t xml:space="preserve"> apo deklarimin e moskompetencës dhe dërgimin e çështjes në gjykatën kompetente</w:t>
      </w:r>
      <w:r w:rsidR="00ED61EE">
        <w:rPr>
          <w:rFonts w:ascii="Garamond" w:hAnsi="Garamond" w:cs="Times New Roman"/>
          <w:b/>
          <w:bCs/>
          <w:i/>
          <w:iCs/>
          <w:color w:val="000000"/>
          <w:sz w:val="24"/>
          <w:szCs w:val="24"/>
          <w:lang w:val="sq-AL"/>
        </w:rPr>
        <w:t>,</w:t>
      </w:r>
      <w:r w:rsidRPr="00B85090">
        <w:rPr>
          <w:rFonts w:ascii="Garamond" w:hAnsi="Garamond" w:cs="Times New Roman"/>
          <w:b/>
          <w:bCs/>
          <w:i/>
          <w:iCs/>
          <w:color w:val="000000"/>
          <w:sz w:val="24"/>
          <w:szCs w:val="24"/>
          <w:lang w:val="sq-AL"/>
        </w:rPr>
        <w:t xml:space="preserve"> në rastet e parashikuara në ligi, sipas nenit 332/dh shkronjat “ç” e “d” të Kodit të Procedurës Penale.</w:t>
      </w:r>
    </w:p>
    <w:p w14:paraId="57CE130D" w14:textId="1AACE022" w:rsidR="00CB3EA3" w:rsidRPr="00144D33" w:rsidRDefault="00ED61EE" w:rsidP="00ED61E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43. Duke u kthyer te </w:t>
      </w:r>
      <w:r w:rsidR="00CB3EA3" w:rsidRPr="00144D33">
        <w:rPr>
          <w:rFonts w:ascii="Garamond" w:hAnsi="Garamond" w:cs="Times New Roman"/>
          <w:color w:val="000000"/>
          <w:sz w:val="24"/>
          <w:szCs w:val="24"/>
          <w:lang w:val="sq-AL"/>
        </w:rPr>
        <w:t>rasti konkret, çështja objekt gjykimi, që i përket rekursit të paraqitur prej kërkuesit Vata, ndaj vendimmarrjes së Gjykatës së Rrethit Gjyqësor Kukës dhe asaj të Apelit Shkodër, të cilat lidhur me kërkesën për deklarimin e shuarjes së masës së sigurimit personal “arrest në burg” të caktuar ndaj ti</w:t>
      </w:r>
      <w:r>
        <w:rPr>
          <w:rFonts w:ascii="Garamond" w:hAnsi="Garamond" w:cs="Times New Roman"/>
          <w:color w:val="000000"/>
          <w:sz w:val="24"/>
          <w:szCs w:val="24"/>
          <w:lang w:val="sq-AL"/>
        </w:rPr>
        <w:t>j, me vendimin nr. 25, datë 18.5.2020</w:t>
      </w:r>
      <w:r w:rsidR="00CB3EA3" w:rsidRPr="00144D33">
        <w:rPr>
          <w:rFonts w:ascii="Garamond" w:hAnsi="Garamond" w:cs="Times New Roman"/>
          <w:color w:val="000000"/>
          <w:sz w:val="24"/>
          <w:szCs w:val="24"/>
          <w:lang w:val="sq-AL"/>
        </w:rPr>
        <w:t xml:space="preserve"> (Gjykata e Rrethit Gjyqësor Kukës </w:t>
      </w:r>
      <w:r>
        <w:rPr>
          <w:rFonts w:ascii="Garamond" w:hAnsi="Garamond" w:cs="Times New Roman"/>
          <w:color w:val="000000"/>
          <w:sz w:val="24"/>
          <w:szCs w:val="24"/>
          <w:lang w:val="sq-AL"/>
        </w:rPr>
        <w:t>–</w:t>
      </w:r>
      <w:r w:rsidR="00CB3EA3" w:rsidRPr="00144D33">
        <w:rPr>
          <w:rFonts w:ascii="Garamond" w:hAnsi="Garamond" w:cs="Times New Roman"/>
          <w:color w:val="000000"/>
          <w:sz w:val="24"/>
          <w:szCs w:val="24"/>
          <w:lang w:val="sq-AL"/>
        </w:rPr>
        <w:t xml:space="preserve"> gjyqtari për hetimet paraprake pranë asaj gjykate), Kolegji Penal, duke </w:t>
      </w:r>
      <w:r>
        <w:rPr>
          <w:rFonts w:ascii="Garamond" w:hAnsi="Garamond" w:cs="Times New Roman"/>
          <w:color w:val="000000"/>
          <w:sz w:val="24"/>
          <w:szCs w:val="24"/>
          <w:lang w:val="sq-AL"/>
        </w:rPr>
        <w:t>i</w:t>
      </w:r>
      <w:r w:rsidR="00CB3EA3" w:rsidRPr="00144D33">
        <w:rPr>
          <w:rFonts w:ascii="Garamond" w:hAnsi="Garamond" w:cs="Times New Roman"/>
          <w:color w:val="000000"/>
          <w:sz w:val="24"/>
          <w:szCs w:val="24"/>
          <w:lang w:val="sq-AL"/>
        </w:rPr>
        <w:t>u referuar konkluzionit njësues</w:t>
      </w:r>
      <w:r w:rsidR="004B0EDB">
        <w:rPr>
          <w:rFonts w:ascii="Garamond" w:hAnsi="Garamond" w:cs="Times New Roman"/>
          <w:color w:val="000000"/>
          <w:sz w:val="24"/>
          <w:szCs w:val="24"/>
          <w:lang w:val="sq-AL"/>
        </w:rPr>
        <w:t>,</w:t>
      </w:r>
      <w:r w:rsidR="00CB3EA3" w:rsidRPr="00144D33">
        <w:rPr>
          <w:rFonts w:ascii="Garamond" w:hAnsi="Garamond" w:cs="Times New Roman"/>
          <w:color w:val="000000"/>
          <w:sz w:val="24"/>
          <w:szCs w:val="24"/>
          <w:lang w:val="sq-AL"/>
        </w:rPr>
        <w:t xml:space="preserve"> sipas të cilit (shkronja “a” e pikës 1 të tij)</w:t>
      </w:r>
      <w:r w:rsidR="00FD16FE">
        <w:rPr>
          <w:rFonts w:ascii="Garamond" w:hAnsi="Garamond" w:cs="Times New Roman"/>
          <w:color w:val="000000"/>
          <w:sz w:val="24"/>
          <w:szCs w:val="24"/>
          <w:lang w:val="sq-AL"/>
        </w:rPr>
        <w:t>:</w:t>
      </w:r>
      <w:r w:rsidR="00CB3EA3" w:rsidRPr="00144D33">
        <w:rPr>
          <w:rFonts w:ascii="Garamond" w:hAnsi="Garamond" w:cs="Times New Roman"/>
          <w:color w:val="000000"/>
          <w:sz w:val="24"/>
          <w:szCs w:val="24"/>
          <w:lang w:val="sq-AL"/>
        </w:rPr>
        <w:t xml:space="preserve"> “periudha e afatit të paraburgimit të konsumuar gjatë fazës të trajtimit të çështjes para gjyqtarit të seancës paraprake, kur prej këtij të fundit, është vendosur dërgimi i çështjes në gjyq, sipas përcaktimit të germës “a”, të paragrafit të parë, të nenit 332/dh të KPP</w:t>
      </w:r>
      <w:r w:rsidR="004B0EDB">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konsiderohet/përfshihet, në cilësinë e afatit të paraburgimit të fazës së gjykimit (në themel, në shkallë të parë) të çështjes, të parashikuar në paragrafin e dytë të nenit 263 të KPP</w:t>
      </w:r>
      <w:r w:rsidR="008B7F9E">
        <w:rPr>
          <w:rFonts w:ascii="Garamond" w:hAnsi="Garamond" w:cs="Times New Roman"/>
          <w:color w:val="000000"/>
          <w:sz w:val="24"/>
          <w:szCs w:val="24"/>
          <w:lang w:val="sq-AL"/>
        </w:rPr>
        <w:t>-së</w:t>
      </w:r>
      <w:r w:rsidR="00CB3EA3" w:rsidRPr="00144D33">
        <w:rPr>
          <w:rFonts w:ascii="Garamond" w:hAnsi="Garamond" w:cs="Times New Roman"/>
          <w:color w:val="000000"/>
          <w:sz w:val="24"/>
          <w:szCs w:val="24"/>
          <w:lang w:val="sq-AL"/>
        </w:rPr>
        <w:t xml:space="preserve">”, konkludon mbi aplikimin e gabuar të ligjit procedural </w:t>
      </w:r>
      <w:r w:rsidR="00A801E0">
        <w:rPr>
          <w:rFonts w:ascii="Garamond" w:hAnsi="Garamond" w:cs="Times New Roman"/>
          <w:color w:val="000000"/>
          <w:sz w:val="24"/>
          <w:szCs w:val="24"/>
          <w:lang w:val="sq-AL"/>
        </w:rPr>
        <w:t>–</w:t>
      </w:r>
      <w:r w:rsidR="00CB3EA3" w:rsidRPr="00144D33">
        <w:rPr>
          <w:rFonts w:ascii="Garamond" w:hAnsi="Garamond" w:cs="Times New Roman"/>
          <w:color w:val="000000"/>
          <w:sz w:val="24"/>
          <w:szCs w:val="24"/>
          <w:lang w:val="sq-AL"/>
        </w:rPr>
        <w:t xml:space="preserve"> përcaktimi i germës “a”, të paragrafit të parë të nenit 332 </w:t>
      </w:r>
      <w:r w:rsidR="001E7C88">
        <w:rPr>
          <w:rFonts w:ascii="Garamond" w:hAnsi="Garamond" w:cs="Times New Roman"/>
          <w:color w:val="000000"/>
          <w:sz w:val="24"/>
          <w:szCs w:val="24"/>
          <w:lang w:val="sq-AL"/>
        </w:rPr>
        <w:t xml:space="preserve">të KPP-së </w:t>
      </w:r>
      <w:r w:rsidR="00A801E0">
        <w:rPr>
          <w:rFonts w:ascii="Garamond" w:hAnsi="Garamond" w:cs="Times New Roman"/>
          <w:color w:val="000000"/>
          <w:sz w:val="24"/>
          <w:szCs w:val="24"/>
          <w:lang w:val="sq-AL"/>
        </w:rPr>
        <w:t>–</w:t>
      </w:r>
      <w:r w:rsidR="00CB3EA3" w:rsidRPr="00144D33">
        <w:rPr>
          <w:rFonts w:ascii="Garamond" w:hAnsi="Garamond" w:cs="Times New Roman"/>
          <w:color w:val="000000"/>
          <w:sz w:val="24"/>
          <w:szCs w:val="24"/>
          <w:lang w:val="sq-AL"/>
        </w:rPr>
        <w:t xml:space="preserve"> prej gjykatave të faktit (të shkallës së parë dhe të dytë).</w:t>
      </w:r>
      <w:r w:rsidR="00144D33">
        <w:rPr>
          <w:rFonts w:ascii="Garamond" w:hAnsi="Garamond" w:cs="Times New Roman"/>
          <w:color w:val="000000"/>
          <w:sz w:val="24"/>
          <w:szCs w:val="24"/>
          <w:lang w:val="sq-AL"/>
        </w:rPr>
        <w:t xml:space="preserve"> </w:t>
      </w:r>
      <w:r w:rsidR="00CB3EA3" w:rsidRPr="00144D33">
        <w:rPr>
          <w:rFonts w:ascii="Garamond" w:hAnsi="Garamond" w:cs="Times New Roman"/>
          <w:color w:val="000000"/>
          <w:sz w:val="24"/>
          <w:szCs w:val="24"/>
          <w:lang w:val="sq-AL"/>
        </w:rPr>
        <w:t>Si pasojë, Kolegji vlerëson se vendimmarrja e gjykatave të faktit, për</w:t>
      </w:r>
      <w:r w:rsidR="00A801E0">
        <w:rPr>
          <w:rFonts w:ascii="Garamond" w:hAnsi="Garamond" w:cs="Times New Roman"/>
          <w:color w:val="000000"/>
          <w:sz w:val="24"/>
          <w:szCs w:val="24"/>
          <w:lang w:val="sq-AL"/>
        </w:rPr>
        <w:t xml:space="preserve"> </w:t>
      </w:r>
      <w:r w:rsidR="00CB3EA3" w:rsidRPr="00144D33">
        <w:rPr>
          <w:rFonts w:ascii="Garamond" w:hAnsi="Garamond" w:cs="Times New Roman"/>
          <w:color w:val="000000"/>
          <w:sz w:val="24"/>
          <w:szCs w:val="24"/>
          <w:lang w:val="sq-AL"/>
        </w:rPr>
        <w:t>sa i përket përllogaritjes të afatit të paraburgimit të konsumuar prej të pandehurit Vat</w:t>
      </w:r>
      <w:r w:rsidR="00DF7FBB">
        <w:rPr>
          <w:rFonts w:ascii="Garamond" w:hAnsi="Garamond" w:cs="Times New Roman"/>
          <w:color w:val="000000"/>
          <w:sz w:val="24"/>
          <w:szCs w:val="24"/>
          <w:lang w:val="sq-AL"/>
        </w:rPr>
        <w:t xml:space="preserve">a, për periudhën prej datës 30.7.2020 deri më datë </w:t>
      </w:r>
      <w:r w:rsidR="00CB3EA3" w:rsidRPr="00144D33">
        <w:rPr>
          <w:rFonts w:ascii="Garamond" w:hAnsi="Garamond" w:cs="Times New Roman"/>
          <w:color w:val="000000"/>
          <w:sz w:val="24"/>
          <w:szCs w:val="24"/>
          <w:lang w:val="sq-AL"/>
        </w:rPr>
        <w:t xml:space="preserve">6.11.2020, si afat të konsumuar gjatë fazës së hetimit paraprak, është i gabuar, duke ndikuar në këtë mënyrë edhe në vlefshmërinë e masës së sigurimit personal të “arrestit në burg”, të caktuar ndaj tij. </w:t>
      </w:r>
    </w:p>
    <w:p w14:paraId="17BDD19C" w14:textId="0116D672"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44. Kolegji së pari vlerëson</w:t>
      </w:r>
      <w:r w:rsidR="00DF7FBB">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se, në lidhje me masat e sigurimit, e drejta për të ushtruar rekurs kundër vendimit të gjykatës së apelit, është parashikuar shprehimisht në pikën 8</w:t>
      </w:r>
      <w:r w:rsidR="00E7203F">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të nenit 249, të KPP</w:t>
      </w:r>
      <w:r w:rsidR="00E7203F">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ku theksohet</w:t>
      </w:r>
      <w:r w:rsidR="00E7203F">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se</w:t>
      </w:r>
      <w:r w:rsidR="00E7203F">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w:t>
      </w:r>
      <w:r w:rsidRPr="00144D33">
        <w:rPr>
          <w:rFonts w:ascii="Garamond" w:hAnsi="Garamond" w:cs="Times New Roman"/>
          <w:i/>
          <w:iCs/>
          <w:color w:val="000000"/>
          <w:sz w:val="24"/>
          <w:szCs w:val="24"/>
          <w:lang w:val="sq-AL"/>
        </w:rPr>
        <w:t>Rekursi në Gjykatën e Lartë lejohet për shkelje të ligjit, brenda kompetencës së saj</w:t>
      </w:r>
      <w:r w:rsidRPr="00144D33">
        <w:rPr>
          <w:rFonts w:ascii="Garamond" w:hAnsi="Garamond" w:cs="Times New Roman"/>
          <w:color w:val="000000"/>
          <w:sz w:val="24"/>
          <w:szCs w:val="24"/>
          <w:lang w:val="sq-AL"/>
        </w:rPr>
        <w:t>”</w:t>
      </w:r>
      <w:r w:rsidRPr="00144D33">
        <w:rPr>
          <w:rFonts w:ascii="Garamond" w:hAnsi="Garamond" w:cs="Times New Roman"/>
          <w:i/>
          <w:iCs/>
          <w:color w:val="000000"/>
          <w:sz w:val="24"/>
          <w:szCs w:val="24"/>
          <w:lang w:val="sq-AL"/>
        </w:rPr>
        <w:t>.</w:t>
      </w:r>
      <w:r w:rsidRPr="00144D33">
        <w:rPr>
          <w:rFonts w:ascii="Garamond" w:hAnsi="Garamond" w:cs="Times New Roman"/>
          <w:color w:val="000000"/>
          <w:sz w:val="24"/>
          <w:szCs w:val="24"/>
          <w:lang w:val="sq-AL"/>
        </w:rPr>
        <w:t xml:space="preserve"> Në këtë vështrim, rekursi në lëndë të masave të sigurimit duhet të evidentojë shprehimisht shkeljen e ligjit, e lidhur kjo edhe me sa parashikon neni 432 i KPP</w:t>
      </w:r>
      <w:r w:rsidR="00264EAE">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ku janë parashikuar shkaqet për të cilat lejohet rekursi në Gjykatën e Lartë. Kolegji thekson se juridiksioni rishikues i Gjykatës së Lartë, nënkupton shqyrtimin e rekurseve për shkelje të ligjit material dhe procedural, duke siguruar zbatimin uniform të ligjit apo zhvillimin e praktikës gjyqësore.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Ligji nuk i jep Gjykatës së Lartë asnjë kompetencë për të shqyrtuar elementet materiale dhe faktike të ngjarjeve të hetuara, përfshirë nivelin e provave që mbështesin dyshimin e arsyeshëm apo elementet</w:t>
      </w:r>
      <w:r w:rsidR="00DF759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që lidhen me vlerësimin e nevojave të sigurimit në rastin konkret.</w:t>
      </w:r>
      <w:r w:rsidR="00144D33">
        <w:rPr>
          <w:rFonts w:ascii="Garamond" w:hAnsi="Garamond" w:cs="Times New Roman"/>
          <w:color w:val="000000"/>
          <w:sz w:val="24"/>
          <w:szCs w:val="24"/>
          <w:lang w:val="sq-AL"/>
        </w:rPr>
        <w:t xml:space="preserve"> </w:t>
      </w:r>
    </w:p>
    <w:p w14:paraId="681F191F" w14:textId="498B2FA1"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45. Kolegji vlerëson</w:t>
      </w:r>
      <w:r w:rsidR="00DF759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se, edhe në rastin e rekurseve në lëndë të masave të sigurimit, shqyrtimi i tyre lidhet ngushtësisht me pretendimet për shkelje të ligjit. Në këtë vështrim, shqyrtimi i fakteve dhe i provave/akteve edhe në këtë rast, del jashtë juridiksionit ekskluzivisht ligjor të Gjykatës së Lartë.</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Kolegji arriti në këtë konkluzion</w:t>
      </w:r>
      <w:r w:rsidR="00DF759E">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pasi shtroi për diskutim nëse kushtet e kërkuara nga neni 266 i KPP</w:t>
      </w:r>
      <w:r w:rsidR="00DF759E">
        <w:rPr>
          <w:rFonts w:ascii="Garamond" w:hAnsi="Garamond" w:cs="Times New Roman"/>
          <w:color w:val="000000"/>
          <w:sz w:val="24"/>
          <w:szCs w:val="24"/>
          <w:lang w:val="sq-AL"/>
        </w:rPr>
        <w:t>-së</w:t>
      </w:r>
      <w:r w:rsidRPr="00144D33">
        <w:rPr>
          <w:rFonts w:ascii="Garamond" w:hAnsi="Garamond" w:cs="Times New Roman"/>
          <w:color w:val="000000"/>
          <w:sz w:val="24"/>
          <w:szCs w:val="24"/>
          <w:lang w:val="sq-AL"/>
        </w:rPr>
        <w:t xml:space="preserve"> mund të verifikohen në Gjykatën e Lartë, si gjykatë ligji apo duhen verifikuar në gjykatat e faktit. Ky diskutim lind pasi shqyrtimi i kushteve për caktimin e masave të sigurimit, siç mund të jetë ekzistenca në vijim e dyshimit të arsyeshëm të bazuar në prova ose/dhe shqyrtimi i kritereve si përshtatshmëria e masës së sigurimit apo analiza e proporcionalitetit, kërkon domosdoshmërisht edhe çmuarjen e provave/akteve të përfshira në fashikull, vlerësim të rrethanave të faktit dhe të nevojave të sigurimit, vlerësim të personalitetit të të hetuarit/dyshuarit, vlerësim të rrezikshmërisë së veprës penale dhe të autorit të dyshuar të saj. Kolegji vlerëson se, kufizimi në këtë rast është i lidhur me pamundësinë e Gjykatës së Lartë për të caktuar masën më të përshtatshme të sigurimit, qoftë në favor apo kundër të dyshuarit. </w:t>
      </w:r>
    </w:p>
    <w:p w14:paraId="0C13B719" w14:textId="6E9C82FB"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46. Kolegji Penal, duke vlerësuar ligjshmërinë (e munguar) të vendimmarrjes së Gjykatës së Apelit Shkodër</w:t>
      </w:r>
      <w:r w:rsidR="003133BA">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por në të njëjtën kohë edhe pamundësinë faktike të tij për të disponuar korrigjimin e kësaj paligjshmërie, në mënyrë të drejtpërdrejtë, duke zëvendësuar dhe “uzurpuar” diskrecionin e gjykatave të faktit, çmon se vendimi i Gjykatës së A</w:t>
      </w:r>
      <w:r w:rsidR="003133BA">
        <w:rPr>
          <w:rFonts w:ascii="Garamond" w:hAnsi="Garamond" w:cs="Times New Roman"/>
          <w:color w:val="000000"/>
          <w:sz w:val="24"/>
          <w:szCs w:val="24"/>
          <w:lang w:val="sq-AL"/>
        </w:rPr>
        <w:t>pelit Shkodër nr. 145, datë 24.</w:t>
      </w:r>
      <w:r w:rsidRPr="00144D33">
        <w:rPr>
          <w:rFonts w:ascii="Garamond" w:hAnsi="Garamond" w:cs="Times New Roman"/>
          <w:color w:val="000000"/>
          <w:sz w:val="24"/>
          <w:szCs w:val="24"/>
          <w:lang w:val="sq-AL"/>
        </w:rPr>
        <w:t>6.2021, që ka vendosur “lënien në fuqi</w:t>
      </w:r>
      <w:r w:rsidR="003133BA">
        <w:rPr>
          <w:rFonts w:ascii="Garamond" w:hAnsi="Garamond" w:cs="Times New Roman"/>
          <w:color w:val="000000"/>
          <w:sz w:val="24"/>
          <w:szCs w:val="24"/>
          <w:lang w:val="sq-AL"/>
        </w:rPr>
        <w:t>” të vendimit nr. 104, datë 12.</w:t>
      </w:r>
      <w:r w:rsidRPr="00144D33">
        <w:rPr>
          <w:rFonts w:ascii="Garamond" w:hAnsi="Garamond" w:cs="Times New Roman"/>
          <w:color w:val="000000"/>
          <w:sz w:val="24"/>
          <w:szCs w:val="24"/>
          <w:lang w:val="sq-AL"/>
        </w:rPr>
        <w:t xml:space="preserve">6.2021, të Gjykatës së Rrethit Gjyqësor Kukës, duhet të prishet duke u kthyer çështja për rigjykim, pranë asaj gjykate si gjykata kompetente. </w:t>
      </w:r>
    </w:p>
    <w:p w14:paraId="66213538" w14:textId="77777777" w:rsidR="00454E3B" w:rsidRPr="00144D33" w:rsidRDefault="00454E3B" w:rsidP="00CB3EA3">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B63DEB8" w14:textId="5FE9137F" w:rsidR="00CB3EA3" w:rsidRPr="00144D33" w:rsidRDefault="00CB3EA3" w:rsidP="00CB3EA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44D33">
        <w:rPr>
          <w:rFonts w:ascii="Garamond" w:hAnsi="Garamond" w:cs="Times New Roman"/>
          <w:bCs/>
          <w:color w:val="000000"/>
          <w:sz w:val="24"/>
          <w:szCs w:val="24"/>
          <w:lang w:val="sq-AL"/>
        </w:rPr>
        <w:t>PËR KËTO ARSYE</w:t>
      </w:r>
      <w:r w:rsidR="00585462" w:rsidRPr="00144D33">
        <w:rPr>
          <w:rFonts w:ascii="Garamond" w:hAnsi="Garamond" w:cs="Times New Roman"/>
          <w:bCs/>
          <w:color w:val="000000"/>
          <w:sz w:val="24"/>
          <w:szCs w:val="24"/>
          <w:lang w:val="sq-AL"/>
        </w:rPr>
        <w:t>,</w:t>
      </w:r>
    </w:p>
    <w:p w14:paraId="7164323A" w14:textId="77777777" w:rsidR="00CB3EA3" w:rsidRPr="00144D33" w:rsidRDefault="00CB3EA3" w:rsidP="00CB3EA3">
      <w:pPr>
        <w:autoSpaceDE w:val="0"/>
        <w:autoSpaceDN w:val="0"/>
        <w:adjustRightInd w:val="0"/>
        <w:spacing w:after="0" w:line="240" w:lineRule="auto"/>
        <w:ind w:firstLine="284"/>
        <w:rPr>
          <w:rFonts w:ascii="Garamond" w:hAnsi="Garamond" w:cs="Times New Roman"/>
          <w:bCs/>
          <w:color w:val="000000"/>
          <w:sz w:val="24"/>
          <w:szCs w:val="24"/>
          <w:lang w:val="sq-AL"/>
        </w:rPr>
      </w:pPr>
    </w:p>
    <w:p w14:paraId="2BE7BECD"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Kolegji Penal i Gjykatës së Lartë, mbështetur në nenet 438 dhe 441/1/, shkronja “c” të Kodit të Procedurës Penale,</w:t>
      </w:r>
    </w:p>
    <w:p w14:paraId="748F8F51" w14:textId="77777777" w:rsidR="00CB3EA3" w:rsidRPr="00144D33" w:rsidRDefault="00CB3EA3" w:rsidP="00CB3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rPr>
          <w:rFonts w:ascii="Garamond" w:hAnsi="Garamond" w:cs="Times New Roman"/>
          <w:b/>
          <w:bCs/>
          <w:color w:val="000000"/>
          <w:spacing w:val="-15"/>
          <w:sz w:val="24"/>
          <w:szCs w:val="24"/>
          <w:lang w:val="sq-AL"/>
        </w:rPr>
      </w:pPr>
    </w:p>
    <w:p w14:paraId="427A1641" w14:textId="630DE2BE" w:rsidR="00CB3EA3" w:rsidRPr="00144D33" w:rsidRDefault="00454E3B" w:rsidP="00CB3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center"/>
        <w:rPr>
          <w:rFonts w:ascii="Garamond" w:hAnsi="Garamond" w:cs="Times New Roman"/>
          <w:bCs/>
          <w:color w:val="000000"/>
          <w:spacing w:val="-15"/>
          <w:sz w:val="24"/>
          <w:szCs w:val="24"/>
          <w:lang w:val="sq-AL"/>
        </w:rPr>
      </w:pPr>
      <w:r w:rsidRPr="00144D33">
        <w:rPr>
          <w:rFonts w:ascii="Garamond" w:hAnsi="Garamond" w:cs="Times New Roman"/>
          <w:bCs/>
          <w:color w:val="000000"/>
          <w:spacing w:val="-15"/>
          <w:sz w:val="24"/>
          <w:szCs w:val="24"/>
          <w:lang w:val="sq-AL"/>
        </w:rPr>
        <w:t>VENDOS</w:t>
      </w:r>
      <w:r w:rsidR="00CB3EA3" w:rsidRPr="00144D33">
        <w:rPr>
          <w:rFonts w:ascii="Garamond" w:hAnsi="Garamond" w:cs="Times New Roman"/>
          <w:bCs/>
          <w:color w:val="000000"/>
          <w:spacing w:val="-15"/>
          <w:sz w:val="24"/>
          <w:szCs w:val="24"/>
          <w:lang w:val="sq-AL"/>
        </w:rPr>
        <w:t>I</w:t>
      </w:r>
      <w:r w:rsidR="00144D33" w:rsidRPr="00144D33">
        <w:rPr>
          <w:rFonts w:ascii="Garamond" w:hAnsi="Garamond" w:cs="Times New Roman"/>
          <w:bCs/>
          <w:color w:val="000000"/>
          <w:spacing w:val="-15"/>
          <w:sz w:val="24"/>
          <w:szCs w:val="24"/>
          <w:lang w:val="sq-AL"/>
        </w:rPr>
        <w:t>:</w:t>
      </w:r>
    </w:p>
    <w:p w14:paraId="60B490F4"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29DC93" w14:textId="5E6FF356" w:rsidR="00CB3EA3" w:rsidRPr="00144D33" w:rsidRDefault="00CB3EA3" w:rsidP="00CB3EA3">
      <w:pPr>
        <w:tabs>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144D33">
        <w:rPr>
          <w:rFonts w:ascii="Garamond" w:hAnsi="Garamond" w:cs="Times New Roman"/>
          <w:color w:val="000000"/>
          <w:sz w:val="24"/>
          <w:szCs w:val="24"/>
          <w:lang w:val="sq-AL"/>
        </w:rPr>
        <w:t>1. Prishjen e vendimit nr. 14</w:t>
      </w:r>
      <w:r w:rsidR="003133BA">
        <w:rPr>
          <w:rFonts w:ascii="Garamond" w:hAnsi="Garamond" w:cs="Times New Roman"/>
          <w:color w:val="000000"/>
          <w:sz w:val="24"/>
          <w:szCs w:val="24"/>
          <w:lang w:val="sq-AL"/>
        </w:rPr>
        <w:t>5, datë 24.</w:t>
      </w:r>
      <w:r w:rsidRPr="00144D33">
        <w:rPr>
          <w:rFonts w:ascii="Garamond" w:hAnsi="Garamond" w:cs="Times New Roman"/>
          <w:color w:val="000000"/>
          <w:sz w:val="24"/>
          <w:szCs w:val="24"/>
          <w:lang w:val="sq-AL"/>
        </w:rPr>
        <w:t>6.2021, të Gjykatës së Apelit Shkodër dhe dërgimin e çështjes për rishqyrtim në atë gjykatë si gjykata kompetente.</w:t>
      </w:r>
      <w:r w:rsidR="00144D33">
        <w:rPr>
          <w:rFonts w:ascii="Garamond" w:hAnsi="Garamond" w:cs="Times New Roman"/>
          <w:color w:val="000000"/>
          <w:sz w:val="24"/>
          <w:szCs w:val="24"/>
          <w:lang w:val="sq-AL"/>
        </w:rPr>
        <w:t xml:space="preserve"> </w:t>
      </w:r>
    </w:p>
    <w:p w14:paraId="02FFB784" w14:textId="29CBE019" w:rsidR="00CB3EA3" w:rsidRPr="00144D33" w:rsidRDefault="00CB3EA3" w:rsidP="00CB3EA3">
      <w:pPr>
        <w:tabs>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144D33">
        <w:rPr>
          <w:rFonts w:ascii="Garamond" w:hAnsi="Garamond" w:cs="Times New Roman"/>
          <w:color w:val="000000"/>
          <w:sz w:val="24"/>
          <w:szCs w:val="24"/>
          <w:lang w:val="sq-AL"/>
        </w:rPr>
        <w:t>2. Ky vendim për njësimin e praktikës gjyqësore publikohet në Fletoren Zyrtare të radhës.</w:t>
      </w:r>
    </w:p>
    <w:p w14:paraId="1B9CB377" w14:textId="77777777" w:rsidR="00454E3B" w:rsidRPr="00144D33" w:rsidRDefault="00454E3B"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72FFAB4" w14:textId="47092B83"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36976">
        <w:rPr>
          <w:rFonts w:ascii="Garamond" w:hAnsi="Garamond" w:cs="Times New Roman"/>
          <w:color w:val="000000"/>
          <w:sz w:val="24"/>
          <w:szCs w:val="24"/>
          <w:highlight w:val="yellow"/>
          <w:lang w:val="sq-AL"/>
        </w:rPr>
        <w:t>Tiranë,</w:t>
      </w:r>
      <w:r w:rsidR="00585462" w:rsidRPr="00A36976">
        <w:rPr>
          <w:rFonts w:ascii="Garamond" w:hAnsi="Garamond" w:cs="Times New Roman"/>
          <w:color w:val="000000"/>
          <w:sz w:val="24"/>
          <w:szCs w:val="24"/>
          <w:highlight w:val="yellow"/>
          <w:lang w:val="sq-AL"/>
        </w:rPr>
        <w:t xml:space="preserve"> më </w:t>
      </w:r>
      <w:r w:rsidRPr="00A36976">
        <w:rPr>
          <w:rFonts w:ascii="Garamond" w:hAnsi="Garamond" w:cs="Times New Roman"/>
          <w:color w:val="000000"/>
          <w:sz w:val="24"/>
          <w:szCs w:val="24"/>
          <w:highlight w:val="yellow"/>
          <w:lang w:val="sq-AL"/>
        </w:rPr>
        <w:t>1.11.2021</w:t>
      </w:r>
      <w:r w:rsidR="00585462" w:rsidRPr="00A36976">
        <w:rPr>
          <w:rFonts w:ascii="Garamond" w:hAnsi="Garamond" w:cs="Times New Roman"/>
          <w:color w:val="000000"/>
          <w:sz w:val="24"/>
          <w:szCs w:val="24"/>
          <w:highlight w:val="yellow"/>
          <w:lang w:val="sq-AL"/>
        </w:rPr>
        <w:t>.</w:t>
      </w:r>
    </w:p>
    <w:p w14:paraId="76B18443"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C82A2D8" w14:textId="71CB2609" w:rsidR="00454E3B" w:rsidRPr="00144D33" w:rsidRDefault="00454E3B"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Kryesues: Ilir Panda</w:t>
      </w:r>
    </w:p>
    <w:p w14:paraId="1709E60C" w14:textId="3AA1DA7C" w:rsidR="00454E3B" w:rsidRPr="00144D33" w:rsidRDefault="00454E3B"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Anëtarë pro: Albana Boksi, Klodian Kurushi, Sandër Simoni</w:t>
      </w:r>
    </w:p>
    <w:p w14:paraId="6E47A71A" w14:textId="577300F2" w:rsidR="00454E3B" w:rsidRPr="00144D33" w:rsidRDefault="00454E3B"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Anëtar</w:t>
      </w:r>
      <w:r w:rsidR="003133BA">
        <w:rPr>
          <w:rFonts w:ascii="Garamond" w:hAnsi="Garamond" w:cs="Times New Roman"/>
          <w:color w:val="000000"/>
          <w:sz w:val="24"/>
          <w:szCs w:val="24"/>
          <w:lang w:val="sq-AL"/>
        </w:rPr>
        <w:t>ë</w:t>
      </w:r>
      <w:r w:rsidR="00A36976">
        <w:rPr>
          <w:rFonts w:ascii="Garamond" w:hAnsi="Garamond" w:cs="Times New Roman"/>
          <w:color w:val="000000"/>
          <w:sz w:val="24"/>
          <w:szCs w:val="24"/>
          <w:lang w:val="sq-AL"/>
        </w:rPr>
        <w:t xml:space="preserve"> pjesërisht kundër: Sokol Bi</w:t>
      </w:r>
      <w:r w:rsidRPr="00144D33">
        <w:rPr>
          <w:rFonts w:ascii="Garamond" w:hAnsi="Garamond" w:cs="Times New Roman"/>
          <w:color w:val="000000"/>
          <w:sz w:val="24"/>
          <w:szCs w:val="24"/>
          <w:lang w:val="sq-AL"/>
        </w:rPr>
        <w:t>naj</w:t>
      </w:r>
    </w:p>
    <w:p w14:paraId="1FAD7588" w14:textId="77777777" w:rsidR="00454E3B" w:rsidRPr="00144D33" w:rsidRDefault="00454E3B"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C0F5EA6" w14:textId="046DA235" w:rsidR="00CB3EA3" w:rsidRPr="00144D33" w:rsidRDefault="00585462" w:rsidP="003133BA">
      <w:pPr>
        <w:autoSpaceDE w:val="0"/>
        <w:autoSpaceDN w:val="0"/>
        <w:adjustRightInd w:val="0"/>
        <w:spacing w:after="0" w:line="240" w:lineRule="auto"/>
        <w:jc w:val="center"/>
        <w:rPr>
          <w:rFonts w:ascii="Garamond" w:hAnsi="Garamond" w:cs="Times New Roman"/>
          <w:b/>
          <w:bCs/>
          <w:color w:val="000000"/>
          <w:sz w:val="24"/>
          <w:szCs w:val="24"/>
          <w:lang w:val="sq-AL"/>
        </w:rPr>
      </w:pPr>
      <w:r w:rsidRPr="00144D33">
        <w:rPr>
          <w:rFonts w:ascii="Garamond" w:hAnsi="Garamond" w:cs="Times New Roman"/>
          <w:b/>
          <w:bCs/>
          <w:color w:val="000000"/>
          <w:sz w:val="24"/>
          <w:szCs w:val="24"/>
          <w:lang w:val="sq-AL"/>
        </w:rPr>
        <w:t>Proces</w:t>
      </w:r>
      <w:r w:rsidR="00CB3EA3" w:rsidRPr="00144D33">
        <w:rPr>
          <w:rFonts w:ascii="Garamond" w:hAnsi="Garamond" w:cs="Times New Roman"/>
          <w:b/>
          <w:bCs/>
          <w:color w:val="000000"/>
          <w:sz w:val="24"/>
          <w:szCs w:val="24"/>
          <w:lang w:val="sq-AL"/>
        </w:rPr>
        <w:t>verbal mbi motivet e kundërshtimit (të pjesshëm) të vendimit të Kolegjit Penal</w:t>
      </w:r>
    </w:p>
    <w:p w14:paraId="04AED85B" w14:textId="77777777" w:rsidR="00CB3EA3" w:rsidRPr="00144D33" w:rsidRDefault="00CB3EA3" w:rsidP="00CB3EA3">
      <w:pPr>
        <w:autoSpaceDE w:val="0"/>
        <w:autoSpaceDN w:val="0"/>
        <w:adjustRightInd w:val="0"/>
        <w:spacing w:after="0" w:line="240" w:lineRule="auto"/>
        <w:ind w:firstLine="284"/>
        <w:rPr>
          <w:rFonts w:ascii="Garamond" w:hAnsi="Garamond" w:cs="Times New Roman"/>
          <w:color w:val="000000"/>
          <w:sz w:val="24"/>
          <w:szCs w:val="24"/>
          <w:lang w:val="sq-AL"/>
        </w:rPr>
      </w:pPr>
    </w:p>
    <w:p w14:paraId="42AECA90" w14:textId="3E3A901A" w:rsidR="00CB3EA3" w:rsidRPr="00144D33" w:rsidRDefault="00CB3EA3" w:rsidP="00AE753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I mbajtur nga unë gjyqtar Sokol Binaj, me cilësinë e anëtarit të Kolegjit Penal në disponim të të cilit rezultoi gjykimi </w:t>
      </w:r>
      <w:r w:rsidRPr="007227FD">
        <w:rPr>
          <w:rFonts w:ascii="Garamond" w:hAnsi="Garamond" w:cs="Times New Roman"/>
          <w:color w:val="000000"/>
          <w:sz w:val="24"/>
          <w:szCs w:val="24"/>
          <w:lang w:val="sq-AL"/>
        </w:rPr>
        <w:t>(njehsues) i çështjes që i përket kërkuesit Durim Vata me objekt deklarimin e shuarjes së masës së sigurimit personal të “arrestit në burg”, të caktuar ndaj ti</w:t>
      </w:r>
      <w:r w:rsidR="00AE7532" w:rsidRPr="007227FD">
        <w:rPr>
          <w:rFonts w:ascii="Garamond" w:hAnsi="Garamond" w:cs="Times New Roman"/>
          <w:color w:val="000000"/>
          <w:sz w:val="24"/>
          <w:szCs w:val="24"/>
          <w:lang w:val="sq-AL"/>
        </w:rPr>
        <w:t>j, me vendimin nr. 25, datë 18.</w:t>
      </w:r>
      <w:r w:rsidRPr="007227FD">
        <w:rPr>
          <w:rFonts w:ascii="Garamond" w:hAnsi="Garamond" w:cs="Times New Roman"/>
          <w:color w:val="000000"/>
          <w:sz w:val="24"/>
          <w:szCs w:val="24"/>
          <w:lang w:val="sq-AL"/>
        </w:rPr>
        <w:t>5.2020, të Gjykatës së Rrethit Gjyqësor Kukës, ardhur, mbi rekursin, e këtij të fundit, ndaj vendimit të Gjykatës së Apelit Shkodër nr.</w:t>
      </w:r>
      <w:r w:rsidR="00AE7532" w:rsidRPr="007227FD">
        <w:rPr>
          <w:rFonts w:ascii="Garamond" w:hAnsi="Garamond" w:cs="Times New Roman"/>
          <w:color w:val="000000"/>
          <w:sz w:val="24"/>
          <w:szCs w:val="24"/>
          <w:lang w:val="sq-AL"/>
        </w:rPr>
        <w:t xml:space="preserve"> 145, datë 24.</w:t>
      </w:r>
      <w:r w:rsidRPr="007227FD">
        <w:rPr>
          <w:rFonts w:ascii="Garamond" w:hAnsi="Garamond" w:cs="Times New Roman"/>
          <w:color w:val="000000"/>
          <w:sz w:val="24"/>
          <w:szCs w:val="24"/>
          <w:lang w:val="sq-AL"/>
        </w:rPr>
        <w:t>6.2021, që kishte vendosur miratimin e vendimit të Gjykatës së Rrethit Gjyqësor Kukës (nr.</w:t>
      </w:r>
      <w:r w:rsidR="00AE7532" w:rsidRPr="007227FD">
        <w:rPr>
          <w:rFonts w:ascii="Garamond" w:hAnsi="Garamond" w:cs="Times New Roman"/>
          <w:color w:val="000000"/>
          <w:sz w:val="24"/>
          <w:szCs w:val="24"/>
          <w:lang w:val="sq-AL"/>
        </w:rPr>
        <w:t xml:space="preserve"> 104, datë 12.</w:t>
      </w:r>
      <w:r w:rsidRPr="007227FD">
        <w:rPr>
          <w:rFonts w:ascii="Garamond" w:hAnsi="Garamond" w:cs="Times New Roman"/>
          <w:color w:val="000000"/>
          <w:sz w:val="24"/>
          <w:szCs w:val="24"/>
          <w:lang w:val="sq-AL"/>
        </w:rPr>
        <w:t>6.2021), që, nga ana e tij, kishte vendosur rrëzimin e kësaj kërkese, me të cilin paraqes motivet e kundërshtimit (të pjesshëm) të vendimit (njehsues) t</w:t>
      </w:r>
      <w:r w:rsidRPr="00144D33">
        <w:rPr>
          <w:rFonts w:ascii="Garamond" w:hAnsi="Garamond" w:cs="Times New Roman"/>
          <w:color w:val="000000"/>
          <w:sz w:val="24"/>
          <w:szCs w:val="24"/>
          <w:lang w:val="sq-AL"/>
        </w:rPr>
        <w:t xml:space="preserve">ë këtij Kolegji, në justifikim të votës </w:t>
      </w:r>
      <w:r w:rsidR="00AE7532">
        <w:rPr>
          <w:rFonts w:ascii="Garamond" w:hAnsi="Garamond" w:cs="Times New Roman"/>
          <w:color w:val="000000"/>
          <w:sz w:val="24"/>
          <w:szCs w:val="24"/>
          <w:lang w:val="sq-AL"/>
        </w:rPr>
        <w:t>s</w:t>
      </w:r>
      <w:r w:rsidRPr="00144D33">
        <w:rPr>
          <w:rFonts w:ascii="Garamond" w:hAnsi="Garamond" w:cs="Times New Roman"/>
          <w:color w:val="000000"/>
          <w:sz w:val="24"/>
          <w:szCs w:val="24"/>
          <w:lang w:val="sq-AL"/>
        </w:rPr>
        <w:t>ime (pjesërisht) kundër këtij vendimi.</w:t>
      </w:r>
      <w:r w:rsidR="00144D33">
        <w:rPr>
          <w:rFonts w:ascii="Garamond" w:hAnsi="Garamond" w:cs="Times New Roman"/>
          <w:color w:val="000000"/>
          <w:sz w:val="24"/>
          <w:szCs w:val="24"/>
          <w:lang w:val="sq-AL"/>
        </w:rPr>
        <w:t xml:space="preserve"> </w:t>
      </w:r>
    </w:p>
    <w:p w14:paraId="469DD64C" w14:textId="1B947A08" w:rsidR="00CB3EA3" w:rsidRPr="00144D33" w:rsidRDefault="00CB3EA3" w:rsidP="007227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Me vendimin </w:t>
      </w:r>
      <w:r w:rsidR="007227FD" w:rsidRPr="00144D33">
        <w:rPr>
          <w:rFonts w:ascii="Garamond" w:hAnsi="Garamond" w:cs="Times New Roman"/>
          <w:color w:val="000000"/>
          <w:sz w:val="24"/>
          <w:szCs w:val="24"/>
          <w:lang w:val="sq-AL"/>
        </w:rPr>
        <w:t>nr</w:t>
      </w:r>
      <w:r w:rsidR="007227FD">
        <w:rPr>
          <w:rFonts w:ascii="Garamond" w:hAnsi="Garamond" w:cs="Times New Roman"/>
          <w:color w:val="000000"/>
          <w:sz w:val="24"/>
          <w:szCs w:val="24"/>
          <w:lang w:val="sq-AL"/>
        </w:rPr>
        <w:t>. 00-</w:t>
      </w:r>
      <w:r w:rsidRPr="00144D33">
        <w:rPr>
          <w:rFonts w:ascii="Garamond" w:hAnsi="Garamond" w:cs="Times New Roman"/>
          <w:color w:val="000000"/>
          <w:sz w:val="24"/>
          <w:szCs w:val="24"/>
          <w:lang w:val="sq-AL"/>
        </w:rPr>
        <w:t>2021, dat</w:t>
      </w:r>
      <w:r w:rsidR="007227FD">
        <w:rPr>
          <w:rFonts w:ascii="Garamond" w:hAnsi="Garamond" w:cs="Times New Roman"/>
          <w:color w:val="000000"/>
          <w:sz w:val="24"/>
          <w:szCs w:val="24"/>
          <w:lang w:val="sq-AL"/>
        </w:rPr>
        <w:t xml:space="preserve">e </w:t>
      </w:r>
      <w:r w:rsidRPr="00144D33">
        <w:rPr>
          <w:rFonts w:ascii="Garamond" w:hAnsi="Garamond" w:cs="Times New Roman"/>
          <w:color w:val="000000"/>
          <w:sz w:val="24"/>
          <w:szCs w:val="24"/>
          <w:lang w:val="sq-AL"/>
        </w:rPr>
        <w:t>1.11.2021,</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Kolegji Penal i Gjykatës së Lartë, në cilësinë e Kolegjit njehsues të praktikës gjyqësore, sipas përcaktimit të nenit 438 të K</w:t>
      </w:r>
      <w:r w:rsidR="007227FD">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Pr</w:t>
      </w:r>
      <w:r w:rsidR="007227FD">
        <w:rPr>
          <w:rFonts w:ascii="Garamond" w:hAnsi="Garamond" w:cs="Times New Roman"/>
          <w:color w:val="000000"/>
          <w:sz w:val="24"/>
          <w:szCs w:val="24"/>
          <w:lang w:val="sq-AL"/>
        </w:rPr>
        <w:t>. Penale, ka vendosur</w:t>
      </w:r>
      <w:r w:rsidRPr="00144D33">
        <w:rPr>
          <w:rFonts w:ascii="Garamond" w:hAnsi="Garamond" w:cs="Times New Roman"/>
          <w:color w:val="000000"/>
          <w:sz w:val="24"/>
          <w:szCs w:val="24"/>
          <w:lang w:val="sq-AL"/>
        </w:rPr>
        <w:t>:</w:t>
      </w:r>
      <w:r w:rsidR="00144D33">
        <w:rPr>
          <w:rFonts w:ascii="Garamond" w:hAnsi="Garamond" w:cs="Times New Roman"/>
          <w:color w:val="000000"/>
          <w:sz w:val="24"/>
          <w:szCs w:val="24"/>
          <w:lang w:val="sq-AL"/>
        </w:rPr>
        <w:t xml:space="preserve"> </w:t>
      </w:r>
    </w:p>
    <w:p w14:paraId="3032EF3D" w14:textId="407D0D46" w:rsidR="00CB3EA3" w:rsidRPr="00144D33" w:rsidRDefault="00CB3EA3" w:rsidP="007227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Prishjen e vendimit nr.</w:t>
      </w:r>
      <w:r w:rsidR="007227FD">
        <w:rPr>
          <w:rFonts w:ascii="Garamond" w:hAnsi="Garamond" w:cs="Times New Roman"/>
          <w:color w:val="000000"/>
          <w:sz w:val="24"/>
          <w:szCs w:val="24"/>
          <w:lang w:val="sq-AL"/>
        </w:rPr>
        <w:t xml:space="preserve"> 45, date 24.</w:t>
      </w:r>
      <w:r w:rsidRPr="00144D33">
        <w:rPr>
          <w:rFonts w:ascii="Garamond" w:hAnsi="Garamond" w:cs="Times New Roman"/>
          <w:color w:val="000000"/>
          <w:sz w:val="24"/>
          <w:szCs w:val="24"/>
          <w:lang w:val="sq-AL"/>
        </w:rPr>
        <w:t xml:space="preserve">6.2021 të Gjykatës së Apelit Shkodër dhe dërgimin e çështjes për rishqyrtim, në atë Gjykate, si gjykata kompetente. </w:t>
      </w:r>
    </w:p>
    <w:p w14:paraId="2D10B188" w14:textId="661539C3" w:rsidR="00CB3EA3" w:rsidRPr="00144D33" w:rsidRDefault="00CB3EA3" w:rsidP="007227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Ndërsa për</w:t>
      </w:r>
      <w:r w:rsidR="007227FD">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sa </w:t>
      </w:r>
      <w:r w:rsidR="007227FD">
        <w:rPr>
          <w:rFonts w:ascii="Garamond" w:hAnsi="Garamond" w:cs="Times New Roman"/>
          <w:color w:val="000000"/>
          <w:sz w:val="24"/>
          <w:szCs w:val="24"/>
          <w:lang w:val="sq-AL"/>
        </w:rPr>
        <w:t>u</w:t>
      </w:r>
      <w:r w:rsidRPr="00144D33">
        <w:rPr>
          <w:rFonts w:ascii="Garamond" w:hAnsi="Garamond" w:cs="Times New Roman"/>
          <w:color w:val="000000"/>
          <w:sz w:val="24"/>
          <w:szCs w:val="24"/>
          <w:lang w:val="sq-AL"/>
        </w:rPr>
        <w:t xml:space="preserve"> përket përfundimeve njehsuese, të realizuara në kuadrin e këtij gjykimi, prej këtij Kolegji, është konkluduar</w:t>
      </w:r>
      <w:r w:rsidR="00372941">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 me poshtë: </w:t>
      </w:r>
    </w:p>
    <w:p w14:paraId="747774FC" w14:textId="50BE0A42"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1. Afati i paraburgimit që konsumohet gjatë seancës paraprake i takon fazës procedurale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të hetimit paraprak</w:t>
      </w:r>
      <w:r w:rsidR="00372941">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kur gjyqtari i s</w:t>
      </w:r>
      <w:r w:rsidR="00372941">
        <w:rPr>
          <w:rFonts w:ascii="Garamond" w:hAnsi="Garamond" w:cs="Times New Roman"/>
          <w:color w:val="000000"/>
          <w:sz w:val="24"/>
          <w:szCs w:val="24"/>
          <w:lang w:val="sq-AL"/>
        </w:rPr>
        <w:t>eancës paraprake disponon për “</w:t>
      </w:r>
      <w:r w:rsidRPr="00144D33">
        <w:rPr>
          <w:rFonts w:ascii="Garamond" w:hAnsi="Garamond" w:cs="Times New Roman"/>
          <w:color w:val="000000"/>
          <w:sz w:val="24"/>
          <w:szCs w:val="24"/>
          <w:lang w:val="sq-AL"/>
        </w:rPr>
        <w:t>plotësimin e hetimeve”</w:t>
      </w:r>
      <w:r w:rsidR="00372941">
        <w:rPr>
          <w:rFonts w:ascii="Garamond" w:hAnsi="Garamond" w:cs="Times New Roman"/>
          <w:color w:val="000000"/>
          <w:sz w:val="24"/>
          <w:szCs w:val="24"/>
          <w:lang w:val="sq-AL"/>
        </w:rPr>
        <w:t>, sipas nenit 332/c dhe/ose “</w:t>
      </w:r>
      <w:r w:rsidRPr="00144D33">
        <w:rPr>
          <w:rFonts w:ascii="Garamond" w:hAnsi="Garamond" w:cs="Times New Roman"/>
          <w:color w:val="000000"/>
          <w:sz w:val="24"/>
          <w:szCs w:val="24"/>
          <w:lang w:val="sq-AL"/>
        </w:rPr>
        <w:t>për kthimin e akteve Prokurorit për korrigjimin ose saktësimin e akuzës”, sipas nenit 332/d, pika 3 e K</w:t>
      </w:r>
      <w:r w:rsidR="00372941">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Pr</w:t>
      </w:r>
      <w:r w:rsidR="00372941">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Penale. </w:t>
      </w:r>
    </w:p>
    <w:p w14:paraId="25CFEBCC" w14:textId="259C73C0"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2. Afati i paraburgimit që konsumohet gjatë seancës paraprake i takon fazës procedurale të gjykimit, kur gjyqtari i seancës paraprake disponon</w:t>
      </w:r>
      <w:r w:rsidR="00372941">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për: </w:t>
      </w:r>
    </w:p>
    <w:p w14:paraId="3495BB84" w14:textId="77721BE3" w:rsidR="00CB3EA3" w:rsidRPr="00144D33" w:rsidRDefault="00CB3EA3" w:rsidP="0037294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a) pranimin e kërkesës së Prokurorit për dërgimin e çështjes në gjyq</w:t>
      </w:r>
      <w:r w:rsidR="00372941">
        <w:rPr>
          <w:rFonts w:ascii="Garamond" w:hAnsi="Garamond" w:cs="Times New Roman"/>
          <w:color w:val="000000"/>
          <w:sz w:val="24"/>
          <w:szCs w:val="24"/>
          <w:lang w:val="sq-AL"/>
        </w:rPr>
        <w:t>;</w:t>
      </w:r>
    </w:p>
    <w:p w14:paraId="6F477896" w14:textId="77777777" w:rsidR="00CB3EA3" w:rsidRPr="00144D33" w:rsidRDefault="00CB3EA3" w:rsidP="00CB3E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 xml:space="preserve">b) vijimin e gjykimit nga e njëjta Gjykate, kur palët paraqesin marrëveshje mbi kushtet e fajësisë dhe të caktimit të dënimit; </w:t>
      </w:r>
    </w:p>
    <w:p w14:paraId="23EA1731" w14:textId="1D4E476D" w:rsidR="00CB3EA3" w:rsidRPr="00144D33" w:rsidRDefault="00CB3EA3" w:rsidP="0037294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c) vijimin e gjykimit nga e njëjta Gjykate kur i pandehuri ka kërkuar gjykim të shkurtuar</w:t>
      </w:r>
      <w:r w:rsidR="00372941">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w:t>
      </w:r>
    </w:p>
    <w:p w14:paraId="668880A6" w14:textId="713AFE7C" w:rsidR="00CB3EA3" w:rsidRPr="00144D33" w:rsidRDefault="00CB3EA3" w:rsidP="0037294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d) për pushimin e akuzës ose të çështjes apo deklarimin e moskompetencës dhe dërgimin e çështjes në gjykatën kompetente, në rastet e parashikuara në ligj, sipas nenit 332/dh, shkronjat “c”, “e”, “d”, t</w:t>
      </w:r>
      <w:r w:rsidR="00372941">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K</w:t>
      </w:r>
      <w:r w:rsidR="00372941">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Pr</w:t>
      </w:r>
      <w:r w:rsidR="00372941">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Penale.</w:t>
      </w:r>
      <w:r w:rsidR="00144D33">
        <w:rPr>
          <w:rFonts w:ascii="Garamond" w:hAnsi="Garamond" w:cs="Times New Roman"/>
          <w:color w:val="000000"/>
          <w:sz w:val="24"/>
          <w:szCs w:val="24"/>
          <w:lang w:val="sq-AL"/>
        </w:rPr>
        <w:t xml:space="preserve"> </w:t>
      </w:r>
    </w:p>
    <w:p w14:paraId="1DBC55F2" w14:textId="3ACEE2A5" w:rsidR="00CB3EA3" w:rsidRPr="00144D33" w:rsidRDefault="00CB3EA3" w:rsidP="00DC15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4D33">
        <w:rPr>
          <w:rFonts w:ascii="Garamond" w:hAnsi="Garamond" w:cs="Times New Roman"/>
          <w:color w:val="000000"/>
          <w:sz w:val="24"/>
          <w:szCs w:val="24"/>
          <w:lang w:val="sq-AL"/>
        </w:rPr>
        <w:t>Lidhur me konkluzionet njehsuese të Kolegjit Penal, të sipërcituara, ndaj të njëjtin qëndrim me shumicën, me përjashtim të momentit, të përfundimit – konkluzionit – njehsues, të përcaktuar në pik</w:t>
      </w:r>
      <w:r w:rsidR="00803E74">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n 1, sipas t</w:t>
      </w:r>
      <w:r w:rsidR="00803E74">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cilit,</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konsiderohen me cilësinë e “afateve të paraburgimit</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të konsumuara gjatë fazës së hetimeve paraprake”</w:t>
      </w:r>
      <w:r w:rsidR="00803E7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afatet e konsumuara</w:t>
      </w:r>
      <w:r w:rsidR="00803E7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si rrjedhoj</w:t>
      </w:r>
      <w:r w:rsidR="00803E74">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e vendimmarrjes së këtij gjyqtari – të seancës paraprake – për të “degraduar” – kthyer – çështjen</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në disponim të prokurorit, pra, në fazën e hetimeve paraprake, nën justifikimin e “plotësimit të hetimeve” apo të “korrigjimit dhe të saktësimit të akuzës prej </w:t>
      </w:r>
      <w:r w:rsidR="00803E74" w:rsidRPr="00144D33">
        <w:rPr>
          <w:rFonts w:ascii="Garamond" w:hAnsi="Garamond" w:cs="Times New Roman"/>
          <w:color w:val="000000"/>
          <w:sz w:val="24"/>
          <w:szCs w:val="24"/>
          <w:lang w:val="sq-AL"/>
        </w:rPr>
        <w:t>prokurorit</w:t>
      </w:r>
      <w:r w:rsidRPr="00144D33">
        <w:rPr>
          <w:rFonts w:ascii="Garamond" w:hAnsi="Garamond" w:cs="Times New Roman"/>
          <w:color w:val="000000"/>
          <w:sz w:val="24"/>
          <w:szCs w:val="24"/>
          <w:lang w:val="sq-AL"/>
        </w:rPr>
        <w:t>”, për të cilin kam mendimin, në saktësim të konceptit, s</w:t>
      </w:r>
      <w:r w:rsidR="00803E74">
        <w:rPr>
          <w:rFonts w:ascii="Garamond" w:hAnsi="Garamond" w:cs="Times New Roman"/>
          <w:color w:val="000000"/>
          <w:sz w:val="24"/>
          <w:szCs w:val="24"/>
          <w:lang w:val="sq-AL"/>
        </w:rPr>
        <w:t>e</w:t>
      </w:r>
      <w:r w:rsidRPr="00144D33">
        <w:rPr>
          <w:rFonts w:ascii="Garamond" w:hAnsi="Garamond" w:cs="Times New Roman"/>
          <w:color w:val="000000"/>
          <w:sz w:val="24"/>
          <w:szCs w:val="24"/>
          <w:lang w:val="sq-AL"/>
        </w:rPr>
        <w:t xml:space="preserve"> vërtet, afatet e konsumuara në plotësim të rekomandim/urdhërimeve të gjyqtarit të </w:t>
      </w:r>
      <w:r w:rsidR="00803E74" w:rsidRPr="00144D33">
        <w:rPr>
          <w:rFonts w:ascii="Garamond" w:hAnsi="Garamond" w:cs="Times New Roman"/>
          <w:color w:val="000000"/>
          <w:sz w:val="24"/>
          <w:szCs w:val="24"/>
          <w:lang w:val="sq-AL"/>
        </w:rPr>
        <w:t>seancës</w:t>
      </w:r>
      <w:r w:rsidRPr="00144D33">
        <w:rPr>
          <w:rFonts w:ascii="Garamond" w:hAnsi="Garamond" w:cs="Times New Roman"/>
          <w:color w:val="000000"/>
          <w:sz w:val="24"/>
          <w:szCs w:val="24"/>
          <w:lang w:val="sq-AL"/>
        </w:rPr>
        <w:t xml:space="preserve"> paraprake, duhet të konsiderohen me cilësinë e afateve të fazës së hetimeve paraprake</w:t>
      </w:r>
      <w:r w:rsidR="00803E74">
        <w:rPr>
          <w:rFonts w:ascii="Garamond" w:hAnsi="Garamond" w:cs="Times New Roman"/>
          <w:color w:val="000000"/>
          <w:sz w:val="24"/>
          <w:szCs w:val="24"/>
          <w:lang w:val="sq-AL"/>
        </w:rPr>
        <w:t>,</w:t>
      </w:r>
      <w:r w:rsidRPr="00144D33">
        <w:rPr>
          <w:rFonts w:ascii="Garamond" w:hAnsi="Garamond" w:cs="Times New Roman"/>
          <w:color w:val="000000"/>
          <w:sz w:val="24"/>
          <w:szCs w:val="24"/>
          <w:lang w:val="sq-AL"/>
        </w:rPr>
        <w:t xml:space="preserve"> por të afateve të rifilluara, të rillogaritura, nga e para, në të njëjtat kushte sikurse, në rastet e parashikuara në paragrafin e katërt, të nenit 263 të K</w:t>
      </w:r>
      <w:r w:rsidR="00803E74">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Pr</w:t>
      </w:r>
      <w:r w:rsidR="00803E74">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Penale,</w:t>
      </w:r>
      <w:r w:rsidR="00144D33">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 xml:space="preserve">për afatet e paraburgimit, të fazave të gjykimit të çështjes në shkallë të parë dhe të dytë, me rastin e prishjes së çështjes nga </w:t>
      </w:r>
      <w:r w:rsidR="00803E74" w:rsidRPr="00144D33">
        <w:rPr>
          <w:rFonts w:ascii="Garamond" w:hAnsi="Garamond" w:cs="Times New Roman"/>
          <w:color w:val="000000"/>
          <w:sz w:val="24"/>
          <w:szCs w:val="24"/>
          <w:lang w:val="sq-AL"/>
        </w:rPr>
        <w:t>gjykatat</w:t>
      </w:r>
      <w:r w:rsidR="00803E74">
        <w:rPr>
          <w:rFonts w:ascii="Garamond" w:hAnsi="Garamond" w:cs="Times New Roman"/>
          <w:color w:val="000000"/>
          <w:sz w:val="24"/>
          <w:szCs w:val="24"/>
          <w:lang w:val="sq-AL"/>
        </w:rPr>
        <w:t xml:space="preserve"> </w:t>
      </w:r>
      <w:r w:rsidRPr="00144D33">
        <w:rPr>
          <w:rFonts w:ascii="Garamond" w:hAnsi="Garamond" w:cs="Times New Roman"/>
          <w:color w:val="000000"/>
          <w:sz w:val="24"/>
          <w:szCs w:val="24"/>
          <w:lang w:val="sq-AL"/>
        </w:rPr>
        <w:t>superiore, të Apelit dhe të Gjykatës s</w:t>
      </w:r>
      <w:r w:rsidR="00DC1575">
        <w:rPr>
          <w:rFonts w:ascii="Garamond" w:hAnsi="Garamond" w:cs="Times New Roman"/>
          <w:color w:val="000000"/>
          <w:sz w:val="24"/>
          <w:szCs w:val="24"/>
          <w:lang w:val="sq-AL"/>
        </w:rPr>
        <w:t>ë</w:t>
      </w:r>
      <w:r w:rsidRPr="00144D33">
        <w:rPr>
          <w:rFonts w:ascii="Garamond" w:hAnsi="Garamond" w:cs="Times New Roman"/>
          <w:color w:val="000000"/>
          <w:sz w:val="24"/>
          <w:szCs w:val="24"/>
          <w:lang w:val="sq-AL"/>
        </w:rPr>
        <w:t xml:space="preserve"> Lartë, të cilat fillojnë të llogariten rishtazi, nga e para, gjithnjë, të toleruara, prej afatit të kohëzgjatjes tërësore të paraburgimit, eventualisht të paezauruar.</w:t>
      </w:r>
      <w:r w:rsidR="00144D33">
        <w:rPr>
          <w:rFonts w:ascii="Garamond" w:hAnsi="Garamond" w:cs="Times New Roman"/>
          <w:color w:val="000000"/>
          <w:sz w:val="24"/>
          <w:szCs w:val="24"/>
          <w:lang w:val="sq-AL"/>
        </w:rPr>
        <w:t xml:space="preserve"> </w:t>
      </w:r>
    </w:p>
    <w:p w14:paraId="733B6B35" w14:textId="77777777" w:rsidR="00F22F89" w:rsidRPr="00144D33" w:rsidRDefault="00F22F89" w:rsidP="00F22F89">
      <w:pPr>
        <w:autoSpaceDE w:val="0"/>
        <w:autoSpaceDN w:val="0"/>
        <w:adjustRightInd w:val="0"/>
        <w:spacing w:after="0" w:line="240" w:lineRule="auto"/>
        <w:rPr>
          <w:rFonts w:ascii="Garamond" w:hAnsi="Garamond" w:cs="Times New Roman"/>
          <w:color w:val="000000"/>
          <w:sz w:val="24"/>
          <w:szCs w:val="24"/>
          <w:lang w:val="sq-AL"/>
        </w:rPr>
      </w:pPr>
    </w:p>
    <w:p w14:paraId="5D39DF22" w14:textId="69BBAD02" w:rsidR="00CB3EA3" w:rsidRPr="00144D33" w:rsidRDefault="00585462" w:rsidP="00585462">
      <w:pPr>
        <w:autoSpaceDE w:val="0"/>
        <w:autoSpaceDN w:val="0"/>
        <w:adjustRightInd w:val="0"/>
        <w:spacing w:after="0" w:line="240" w:lineRule="auto"/>
        <w:jc w:val="right"/>
        <w:rPr>
          <w:rFonts w:ascii="Garamond" w:hAnsi="Garamond" w:cs="Times New Roman"/>
          <w:b/>
          <w:bCs/>
          <w:color w:val="000000"/>
          <w:sz w:val="24"/>
          <w:szCs w:val="24"/>
          <w:lang w:val="sq-AL"/>
        </w:rPr>
      </w:pPr>
      <w:r w:rsidRPr="00144D33">
        <w:rPr>
          <w:rFonts w:ascii="Garamond" w:hAnsi="Garamond" w:cs="Times New Roman"/>
          <w:color w:val="000000"/>
          <w:sz w:val="24"/>
          <w:szCs w:val="24"/>
          <w:lang w:val="sq-AL"/>
        </w:rPr>
        <w:t>GJYQTAR</w:t>
      </w:r>
    </w:p>
    <w:p w14:paraId="1031FA5D" w14:textId="00E49E45" w:rsidR="00CB3EA3" w:rsidRPr="00144D33" w:rsidRDefault="00CB3EA3" w:rsidP="00585462">
      <w:pPr>
        <w:autoSpaceDE w:val="0"/>
        <w:autoSpaceDN w:val="0"/>
        <w:adjustRightInd w:val="0"/>
        <w:spacing w:after="0" w:line="240" w:lineRule="auto"/>
        <w:jc w:val="right"/>
        <w:rPr>
          <w:rFonts w:ascii="Garamond" w:hAnsi="Garamond" w:cs="Times New Roman"/>
          <w:b/>
          <w:bCs/>
          <w:color w:val="000000"/>
          <w:sz w:val="24"/>
          <w:szCs w:val="24"/>
          <w:lang w:val="sq-AL"/>
        </w:rPr>
      </w:pPr>
      <w:r w:rsidRPr="00144D33">
        <w:rPr>
          <w:rFonts w:ascii="Garamond" w:hAnsi="Garamond" w:cs="Times New Roman"/>
          <w:b/>
          <w:bCs/>
          <w:color w:val="000000"/>
          <w:sz w:val="24"/>
          <w:szCs w:val="24"/>
          <w:lang w:val="sq-AL"/>
        </w:rPr>
        <w:t>Sokol</w:t>
      </w:r>
      <w:r w:rsidR="00144D33">
        <w:rPr>
          <w:rFonts w:ascii="Garamond" w:hAnsi="Garamond" w:cs="Times New Roman"/>
          <w:b/>
          <w:bCs/>
          <w:color w:val="000000"/>
          <w:sz w:val="24"/>
          <w:szCs w:val="24"/>
          <w:lang w:val="sq-AL"/>
        </w:rPr>
        <w:t xml:space="preserve"> </w:t>
      </w:r>
      <w:r w:rsidR="00F22F89" w:rsidRPr="00144D33">
        <w:rPr>
          <w:rFonts w:ascii="Garamond" w:hAnsi="Garamond" w:cs="Times New Roman"/>
          <w:b/>
          <w:bCs/>
          <w:color w:val="000000"/>
          <w:sz w:val="24"/>
          <w:szCs w:val="24"/>
          <w:lang w:val="sq-AL"/>
        </w:rPr>
        <w:t>Binaj</w:t>
      </w:r>
    </w:p>
    <w:p w14:paraId="685E818C" w14:textId="77777777" w:rsidR="00CB3EA3" w:rsidRPr="00144D33" w:rsidRDefault="00CB3EA3" w:rsidP="00CB3EA3">
      <w:pPr>
        <w:autoSpaceDE w:val="0"/>
        <w:autoSpaceDN w:val="0"/>
        <w:adjustRightInd w:val="0"/>
        <w:spacing w:after="0" w:line="240" w:lineRule="auto"/>
        <w:ind w:firstLine="284"/>
        <w:rPr>
          <w:rFonts w:ascii="Garamond" w:hAnsi="Garamond" w:cs="Times New Roman"/>
          <w:b/>
          <w:bCs/>
          <w:color w:val="000000"/>
          <w:sz w:val="24"/>
          <w:szCs w:val="24"/>
          <w:lang w:val="sq-AL"/>
        </w:rPr>
      </w:pPr>
    </w:p>
    <w:p w14:paraId="0C9CC7CE" w14:textId="77777777" w:rsidR="00CB3EA3" w:rsidRPr="00144D33" w:rsidRDefault="00CB3EA3" w:rsidP="00CB3EA3">
      <w:pPr>
        <w:autoSpaceDE w:val="0"/>
        <w:autoSpaceDN w:val="0"/>
        <w:adjustRightInd w:val="0"/>
        <w:spacing w:after="0" w:line="240" w:lineRule="auto"/>
        <w:ind w:firstLine="284"/>
        <w:rPr>
          <w:rFonts w:ascii="Garamond" w:hAnsi="Garamond" w:cs="Times New Roman"/>
          <w:color w:val="000000"/>
          <w:sz w:val="24"/>
          <w:szCs w:val="24"/>
          <w:lang w:val="sq-AL"/>
        </w:rPr>
      </w:pPr>
    </w:p>
    <w:sectPr w:rsidR="00CB3EA3" w:rsidRPr="00144D3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43A9E" w14:textId="77777777" w:rsidR="00C645B8" w:rsidRDefault="00C645B8" w:rsidP="008C613D">
      <w:pPr>
        <w:spacing w:after="0" w:line="240" w:lineRule="auto"/>
      </w:pPr>
      <w:r>
        <w:separator/>
      </w:r>
    </w:p>
  </w:endnote>
  <w:endnote w:type="continuationSeparator" w:id="0">
    <w:p w14:paraId="78FEE80E" w14:textId="77777777" w:rsidR="00C645B8" w:rsidRDefault="00C645B8" w:rsidP="008C613D">
      <w:pPr>
        <w:spacing w:after="0" w:line="240" w:lineRule="auto"/>
      </w:pPr>
      <w:r>
        <w:continuationSeparator/>
      </w:r>
    </w:p>
  </w:endnote>
  <w:endnote w:type="continuationNotice" w:id="1">
    <w:p w14:paraId="783D140A" w14:textId="77777777" w:rsidR="00C645B8" w:rsidRDefault="00C645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7535427"/>
      <w:docPartObj>
        <w:docPartGallery w:val="Page Numbers (Bottom of Page)"/>
        <w:docPartUnique/>
      </w:docPartObj>
    </w:sdtPr>
    <w:sdtEndPr>
      <w:rPr>
        <w:noProof/>
      </w:rPr>
    </w:sdtEndPr>
    <w:sdtContent>
      <w:p w14:paraId="2323CB7C" w14:textId="15EA918A" w:rsidR="00C645B8" w:rsidRDefault="00C645B8">
        <w:pPr>
          <w:pStyle w:val="Footer"/>
          <w:jc w:val="right"/>
        </w:pPr>
        <w:r>
          <w:fldChar w:fldCharType="begin"/>
        </w:r>
        <w:r>
          <w:instrText xml:space="preserve"> PAGE   \* MERGEFORMAT </w:instrText>
        </w:r>
        <w:r>
          <w:fldChar w:fldCharType="separate"/>
        </w:r>
        <w:r w:rsidR="007773BA">
          <w:rPr>
            <w:noProof/>
          </w:rPr>
          <w:t>1</w:t>
        </w:r>
        <w:r>
          <w:rPr>
            <w:noProof/>
          </w:rPr>
          <w:fldChar w:fldCharType="end"/>
        </w:r>
      </w:p>
    </w:sdtContent>
  </w:sdt>
  <w:p w14:paraId="558900E3" w14:textId="77777777" w:rsidR="00C645B8" w:rsidRDefault="00C645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786283" w14:textId="77777777" w:rsidR="00C645B8" w:rsidRDefault="00C645B8" w:rsidP="008C613D">
      <w:pPr>
        <w:spacing w:after="0" w:line="240" w:lineRule="auto"/>
      </w:pPr>
      <w:r>
        <w:separator/>
      </w:r>
    </w:p>
  </w:footnote>
  <w:footnote w:type="continuationSeparator" w:id="0">
    <w:p w14:paraId="0BFD3D53" w14:textId="77777777" w:rsidR="00C645B8" w:rsidRDefault="00C645B8" w:rsidP="008C613D">
      <w:pPr>
        <w:spacing w:after="0" w:line="240" w:lineRule="auto"/>
      </w:pPr>
      <w:r>
        <w:continuationSeparator/>
      </w:r>
    </w:p>
  </w:footnote>
  <w:footnote w:type="continuationNotice" w:id="1">
    <w:p w14:paraId="10007D8E" w14:textId="77777777" w:rsidR="00C645B8" w:rsidRDefault="00C645B8">
      <w:pPr>
        <w:spacing w:after="0" w:line="240" w:lineRule="auto"/>
      </w:pPr>
    </w:p>
  </w:footnote>
  <w:footnote w:id="2">
    <w:p w14:paraId="5C703D5A" w14:textId="3555E4A4" w:rsidR="00C645B8" w:rsidRPr="008C613D" w:rsidRDefault="00C645B8" w:rsidP="008C613D">
      <w:pPr>
        <w:pStyle w:val="FootnoteText"/>
        <w:jc w:val="both"/>
        <w:rPr>
          <w:lang w:val="en-US"/>
        </w:rPr>
      </w:pPr>
      <w:r>
        <w:rPr>
          <w:rStyle w:val="FootnoteReference"/>
        </w:rPr>
        <w:footnoteRef/>
      </w:r>
      <w:r>
        <w:t xml:space="preserve"> </w:t>
      </w:r>
      <w:r w:rsidRPr="008C613D">
        <w:rPr>
          <w:rFonts w:ascii="Garamond" w:hAnsi="Garamond"/>
        </w:rPr>
        <w:t>Për më tepër, relacioni i Komisionit për Çështjet Ligjore, Administratën Publike dhe të Drejtat e Njeriut, që shoqëroi miratimin e ndryshimeve në KPP, me ligjin nr. 35/2017</w:t>
      </w:r>
      <w:r>
        <w:rPr>
          <w:rFonts w:ascii="Garamond" w:hAnsi="Garamond"/>
        </w:rPr>
        <w:t>,</w:t>
      </w:r>
      <w:r w:rsidRPr="008C613D">
        <w:rPr>
          <w:rFonts w:ascii="Garamond" w:hAnsi="Garamond"/>
        </w:rPr>
        <w:t xml:space="preserve"> “Për disa shtesa dhe ndryshime në ligjin nr. 7905, datë 21</w:t>
      </w:r>
      <w:r>
        <w:rPr>
          <w:rFonts w:ascii="Garamond" w:hAnsi="Garamond"/>
        </w:rPr>
        <w:t>.</w:t>
      </w:r>
      <w:r w:rsidRPr="008C613D">
        <w:rPr>
          <w:rFonts w:ascii="Garamond" w:hAnsi="Garamond"/>
        </w:rPr>
        <w:t>3.1995, “Kodi i Procedurës Penale”.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2DB"/>
    <w:rsid w:val="0001742E"/>
    <w:rsid w:val="000243D7"/>
    <w:rsid w:val="0004548D"/>
    <w:rsid w:val="0005619D"/>
    <w:rsid w:val="00070A0F"/>
    <w:rsid w:val="00074076"/>
    <w:rsid w:val="000811C3"/>
    <w:rsid w:val="0008284A"/>
    <w:rsid w:val="00084060"/>
    <w:rsid w:val="000B17C9"/>
    <w:rsid w:val="000C075A"/>
    <w:rsid w:val="000F589D"/>
    <w:rsid w:val="000F74B6"/>
    <w:rsid w:val="00103804"/>
    <w:rsid w:val="00105E8D"/>
    <w:rsid w:val="00133882"/>
    <w:rsid w:val="001378A1"/>
    <w:rsid w:val="00144D33"/>
    <w:rsid w:val="001669D4"/>
    <w:rsid w:val="00192288"/>
    <w:rsid w:val="00194895"/>
    <w:rsid w:val="001B3823"/>
    <w:rsid w:val="001B7E59"/>
    <w:rsid w:val="001E7C88"/>
    <w:rsid w:val="0020659F"/>
    <w:rsid w:val="00214CF9"/>
    <w:rsid w:val="002417D5"/>
    <w:rsid w:val="00264EAE"/>
    <w:rsid w:val="002B734B"/>
    <w:rsid w:val="003133BA"/>
    <w:rsid w:val="0035746A"/>
    <w:rsid w:val="00372941"/>
    <w:rsid w:val="00384CEE"/>
    <w:rsid w:val="003869B5"/>
    <w:rsid w:val="003A5BC9"/>
    <w:rsid w:val="003D73AA"/>
    <w:rsid w:val="003E5594"/>
    <w:rsid w:val="003E6C04"/>
    <w:rsid w:val="003F272F"/>
    <w:rsid w:val="00413457"/>
    <w:rsid w:val="0041448B"/>
    <w:rsid w:val="004478D6"/>
    <w:rsid w:val="00454E3B"/>
    <w:rsid w:val="00467C1B"/>
    <w:rsid w:val="00481290"/>
    <w:rsid w:val="004911B8"/>
    <w:rsid w:val="00495544"/>
    <w:rsid w:val="004B0EDB"/>
    <w:rsid w:val="004B2252"/>
    <w:rsid w:val="004E66EA"/>
    <w:rsid w:val="004F046E"/>
    <w:rsid w:val="004F308E"/>
    <w:rsid w:val="00520D3F"/>
    <w:rsid w:val="005709DF"/>
    <w:rsid w:val="005772A3"/>
    <w:rsid w:val="00585462"/>
    <w:rsid w:val="005D17FC"/>
    <w:rsid w:val="005D4006"/>
    <w:rsid w:val="00633417"/>
    <w:rsid w:val="006406AF"/>
    <w:rsid w:val="00641D65"/>
    <w:rsid w:val="0067229C"/>
    <w:rsid w:val="006875C3"/>
    <w:rsid w:val="00694B1E"/>
    <w:rsid w:val="006B5FE4"/>
    <w:rsid w:val="006C1904"/>
    <w:rsid w:val="006E4CE4"/>
    <w:rsid w:val="007119FA"/>
    <w:rsid w:val="00711F6F"/>
    <w:rsid w:val="007227FD"/>
    <w:rsid w:val="00742E3B"/>
    <w:rsid w:val="00765245"/>
    <w:rsid w:val="007773BA"/>
    <w:rsid w:val="007802C2"/>
    <w:rsid w:val="00793ABB"/>
    <w:rsid w:val="007B6DF9"/>
    <w:rsid w:val="007D11C0"/>
    <w:rsid w:val="00803E74"/>
    <w:rsid w:val="00815EBD"/>
    <w:rsid w:val="00830E10"/>
    <w:rsid w:val="00851E64"/>
    <w:rsid w:val="00867BA5"/>
    <w:rsid w:val="008B7F9E"/>
    <w:rsid w:val="008C5A84"/>
    <w:rsid w:val="008C613D"/>
    <w:rsid w:val="008D5983"/>
    <w:rsid w:val="00987862"/>
    <w:rsid w:val="0099486F"/>
    <w:rsid w:val="009D6EF9"/>
    <w:rsid w:val="009F6028"/>
    <w:rsid w:val="00A07BAF"/>
    <w:rsid w:val="00A36976"/>
    <w:rsid w:val="00A51CA1"/>
    <w:rsid w:val="00A709B9"/>
    <w:rsid w:val="00A801E0"/>
    <w:rsid w:val="00A97BF6"/>
    <w:rsid w:val="00AA5ACD"/>
    <w:rsid w:val="00AB69A9"/>
    <w:rsid w:val="00AB734A"/>
    <w:rsid w:val="00AD259D"/>
    <w:rsid w:val="00AE7532"/>
    <w:rsid w:val="00AE76D4"/>
    <w:rsid w:val="00AF37BA"/>
    <w:rsid w:val="00B0345A"/>
    <w:rsid w:val="00B61536"/>
    <w:rsid w:val="00B85090"/>
    <w:rsid w:val="00B907C0"/>
    <w:rsid w:val="00BC1B5B"/>
    <w:rsid w:val="00BD59A4"/>
    <w:rsid w:val="00BE2336"/>
    <w:rsid w:val="00C00687"/>
    <w:rsid w:val="00C4217E"/>
    <w:rsid w:val="00C52181"/>
    <w:rsid w:val="00C645B8"/>
    <w:rsid w:val="00CB3EA3"/>
    <w:rsid w:val="00CD08CA"/>
    <w:rsid w:val="00CE77E3"/>
    <w:rsid w:val="00D001CA"/>
    <w:rsid w:val="00D04D16"/>
    <w:rsid w:val="00D1045B"/>
    <w:rsid w:val="00D27A2E"/>
    <w:rsid w:val="00D359C8"/>
    <w:rsid w:val="00DA41F4"/>
    <w:rsid w:val="00DA4A9B"/>
    <w:rsid w:val="00DC1575"/>
    <w:rsid w:val="00DC3268"/>
    <w:rsid w:val="00DC6701"/>
    <w:rsid w:val="00DE182B"/>
    <w:rsid w:val="00DF1928"/>
    <w:rsid w:val="00DF1979"/>
    <w:rsid w:val="00DF759E"/>
    <w:rsid w:val="00DF7FBB"/>
    <w:rsid w:val="00E00C7D"/>
    <w:rsid w:val="00E12D48"/>
    <w:rsid w:val="00E2019A"/>
    <w:rsid w:val="00E663CD"/>
    <w:rsid w:val="00E66D0E"/>
    <w:rsid w:val="00E7203F"/>
    <w:rsid w:val="00E86BBB"/>
    <w:rsid w:val="00E91DFB"/>
    <w:rsid w:val="00EB22DB"/>
    <w:rsid w:val="00ED61EE"/>
    <w:rsid w:val="00EE3445"/>
    <w:rsid w:val="00EE5255"/>
    <w:rsid w:val="00EE7815"/>
    <w:rsid w:val="00F2226F"/>
    <w:rsid w:val="00F22F89"/>
    <w:rsid w:val="00F3679A"/>
    <w:rsid w:val="00F43435"/>
    <w:rsid w:val="00F93350"/>
    <w:rsid w:val="00FD0B43"/>
    <w:rsid w:val="00FD16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0E30"/>
  <w15:docId w15:val="{002C348A-E23F-4284-8822-80CD154E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9"/>
    <w:qFormat/>
    <w:rsid w:val="00CB3EA3"/>
    <w:pPr>
      <w:keepNext/>
      <w:autoSpaceDE w:val="0"/>
      <w:autoSpaceDN w:val="0"/>
      <w:adjustRightInd w:val="0"/>
      <w:spacing w:before="240" w:after="60" w:line="240" w:lineRule="auto"/>
      <w:outlineLvl w:val="1"/>
    </w:pPr>
    <w:rPr>
      <w:rFonts w:ascii="Times New Roman" w:hAnsi="Times New Roman" w:cs="Times New Roman"/>
      <w:b/>
      <w:bCs/>
      <w:i/>
      <w:iCs/>
      <w:color w:val="00000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CB3EA3"/>
    <w:rPr>
      <w:rFonts w:ascii="Times New Roman" w:hAnsi="Times New Roman" w:cs="Times New Roman"/>
      <w:b/>
      <w:bCs/>
      <w:i/>
      <w:iCs/>
      <w:color w:val="000000"/>
      <w:sz w:val="28"/>
      <w:szCs w:val="28"/>
      <w:lang w:val="sq-AL"/>
    </w:rPr>
  </w:style>
  <w:style w:type="paragraph" w:styleId="FootnoteText">
    <w:name w:val="footnote text"/>
    <w:basedOn w:val="Normal"/>
    <w:link w:val="FootnoteTextChar"/>
    <w:uiPriority w:val="99"/>
    <w:rsid w:val="00CB3EA3"/>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FootnoteTextChar">
    <w:name w:val="Footnote Text Char"/>
    <w:basedOn w:val="DefaultParagraphFont"/>
    <w:link w:val="FootnoteText"/>
    <w:uiPriority w:val="99"/>
    <w:rsid w:val="00CB3EA3"/>
    <w:rPr>
      <w:rFonts w:ascii="Times New Roman" w:hAnsi="Times New Roman" w:cs="Times New Roman"/>
      <w:color w:val="000000"/>
      <w:sz w:val="20"/>
      <w:szCs w:val="20"/>
      <w:lang w:val="sq-AL"/>
    </w:rPr>
  </w:style>
  <w:style w:type="paragraph" w:styleId="ListParagraph">
    <w:name w:val="List Paragraph"/>
    <w:aliases w:val="Normal 1,Dot pt"/>
    <w:basedOn w:val="Normal"/>
    <w:uiPriority w:val="99"/>
    <w:qFormat/>
    <w:rsid w:val="00CB3EA3"/>
    <w:pPr>
      <w:autoSpaceDE w:val="0"/>
      <w:autoSpaceDN w:val="0"/>
      <w:adjustRightInd w:val="0"/>
      <w:spacing w:after="0" w:line="240" w:lineRule="auto"/>
      <w:ind w:left="720"/>
    </w:pPr>
    <w:rPr>
      <w:rFonts w:ascii="Times New Roman" w:hAnsi="Times New Roman" w:cs="Times New Roman"/>
      <w:color w:val="000000"/>
      <w:sz w:val="24"/>
      <w:szCs w:val="24"/>
      <w:lang w:val="sq-AL"/>
    </w:rPr>
  </w:style>
  <w:style w:type="paragraph" w:styleId="BodyText">
    <w:name w:val="Body Text"/>
    <w:basedOn w:val="Normal"/>
    <w:link w:val="BodyTextChar"/>
    <w:uiPriority w:val="99"/>
    <w:rsid w:val="00CB3EA3"/>
    <w:pPr>
      <w:autoSpaceDE w:val="0"/>
      <w:autoSpaceDN w:val="0"/>
      <w:adjustRightInd w:val="0"/>
      <w:spacing w:after="120" w:line="240" w:lineRule="auto"/>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CB3EA3"/>
    <w:rPr>
      <w:rFonts w:ascii="Times New Roman" w:hAnsi="Times New Roman" w:cs="Times New Roman"/>
      <w:color w:val="000000"/>
      <w:sz w:val="24"/>
      <w:szCs w:val="24"/>
      <w:lang w:val="sq-AL"/>
    </w:rPr>
  </w:style>
  <w:style w:type="character" w:styleId="FootnoteReference">
    <w:name w:val="footnote reference"/>
    <w:basedOn w:val="DefaultParagraphFont"/>
    <w:uiPriority w:val="99"/>
    <w:semiHidden/>
    <w:unhideWhenUsed/>
    <w:rsid w:val="008C613D"/>
    <w:rPr>
      <w:vertAlign w:val="superscript"/>
    </w:rPr>
  </w:style>
  <w:style w:type="paragraph" w:styleId="Header">
    <w:name w:val="header"/>
    <w:basedOn w:val="Normal"/>
    <w:link w:val="HeaderChar"/>
    <w:uiPriority w:val="99"/>
    <w:unhideWhenUsed/>
    <w:rsid w:val="00585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462"/>
  </w:style>
  <w:style w:type="paragraph" w:styleId="Footer">
    <w:name w:val="footer"/>
    <w:basedOn w:val="Normal"/>
    <w:link w:val="FooterChar"/>
    <w:uiPriority w:val="99"/>
    <w:unhideWhenUsed/>
    <w:rsid w:val="00585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69970ACAE9B4A85BAD0C00D421053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Nr_x002e__x0020_akti>
    <Data_x0020_e_x0020_Krijimit xmlns="0e656187-b300-4fb0-8bf4-3a50f872073c">2022-05-30T14:32:03Z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shuarjen e masës së sigurimit</Titulli>
    <Modifikuesi xmlns="0e656187-b300-4fb0-8bf4-3a50f872073c">alma.lisaku</Modifikuesi>
    <Nr_x002e__x0020_prot_x0020_QBZ xmlns="0e656187-b300-4fb0-8bf4-3a50f872073c">847/1</Nr_x002e__x0020_prot_x0020_QBZ>
    <Data_x0020_e_x0020_Modifikimit xmlns="0e656187-b300-4fb0-8bf4-3a50f872073c">2022-06-06T09:26:38Z</Data_x0020_e_x0020_Modifikimit>
    <Dekretuar xmlns="0e656187-b300-4fb0-8bf4-3a50f872073c">false</Dekretuar>
    <Data xmlns="0e656187-b300-4fb0-8bf4-3a50f872073c">2021-10-31T23:00:00Z</Data>
    <Nr_x002e__x0020_protokolli_x0020_i_x0020_aktit xmlns="0e656187-b300-4fb0-8bf4-3a50f872073c">61010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469970ACAE9B4A85BAD0C00D421053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40E82-F44A-4B23-B54C-FD5D918E1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2944D74-2C8D-48DA-A65D-A0F90105F7DE}">
  <ds:schemaRefs>
    <ds:schemaRef ds:uri="http://purl.org/dc/elements/1.1/"/>
    <ds:schemaRef ds:uri="http://purl.org/dc/terms/"/>
    <ds:schemaRef ds:uri="http://schemas.microsoft.com/office/2006/documentManagement/types"/>
    <ds:schemaRef ds:uri="http://purl.org/dc/dcmitype/"/>
    <ds:schemaRef ds:uri="http://schemas.microsoft.com/office/2006/metadata/properties"/>
    <ds:schemaRef ds:uri="http://www.w3.org/XML/1998/namespace"/>
    <ds:schemaRef ds:uri="http://schemas.openxmlformats.org/package/2006/metadata/core-properties"/>
    <ds:schemaRef ds:uri="0e656187-b300-4fb0-8bf4-3a50f872073c"/>
    <ds:schemaRef ds:uri="http://schemas.microsoft.com/office/infopath/2007/PartnerControls"/>
  </ds:schemaRefs>
</ds:datastoreItem>
</file>

<file path=customXml/itemProps3.xml><?xml version="1.0" encoding="utf-8"?>
<ds:datastoreItem xmlns:ds="http://schemas.openxmlformats.org/officeDocument/2006/customXml" ds:itemID="{503758BF-598F-4A54-B27E-4AD90158F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CEEDFFF-637A-4BC6-B847-8F6FBE707BBA}">
  <ds:schemaRefs>
    <ds:schemaRef ds:uri="http://schemas.microsoft.com/sharepoint/v3/contenttype/forms"/>
  </ds:schemaRefs>
</ds:datastoreItem>
</file>

<file path=customXml/itemProps5.xml><?xml version="1.0" encoding="utf-8"?>
<ds:datastoreItem xmlns:ds="http://schemas.openxmlformats.org/officeDocument/2006/customXml" ds:itemID="{222AD906-4B77-41A4-BFA0-39CF3F30D27E}">
  <ds:schemaRefs>
    <ds:schemaRef ds:uri="http://schemas.microsoft.com/sharepoint/v3/contenttype/forms"/>
  </ds:schemaRefs>
</ds:datastoreItem>
</file>

<file path=customXml/itemProps6.xml><?xml version="1.0" encoding="utf-8"?>
<ds:datastoreItem xmlns:ds="http://schemas.openxmlformats.org/officeDocument/2006/customXml" ds:itemID="{2CB96BAD-167C-4939-A38C-9005FED63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14</Pages>
  <Words>8142</Words>
  <Characters>46414</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Për shuarjen e masës së sigurimit</vt:lpstr>
    </vt:vector>
  </TitlesOfParts>
  <Company/>
  <LinksUpToDate>false</LinksUpToDate>
  <CharactersWithSpaces>54448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shuarjen e masës së sigurimit</dc:title>
  <dc:creator>Entela Suli</dc:creator>
  <cp:lastModifiedBy>Entela Suli</cp:lastModifiedBy>
  <cp:revision>137</cp:revision>
  <dcterms:created xsi:type="dcterms:W3CDTF">2022-05-30T13:31:00Z</dcterms:created>
  <dcterms:modified xsi:type="dcterms:W3CDTF">2022-06-07T12:47:00Z</dcterms:modified>
</cp:coreProperties>
</file>