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A179F" w14:textId="77777777" w:rsidR="00615B75" w:rsidRPr="0011219A" w:rsidRDefault="00615B75" w:rsidP="00615B75">
      <w:pPr>
        <w:autoSpaceDE w:val="0"/>
        <w:autoSpaceDN w:val="0"/>
        <w:adjustRightInd w:val="0"/>
        <w:ind w:firstLine="284"/>
        <w:jc w:val="center"/>
        <w:rPr>
          <w:rFonts w:ascii="Garamond" w:eastAsia="Calibri" w:hAnsi="Garamond"/>
          <w:b/>
          <w:bCs/>
          <w:color w:val="171717"/>
        </w:rPr>
      </w:pPr>
      <w:r w:rsidRPr="0011219A">
        <w:rPr>
          <w:rFonts w:ascii="Garamond" w:eastAsia="Calibri" w:hAnsi="Garamond"/>
          <w:b/>
          <w:bCs/>
          <w:color w:val="171717"/>
        </w:rPr>
        <w:t>VENDIM</w:t>
      </w:r>
    </w:p>
    <w:p w14:paraId="63D8F412" w14:textId="7ADD6001" w:rsidR="00615B75" w:rsidRPr="0011219A" w:rsidRDefault="00615B75" w:rsidP="00615B75">
      <w:pPr>
        <w:autoSpaceDE w:val="0"/>
        <w:autoSpaceDN w:val="0"/>
        <w:adjustRightInd w:val="0"/>
        <w:ind w:firstLine="284"/>
        <w:jc w:val="center"/>
        <w:rPr>
          <w:rFonts w:ascii="Garamond" w:eastAsia="Calibri" w:hAnsi="Garamond"/>
          <w:b/>
          <w:bCs/>
          <w:color w:val="171717"/>
        </w:rPr>
      </w:pPr>
      <w:r w:rsidRPr="0011219A">
        <w:rPr>
          <w:rFonts w:ascii="Garamond" w:eastAsia="Calibri" w:hAnsi="Garamond"/>
          <w:b/>
          <w:bCs/>
          <w:color w:val="171717"/>
        </w:rPr>
        <w:t>Nr.</w:t>
      </w:r>
      <w:r w:rsidR="0011219A">
        <w:rPr>
          <w:rFonts w:ascii="Garamond" w:eastAsia="Calibri" w:hAnsi="Garamond"/>
          <w:b/>
          <w:bCs/>
          <w:color w:val="171717"/>
        </w:rPr>
        <w:t xml:space="preserve"> </w:t>
      </w:r>
      <w:r w:rsidRPr="0011219A">
        <w:rPr>
          <w:rFonts w:ascii="Garamond" w:eastAsia="Calibri" w:hAnsi="Garamond"/>
          <w:b/>
          <w:bCs/>
          <w:color w:val="171717"/>
        </w:rPr>
        <w:t>00-2025-4083 (79), datë 18.2.2025</w:t>
      </w:r>
    </w:p>
    <w:p w14:paraId="1518310E" w14:textId="77777777" w:rsidR="00615B75" w:rsidRPr="0011219A" w:rsidRDefault="00615B75" w:rsidP="00615B75">
      <w:pPr>
        <w:autoSpaceDE w:val="0"/>
        <w:autoSpaceDN w:val="0"/>
        <w:adjustRightInd w:val="0"/>
        <w:ind w:firstLine="284"/>
        <w:jc w:val="center"/>
        <w:rPr>
          <w:rFonts w:ascii="Garamond" w:eastAsia="Calibri" w:hAnsi="Garamond"/>
          <w:b/>
          <w:bCs/>
          <w:color w:val="171717"/>
        </w:rPr>
      </w:pPr>
    </w:p>
    <w:p w14:paraId="5C1EA9BF" w14:textId="77777777" w:rsidR="00615B75" w:rsidRPr="0011219A" w:rsidRDefault="00615B75" w:rsidP="00615B75">
      <w:pPr>
        <w:autoSpaceDE w:val="0"/>
        <w:autoSpaceDN w:val="0"/>
        <w:adjustRightInd w:val="0"/>
        <w:ind w:firstLine="284"/>
        <w:jc w:val="center"/>
        <w:outlineLvl w:val="4"/>
        <w:rPr>
          <w:rFonts w:ascii="Garamond" w:eastAsia="Calibri" w:hAnsi="Garamond"/>
          <w:b/>
          <w:bCs/>
          <w:i/>
          <w:iCs/>
          <w:color w:val="171717"/>
        </w:rPr>
      </w:pPr>
      <w:r w:rsidRPr="0011219A">
        <w:rPr>
          <w:rFonts w:ascii="Garamond" w:eastAsia="Calibri" w:hAnsi="Garamond"/>
          <w:b/>
          <w:bCs/>
          <w:color w:val="171717"/>
        </w:rPr>
        <w:t>NË EMËR TË REPUBLIKËS</w:t>
      </w:r>
    </w:p>
    <w:p w14:paraId="1F62DF0D" w14:textId="77777777" w:rsidR="00615B75" w:rsidRPr="0011219A" w:rsidRDefault="00615B75" w:rsidP="00615B75">
      <w:pPr>
        <w:autoSpaceDE w:val="0"/>
        <w:autoSpaceDN w:val="0"/>
        <w:adjustRightInd w:val="0"/>
        <w:ind w:firstLine="284"/>
        <w:jc w:val="center"/>
        <w:rPr>
          <w:rFonts w:ascii="Garamond" w:eastAsia="Calibri" w:hAnsi="Garamond"/>
          <w:b/>
          <w:bCs/>
          <w:color w:val="171717"/>
        </w:rPr>
      </w:pPr>
    </w:p>
    <w:p w14:paraId="2F13C752" w14:textId="77777777"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Kolegji Administrativ i Gjykatës së Lartë, me trup gjykues të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275"/>
      </w:tblGrid>
      <w:tr w:rsidR="00615B75" w:rsidRPr="0011219A" w14:paraId="5668F5FA" w14:textId="77777777" w:rsidTr="00747A5E">
        <w:tc>
          <w:tcPr>
            <w:tcW w:w="2689" w:type="dxa"/>
          </w:tcPr>
          <w:p w14:paraId="2E50E40E" w14:textId="72A15914" w:rsidR="00615B75" w:rsidRPr="0011219A" w:rsidRDefault="00615B75" w:rsidP="00066EC7">
            <w:pPr>
              <w:autoSpaceDE w:val="0"/>
              <w:autoSpaceDN w:val="0"/>
              <w:adjustRightInd w:val="0"/>
              <w:rPr>
                <w:rFonts w:ascii="Garamond" w:eastAsia="Calibri" w:hAnsi="Garamond"/>
                <w:bCs/>
                <w:color w:val="171717"/>
              </w:rPr>
            </w:pPr>
            <w:r w:rsidRPr="0011219A">
              <w:rPr>
                <w:rFonts w:ascii="Garamond" w:eastAsia="Calibri" w:hAnsi="Garamond"/>
                <w:bCs/>
                <w:color w:val="171717"/>
              </w:rPr>
              <w:t xml:space="preserve">Sokol </w:t>
            </w:r>
            <w:proofErr w:type="spellStart"/>
            <w:r w:rsidRPr="0011219A">
              <w:rPr>
                <w:rFonts w:ascii="Garamond" w:eastAsia="Calibri" w:hAnsi="Garamond"/>
                <w:bCs/>
                <w:color w:val="171717"/>
              </w:rPr>
              <w:t>Sadushi</w:t>
            </w:r>
            <w:proofErr w:type="spellEnd"/>
            <w:r w:rsidR="0011219A" w:rsidRPr="0011219A">
              <w:rPr>
                <w:rFonts w:ascii="Garamond" w:eastAsia="Calibri" w:hAnsi="Garamond"/>
                <w:bCs/>
                <w:color w:val="171717"/>
              </w:rPr>
              <w:t xml:space="preserve"> </w:t>
            </w:r>
          </w:p>
        </w:tc>
        <w:tc>
          <w:tcPr>
            <w:tcW w:w="1275" w:type="dxa"/>
          </w:tcPr>
          <w:p w14:paraId="7049B31B" w14:textId="6DAF5646" w:rsidR="00615B75" w:rsidRPr="0011219A" w:rsidRDefault="00615B75" w:rsidP="00066EC7">
            <w:pPr>
              <w:autoSpaceDE w:val="0"/>
              <w:autoSpaceDN w:val="0"/>
              <w:adjustRightInd w:val="0"/>
              <w:rPr>
                <w:rFonts w:ascii="Garamond" w:eastAsia="Calibri" w:hAnsi="Garamond"/>
                <w:b/>
                <w:bCs/>
                <w:color w:val="171717"/>
              </w:rPr>
            </w:pPr>
            <w:r w:rsidRPr="0011219A">
              <w:rPr>
                <w:rFonts w:ascii="Garamond" w:eastAsia="Calibri" w:hAnsi="Garamond"/>
                <w:bCs/>
                <w:color w:val="171717"/>
              </w:rPr>
              <w:t>- kryesues</w:t>
            </w:r>
            <w:r w:rsidR="00747A5E">
              <w:rPr>
                <w:rFonts w:ascii="Garamond" w:eastAsia="Calibri" w:hAnsi="Garamond"/>
                <w:bCs/>
                <w:color w:val="171717"/>
              </w:rPr>
              <w:t>;</w:t>
            </w:r>
          </w:p>
        </w:tc>
      </w:tr>
      <w:tr w:rsidR="00615B75" w:rsidRPr="0011219A" w14:paraId="65ADC108" w14:textId="77777777" w:rsidTr="00747A5E">
        <w:tc>
          <w:tcPr>
            <w:tcW w:w="2689" w:type="dxa"/>
          </w:tcPr>
          <w:p w14:paraId="13B14DEA" w14:textId="5F1AF0CA" w:rsidR="00615B75" w:rsidRPr="0011219A" w:rsidRDefault="00615B75" w:rsidP="00066EC7">
            <w:pPr>
              <w:autoSpaceDE w:val="0"/>
              <w:autoSpaceDN w:val="0"/>
              <w:adjustRightInd w:val="0"/>
              <w:jc w:val="both"/>
              <w:rPr>
                <w:rFonts w:ascii="Garamond" w:eastAsia="Calibri" w:hAnsi="Garamond"/>
                <w:bCs/>
                <w:color w:val="171717"/>
              </w:rPr>
            </w:pPr>
            <w:r w:rsidRPr="0011219A">
              <w:rPr>
                <w:rFonts w:ascii="Garamond" w:eastAsia="Calibri" w:hAnsi="Garamond"/>
                <w:bCs/>
                <w:color w:val="171717"/>
              </w:rPr>
              <w:t xml:space="preserve">Arbena </w:t>
            </w:r>
            <w:proofErr w:type="spellStart"/>
            <w:r w:rsidRPr="0011219A">
              <w:rPr>
                <w:rFonts w:ascii="Garamond" w:eastAsia="Calibri" w:hAnsi="Garamond"/>
                <w:bCs/>
                <w:color w:val="171717"/>
              </w:rPr>
              <w:t>Ahmeti</w:t>
            </w:r>
            <w:proofErr w:type="spellEnd"/>
            <w:r w:rsidR="0011219A" w:rsidRPr="0011219A">
              <w:rPr>
                <w:rFonts w:ascii="Garamond" w:eastAsia="Calibri" w:hAnsi="Garamond"/>
                <w:bCs/>
                <w:color w:val="171717"/>
              </w:rPr>
              <w:t xml:space="preserve"> </w:t>
            </w:r>
          </w:p>
        </w:tc>
        <w:tc>
          <w:tcPr>
            <w:tcW w:w="1275" w:type="dxa"/>
          </w:tcPr>
          <w:p w14:paraId="1406D889" w14:textId="7A8DAFA4" w:rsidR="00615B75" w:rsidRPr="0011219A" w:rsidRDefault="00615B75" w:rsidP="00066EC7">
            <w:pPr>
              <w:autoSpaceDE w:val="0"/>
              <w:autoSpaceDN w:val="0"/>
              <w:adjustRightInd w:val="0"/>
              <w:jc w:val="both"/>
              <w:rPr>
                <w:rFonts w:ascii="Garamond" w:eastAsia="Calibri" w:hAnsi="Garamond"/>
                <w:b/>
                <w:bCs/>
                <w:color w:val="171717"/>
              </w:rPr>
            </w:pPr>
            <w:r w:rsidRPr="0011219A">
              <w:rPr>
                <w:rFonts w:ascii="Garamond" w:eastAsia="Calibri" w:hAnsi="Garamond"/>
                <w:bCs/>
                <w:color w:val="171717"/>
              </w:rPr>
              <w:t>- anëtare</w:t>
            </w:r>
            <w:r w:rsidR="00747A5E">
              <w:rPr>
                <w:rFonts w:ascii="Garamond" w:eastAsia="Calibri" w:hAnsi="Garamond"/>
                <w:bCs/>
                <w:color w:val="171717"/>
              </w:rPr>
              <w:t>;</w:t>
            </w:r>
          </w:p>
        </w:tc>
      </w:tr>
      <w:tr w:rsidR="00615B75" w:rsidRPr="0011219A" w14:paraId="16619924" w14:textId="77777777" w:rsidTr="00747A5E">
        <w:tc>
          <w:tcPr>
            <w:tcW w:w="2689" w:type="dxa"/>
          </w:tcPr>
          <w:p w14:paraId="55D331C3" w14:textId="2794694C" w:rsidR="00615B75" w:rsidRPr="0011219A" w:rsidRDefault="00615B75" w:rsidP="00066EC7">
            <w:pPr>
              <w:autoSpaceDE w:val="0"/>
              <w:autoSpaceDN w:val="0"/>
              <w:adjustRightInd w:val="0"/>
              <w:jc w:val="both"/>
              <w:rPr>
                <w:rFonts w:ascii="Garamond" w:eastAsia="Calibri" w:hAnsi="Garamond"/>
                <w:bCs/>
                <w:color w:val="171717"/>
              </w:rPr>
            </w:pPr>
            <w:proofErr w:type="spellStart"/>
            <w:r w:rsidRPr="0011219A">
              <w:rPr>
                <w:rFonts w:ascii="Garamond" w:eastAsia="Calibri" w:hAnsi="Garamond"/>
                <w:bCs/>
                <w:color w:val="171717"/>
              </w:rPr>
              <w:t>Asim</w:t>
            </w:r>
            <w:proofErr w:type="spellEnd"/>
            <w:r w:rsidRPr="0011219A">
              <w:rPr>
                <w:rFonts w:ascii="Garamond" w:eastAsia="Calibri" w:hAnsi="Garamond"/>
                <w:bCs/>
                <w:color w:val="171717"/>
              </w:rPr>
              <w:t xml:space="preserve"> </w:t>
            </w:r>
            <w:proofErr w:type="spellStart"/>
            <w:r w:rsidRPr="0011219A">
              <w:rPr>
                <w:rFonts w:ascii="Garamond" w:eastAsia="Calibri" w:hAnsi="Garamond"/>
                <w:bCs/>
                <w:color w:val="171717"/>
              </w:rPr>
              <w:t>Vokshi</w:t>
            </w:r>
            <w:proofErr w:type="spellEnd"/>
            <w:r w:rsidR="0011219A" w:rsidRPr="0011219A">
              <w:rPr>
                <w:rFonts w:ascii="Garamond" w:eastAsia="Calibri" w:hAnsi="Garamond"/>
                <w:bCs/>
                <w:color w:val="171717"/>
              </w:rPr>
              <w:t xml:space="preserve"> </w:t>
            </w:r>
          </w:p>
        </w:tc>
        <w:tc>
          <w:tcPr>
            <w:tcW w:w="1275" w:type="dxa"/>
          </w:tcPr>
          <w:p w14:paraId="2228E839" w14:textId="28981C4B" w:rsidR="00615B75" w:rsidRPr="0011219A" w:rsidRDefault="00615B75" w:rsidP="00066EC7">
            <w:pPr>
              <w:autoSpaceDE w:val="0"/>
              <w:autoSpaceDN w:val="0"/>
              <w:adjustRightInd w:val="0"/>
              <w:jc w:val="both"/>
              <w:rPr>
                <w:rFonts w:ascii="Garamond" w:eastAsia="Calibri" w:hAnsi="Garamond"/>
                <w:b/>
                <w:bCs/>
                <w:color w:val="171717"/>
              </w:rPr>
            </w:pPr>
            <w:r w:rsidRPr="0011219A">
              <w:rPr>
                <w:rFonts w:ascii="Garamond" w:eastAsia="Calibri" w:hAnsi="Garamond"/>
                <w:bCs/>
                <w:color w:val="171717"/>
              </w:rPr>
              <w:t>- anëtar</w:t>
            </w:r>
            <w:r w:rsidR="00747A5E">
              <w:rPr>
                <w:rFonts w:ascii="Garamond" w:eastAsia="Calibri" w:hAnsi="Garamond"/>
                <w:bCs/>
                <w:color w:val="171717"/>
              </w:rPr>
              <w:t>;</w:t>
            </w:r>
          </w:p>
        </w:tc>
      </w:tr>
      <w:tr w:rsidR="00615B75" w:rsidRPr="0011219A" w14:paraId="0611D5D2" w14:textId="77777777" w:rsidTr="00747A5E">
        <w:tc>
          <w:tcPr>
            <w:tcW w:w="2689" w:type="dxa"/>
          </w:tcPr>
          <w:p w14:paraId="393CCA07" w14:textId="03986261" w:rsidR="00615B75" w:rsidRPr="0011219A" w:rsidRDefault="00615B75" w:rsidP="00066EC7">
            <w:pPr>
              <w:autoSpaceDE w:val="0"/>
              <w:autoSpaceDN w:val="0"/>
              <w:adjustRightInd w:val="0"/>
              <w:jc w:val="both"/>
              <w:rPr>
                <w:rFonts w:ascii="Garamond" w:eastAsia="Calibri" w:hAnsi="Garamond"/>
                <w:bCs/>
                <w:color w:val="171717"/>
              </w:rPr>
            </w:pPr>
            <w:r w:rsidRPr="0011219A">
              <w:rPr>
                <w:rFonts w:ascii="Garamond" w:eastAsia="Calibri" w:hAnsi="Garamond"/>
                <w:bCs/>
                <w:color w:val="171717"/>
              </w:rPr>
              <w:t xml:space="preserve">Gentian </w:t>
            </w:r>
            <w:proofErr w:type="spellStart"/>
            <w:r w:rsidRPr="0011219A">
              <w:rPr>
                <w:rFonts w:ascii="Garamond" w:eastAsia="Calibri" w:hAnsi="Garamond"/>
                <w:bCs/>
                <w:color w:val="171717"/>
              </w:rPr>
              <w:t>Medja</w:t>
            </w:r>
            <w:proofErr w:type="spellEnd"/>
            <w:r w:rsidR="0011219A" w:rsidRPr="0011219A">
              <w:rPr>
                <w:rFonts w:ascii="Garamond" w:eastAsia="Calibri" w:hAnsi="Garamond"/>
                <w:bCs/>
                <w:color w:val="171717"/>
              </w:rPr>
              <w:t xml:space="preserve"> </w:t>
            </w:r>
          </w:p>
        </w:tc>
        <w:tc>
          <w:tcPr>
            <w:tcW w:w="1275" w:type="dxa"/>
          </w:tcPr>
          <w:p w14:paraId="6C1F411D" w14:textId="6E822A82" w:rsidR="00615B75" w:rsidRPr="0011219A" w:rsidRDefault="00615B75" w:rsidP="00066EC7">
            <w:pPr>
              <w:autoSpaceDE w:val="0"/>
              <w:autoSpaceDN w:val="0"/>
              <w:adjustRightInd w:val="0"/>
              <w:jc w:val="both"/>
              <w:rPr>
                <w:rFonts w:ascii="Garamond" w:eastAsia="Calibri" w:hAnsi="Garamond"/>
                <w:b/>
                <w:bCs/>
                <w:color w:val="171717"/>
              </w:rPr>
            </w:pPr>
            <w:r w:rsidRPr="0011219A">
              <w:rPr>
                <w:rFonts w:ascii="Garamond" w:eastAsia="Calibri" w:hAnsi="Garamond"/>
                <w:bCs/>
                <w:color w:val="171717"/>
              </w:rPr>
              <w:t>- anëtar</w:t>
            </w:r>
            <w:r w:rsidR="00747A5E">
              <w:rPr>
                <w:rFonts w:ascii="Garamond" w:eastAsia="Calibri" w:hAnsi="Garamond"/>
                <w:bCs/>
                <w:color w:val="171717"/>
              </w:rPr>
              <w:t>;</w:t>
            </w:r>
          </w:p>
        </w:tc>
      </w:tr>
      <w:tr w:rsidR="00615B75" w:rsidRPr="0011219A" w14:paraId="5492A3CE" w14:textId="77777777" w:rsidTr="00747A5E">
        <w:tc>
          <w:tcPr>
            <w:tcW w:w="2689" w:type="dxa"/>
          </w:tcPr>
          <w:p w14:paraId="75449C7F" w14:textId="0802C795" w:rsidR="00615B75" w:rsidRPr="0011219A" w:rsidRDefault="00615B75" w:rsidP="00066EC7">
            <w:pPr>
              <w:autoSpaceDE w:val="0"/>
              <w:autoSpaceDN w:val="0"/>
              <w:adjustRightInd w:val="0"/>
              <w:jc w:val="both"/>
              <w:rPr>
                <w:rFonts w:ascii="Garamond" w:eastAsia="Calibri" w:hAnsi="Garamond"/>
                <w:bCs/>
                <w:color w:val="171717"/>
              </w:rPr>
            </w:pPr>
            <w:r w:rsidRPr="0011219A">
              <w:rPr>
                <w:rFonts w:ascii="Garamond" w:eastAsia="Calibri" w:hAnsi="Garamond"/>
                <w:bCs/>
                <w:color w:val="171717"/>
              </w:rPr>
              <w:t xml:space="preserve">Enkelejda </w:t>
            </w:r>
            <w:proofErr w:type="spellStart"/>
            <w:r w:rsidRPr="0011219A">
              <w:rPr>
                <w:rFonts w:ascii="Garamond" w:eastAsia="Calibri" w:hAnsi="Garamond"/>
                <w:bCs/>
                <w:color w:val="171717"/>
              </w:rPr>
              <w:t>Metaliaj</w:t>
            </w:r>
            <w:proofErr w:type="spellEnd"/>
            <w:r w:rsidRPr="0011219A">
              <w:rPr>
                <w:rFonts w:ascii="Garamond" w:eastAsia="Calibri" w:hAnsi="Garamond"/>
                <w:bCs/>
                <w:color w:val="171717"/>
              </w:rPr>
              <w:t xml:space="preserve"> (</w:t>
            </w:r>
            <w:r w:rsidR="00725EF7" w:rsidRPr="0011219A">
              <w:rPr>
                <w:rFonts w:ascii="Garamond" w:eastAsia="Calibri" w:hAnsi="Garamond"/>
                <w:bCs/>
                <w:color w:val="171717"/>
              </w:rPr>
              <w:t>Softa</w:t>
            </w:r>
            <w:r w:rsidRPr="0011219A">
              <w:rPr>
                <w:rFonts w:ascii="Garamond" w:eastAsia="Calibri" w:hAnsi="Garamond"/>
                <w:bCs/>
                <w:color w:val="171717"/>
              </w:rPr>
              <w:t xml:space="preserve">) </w:t>
            </w:r>
          </w:p>
        </w:tc>
        <w:tc>
          <w:tcPr>
            <w:tcW w:w="1275" w:type="dxa"/>
          </w:tcPr>
          <w:p w14:paraId="6434B1B7" w14:textId="5C82B843" w:rsidR="00615B75" w:rsidRPr="0011219A" w:rsidRDefault="00615B75" w:rsidP="00066EC7">
            <w:pPr>
              <w:autoSpaceDE w:val="0"/>
              <w:autoSpaceDN w:val="0"/>
              <w:adjustRightInd w:val="0"/>
              <w:jc w:val="both"/>
              <w:rPr>
                <w:rFonts w:ascii="Garamond" w:eastAsia="Calibri" w:hAnsi="Garamond"/>
                <w:b/>
                <w:bCs/>
                <w:color w:val="171717"/>
              </w:rPr>
            </w:pPr>
            <w:r w:rsidRPr="0011219A">
              <w:rPr>
                <w:rFonts w:ascii="Garamond" w:eastAsia="Calibri" w:hAnsi="Garamond"/>
                <w:bCs/>
                <w:color w:val="171717"/>
              </w:rPr>
              <w:t>- anëtare</w:t>
            </w:r>
            <w:r w:rsidR="00747A5E">
              <w:rPr>
                <w:rFonts w:ascii="Garamond" w:eastAsia="Calibri" w:hAnsi="Garamond"/>
                <w:bCs/>
                <w:color w:val="171717"/>
              </w:rPr>
              <w:t>,</w:t>
            </w:r>
          </w:p>
        </w:tc>
      </w:tr>
    </w:tbl>
    <w:p w14:paraId="61C71039" w14:textId="4206F36B"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dhe sekretare gjyqësore </w:t>
      </w:r>
      <w:proofErr w:type="spellStart"/>
      <w:r w:rsidRPr="0011219A">
        <w:rPr>
          <w:rFonts w:ascii="Garamond" w:eastAsia="Calibri" w:hAnsi="Garamond"/>
          <w:color w:val="171717"/>
        </w:rPr>
        <w:t>Katerina</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Bilo</w:t>
      </w:r>
      <w:proofErr w:type="spellEnd"/>
      <w:r w:rsidRPr="0011219A">
        <w:rPr>
          <w:rFonts w:ascii="Garamond" w:eastAsia="Calibri" w:hAnsi="Garamond"/>
          <w:color w:val="171717"/>
        </w:rPr>
        <w:t>, në seancë gjyqësore datë 18.2.2025, mori në shqyrtim çështjen administrative nr.</w:t>
      </w:r>
      <w:r w:rsidR="00CD6E7F">
        <w:rPr>
          <w:rFonts w:ascii="Garamond" w:eastAsia="Calibri" w:hAnsi="Garamond"/>
          <w:color w:val="171717"/>
        </w:rPr>
        <w:t xml:space="preserve"> </w:t>
      </w:r>
      <w:r w:rsidRPr="0011219A">
        <w:rPr>
          <w:rFonts w:ascii="Garamond" w:eastAsia="Calibri" w:hAnsi="Garamond"/>
          <w:color w:val="171717"/>
        </w:rPr>
        <w:t>31003-00018-00-2024 akti, që u përket:</w:t>
      </w:r>
    </w:p>
    <w:p w14:paraId="4F3BBE18" w14:textId="0E89B561"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bCs/>
          <w:color w:val="171717"/>
        </w:rPr>
        <w:t>PADITËS:</w:t>
      </w:r>
      <w:r w:rsidRPr="0011219A">
        <w:rPr>
          <w:rFonts w:ascii="Garamond" w:eastAsia="Calibri" w:hAnsi="Garamond"/>
          <w:color w:val="171717"/>
        </w:rPr>
        <w:t xml:space="preserve"> Agjencia Shtetërore e Kadastrës </w:t>
      </w:r>
    </w:p>
    <w:p w14:paraId="41F87C28" w14:textId="77777777"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Drejtoria Vendore Tiranë-Rurale 2.</w:t>
      </w:r>
    </w:p>
    <w:p w14:paraId="7DD1A2E6" w14:textId="0E0FC874"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bCs/>
          <w:color w:val="171717"/>
        </w:rPr>
        <w:t>TË PADITUR:</w:t>
      </w:r>
      <w:r w:rsidRPr="0011219A">
        <w:rPr>
          <w:rFonts w:ascii="Garamond" w:eastAsia="Calibri" w:hAnsi="Garamond"/>
          <w:color w:val="171717"/>
        </w:rPr>
        <w:t xml:space="preserve">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w:t>
      </w:r>
      <w:proofErr w:type="spellEnd"/>
    </w:p>
    <w:p w14:paraId="6E635833" w14:textId="41BD165D"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 Flora </w:t>
      </w:r>
      <w:proofErr w:type="spellStart"/>
      <w:r w:rsidRPr="0011219A">
        <w:rPr>
          <w:rFonts w:ascii="Garamond" w:eastAsia="Calibri" w:hAnsi="Garamond"/>
          <w:color w:val="171717"/>
        </w:rPr>
        <w:t>Beqiri</w:t>
      </w:r>
      <w:proofErr w:type="spellEnd"/>
    </w:p>
    <w:p w14:paraId="743B8619" w14:textId="15F924A3"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 Ermir </w:t>
      </w:r>
      <w:proofErr w:type="spellStart"/>
      <w:r w:rsidRPr="0011219A">
        <w:rPr>
          <w:rFonts w:ascii="Garamond" w:eastAsia="Calibri" w:hAnsi="Garamond"/>
          <w:color w:val="171717"/>
        </w:rPr>
        <w:t>Beqiri</w:t>
      </w:r>
      <w:proofErr w:type="spellEnd"/>
    </w:p>
    <w:p w14:paraId="1ACF9FAA" w14:textId="0A8BEE53"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bCs/>
          <w:color w:val="171717"/>
        </w:rPr>
        <w:t xml:space="preserve">OBJEKTI: </w:t>
      </w:r>
      <w:r w:rsidRPr="0011219A">
        <w:rPr>
          <w:rFonts w:ascii="Garamond" w:eastAsia="Calibri" w:hAnsi="Garamond"/>
          <w:color w:val="171717"/>
        </w:rPr>
        <w:t xml:space="preserve">Detyrimin e familjes bujqësore me përfaqësues,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w:t>
      </w:r>
      <w:proofErr w:type="spellEnd"/>
      <w:r w:rsidRPr="0011219A">
        <w:rPr>
          <w:rFonts w:ascii="Garamond" w:eastAsia="Calibri" w:hAnsi="Garamond"/>
          <w:color w:val="171717"/>
        </w:rPr>
        <w:t xml:space="preserve">, të paguajë vlerën monetare për pasurinë e shitur prej 2600 </w:t>
      </w:r>
      <w:proofErr w:type="spellStart"/>
      <w:r w:rsidRPr="0011219A">
        <w:rPr>
          <w:rFonts w:ascii="Garamond" w:eastAsia="Calibri" w:hAnsi="Garamond"/>
          <w:color w:val="171717"/>
        </w:rPr>
        <w:t>m</w:t>
      </w:r>
      <w:r w:rsidRPr="0011219A">
        <w:rPr>
          <w:rFonts w:ascii="Garamond" w:hAnsi="Garamond"/>
          <w:vertAlign w:val="superscript"/>
        </w:rPr>
        <w:t>2</w:t>
      </w:r>
      <w:proofErr w:type="spellEnd"/>
      <w:r w:rsidRPr="0011219A">
        <w:rPr>
          <w:rFonts w:ascii="Garamond" w:eastAsia="Calibri" w:hAnsi="Garamond"/>
          <w:color w:val="171717"/>
        </w:rPr>
        <w:t>, në shumën 1.164.800 lekë.</w:t>
      </w:r>
    </w:p>
    <w:p w14:paraId="1DC32906" w14:textId="1C694906"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bCs/>
          <w:color w:val="171717"/>
        </w:rPr>
        <w:t xml:space="preserve">BAZA LIGJORE: </w:t>
      </w:r>
      <w:r w:rsidRPr="0011219A">
        <w:rPr>
          <w:rFonts w:ascii="Garamond" w:eastAsia="Calibri" w:hAnsi="Garamond"/>
          <w:color w:val="171717"/>
        </w:rPr>
        <w:t>Neni 10 i ligjit nr. 9948, datë 7.7.2008</w:t>
      </w:r>
      <w:r w:rsidR="00513760">
        <w:rPr>
          <w:rFonts w:ascii="Garamond" w:eastAsia="Calibri" w:hAnsi="Garamond"/>
          <w:color w:val="171717"/>
        </w:rPr>
        <w:t>,</w:t>
      </w:r>
      <w:r w:rsidRPr="0011219A">
        <w:rPr>
          <w:rFonts w:ascii="Garamond" w:eastAsia="Calibri" w:hAnsi="Garamond"/>
          <w:color w:val="171717"/>
        </w:rPr>
        <w:t xml:space="preserve"> “Për shqyrtimin e vlefshmërisë ligjore të krijimit të titujve të pronësisë mbi tokën bujqësore”, i ndryshuar me ligjin nr. 58/2012; </w:t>
      </w:r>
      <w:r w:rsidR="00747A5E" w:rsidRPr="0011219A">
        <w:rPr>
          <w:rFonts w:ascii="Garamond" w:eastAsia="Calibri" w:hAnsi="Garamond"/>
          <w:color w:val="171717"/>
        </w:rPr>
        <w:t xml:space="preserve">neni </w:t>
      </w:r>
      <w:r w:rsidRPr="0011219A">
        <w:rPr>
          <w:rFonts w:ascii="Garamond" w:eastAsia="Calibri" w:hAnsi="Garamond"/>
          <w:color w:val="171717"/>
        </w:rPr>
        <w:t xml:space="preserve">115 e vijues i Kodit të Procedurave Administrative; </w:t>
      </w:r>
      <w:r w:rsidR="00747A5E" w:rsidRPr="0011219A">
        <w:rPr>
          <w:rFonts w:ascii="Garamond" w:eastAsia="Calibri" w:hAnsi="Garamond"/>
          <w:color w:val="171717"/>
        </w:rPr>
        <w:t xml:space="preserve">neni </w:t>
      </w:r>
      <w:r w:rsidRPr="0011219A">
        <w:rPr>
          <w:rFonts w:ascii="Garamond" w:eastAsia="Calibri" w:hAnsi="Garamond"/>
          <w:color w:val="171717"/>
        </w:rPr>
        <w:t xml:space="preserve">32 i Kodit të Procedurave Civile; </w:t>
      </w:r>
      <w:r w:rsidR="00747A5E" w:rsidRPr="0011219A">
        <w:rPr>
          <w:rFonts w:ascii="Garamond" w:eastAsia="Calibri" w:hAnsi="Garamond"/>
          <w:color w:val="171717"/>
        </w:rPr>
        <w:t xml:space="preserve">ligji </w:t>
      </w:r>
      <w:r w:rsidRPr="0011219A">
        <w:rPr>
          <w:rFonts w:ascii="Garamond" w:eastAsia="Calibri" w:hAnsi="Garamond"/>
          <w:color w:val="171717"/>
        </w:rPr>
        <w:t>nr. 33, datë 21.3.2012</w:t>
      </w:r>
      <w:r w:rsidR="00BD4E1D">
        <w:rPr>
          <w:rFonts w:ascii="Garamond" w:eastAsia="Calibri" w:hAnsi="Garamond"/>
          <w:color w:val="171717"/>
        </w:rPr>
        <w:t>,</w:t>
      </w:r>
      <w:r w:rsidRPr="0011219A">
        <w:rPr>
          <w:rFonts w:ascii="Garamond" w:eastAsia="Calibri" w:hAnsi="Garamond"/>
          <w:color w:val="171717"/>
        </w:rPr>
        <w:t xml:space="preserve"> “Për regjistrimin e pasurive të paluajtshme”; </w:t>
      </w:r>
      <w:r w:rsidR="00BD4E1D" w:rsidRPr="0011219A">
        <w:rPr>
          <w:rFonts w:ascii="Garamond" w:eastAsia="Calibri" w:hAnsi="Garamond"/>
          <w:color w:val="171717"/>
        </w:rPr>
        <w:t xml:space="preserve">ligji </w:t>
      </w:r>
      <w:r w:rsidRPr="0011219A">
        <w:rPr>
          <w:rFonts w:ascii="Garamond" w:eastAsia="Calibri" w:hAnsi="Garamond"/>
          <w:color w:val="171717"/>
        </w:rPr>
        <w:t>nr. 49/2012</w:t>
      </w:r>
      <w:r w:rsidR="00BD4E1D">
        <w:rPr>
          <w:rFonts w:ascii="Garamond" w:eastAsia="Calibri" w:hAnsi="Garamond"/>
          <w:color w:val="171717"/>
        </w:rPr>
        <w:t>,</w:t>
      </w:r>
      <w:r w:rsidRPr="0011219A">
        <w:rPr>
          <w:rFonts w:ascii="Garamond" w:eastAsia="Calibri" w:hAnsi="Garamond"/>
          <w:color w:val="171717"/>
        </w:rPr>
        <w:t xml:space="preserve"> “Për gjykatat administrative dhe gjykimin e mosmarrëveshjeve administrative”</w:t>
      </w:r>
      <w:r w:rsidR="00BD4E1D">
        <w:rPr>
          <w:rFonts w:ascii="Garamond" w:eastAsia="Calibri" w:hAnsi="Garamond"/>
          <w:color w:val="171717"/>
        </w:rPr>
        <w:t>,</w:t>
      </w:r>
      <w:r w:rsidRPr="0011219A">
        <w:rPr>
          <w:rFonts w:ascii="Garamond" w:eastAsia="Calibri" w:hAnsi="Garamond"/>
          <w:color w:val="171717"/>
        </w:rPr>
        <w:t xml:space="preserve"> </w:t>
      </w:r>
      <w:r w:rsidR="00BD4E1D">
        <w:rPr>
          <w:rFonts w:ascii="Garamond" w:eastAsia="Calibri" w:hAnsi="Garamond"/>
          <w:color w:val="171717"/>
        </w:rPr>
        <w:t>të</w:t>
      </w:r>
      <w:r w:rsidRPr="0011219A">
        <w:rPr>
          <w:rFonts w:ascii="Garamond" w:eastAsia="Calibri" w:hAnsi="Garamond"/>
          <w:color w:val="171717"/>
        </w:rPr>
        <w:t xml:space="preserve"> ndryshuar.</w:t>
      </w:r>
    </w:p>
    <w:p w14:paraId="63099BF3" w14:textId="77777777" w:rsidR="00615B75" w:rsidRPr="0011219A" w:rsidRDefault="00615B75" w:rsidP="00615B75">
      <w:pPr>
        <w:autoSpaceDE w:val="0"/>
        <w:autoSpaceDN w:val="0"/>
        <w:adjustRightInd w:val="0"/>
        <w:ind w:firstLine="284"/>
        <w:jc w:val="both"/>
        <w:rPr>
          <w:rFonts w:ascii="Garamond" w:eastAsia="Calibri" w:hAnsi="Garamond"/>
          <w:color w:val="171717"/>
        </w:rPr>
      </w:pPr>
    </w:p>
    <w:p w14:paraId="02B0B224" w14:textId="0E23397C" w:rsidR="00615B75" w:rsidRPr="0011219A" w:rsidRDefault="00615B75" w:rsidP="00615B75">
      <w:pPr>
        <w:autoSpaceDE w:val="0"/>
        <w:autoSpaceDN w:val="0"/>
        <w:adjustRightInd w:val="0"/>
        <w:ind w:firstLine="284"/>
        <w:jc w:val="center"/>
        <w:rPr>
          <w:rFonts w:ascii="Garamond" w:eastAsia="Calibri" w:hAnsi="Garamond"/>
          <w:bCs/>
          <w:color w:val="171717"/>
        </w:rPr>
      </w:pPr>
      <w:r w:rsidRPr="0011219A">
        <w:rPr>
          <w:rFonts w:ascii="Garamond" w:eastAsia="Calibri" w:hAnsi="Garamond"/>
          <w:bCs/>
          <w:color w:val="171717"/>
        </w:rPr>
        <w:t>KOLEGJI ADMINISTRATIV I GJYKATËS SË LARTË</w:t>
      </w:r>
      <w:r w:rsidR="00747A5E">
        <w:rPr>
          <w:rFonts w:ascii="Garamond" w:eastAsia="Calibri" w:hAnsi="Garamond"/>
          <w:bCs/>
          <w:color w:val="171717"/>
        </w:rPr>
        <w:t>,</w:t>
      </w:r>
    </w:p>
    <w:p w14:paraId="4FAEC207" w14:textId="77777777" w:rsidR="00615B75" w:rsidRPr="0011219A" w:rsidRDefault="00615B75" w:rsidP="00615B75">
      <w:pPr>
        <w:autoSpaceDE w:val="0"/>
        <w:autoSpaceDN w:val="0"/>
        <w:adjustRightInd w:val="0"/>
        <w:ind w:firstLine="284"/>
        <w:jc w:val="both"/>
        <w:rPr>
          <w:rFonts w:ascii="Garamond" w:eastAsia="Calibri" w:hAnsi="Garamond"/>
          <w:color w:val="171717"/>
        </w:rPr>
      </w:pPr>
    </w:p>
    <w:p w14:paraId="7E567429" w14:textId="05C28E3B"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w:t>
      </w:r>
      <w:r w:rsidR="00660D08">
        <w:rPr>
          <w:rFonts w:ascii="Garamond" w:eastAsia="Calibri" w:hAnsi="Garamond"/>
          <w:color w:val="171717"/>
        </w:rPr>
        <w:t xml:space="preserve"> </w:t>
      </w:r>
      <w:r w:rsidRPr="0011219A">
        <w:rPr>
          <w:rFonts w:ascii="Garamond" w:eastAsia="Calibri" w:hAnsi="Garamond"/>
          <w:color w:val="171717"/>
        </w:rPr>
        <w:t xml:space="preserve">Zhvilloi seanca gjyqësore </w:t>
      </w:r>
      <w:r w:rsidR="00CD6E7F">
        <w:rPr>
          <w:rFonts w:ascii="Garamond" w:eastAsia="Calibri" w:hAnsi="Garamond"/>
          <w:color w:val="171717"/>
        </w:rPr>
        <w:t>m</w:t>
      </w:r>
      <w:r w:rsidRPr="0011219A">
        <w:rPr>
          <w:rFonts w:ascii="Garamond" w:eastAsia="Calibri" w:hAnsi="Garamond"/>
          <w:color w:val="171717"/>
        </w:rPr>
        <w:t xml:space="preserve">ë datë 22.1.2025 dhe </w:t>
      </w:r>
      <w:r w:rsidR="00CD6E7F">
        <w:rPr>
          <w:rFonts w:ascii="Garamond" w:eastAsia="Calibri" w:hAnsi="Garamond"/>
          <w:color w:val="171717"/>
        </w:rPr>
        <w:t>m</w:t>
      </w:r>
      <w:r w:rsidRPr="0011219A">
        <w:rPr>
          <w:rFonts w:ascii="Garamond" w:eastAsia="Calibri" w:hAnsi="Garamond"/>
          <w:color w:val="171717"/>
        </w:rPr>
        <w:t>ë datë 18.2.2025</w:t>
      </w:r>
      <w:r w:rsidR="00FF7A45">
        <w:rPr>
          <w:rFonts w:ascii="Garamond" w:eastAsia="Calibri" w:hAnsi="Garamond"/>
          <w:color w:val="171717"/>
        </w:rPr>
        <w:t>,</w:t>
      </w:r>
      <w:r w:rsidRPr="0011219A">
        <w:rPr>
          <w:rFonts w:ascii="Garamond" w:eastAsia="Calibri" w:hAnsi="Garamond"/>
          <w:color w:val="171717"/>
        </w:rPr>
        <w:t xml:space="preserve"> me qëllim njësimin e praktikës gjyqësore.</w:t>
      </w:r>
      <w:r w:rsidR="000B0730" w:rsidRPr="0011219A">
        <w:rPr>
          <w:rStyle w:val="FootnoteReference"/>
          <w:rFonts w:ascii="Garamond" w:eastAsia="Calibri" w:hAnsi="Garamond"/>
          <w:color w:val="171717"/>
        </w:rPr>
        <w:footnoteReference w:id="2"/>
      </w:r>
    </w:p>
    <w:p w14:paraId="55B35622" w14:textId="3CFCD480"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w:t>
      </w:r>
      <w:r w:rsidR="00660D08">
        <w:rPr>
          <w:rFonts w:ascii="Garamond" w:eastAsia="Calibri" w:hAnsi="Garamond"/>
          <w:color w:val="171717"/>
        </w:rPr>
        <w:t xml:space="preserve"> </w:t>
      </w:r>
      <w:r w:rsidRPr="0011219A">
        <w:rPr>
          <w:rFonts w:ascii="Garamond" w:eastAsia="Calibri" w:hAnsi="Garamond"/>
          <w:color w:val="171717"/>
        </w:rPr>
        <w:t xml:space="preserve">Si u </w:t>
      </w:r>
      <w:proofErr w:type="spellStart"/>
      <w:r w:rsidRPr="0011219A">
        <w:rPr>
          <w:rFonts w:ascii="Garamond" w:eastAsia="Calibri" w:hAnsi="Garamond"/>
          <w:color w:val="171717"/>
        </w:rPr>
        <w:t>relatua</w:t>
      </w:r>
      <w:proofErr w:type="spellEnd"/>
      <w:r w:rsidRPr="0011219A">
        <w:rPr>
          <w:rFonts w:ascii="Garamond" w:eastAsia="Calibri" w:hAnsi="Garamond"/>
          <w:color w:val="171717"/>
        </w:rPr>
        <w:t xml:space="preserve"> çështja administrative prej gjyqtares </w:t>
      </w:r>
      <w:proofErr w:type="spellStart"/>
      <w:r w:rsidRPr="0011219A">
        <w:rPr>
          <w:rFonts w:ascii="Garamond" w:eastAsia="Calibri" w:hAnsi="Garamond"/>
          <w:color w:val="171717"/>
        </w:rPr>
        <w:t>relatore</w:t>
      </w:r>
      <w:proofErr w:type="spellEnd"/>
      <w:r w:rsidRPr="0011219A">
        <w:rPr>
          <w:rFonts w:ascii="Garamond" w:eastAsia="Calibri" w:hAnsi="Garamond"/>
          <w:color w:val="171717"/>
        </w:rPr>
        <w:t xml:space="preserve">, Arbena </w:t>
      </w:r>
      <w:proofErr w:type="spellStart"/>
      <w:r w:rsidRPr="0011219A">
        <w:rPr>
          <w:rFonts w:ascii="Garamond" w:eastAsia="Calibri" w:hAnsi="Garamond"/>
          <w:color w:val="171717"/>
        </w:rPr>
        <w:t>Ahmeti</w:t>
      </w:r>
      <w:proofErr w:type="spellEnd"/>
      <w:r w:rsidRPr="0011219A">
        <w:rPr>
          <w:rFonts w:ascii="Garamond" w:eastAsia="Calibri" w:hAnsi="Garamond"/>
          <w:color w:val="171717"/>
        </w:rPr>
        <w:t xml:space="preserve">, dëgjoi palën </w:t>
      </w:r>
      <w:proofErr w:type="spellStart"/>
      <w:r w:rsidRPr="0011219A">
        <w:rPr>
          <w:rFonts w:ascii="Garamond" w:eastAsia="Calibri" w:hAnsi="Garamond"/>
          <w:color w:val="171717"/>
        </w:rPr>
        <w:t>rekursuese</w:t>
      </w:r>
      <w:proofErr w:type="spellEnd"/>
      <w:r w:rsidRPr="0011219A">
        <w:rPr>
          <w:rFonts w:ascii="Garamond" w:eastAsia="Calibri" w:hAnsi="Garamond"/>
          <w:color w:val="171717"/>
        </w:rPr>
        <w:t xml:space="preserve"> të përfaqësuar prej Avokaturës së Shtetit, që në përfundim kërkoi: -</w:t>
      </w:r>
      <w:r w:rsidR="00CD6E7F">
        <w:rPr>
          <w:rFonts w:ascii="Garamond" w:eastAsia="Calibri" w:hAnsi="Garamond"/>
          <w:color w:val="171717"/>
        </w:rPr>
        <w:t xml:space="preserve"> </w:t>
      </w:r>
      <w:r w:rsidRPr="0011219A">
        <w:rPr>
          <w:rFonts w:ascii="Garamond" w:eastAsia="Calibri" w:hAnsi="Garamond"/>
          <w:i/>
          <w:iCs/>
          <w:color w:val="171717"/>
        </w:rPr>
        <w:t>ndryshimin e vendimit të Gjykatës Administrative të Apelit</w:t>
      </w:r>
      <w:r w:rsidR="00FF7A45">
        <w:rPr>
          <w:rFonts w:ascii="Garamond" w:eastAsia="Calibri" w:hAnsi="Garamond"/>
          <w:i/>
          <w:iCs/>
          <w:color w:val="171717"/>
        </w:rPr>
        <w:t>,</w:t>
      </w:r>
      <w:r w:rsidRPr="0011219A">
        <w:rPr>
          <w:rFonts w:ascii="Garamond" w:eastAsia="Calibri" w:hAnsi="Garamond"/>
          <w:i/>
          <w:iCs/>
          <w:color w:val="171717"/>
        </w:rPr>
        <w:t xml:space="preserve"> si dhe të vendimit të Gjykatës Administrative të Shkallës së Parë, Tiranë dhe pranimin e padisë</w:t>
      </w:r>
      <w:r w:rsidRPr="0011219A">
        <w:rPr>
          <w:rFonts w:ascii="Garamond" w:eastAsia="Calibri" w:hAnsi="Garamond"/>
          <w:color w:val="171717"/>
        </w:rPr>
        <w:t xml:space="preserve">, dëgjoi palën e paditur të përfaqësuar prej avokatit </w:t>
      </w:r>
      <w:proofErr w:type="spellStart"/>
      <w:r w:rsidRPr="0011219A">
        <w:rPr>
          <w:rFonts w:ascii="Garamond" w:eastAsia="Calibri" w:hAnsi="Garamond"/>
          <w:color w:val="171717"/>
        </w:rPr>
        <w:t>Lulzim</w:t>
      </w:r>
      <w:proofErr w:type="spellEnd"/>
      <w:r w:rsidRPr="0011219A">
        <w:rPr>
          <w:rFonts w:ascii="Garamond" w:eastAsia="Calibri" w:hAnsi="Garamond"/>
          <w:color w:val="171717"/>
        </w:rPr>
        <w:t xml:space="preserve"> Koka, që në përfundim kërkoi: </w:t>
      </w:r>
      <w:r w:rsidRPr="0011219A">
        <w:rPr>
          <w:rFonts w:ascii="Garamond" w:eastAsia="Calibri" w:hAnsi="Garamond"/>
          <w:i/>
          <w:iCs/>
          <w:color w:val="171717"/>
        </w:rPr>
        <w:t>-</w:t>
      </w:r>
      <w:r w:rsidR="00FF7A45">
        <w:rPr>
          <w:rFonts w:ascii="Garamond" w:eastAsia="Calibri" w:hAnsi="Garamond"/>
          <w:i/>
          <w:iCs/>
          <w:color w:val="171717"/>
        </w:rPr>
        <w:t xml:space="preserve"> </w:t>
      </w:r>
      <w:r w:rsidRPr="0011219A">
        <w:rPr>
          <w:rFonts w:ascii="Garamond" w:eastAsia="Calibri" w:hAnsi="Garamond"/>
          <w:i/>
          <w:iCs/>
          <w:color w:val="171717"/>
        </w:rPr>
        <w:t xml:space="preserve">lënien në fuqi të vendimit të Gjykatës Administrative të Apelit </w:t>
      </w:r>
      <w:r w:rsidRPr="0011219A">
        <w:rPr>
          <w:rFonts w:ascii="Garamond" w:eastAsia="Calibri" w:hAnsi="Garamond"/>
          <w:color w:val="171717"/>
        </w:rPr>
        <w:t>dhe si e diskutoi çështjen në tërësi,</w:t>
      </w:r>
    </w:p>
    <w:p w14:paraId="5BFC3F53" w14:textId="77777777" w:rsidR="00615B75" w:rsidRPr="0011219A" w:rsidRDefault="00615B75" w:rsidP="00615B75">
      <w:pPr>
        <w:autoSpaceDE w:val="0"/>
        <w:autoSpaceDN w:val="0"/>
        <w:adjustRightInd w:val="0"/>
        <w:ind w:firstLine="284"/>
        <w:jc w:val="center"/>
        <w:outlineLvl w:val="2"/>
        <w:rPr>
          <w:rFonts w:ascii="Garamond" w:eastAsia="Calibri" w:hAnsi="Garamond"/>
          <w:b/>
          <w:bCs/>
          <w:color w:val="171717"/>
        </w:rPr>
      </w:pPr>
    </w:p>
    <w:p w14:paraId="77163F59" w14:textId="49AEF146" w:rsidR="00615B75" w:rsidRPr="00CD6E7F" w:rsidRDefault="00615B75" w:rsidP="00615B75">
      <w:pPr>
        <w:autoSpaceDE w:val="0"/>
        <w:autoSpaceDN w:val="0"/>
        <w:adjustRightInd w:val="0"/>
        <w:ind w:firstLine="284"/>
        <w:jc w:val="center"/>
        <w:outlineLvl w:val="2"/>
        <w:rPr>
          <w:rFonts w:ascii="Garamond" w:eastAsia="Calibri" w:hAnsi="Garamond"/>
          <w:color w:val="171717"/>
        </w:rPr>
      </w:pPr>
      <w:r w:rsidRPr="00CD6E7F">
        <w:rPr>
          <w:rFonts w:ascii="Garamond" w:eastAsia="Calibri" w:hAnsi="Garamond"/>
          <w:color w:val="171717"/>
        </w:rPr>
        <w:t>VËREN</w:t>
      </w:r>
      <w:r w:rsidR="00CD6E7F">
        <w:rPr>
          <w:rFonts w:ascii="Garamond" w:eastAsia="Calibri" w:hAnsi="Garamond"/>
          <w:color w:val="171717"/>
        </w:rPr>
        <w:t>:</w:t>
      </w:r>
    </w:p>
    <w:p w14:paraId="2B891E43" w14:textId="63C8D3BB" w:rsidR="00615B75" w:rsidRPr="0011219A" w:rsidRDefault="00615B75" w:rsidP="00615B7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firstLine="284"/>
        <w:jc w:val="both"/>
        <w:rPr>
          <w:rFonts w:ascii="Garamond" w:eastAsia="Calibri" w:hAnsi="Garamond"/>
          <w:b/>
          <w:bCs/>
          <w:color w:val="171717"/>
        </w:rPr>
      </w:pPr>
      <w:r w:rsidRPr="0011219A">
        <w:rPr>
          <w:rFonts w:ascii="Garamond" w:eastAsia="Calibri" w:hAnsi="Garamond"/>
          <w:b/>
          <w:bCs/>
          <w:color w:val="171717"/>
        </w:rPr>
        <w:t>I. Rrethanat e çështjes</w:t>
      </w:r>
    </w:p>
    <w:p w14:paraId="22282E1D" w14:textId="4AF16DB5"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1. Familja, palë e paditur në gjykimin administrativ, rezulton se, është pajisur nga Komisioni i Ndarjes së Tokës i fshatit </w:t>
      </w:r>
      <w:proofErr w:type="spellStart"/>
      <w:r w:rsidRPr="0011219A">
        <w:rPr>
          <w:rFonts w:ascii="Garamond" w:eastAsia="Calibri" w:hAnsi="Garamond"/>
          <w:color w:val="171717"/>
        </w:rPr>
        <w:t>Kashar</w:t>
      </w:r>
      <w:proofErr w:type="spellEnd"/>
      <w:r w:rsidRPr="0011219A">
        <w:rPr>
          <w:rFonts w:ascii="Garamond" w:eastAsia="Calibri" w:hAnsi="Garamond"/>
          <w:color w:val="171717"/>
        </w:rPr>
        <w:t>, me Aktin e Marrjes së Tokës Bujqësore në Pronësi (</w:t>
      </w:r>
      <w:proofErr w:type="spellStart"/>
      <w:r w:rsidRPr="0011219A">
        <w:rPr>
          <w:rFonts w:ascii="Garamond" w:eastAsia="Calibri" w:hAnsi="Garamond"/>
          <w:color w:val="171717"/>
        </w:rPr>
        <w:t>AMTP</w:t>
      </w:r>
      <w:proofErr w:type="spellEnd"/>
      <w:r w:rsidRPr="0011219A">
        <w:rPr>
          <w:rFonts w:ascii="Garamond" w:eastAsia="Calibri" w:hAnsi="Garamond"/>
          <w:color w:val="171717"/>
        </w:rPr>
        <w:t xml:space="preserve">) nr. 461, viti 1992. Familja ka marrë në pronësi tokë të llojit arë, me sipërfaqe prej 2600 </w:t>
      </w:r>
      <w:proofErr w:type="spellStart"/>
      <w:r w:rsidRPr="0011219A">
        <w:rPr>
          <w:rFonts w:ascii="Garamond" w:eastAsia="Calibri" w:hAnsi="Garamond"/>
          <w:color w:val="171717"/>
        </w:rPr>
        <w:t>m</w:t>
      </w:r>
      <w:r w:rsidRPr="00555C5A">
        <w:rPr>
          <w:rFonts w:ascii="Garamond" w:hAnsi="Garamond"/>
          <w:vertAlign w:val="superscript"/>
        </w:rPr>
        <w:t>2</w:t>
      </w:r>
      <w:proofErr w:type="spellEnd"/>
      <w:r w:rsidRPr="0011219A">
        <w:rPr>
          <w:rFonts w:ascii="Garamond" w:eastAsia="Calibri" w:hAnsi="Garamond"/>
          <w:color w:val="171717"/>
        </w:rPr>
        <w:t xml:space="preserve"> në fshatin </w:t>
      </w:r>
      <w:proofErr w:type="spellStart"/>
      <w:r w:rsidRPr="0011219A">
        <w:rPr>
          <w:rFonts w:ascii="Garamond" w:eastAsia="Calibri" w:hAnsi="Garamond"/>
          <w:color w:val="171717"/>
        </w:rPr>
        <w:t>Kashar</w:t>
      </w:r>
      <w:proofErr w:type="spellEnd"/>
      <w:r w:rsidRPr="0011219A">
        <w:rPr>
          <w:rFonts w:ascii="Garamond" w:eastAsia="Calibri" w:hAnsi="Garamond"/>
          <w:color w:val="171717"/>
        </w:rPr>
        <w:t xml:space="preserve">, Tiranë. Ndarja e tokës është bërë në bazë të numrit të anëtarëve të familjes dhe normës për frymë, në atë fshat. </w:t>
      </w:r>
      <w:proofErr w:type="spellStart"/>
      <w:r w:rsidRPr="0011219A">
        <w:rPr>
          <w:rFonts w:ascii="Garamond" w:eastAsia="Calibri" w:hAnsi="Garamond"/>
          <w:color w:val="171717"/>
        </w:rPr>
        <w:t>AMTP</w:t>
      </w:r>
      <w:proofErr w:type="spellEnd"/>
      <w:r w:rsidR="00930D84">
        <w:rPr>
          <w:rFonts w:ascii="Garamond" w:eastAsia="Calibri" w:hAnsi="Garamond"/>
          <w:color w:val="171717"/>
        </w:rPr>
        <w:t>-ja</w:t>
      </w:r>
      <w:r w:rsidRPr="0011219A">
        <w:rPr>
          <w:rFonts w:ascii="Garamond" w:eastAsia="Calibri" w:hAnsi="Garamond"/>
          <w:color w:val="171717"/>
        </w:rPr>
        <w:t xml:space="preserve"> është regjistruar në regjistrat publikë me </w:t>
      </w:r>
      <w:proofErr w:type="spellStart"/>
      <w:r w:rsidRPr="0011219A">
        <w:rPr>
          <w:rFonts w:ascii="Garamond" w:eastAsia="Calibri" w:hAnsi="Garamond"/>
          <w:color w:val="171717"/>
        </w:rPr>
        <w:t>nr.</w:t>
      </w:r>
      <w:r w:rsidR="00930D84">
        <w:rPr>
          <w:rFonts w:ascii="Garamond" w:eastAsia="Calibri" w:hAnsi="Garamond"/>
          <w:color w:val="171717"/>
        </w:rPr>
        <w:t xml:space="preserve"> </w:t>
      </w:r>
      <w:r w:rsidRPr="0011219A">
        <w:rPr>
          <w:rFonts w:ascii="Garamond" w:eastAsia="Calibri" w:hAnsi="Garamond"/>
          <w:color w:val="171717"/>
        </w:rPr>
        <w:t>20</w:t>
      </w:r>
      <w:proofErr w:type="spellEnd"/>
      <w:r w:rsidRPr="0011219A">
        <w:rPr>
          <w:rFonts w:ascii="Garamond" w:eastAsia="Calibri" w:hAnsi="Garamond"/>
          <w:color w:val="171717"/>
        </w:rPr>
        <w:t xml:space="preserve">5/15 pasurie, volumi 16, faqja 16, zona </w:t>
      </w:r>
      <w:proofErr w:type="spellStart"/>
      <w:r w:rsidRPr="0011219A">
        <w:rPr>
          <w:rFonts w:ascii="Garamond" w:eastAsia="Calibri" w:hAnsi="Garamond"/>
          <w:color w:val="171717"/>
        </w:rPr>
        <w:t>kadastrale</w:t>
      </w:r>
      <w:proofErr w:type="spellEnd"/>
      <w:r w:rsidRPr="0011219A">
        <w:rPr>
          <w:rFonts w:ascii="Garamond" w:eastAsia="Calibri" w:hAnsi="Garamond"/>
          <w:color w:val="171717"/>
        </w:rPr>
        <w:t xml:space="preserve"> nr.</w:t>
      </w:r>
      <w:r w:rsidR="00213B2A">
        <w:rPr>
          <w:rFonts w:ascii="Garamond" w:eastAsia="Calibri" w:hAnsi="Garamond"/>
          <w:color w:val="171717"/>
        </w:rPr>
        <w:t xml:space="preserve"> </w:t>
      </w:r>
      <w:r w:rsidRPr="0011219A">
        <w:rPr>
          <w:rFonts w:ascii="Garamond" w:eastAsia="Calibri" w:hAnsi="Garamond"/>
          <w:color w:val="171717"/>
        </w:rPr>
        <w:t>2015, Tiranë.</w:t>
      </w:r>
    </w:p>
    <w:p w14:paraId="7A7DC35B" w14:textId="712F51E2"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2. Komisioni Vendor i Verifikimit të Titujve të Pronësisë (</w:t>
      </w:r>
      <w:proofErr w:type="spellStart"/>
      <w:r w:rsidRPr="0011219A">
        <w:rPr>
          <w:rFonts w:ascii="Garamond" w:eastAsia="Calibri" w:hAnsi="Garamond"/>
          <w:color w:val="171717"/>
        </w:rPr>
        <w:t>KVTP</w:t>
      </w:r>
      <w:proofErr w:type="spellEnd"/>
      <w:r w:rsidRPr="0011219A">
        <w:rPr>
          <w:rFonts w:ascii="Garamond" w:eastAsia="Calibri" w:hAnsi="Garamond"/>
          <w:color w:val="171717"/>
        </w:rPr>
        <w:t xml:space="preserve">) pranë Prefekturës së Qarkut Tiranë, mbi bazën e kërkesës së disa shtetasve ka nisur procedurën administrative për shqyrtimin e vlefshmërisë ligjore të </w:t>
      </w:r>
      <w:proofErr w:type="spellStart"/>
      <w:r w:rsidRPr="0011219A">
        <w:rPr>
          <w:rFonts w:ascii="Garamond" w:eastAsia="Calibri" w:hAnsi="Garamond"/>
          <w:color w:val="171717"/>
        </w:rPr>
        <w:t>AMTP</w:t>
      </w:r>
      <w:proofErr w:type="spellEnd"/>
      <w:r w:rsidRPr="0011219A">
        <w:rPr>
          <w:rFonts w:ascii="Garamond" w:eastAsia="Calibri" w:hAnsi="Garamond"/>
          <w:color w:val="171717"/>
        </w:rPr>
        <w:t xml:space="preserve"> nr.</w:t>
      </w:r>
      <w:r w:rsidR="00930D84">
        <w:rPr>
          <w:rFonts w:ascii="Garamond" w:eastAsia="Calibri" w:hAnsi="Garamond"/>
          <w:color w:val="171717"/>
        </w:rPr>
        <w:t xml:space="preserve"> </w:t>
      </w:r>
      <w:r w:rsidRPr="0011219A">
        <w:rPr>
          <w:rFonts w:ascii="Garamond" w:eastAsia="Calibri" w:hAnsi="Garamond"/>
          <w:color w:val="171717"/>
        </w:rPr>
        <w:t xml:space="preserve">461, viti 1992. Gjatë procedimit administrativ prej kadastrës </w:t>
      </w:r>
      <w:r w:rsidRPr="0011219A">
        <w:rPr>
          <w:rFonts w:ascii="Garamond" w:eastAsia="Calibri" w:hAnsi="Garamond"/>
          <w:color w:val="171717"/>
        </w:rPr>
        <w:lastRenderedPageBreak/>
        <w:t xml:space="preserve">(ish-Zyra Vendore e Regjistrimit të Pasurive të Paluajtshme, Tiranë) është konfirmuar fakti se është regjistruar toka në bashkëpronësi të familjes, sipas </w:t>
      </w:r>
      <w:proofErr w:type="spellStart"/>
      <w:r w:rsidRPr="0011219A">
        <w:rPr>
          <w:rFonts w:ascii="Garamond" w:eastAsia="Calibri" w:hAnsi="Garamond"/>
          <w:color w:val="171717"/>
        </w:rPr>
        <w:t>AMTP</w:t>
      </w:r>
      <w:proofErr w:type="spellEnd"/>
      <w:r w:rsidR="00930D84">
        <w:rPr>
          <w:rFonts w:ascii="Garamond" w:eastAsia="Calibri" w:hAnsi="Garamond"/>
          <w:color w:val="171717"/>
        </w:rPr>
        <w:t>-së</w:t>
      </w:r>
      <w:r w:rsidRPr="0011219A">
        <w:rPr>
          <w:rFonts w:ascii="Garamond" w:eastAsia="Calibri" w:hAnsi="Garamond"/>
          <w:color w:val="171717"/>
        </w:rPr>
        <w:t xml:space="preserve"> përkatëse.</w:t>
      </w:r>
    </w:p>
    <w:p w14:paraId="45BC7C6F" w14:textId="03713FC9"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color w:val="171717"/>
        </w:rPr>
        <w:t xml:space="preserve">3. Në mbyllje të procedimit administrativ, </w:t>
      </w:r>
      <w:proofErr w:type="spellStart"/>
      <w:r w:rsidRPr="0011219A">
        <w:rPr>
          <w:rFonts w:ascii="Garamond" w:eastAsia="Calibri" w:hAnsi="Garamond"/>
          <w:color w:val="171717"/>
        </w:rPr>
        <w:t>KVTP</w:t>
      </w:r>
      <w:proofErr w:type="spellEnd"/>
      <w:r w:rsidR="000E4882">
        <w:rPr>
          <w:rFonts w:ascii="Garamond" w:eastAsia="Calibri" w:hAnsi="Garamond"/>
          <w:color w:val="171717"/>
        </w:rPr>
        <w:t>-ja</w:t>
      </w:r>
      <w:r w:rsidRPr="0011219A">
        <w:rPr>
          <w:rFonts w:ascii="Garamond" w:eastAsia="Calibri" w:hAnsi="Garamond"/>
          <w:color w:val="171717"/>
        </w:rPr>
        <w:t xml:space="preserve"> ka marr</w:t>
      </w:r>
      <w:r w:rsidR="000E4882">
        <w:rPr>
          <w:rFonts w:ascii="Garamond" w:eastAsia="Calibri" w:hAnsi="Garamond"/>
          <w:color w:val="171717"/>
        </w:rPr>
        <w:t>ë</w:t>
      </w:r>
      <w:r w:rsidRPr="0011219A">
        <w:rPr>
          <w:rFonts w:ascii="Garamond" w:eastAsia="Calibri" w:hAnsi="Garamond"/>
          <w:color w:val="171717"/>
        </w:rPr>
        <w:t xml:space="preserve"> vendimin nr.</w:t>
      </w:r>
      <w:r w:rsidR="00660D08">
        <w:rPr>
          <w:rFonts w:ascii="Garamond" w:eastAsia="Calibri" w:hAnsi="Garamond"/>
          <w:color w:val="171717"/>
        </w:rPr>
        <w:t xml:space="preserve"> </w:t>
      </w:r>
      <w:r w:rsidRPr="0011219A">
        <w:rPr>
          <w:rFonts w:ascii="Garamond" w:eastAsia="Calibri" w:hAnsi="Garamond"/>
          <w:color w:val="171717"/>
        </w:rPr>
        <w:t xml:space="preserve">167, datë 27.5.2016, me të cilin ka vendos: </w:t>
      </w:r>
      <w:r w:rsidRPr="0011219A">
        <w:rPr>
          <w:rFonts w:ascii="Garamond" w:eastAsia="Calibri" w:hAnsi="Garamond"/>
          <w:i/>
          <w:iCs/>
          <w:color w:val="171717"/>
        </w:rPr>
        <w:t xml:space="preserve">“Shfuqizimin e plotë të </w:t>
      </w:r>
      <w:r w:rsidR="000E4882" w:rsidRPr="0011219A">
        <w:rPr>
          <w:rFonts w:ascii="Garamond" w:eastAsia="Calibri" w:hAnsi="Garamond"/>
          <w:i/>
          <w:iCs/>
          <w:color w:val="171717"/>
        </w:rPr>
        <w:t xml:space="preserve">aktit të marrjes së tokës bujqësore në pronësi </w:t>
      </w:r>
      <w:r w:rsidRPr="0011219A">
        <w:rPr>
          <w:rFonts w:ascii="Garamond" w:eastAsia="Calibri" w:hAnsi="Garamond"/>
          <w:i/>
          <w:iCs/>
          <w:color w:val="171717"/>
        </w:rPr>
        <w:t>me nr.</w:t>
      </w:r>
      <w:r w:rsidR="00660D08">
        <w:rPr>
          <w:rFonts w:ascii="Garamond" w:eastAsia="Calibri" w:hAnsi="Garamond"/>
          <w:i/>
          <w:iCs/>
          <w:color w:val="171717"/>
        </w:rPr>
        <w:t xml:space="preserve"> </w:t>
      </w:r>
      <w:r w:rsidRPr="0011219A">
        <w:rPr>
          <w:rFonts w:ascii="Garamond" w:eastAsia="Calibri" w:hAnsi="Garamond"/>
          <w:i/>
          <w:iCs/>
          <w:color w:val="171717"/>
        </w:rPr>
        <w:t xml:space="preserve">461, datë 1992, me sipërfaqe 2600 </w:t>
      </w:r>
      <w:proofErr w:type="spellStart"/>
      <w:r w:rsidRPr="0011219A">
        <w:rPr>
          <w:rFonts w:ascii="Garamond" w:eastAsia="Calibri" w:hAnsi="Garamond"/>
          <w:i/>
          <w:iCs/>
          <w:color w:val="171717"/>
        </w:rPr>
        <w:t>m</w:t>
      </w:r>
      <w:r w:rsidRPr="00660D08">
        <w:rPr>
          <w:rFonts w:ascii="Garamond" w:hAnsi="Garamond"/>
          <w:vertAlign w:val="superscript"/>
        </w:rPr>
        <w:t>2</w:t>
      </w:r>
      <w:proofErr w:type="spellEnd"/>
      <w:r w:rsidRPr="0011219A">
        <w:rPr>
          <w:rFonts w:ascii="Garamond" w:eastAsia="Calibri" w:hAnsi="Garamond"/>
          <w:i/>
          <w:iCs/>
          <w:color w:val="171717"/>
        </w:rPr>
        <w:t xml:space="preserve"> n</w:t>
      </w:r>
      <w:r w:rsidR="004D4F9D">
        <w:rPr>
          <w:rFonts w:ascii="Garamond" w:eastAsia="Calibri" w:hAnsi="Garamond"/>
          <w:i/>
          <w:iCs/>
          <w:color w:val="171717"/>
        </w:rPr>
        <w:t>ë</w:t>
      </w:r>
      <w:r w:rsidRPr="0011219A">
        <w:rPr>
          <w:rFonts w:ascii="Garamond" w:eastAsia="Calibri" w:hAnsi="Garamond"/>
          <w:i/>
          <w:iCs/>
          <w:color w:val="171717"/>
        </w:rPr>
        <w:t xml:space="preserve"> emër të familjes bujqësore të përfaqësuar nga </w:t>
      </w:r>
      <w:proofErr w:type="spellStart"/>
      <w:r w:rsidRPr="0011219A">
        <w:rPr>
          <w:rFonts w:ascii="Garamond" w:eastAsia="Calibri" w:hAnsi="Garamond"/>
          <w:i/>
          <w:iCs/>
          <w:color w:val="171717"/>
        </w:rPr>
        <w:t>Nazmi</w:t>
      </w:r>
      <w:proofErr w:type="spellEnd"/>
      <w:r w:rsidRPr="0011219A">
        <w:rPr>
          <w:rFonts w:ascii="Garamond" w:eastAsia="Calibri" w:hAnsi="Garamond"/>
          <w:i/>
          <w:iCs/>
          <w:color w:val="171717"/>
        </w:rPr>
        <w:t xml:space="preserve"> </w:t>
      </w:r>
      <w:proofErr w:type="spellStart"/>
      <w:r w:rsidRPr="0011219A">
        <w:rPr>
          <w:rFonts w:ascii="Garamond" w:eastAsia="Calibri" w:hAnsi="Garamond"/>
          <w:i/>
          <w:iCs/>
          <w:color w:val="171717"/>
        </w:rPr>
        <w:t>Beqiri</w:t>
      </w:r>
      <w:proofErr w:type="spellEnd"/>
      <w:r w:rsidRPr="0011219A">
        <w:rPr>
          <w:rFonts w:ascii="Garamond" w:eastAsia="Calibri" w:hAnsi="Garamond"/>
          <w:i/>
          <w:iCs/>
          <w:color w:val="171717"/>
        </w:rPr>
        <w:t xml:space="preserve"> lëshuar nga Komisioni i Ndarjes së Tokës i fshatit </w:t>
      </w:r>
      <w:proofErr w:type="spellStart"/>
      <w:r w:rsidRPr="0011219A">
        <w:rPr>
          <w:rFonts w:ascii="Garamond" w:eastAsia="Calibri" w:hAnsi="Garamond"/>
          <w:i/>
          <w:iCs/>
          <w:color w:val="171717"/>
        </w:rPr>
        <w:t>Kashar</w:t>
      </w:r>
      <w:proofErr w:type="spellEnd"/>
      <w:r w:rsidRPr="0011219A">
        <w:rPr>
          <w:rFonts w:ascii="Garamond" w:eastAsia="Calibri" w:hAnsi="Garamond"/>
          <w:i/>
          <w:iCs/>
          <w:color w:val="171717"/>
        </w:rPr>
        <w:t xml:space="preserve">, Njësia Administrative </w:t>
      </w:r>
      <w:proofErr w:type="spellStart"/>
      <w:r w:rsidRPr="0011219A">
        <w:rPr>
          <w:rFonts w:ascii="Garamond" w:eastAsia="Calibri" w:hAnsi="Garamond"/>
          <w:i/>
          <w:iCs/>
          <w:color w:val="171717"/>
        </w:rPr>
        <w:t>Kashar</w:t>
      </w:r>
      <w:proofErr w:type="spellEnd"/>
      <w:r w:rsidRPr="0011219A">
        <w:rPr>
          <w:rFonts w:ascii="Garamond" w:eastAsia="Calibri" w:hAnsi="Garamond"/>
          <w:i/>
          <w:iCs/>
          <w:color w:val="171717"/>
        </w:rPr>
        <w:t xml:space="preserve">. Kthimin në pronësi shtet të sipërfaqes 2600 </w:t>
      </w:r>
      <w:proofErr w:type="spellStart"/>
      <w:r w:rsidRPr="0011219A">
        <w:rPr>
          <w:rFonts w:ascii="Garamond" w:eastAsia="Calibri" w:hAnsi="Garamond"/>
          <w:i/>
          <w:iCs/>
          <w:color w:val="171717"/>
        </w:rPr>
        <w:t>m</w:t>
      </w:r>
      <w:r w:rsidRPr="00660D08">
        <w:rPr>
          <w:rFonts w:ascii="Garamond" w:hAnsi="Garamond"/>
          <w:vertAlign w:val="superscript"/>
        </w:rPr>
        <w:t>2</w:t>
      </w:r>
      <w:proofErr w:type="spellEnd"/>
      <w:r w:rsidRPr="0011219A">
        <w:rPr>
          <w:rFonts w:ascii="Garamond" w:eastAsia="Calibri" w:hAnsi="Garamond"/>
          <w:i/>
          <w:iCs/>
          <w:color w:val="171717"/>
        </w:rPr>
        <w:t xml:space="preserve"> regjistruar në </w:t>
      </w:r>
      <w:proofErr w:type="spellStart"/>
      <w:r w:rsidRPr="0011219A">
        <w:rPr>
          <w:rFonts w:ascii="Garamond" w:eastAsia="Calibri" w:hAnsi="Garamond"/>
          <w:i/>
          <w:iCs/>
          <w:color w:val="171717"/>
        </w:rPr>
        <w:t>ZVRPP</w:t>
      </w:r>
      <w:proofErr w:type="spellEnd"/>
      <w:r w:rsidRPr="0011219A">
        <w:rPr>
          <w:rFonts w:ascii="Garamond" w:eastAsia="Calibri" w:hAnsi="Garamond"/>
          <w:i/>
          <w:iCs/>
          <w:color w:val="171717"/>
        </w:rPr>
        <w:t xml:space="preserve"> Tiranë nr. pasurie 205/15, vol 16. faqe 16, </w:t>
      </w:r>
      <w:proofErr w:type="spellStart"/>
      <w:r w:rsidR="00BD4E1D" w:rsidRPr="0011219A">
        <w:rPr>
          <w:rFonts w:ascii="Garamond" w:eastAsia="Calibri" w:hAnsi="Garamond"/>
          <w:i/>
          <w:iCs/>
          <w:color w:val="171717"/>
        </w:rPr>
        <w:t>ZK</w:t>
      </w:r>
      <w:proofErr w:type="spellEnd"/>
      <w:r w:rsidR="00BD4E1D">
        <w:rPr>
          <w:rFonts w:ascii="Garamond" w:eastAsia="Calibri" w:hAnsi="Garamond"/>
          <w:i/>
          <w:iCs/>
          <w:color w:val="171717"/>
        </w:rPr>
        <w:t xml:space="preserve"> </w:t>
      </w:r>
      <w:r w:rsidRPr="0011219A">
        <w:rPr>
          <w:rFonts w:ascii="Garamond" w:eastAsia="Calibri" w:hAnsi="Garamond"/>
          <w:i/>
          <w:iCs/>
          <w:color w:val="171717"/>
        </w:rPr>
        <w:t xml:space="preserve">2105”. </w:t>
      </w:r>
      <w:proofErr w:type="spellStart"/>
      <w:r w:rsidRPr="0011219A">
        <w:rPr>
          <w:rFonts w:ascii="Garamond" w:eastAsia="Calibri" w:hAnsi="Garamond"/>
          <w:color w:val="171717"/>
        </w:rPr>
        <w:t>KVTP</w:t>
      </w:r>
      <w:proofErr w:type="spellEnd"/>
      <w:r w:rsidR="00660D08">
        <w:rPr>
          <w:rFonts w:ascii="Garamond" w:eastAsia="Calibri" w:hAnsi="Garamond"/>
          <w:color w:val="171717"/>
        </w:rPr>
        <w:t>-ja</w:t>
      </w:r>
      <w:r w:rsidRPr="0011219A">
        <w:rPr>
          <w:rFonts w:ascii="Garamond" w:eastAsia="Calibri" w:hAnsi="Garamond"/>
          <w:color w:val="171717"/>
        </w:rPr>
        <w:t xml:space="preserve"> ka vlerësuar</w:t>
      </w:r>
      <w:r w:rsidR="000E4882">
        <w:rPr>
          <w:rFonts w:ascii="Garamond" w:eastAsia="Calibri" w:hAnsi="Garamond"/>
          <w:color w:val="171717"/>
        </w:rPr>
        <w:t>,</w:t>
      </w:r>
      <w:r w:rsidRPr="0011219A">
        <w:rPr>
          <w:rFonts w:ascii="Garamond" w:eastAsia="Calibri" w:hAnsi="Garamond"/>
          <w:color w:val="171717"/>
        </w:rPr>
        <w:t xml:space="preserve"> se</w:t>
      </w:r>
      <w:r w:rsidR="000E4882">
        <w:rPr>
          <w:rFonts w:ascii="Garamond" w:eastAsia="Calibri" w:hAnsi="Garamond"/>
          <w:color w:val="171717"/>
        </w:rPr>
        <w:t>:</w:t>
      </w:r>
      <w:r w:rsidRPr="0011219A">
        <w:rPr>
          <w:rFonts w:ascii="Garamond" w:eastAsia="Calibri" w:hAnsi="Garamond"/>
          <w:color w:val="171717"/>
        </w:rPr>
        <w:t xml:space="preserve"> </w:t>
      </w:r>
      <w:r w:rsidRPr="0011219A">
        <w:rPr>
          <w:rFonts w:ascii="Garamond" w:eastAsia="Calibri" w:hAnsi="Garamond"/>
          <w:i/>
          <w:iCs/>
          <w:color w:val="171717"/>
        </w:rPr>
        <w:t>“(...)</w:t>
      </w:r>
      <w:r w:rsidR="00660D08">
        <w:rPr>
          <w:rFonts w:ascii="Garamond" w:eastAsia="Calibri" w:hAnsi="Garamond"/>
          <w:i/>
          <w:iCs/>
          <w:color w:val="171717"/>
        </w:rPr>
        <w:t xml:space="preserve"> </w:t>
      </w:r>
      <w:proofErr w:type="spellStart"/>
      <w:r w:rsidRPr="0011219A">
        <w:rPr>
          <w:rFonts w:ascii="Garamond" w:eastAsia="Calibri" w:hAnsi="Garamond"/>
          <w:i/>
          <w:iCs/>
          <w:color w:val="171717"/>
        </w:rPr>
        <w:t>Nazmi</w:t>
      </w:r>
      <w:proofErr w:type="spellEnd"/>
      <w:r w:rsidRPr="0011219A">
        <w:rPr>
          <w:rFonts w:ascii="Garamond" w:eastAsia="Calibri" w:hAnsi="Garamond"/>
          <w:i/>
          <w:iCs/>
          <w:color w:val="171717"/>
        </w:rPr>
        <w:t xml:space="preserve"> </w:t>
      </w:r>
      <w:proofErr w:type="spellStart"/>
      <w:r w:rsidRPr="0011219A">
        <w:rPr>
          <w:rFonts w:ascii="Garamond" w:eastAsia="Calibri" w:hAnsi="Garamond"/>
          <w:i/>
          <w:iCs/>
          <w:color w:val="171717"/>
        </w:rPr>
        <w:t>Beqiri</w:t>
      </w:r>
      <w:proofErr w:type="spellEnd"/>
      <w:r w:rsidRPr="0011219A">
        <w:rPr>
          <w:rFonts w:ascii="Garamond" w:eastAsia="Calibri" w:hAnsi="Garamond"/>
          <w:i/>
          <w:iCs/>
          <w:color w:val="171717"/>
        </w:rPr>
        <w:t xml:space="preserve"> hyn në kategorinë e përfituesve nga ligji nr.</w:t>
      </w:r>
      <w:r w:rsidR="00AC6D35">
        <w:rPr>
          <w:rFonts w:ascii="Garamond" w:eastAsia="Calibri" w:hAnsi="Garamond"/>
          <w:i/>
          <w:iCs/>
          <w:color w:val="171717"/>
        </w:rPr>
        <w:t xml:space="preserve"> </w:t>
      </w:r>
      <w:r w:rsidRPr="0011219A">
        <w:rPr>
          <w:rFonts w:ascii="Garamond" w:eastAsia="Calibri" w:hAnsi="Garamond"/>
          <w:i/>
          <w:iCs/>
          <w:color w:val="171717"/>
        </w:rPr>
        <w:t>7501, datë 19.7.1991</w:t>
      </w:r>
      <w:r w:rsidR="00BD4E1D">
        <w:rPr>
          <w:rFonts w:ascii="Garamond" w:eastAsia="Calibri" w:hAnsi="Garamond"/>
          <w:i/>
          <w:iCs/>
          <w:color w:val="171717"/>
        </w:rPr>
        <w:t>,</w:t>
      </w:r>
      <w:r w:rsidRPr="0011219A">
        <w:rPr>
          <w:rFonts w:ascii="Garamond" w:eastAsia="Calibri" w:hAnsi="Garamond"/>
          <w:i/>
          <w:iCs/>
          <w:color w:val="171717"/>
        </w:rPr>
        <w:t xml:space="preserve"> “Për </w:t>
      </w:r>
      <w:r w:rsidR="000E4882" w:rsidRPr="0011219A">
        <w:rPr>
          <w:rFonts w:ascii="Garamond" w:eastAsia="Calibri" w:hAnsi="Garamond"/>
          <w:i/>
          <w:iCs/>
          <w:color w:val="171717"/>
        </w:rPr>
        <w:t>tokën</w:t>
      </w:r>
      <w:r w:rsidRPr="0011219A">
        <w:rPr>
          <w:rFonts w:ascii="Garamond" w:eastAsia="Calibri" w:hAnsi="Garamond"/>
          <w:i/>
          <w:iCs/>
          <w:color w:val="171717"/>
        </w:rPr>
        <w:t xml:space="preserve">”, por duhej të pajisej me tokë bujqësore nga Komisioni i Ndarjes së Tokës së </w:t>
      </w:r>
      <w:r w:rsidR="000E4882" w:rsidRPr="0011219A">
        <w:rPr>
          <w:rFonts w:ascii="Garamond" w:eastAsia="Calibri" w:hAnsi="Garamond"/>
          <w:i/>
          <w:iCs/>
          <w:color w:val="171717"/>
        </w:rPr>
        <w:t xml:space="preserve">fshatit </w:t>
      </w:r>
      <w:proofErr w:type="spellStart"/>
      <w:r w:rsidRPr="0011219A">
        <w:rPr>
          <w:rFonts w:ascii="Garamond" w:eastAsia="Calibri" w:hAnsi="Garamond"/>
          <w:i/>
          <w:iCs/>
          <w:color w:val="171717"/>
        </w:rPr>
        <w:t>Yrshek</w:t>
      </w:r>
      <w:proofErr w:type="spellEnd"/>
      <w:r w:rsidR="000E4882">
        <w:rPr>
          <w:rFonts w:ascii="Garamond" w:eastAsia="Calibri" w:hAnsi="Garamond"/>
          <w:i/>
          <w:iCs/>
          <w:color w:val="171717"/>
        </w:rPr>
        <w:t>,</w:t>
      </w:r>
      <w:r w:rsidRPr="0011219A">
        <w:rPr>
          <w:rFonts w:ascii="Garamond" w:eastAsia="Calibri" w:hAnsi="Garamond"/>
          <w:i/>
          <w:iCs/>
          <w:color w:val="171717"/>
        </w:rPr>
        <w:t xml:space="preserve"> ku ishte me gjendje civile</w:t>
      </w:r>
      <w:r w:rsidR="000E4882">
        <w:rPr>
          <w:rFonts w:ascii="Garamond" w:eastAsia="Calibri" w:hAnsi="Garamond"/>
          <w:i/>
          <w:iCs/>
          <w:color w:val="171717"/>
        </w:rPr>
        <w:t>,</w:t>
      </w:r>
      <w:r w:rsidRPr="0011219A">
        <w:rPr>
          <w:rFonts w:ascii="Garamond" w:eastAsia="Calibri" w:hAnsi="Garamond"/>
          <w:i/>
          <w:iCs/>
          <w:color w:val="171717"/>
        </w:rPr>
        <w:t xml:space="preserve"> </w:t>
      </w:r>
      <w:r w:rsidR="000E4882">
        <w:rPr>
          <w:rFonts w:ascii="Garamond" w:eastAsia="Calibri" w:hAnsi="Garamond"/>
          <w:i/>
          <w:iCs/>
          <w:color w:val="171717"/>
        </w:rPr>
        <w:t>m</w:t>
      </w:r>
      <w:r w:rsidRPr="0011219A">
        <w:rPr>
          <w:rFonts w:ascii="Garamond" w:eastAsia="Calibri" w:hAnsi="Garamond"/>
          <w:i/>
          <w:iCs/>
          <w:color w:val="171717"/>
        </w:rPr>
        <w:t>ë datë 1.8.1991</w:t>
      </w:r>
      <w:r w:rsidR="000E4882">
        <w:rPr>
          <w:rFonts w:ascii="Garamond" w:eastAsia="Calibri" w:hAnsi="Garamond"/>
          <w:i/>
          <w:iCs/>
          <w:color w:val="171717"/>
        </w:rPr>
        <w:t>,</w:t>
      </w:r>
      <w:r w:rsidRPr="0011219A">
        <w:rPr>
          <w:rFonts w:ascii="Garamond" w:eastAsia="Calibri" w:hAnsi="Garamond"/>
          <w:i/>
          <w:iCs/>
          <w:color w:val="171717"/>
        </w:rPr>
        <w:t xml:space="preserve"> dhe jo nga Komisioni i Ndarjes së Tokës së </w:t>
      </w:r>
      <w:r w:rsidR="000E4882" w:rsidRPr="0011219A">
        <w:rPr>
          <w:rFonts w:ascii="Garamond" w:eastAsia="Calibri" w:hAnsi="Garamond"/>
          <w:i/>
          <w:iCs/>
          <w:color w:val="171717"/>
        </w:rPr>
        <w:t xml:space="preserve">fshatit </w:t>
      </w:r>
      <w:proofErr w:type="spellStart"/>
      <w:r w:rsidRPr="0011219A">
        <w:rPr>
          <w:rFonts w:ascii="Garamond" w:eastAsia="Calibri" w:hAnsi="Garamond"/>
          <w:i/>
          <w:iCs/>
          <w:color w:val="171717"/>
        </w:rPr>
        <w:t>Kashar</w:t>
      </w:r>
      <w:proofErr w:type="spellEnd"/>
      <w:r w:rsidRPr="0011219A">
        <w:rPr>
          <w:rFonts w:ascii="Garamond" w:eastAsia="Calibri" w:hAnsi="Garamond"/>
          <w:i/>
          <w:iCs/>
          <w:color w:val="171717"/>
        </w:rPr>
        <w:t>, në kundërshtim flagrant me ligjin nr.</w:t>
      </w:r>
      <w:r w:rsidR="00660D08">
        <w:rPr>
          <w:rFonts w:ascii="Garamond" w:eastAsia="Calibri" w:hAnsi="Garamond"/>
          <w:i/>
          <w:iCs/>
          <w:color w:val="171717"/>
        </w:rPr>
        <w:t xml:space="preserve"> </w:t>
      </w:r>
      <w:r w:rsidRPr="0011219A">
        <w:rPr>
          <w:rFonts w:ascii="Garamond" w:eastAsia="Calibri" w:hAnsi="Garamond"/>
          <w:i/>
          <w:iCs/>
          <w:color w:val="171717"/>
        </w:rPr>
        <w:t>7501, datë 19.7.1991</w:t>
      </w:r>
      <w:r w:rsidR="00AC6D35">
        <w:rPr>
          <w:rFonts w:ascii="Garamond" w:eastAsia="Calibri" w:hAnsi="Garamond"/>
          <w:i/>
          <w:iCs/>
          <w:color w:val="171717"/>
        </w:rPr>
        <w:t>,</w:t>
      </w:r>
      <w:r w:rsidRPr="0011219A">
        <w:rPr>
          <w:rFonts w:ascii="Garamond" w:eastAsia="Calibri" w:hAnsi="Garamond"/>
          <w:i/>
          <w:iCs/>
          <w:color w:val="171717"/>
        </w:rPr>
        <w:t xml:space="preserve"> “Për </w:t>
      </w:r>
      <w:r w:rsidR="00BD4E1D" w:rsidRPr="0011219A">
        <w:rPr>
          <w:rFonts w:ascii="Garamond" w:eastAsia="Calibri" w:hAnsi="Garamond"/>
          <w:i/>
          <w:iCs/>
          <w:color w:val="171717"/>
        </w:rPr>
        <w:t>tokën</w:t>
      </w:r>
      <w:r w:rsidRPr="0011219A">
        <w:rPr>
          <w:rFonts w:ascii="Garamond" w:eastAsia="Calibri" w:hAnsi="Garamond"/>
          <w:i/>
          <w:iCs/>
          <w:color w:val="171717"/>
        </w:rPr>
        <w:t>”</w:t>
      </w:r>
      <w:r w:rsidR="00AC6D35">
        <w:rPr>
          <w:rFonts w:ascii="Garamond" w:eastAsia="Calibri" w:hAnsi="Garamond"/>
          <w:i/>
          <w:iCs/>
          <w:color w:val="171717"/>
        </w:rPr>
        <w:t>,</w:t>
      </w:r>
      <w:r w:rsidRPr="0011219A">
        <w:rPr>
          <w:rFonts w:ascii="Garamond" w:eastAsia="Calibri" w:hAnsi="Garamond"/>
          <w:i/>
          <w:iCs/>
          <w:color w:val="171717"/>
        </w:rPr>
        <w:t xml:space="preserve"> dhe aktet nënligjore në zbatim të tij.”</w:t>
      </w:r>
    </w:p>
    <w:p w14:paraId="6AFE8A42" w14:textId="5930D8DB"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color w:val="171717"/>
        </w:rPr>
        <w:t>4. Prefekti i Qarkut Tiranë, në zbatim të përgjegjësive administrative, sipas nenit 10 të ligjit nr. 9948, datë 7.7.2008</w:t>
      </w:r>
      <w:r w:rsidR="00660D08">
        <w:rPr>
          <w:rFonts w:ascii="Garamond" w:eastAsia="Calibri" w:hAnsi="Garamond"/>
          <w:color w:val="171717"/>
        </w:rPr>
        <w:t>,</w:t>
      </w:r>
      <w:r w:rsidRPr="0011219A">
        <w:rPr>
          <w:rFonts w:ascii="Garamond" w:eastAsia="Calibri" w:hAnsi="Garamond"/>
          <w:color w:val="171717"/>
        </w:rPr>
        <w:t xml:space="preserve"> </w:t>
      </w:r>
      <w:r w:rsidRPr="0011219A">
        <w:rPr>
          <w:rFonts w:ascii="Garamond" w:eastAsia="Calibri" w:hAnsi="Garamond"/>
          <w:i/>
          <w:iCs/>
          <w:color w:val="171717"/>
        </w:rPr>
        <w:t>“Për shqyrtimin e vlefshmërisë ligjore të krijimit të titujve të pronësisë mbi tokën bujqësore”</w:t>
      </w:r>
      <w:r w:rsidRPr="0011219A">
        <w:rPr>
          <w:rFonts w:ascii="Garamond" w:eastAsia="Calibri" w:hAnsi="Garamond"/>
          <w:color w:val="171717"/>
        </w:rPr>
        <w:t xml:space="preserve">, </w:t>
      </w:r>
      <w:r w:rsidR="00784380">
        <w:rPr>
          <w:rFonts w:ascii="Garamond" w:eastAsia="Calibri" w:hAnsi="Garamond"/>
          <w:color w:val="171717"/>
        </w:rPr>
        <w:t>të</w:t>
      </w:r>
      <w:r w:rsidRPr="0011219A">
        <w:rPr>
          <w:rFonts w:ascii="Garamond" w:eastAsia="Calibri" w:hAnsi="Garamond"/>
          <w:color w:val="171717"/>
        </w:rPr>
        <w:t xml:space="preserve"> ndryshuar, ka paraqitur më datë 13.6.2016, padinë në gjykatën kompetente, me objekt kërkimi</w:t>
      </w:r>
      <w:r w:rsidRPr="000820F9">
        <w:rPr>
          <w:rFonts w:ascii="Garamond" w:eastAsia="Calibri" w:hAnsi="Garamond"/>
          <w:color w:val="171717"/>
        </w:rPr>
        <w:t>:</w:t>
      </w:r>
      <w:r w:rsidR="000820F9">
        <w:rPr>
          <w:rFonts w:ascii="Garamond" w:eastAsia="Calibri" w:hAnsi="Garamond"/>
          <w:i/>
          <w:iCs/>
          <w:color w:val="171717"/>
        </w:rPr>
        <w:t xml:space="preserve"> </w:t>
      </w:r>
      <w:r w:rsidRPr="0011219A">
        <w:rPr>
          <w:rFonts w:ascii="Garamond" w:eastAsia="Calibri" w:hAnsi="Garamond"/>
          <w:i/>
          <w:iCs/>
          <w:color w:val="171717"/>
        </w:rPr>
        <w:t>-</w:t>
      </w:r>
      <w:r w:rsidR="000820F9">
        <w:rPr>
          <w:rFonts w:ascii="Garamond" w:eastAsia="Calibri" w:hAnsi="Garamond"/>
          <w:i/>
          <w:iCs/>
          <w:color w:val="171717"/>
        </w:rPr>
        <w:t xml:space="preserve"> </w:t>
      </w:r>
      <w:r w:rsidRPr="0011219A">
        <w:rPr>
          <w:rFonts w:ascii="Garamond" w:eastAsia="Calibri" w:hAnsi="Garamond"/>
          <w:i/>
          <w:iCs/>
          <w:color w:val="171717"/>
        </w:rPr>
        <w:t xml:space="preserve">deklarimin e pavlefshëm të </w:t>
      </w:r>
      <w:proofErr w:type="spellStart"/>
      <w:r w:rsidRPr="0011219A">
        <w:rPr>
          <w:rFonts w:ascii="Garamond" w:eastAsia="Calibri" w:hAnsi="Garamond"/>
          <w:i/>
          <w:iCs/>
          <w:color w:val="171717"/>
        </w:rPr>
        <w:t>AMTP</w:t>
      </w:r>
      <w:proofErr w:type="spellEnd"/>
      <w:r w:rsidR="000820F9">
        <w:rPr>
          <w:rFonts w:ascii="Garamond" w:eastAsia="Calibri" w:hAnsi="Garamond"/>
          <w:i/>
          <w:iCs/>
          <w:color w:val="171717"/>
        </w:rPr>
        <w:t>-së</w:t>
      </w:r>
      <w:r w:rsidRPr="0011219A">
        <w:rPr>
          <w:rFonts w:ascii="Garamond" w:eastAsia="Calibri" w:hAnsi="Garamond"/>
          <w:i/>
          <w:iCs/>
          <w:color w:val="171717"/>
        </w:rPr>
        <w:t xml:space="preserve"> dhe kthimin e sipërfaqes në pronësi shtet. </w:t>
      </w:r>
    </w:p>
    <w:p w14:paraId="420B014F" w14:textId="034C669C"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5. Gjatë gjykimit administrativ, pala e paditur ka paraqitur si provë, kontratën noteriale me të dhëna:</w:t>
      </w:r>
      <w:r w:rsidR="00547285">
        <w:rPr>
          <w:rFonts w:ascii="Garamond" w:eastAsia="Calibri" w:hAnsi="Garamond"/>
          <w:color w:val="171717"/>
        </w:rPr>
        <w:t xml:space="preserve"> </w:t>
      </w:r>
      <w:r w:rsidRPr="0011219A">
        <w:rPr>
          <w:rFonts w:ascii="Garamond" w:eastAsia="Calibri" w:hAnsi="Garamond"/>
          <w:i/>
          <w:iCs/>
          <w:color w:val="171717"/>
        </w:rPr>
        <w:t>nr. 57</w:t>
      </w:r>
      <w:r w:rsidR="00445B42">
        <w:rPr>
          <w:rFonts w:ascii="Garamond" w:eastAsia="Calibri" w:hAnsi="Garamond"/>
          <w:i/>
          <w:iCs/>
          <w:color w:val="171717"/>
        </w:rPr>
        <w:t xml:space="preserve"> </w:t>
      </w:r>
      <w:proofErr w:type="spellStart"/>
      <w:r w:rsidR="00445B42" w:rsidRPr="0011219A">
        <w:rPr>
          <w:rFonts w:ascii="Garamond" w:eastAsia="Calibri" w:hAnsi="Garamond"/>
          <w:i/>
          <w:iCs/>
          <w:color w:val="171717"/>
        </w:rPr>
        <w:t>rep</w:t>
      </w:r>
      <w:proofErr w:type="spellEnd"/>
      <w:r w:rsidR="00445B42">
        <w:rPr>
          <w:rFonts w:ascii="Garamond" w:eastAsia="Calibri" w:hAnsi="Garamond"/>
          <w:i/>
          <w:iCs/>
          <w:color w:val="171717"/>
        </w:rPr>
        <w:t>.</w:t>
      </w:r>
      <w:r w:rsidRPr="0011219A">
        <w:rPr>
          <w:rFonts w:ascii="Garamond" w:eastAsia="Calibri" w:hAnsi="Garamond"/>
          <w:i/>
          <w:iCs/>
          <w:color w:val="171717"/>
        </w:rPr>
        <w:t>;</w:t>
      </w:r>
      <w:r w:rsidR="00547285">
        <w:rPr>
          <w:rFonts w:ascii="Garamond" w:eastAsia="Calibri" w:hAnsi="Garamond"/>
          <w:i/>
          <w:iCs/>
          <w:color w:val="171717"/>
        </w:rPr>
        <w:t xml:space="preserve"> </w:t>
      </w:r>
      <w:r w:rsidRPr="0011219A">
        <w:rPr>
          <w:rFonts w:ascii="Garamond" w:eastAsia="Calibri" w:hAnsi="Garamond"/>
          <w:i/>
          <w:iCs/>
          <w:color w:val="171717"/>
        </w:rPr>
        <w:t xml:space="preserve">nr. 26 </w:t>
      </w:r>
      <w:proofErr w:type="spellStart"/>
      <w:r w:rsidR="00547285" w:rsidRPr="0011219A">
        <w:rPr>
          <w:rFonts w:ascii="Garamond" w:eastAsia="Calibri" w:hAnsi="Garamond"/>
          <w:i/>
          <w:iCs/>
          <w:color w:val="171717"/>
        </w:rPr>
        <w:t>kol</w:t>
      </w:r>
      <w:proofErr w:type="spellEnd"/>
      <w:r w:rsidR="00445B42">
        <w:rPr>
          <w:rFonts w:ascii="Garamond" w:eastAsia="Calibri" w:hAnsi="Garamond"/>
          <w:i/>
          <w:iCs/>
          <w:color w:val="171717"/>
        </w:rPr>
        <w:t>.</w:t>
      </w:r>
      <w:r w:rsidRPr="0011219A">
        <w:rPr>
          <w:rFonts w:ascii="Garamond" w:eastAsia="Calibri" w:hAnsi="Garamond"/>
          <w:i/>
          <w:iCs/>
          <w:color w:val="171717"/>
        </w:rPr>
        <w:t>, datë 7.1.2011</w:t>
      </w:r>
      <w:r w:rsidRPr="0011219A">
        <w:rPr>
          <w:rFonts w:ascii="Garamond" w:eastAsia="Calibri" w:hAnsi="Garamond"/>
          <w:color w:val="171717"/>
        </w:rPr>
        <w:t xml:space="preserve">, për shitjen e pronës së përfituar sipas </w:t>
      </w:r>
      <w:proofErr w:type="spellStart"/>
      <w:r w:rsidRPr="0011219A">
        <w:rPr>
          <w:rFonts w:ascii="Garamond" w:eastAsia="Calibri" w:hAnsi="Garamond"/>
          <w:color w:val="171717"/>
        </w:rPr>
        <w:t>AMTP</w:t>
      </w:r>
      <w:proofErr w:type="spellEnd"/>
      <w:r w:rsidR="00445B42">
        <w:rPr>
          <w:rFonts w:ascii="Garamond" w:eastAsia="Calibri" w:hAnsi="Garamond"/>
          <w:color w:val="171717"/>
        </w:rPr>
        <w:t>-së</w:t>
      </w:r>
      <w:r w:rsidRPr="0011219A">
        <w:rPr>
          <w:rFonts w:ascii="Garamond" w:eastAsia="Calibri" w:hAnsi="Garamond"/>
          <w:color w:val="171717"/>
        </w:rPr>
        <w:t>, palës blerëse, shoqërisë tregtare “</w:t>
      </w:r>
      <w:proofErr w:type="spellStart"/>
      <w:r w:rsidRPr="0011219A">
        <w:rPr>
          <w:rFonts w:ascii="Garamond" w:eastAsia="Calibri" w:hAnsi="Garamond"/>
          <w:color w:val="171717"/>
        </w:rPr>
        <w:t>K&amp;M</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Oil</w:t>
      </w:r>
      <w:proofErr w:type="spellEnd"/>
      <w:r w:rsidRPr="0011219A">
        <w:rPr>
          <w:rFonts w:ascii="Garamond" w:eastAsia="Calibri" w:hAnsi="Garamond"/>
          <w:color w:val="171717"/>
        </w:rPr>
        <w:t xml:space="preserve">” </w:t>
      </w:r>
      <w:proofErr w:type="spellStart"/>
      <w:r w:rsidR="00445B42" w:rsidRPr="0011219A">
        <w:rPr>
          <w:rFonts w:ascii="Garamond" w:eastAsia="Calibri" w:hAnsi="Garamond"/>
          <w:color w:val="171717"/>
        </w:rPr>
        <w:t>sh</w:t>
      </w:r>
      <w:r w:rsidR="00445B42">
        <w:rPr>
          <w:rFonts w:ascii="Garamond" w:eastAsia="Calibri" w:hAnsi="Garamond"/>
          <w:color w:val="171717"/>
        </w:rPr>
        <w:t>.</w:t>
      </w:r>
      <w:r w:rsidR="00445B42" w:rsidRPr="0011219A">
        <w:rPr>
          <w:rFonts w:ascii="Garamond" w:eastAsia="Calibri" w:hAnsi="Garamond"/>
          <w:color w:val="171717"/>
        </w:rPr>
        <w:t>p</w:t>
      </w:r>
      <w:r w:rsidR="00445B42">
        <w:rPr>
          <w:rFonts w:ascii="Garamond" w:eastAsia="Calibri" w:hAnsi="Garamond"/>
          <w:color w:val="171717"/>
        </w:rPr>
        <w:t>.</w:t>
      </w:r>
      <w:r w:rsidR="00445B42" w:rsidRPr="0011219A">
        <w:rPr>
          <w:rFonts w:ascii="Garamond" w:eastAsia="Calibri" w:hAnsi="Garamond"/>
          <w:color w:val="171717"/>
        </w:rPr>
        <w:t>k</w:t>
      </w:r>
      <w:proofErr w:type="spellEnd"/>
      <w:r w:rsidR="00445B42">
        <w:rPr>
          <w:rFonts w:ascii="Garamond" w:eastAsia="Calibri" w:hAnsi="Garamond"/>
          <w:color w:val="171717"/>
        </w:rPr>
        <w:t>.</w:t>
      </w:r>
      <w:r w:rsidRPr="0011219A">
        <w:rPr>
          <w:rFonts w:ascii="Garamond" w:eastAsia="Calibri" w:hAnsi="Garamond"/>
          <w:color w:val="171717"/>
        </w:rPr>
        <w:t>, për vlerën totale prej</w:t>
      </w:r>
      <w:r w:rsidR="00660D08">
        <w:rPr>
          <w:rFonts w:ascii="Garamond" w:eastAsia="Calibri" w:hAnsi="Garamond"/>
          <w:color w:val="171717"/>
        </w:rPr>
        <w:t xml:space="preserve"> </w:t>
      </w:r>
      <w:r w:rsidRPr="0011219A">
        <w:rPr>
          <w:rFonts w:ascii="Garamond" w:eastAsia="Calibri" w:hAnsi="Garamond"/>
          <w:color w:val="171717"/>
        </w:rPr>
        <w:t>1.164.800 lekë</w:t>
      </w:r>
      <w:r w:rsidR="00445B42">
        <w:rPr>
          <w:rFonts w:ascii="Garamond" w:eastAsia="Calibri" w:hAnsi="Garamond"/>
          <w:color w:val="171717"/>
        </w:rPr>
        <w:t>sh</w:t>
      </w:r>
      <w:r w:rsidRPr="0011219A">
        <w:rPr>
          <w:rFonts w:ascii="Garamond" w:eastAsia="Calibri" w:hAnsi="Garamond"/>
          <w:color w:val="171717"/>
        </w:rPr>
        <w:t xml:space="preserve">. </w:t>
      </w:r>
    </w:p>
    <w:p w14:paraId="3B3E0CF0" w14:textId="7D62DCE7"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6. Pala paditëse ka kërkuar ndryshimin e objektit të padisë dhe kërkesa është miratuar prej gjykatës. Hetimi gjyqësor dhe gjykimi ka vijuar për padinë administrative, me objekt kërkimi dhe shkakut ligjor, si më lart përmendet në pjesën hyrëse të këtij vendimi. </w:t>
      </w:r>
    </w:p>
    <w:p w14:paraId="568339D7" w14:textId="6D605FAB"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7. </w:t>
      </w:r>
      <w:r w:rsidRPr="0011219A">
        <w:rPr>
          <w:rFonts w:ascii="Garamond" w:eastAsia="Calibri" w:hAnsi="Garamond"/>
          <w:b/>
          <w:bCs/>
          <w:color w:val="171717"/>
        </w:rPr>
        <w:t>Gjykata Administrative e Shkallës së Parë, Tiran</w:t>
      </w:r>
      <w:r w:rsidRPr="0011219A">
        <w:rPr>
          <w:rFonts w:ascii="Garamond" w:eastAsia="Calibri" w:hAnsi="Garamond"/>
          <w:b/>
          <w:bCs/>
          <w:color w:val="171717"/>
          <w:spacing w:val="-15"/>
        </w:rPr>
        <w:t>ë</w:t>
      </w:r>
      <w:r w:rsidR="00DD4818">
        <w:rPr>
          <w:rFonts w:ascii="Garamond" w:eastAsia="Calibri" w:hAnsi="Garamond"/>
          <w:b/>
          <w:bCs/>
          <w:color w:val="171717"/>
          <w:spacing w:val="-15"/>
        </w:rPr>
        <w:t>,</w:t>
      </w:r>
      <w:r w:rsidRPr="0011219A">
        <w:rPr>
          <w:rFonts w:ascii="Garamond" w:eastAsia="Calibri" w:hAnsi="Garamond"/>
          <w:b/>
          <w:bCs/>
          <w:color w:val="171717"/>
          <w:spacing w:val="-15"/>
        </w:rPr>
        <w:t xml:space="preserve"> </w:t>
      </w:r>
      <w:r w:rsidRPr="0011219A">
        <w:rPr>
          <w:rFonts w:ascii="Garamond" w:eastAsia="Calibri" w:hAnsi="Garamond"/>
          <w:color w:val="171717"/>
        </w:rPr>
        <w:t>me vendimin nr.</w:t>
      </w:r>
      <w:r w:rsidR="002C01A6">
        <w:rPr>
          <w:rFonts w:ascii="Garamond" w:eastAsia="Calibri" w:hAnsi="Garamond"/>
          <w:color w:val="171717"/>
        </w:rPr>
        <w:t xml:space="preserve"> </w:t>
      </w:r>
      <w:r w:rsidRPr="0011219A">
        <w:rPr>
          <w:rFonts w:ascii="Garamond" w:eastAsia="Calibri" w:hAnsi="Garamond"/>
          <w:color w:val="171717"/>
        </w:rPr>
        <w:t>4687 (80-2016-4727), datë 12.10.2016, ka vendos</w:t>
      </w:r>
      <w:r w:rsidR="00DD4818">
        <w:rPr>
          <w:rFonts w:ascii="Garamond" w:eastAsia="Calibri" w:hAnsi="Garamond"/>
          <w:color w:val="171717"/>
        </w:rPr>
        <w:t>ur</w:t>
      </w:r>
      <w:r w:rsidRPr="0011219A">
        <w:rPr>
          <w:rFonts w:ascii="Garamond" w:eastAsia="Calibri" w:hAnsi="Garamond"/>
          <w:color w:val="171717"/>
        </w:rPr>
        <w:t>:</w:t>
      </w:r>
    </w:p>
    <w:p w14:paraId="034EC11B" w14:textId="77777777"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i/>
          <w:iCs/>
          <w:color w:val="171717"/>
        </w:rPr>
        <w:t>“Rrëzimin e padisë [...].”</w:t>
      </w:r>
    </w:p>
    <w:p w14:paraId="7F52CDAB" w14:textId="71FD4DE8"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7.1. Gjykata administrative e shkallës së parë arsyeton</w:t>
      </w:r>
      <w:r w:rsidR="00DD4818">
        <w:rPr>
          <w:rFonts w:ascii="Garamond" w:eastAsia="Calibri" w:hAnsi="Garamond"/>
          <w:color w:val="171717"/>
        </w:rPr>
        <w:t>,</w:t>
      </w:r>
      <w:r w:rsidRPr="0011219A">
        <w:rPr>
          <w:rFonts w:ascii="Garamond" w:eastAsia="Calibri" w:hAnsi="Garamond"/>
          <w:color w:val="171717"/>
        </w:rPr>
        <w:t xml:space="preserve"> se</w:t>
      </w:r>
      <w:r w:rsidR="00DD4818">
        <w:rPr>
          <w:rFonts w:ascii="Garamond" w:eastAsia="Calibri" w:hAnsi="Garamond"/>
          <w:color w:val="171717"/>
        </w:rPr>
        <w:t xml:space="preserve"> </w:t>
      </w:r>
      <w:r w:rsidRPr="0011219A">
        <w:rPr>
          <w:rFonts w:ascii="Garamond" w:eastAsia="Calibri" w:hAnsi="Garamond"/>
          <w:color w:val="171717"/>
        </w:rPr>
        <w:t xml:space="preserve">(...) nga verifikimi i akteve ligjore dhe nënligjore (ligji nr. 7501/1991, </w:t>
      </w:r>
      <w:proofErr w:type="spellStart"/>
      <w:r w:rsidRPr="0011219A">
        <w:rPr>
          <w:rFonts w:ascii="Garamond" w:eastAsia="Calibri" w:hAnsi="Garamond"/>
          <w:color w:val="171717"/>
        </w:rPr>
        <w:t>VKM</w:t>
      </w:r>
      <w:proofErr w:type="spellEnd"/>
      <w:r w:rsidRPr="0011219A">
        <w:rPr>
          <w:rFonts w:ascii="Garamond" w:eastAsia="Calibri" w:hAnsi="Garamond"/>
          <w:color w:val="171717"/>
        </w:rPr>
        <w:t xml:space="preserve"> nr. 230/1991, </w:t>
      </w:r>
      <w:proofErr w:type="spellStart"/>
      <w:r w:rsidRPr="0011219A">
        <w:rPr>
          <w:rFonts w:ascii="Garamond" w:eastAsia="Calibri" w:hAnsi="Garamond"/>
          <w:color w:val="171717"/>
        </w:rPr>
        <w:t>VKM</w:t>
      </w:r>
      <w:proofErr w:type="spellEnd"/>
      <w:r w:rsidRPr="0011219A">
        <w:rPr>
          <w:rFonts w:ascii="Garamond" w:eastAsia="Calibri" w:hAnsi="Garamond"/>
          <w:color w:val="171717"/>
        </w:rPr>
        <w:t xml:space="preserve"> nr. 255/1991 dhe udhëzimi nr. 2/1991), rezulton se ndarja e tokës bujqësore bëhet mbi bazën e gjendjes civile </w:t>
      </w:r>
      <w:r w:rsidR="00DD4818">
        <w:rPr>
          <w:rFonts w:ascii="Garamond" w:eastAsia="Calibri" w:hAnsi="Garamond"/>
          <w:color w:val="171717"/>
        </w:rPr>
        <w:t>m</w:t>
      </w:r>
      <w:r w:rsidRPr="0011219A">
        <w:rPr>
          <w:rFonts w:ascii="Garamond" w:eastAsia="Calibri" w:hAnsi="Garamond"/>
          <w:color w:val="171717"/>
        </w:rPr>
        <w:t xml:space="preserve">ë datën 1 gusht 1991. Sipas certifikatës familjare,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w:t>
      </w:r>
      <w:proofErr w:type="spellEnd"/>
      <w:r w:rsidRPr="0011219A">
        <w:rPr>
          <w:rFonts w:ascii="Garamond" w:eastAsia="Calibri" w:hAnsi="Garamond"/>
          <w:color w:val="171717"/>
        </w:rPr>
        <w:t xml:space="preserve"> në atë datë ka qenë banor i fshatit </w:t>
      </w:r>
      <w:proofErr w:type="spellStart"/>
      <w:r w:rsidRPr="0011219A">
        <w:rPr>
          <w:rFonts w:ascii="Garamond" w:eastAsia="Calibri" w:hAnsi="Garamond"/>
          <w:color w:val="171717"/>
        </w:rPr>
        <w:t>Yrshek</w:t>
      </w:r>
      <w:proofErr w:type="spellEnd"/>
      <w:r w:rsidRPr="0011219A">
        <w:rPr>
          <w:rFonts w:ascii="Garamond" w:eastAsia="Calibri" w:hAnsi="Garamond"/>
          <w:color w:val="171717"/>
        </w:rPr>
        <w:t xml:space="preserve">, jo </w:t>
      </w:r>
      <w:proofErr w:type="spellStart"/>
      <w:r w:rsidRPr="0011219A">
        <w:rPr>
          <w:rFonts w:ascii="Garamond" w:eastAsia="Calibri" w:hAnsi="Garamond"/>
          <w:color w:val="171717"/>
        </w:rPr>
        <w:t>Kashar</w:t>
      </w:r>
      <w:proofErr w:type="spellEnd"/>
      <w:r w:rsidRPr="0011219A">
        <w:rPr>
          <w:rFonts w:ascii="Garamond" w:eastAsia="Calibri" w:hAnsi="Garamond"/>
          <w:color w:val="171717"/>
        </w:rPr>
        <w:t xml:space="preserve">. Për rrjedhojë, </w:t>
      </w:r>
      <w:proofErr w:type="spellStart"/>
      <w:r w:rsidRPr="0011219A">
        <w:rPr>
          <w:rFonts w:ascii="Garamond" w:eastAsia="Calibri" w:hAnsi="Garamond"/>
          <w:color w:val="171717"/>
        </w:rPr>
        <w:t>AMTP</w:t>
      </w:r>
      <w:proofErr w:type="spellEnd"/>
      <w:r w:rsidR="00DD4818">
        <w:rPr>
          <w:rFonts w:ascii="Garamond" w:eastAsia="Calibri" w:hAnsi="Garamond"/>
          <w:color w:val="171717"/>
        </w:rPr>
        <w:t>-ja</w:t>
      </w:r>
      <w:r w:rsidRPr="0011219A">
        <w:rPr>
          <w:rFonts w:ascii="Garamond" w:eastAsia="Calibri" w:hAnsi="Garamond"/>
          <w:color w:val="171717"/>
        </w:rPr>
        <w:t xml:space="preserve"> nr. 461, viti 1992 është lëshuar në kundërshtim me dispozitat përkatëse.</w:t>
      </w:r>
    </w:p>
    <w:p w14:paraId="26A9276A" w14:textId="507C9781"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color w:val="171717"/>
        </w:rPr>
        <w:t>7.2. Gjykata arrin në përfundimin</w:t>
      </w:r>
      <w:r w:rsidR="00DD4818">
        <w:rPr>
          <w:rFonts w:ascii="Garamond" w:eastAsia="Calibri" w:hAnsi="Garamond"/>
          <w:color w:val="171717"/>
        </w:rPr>
        <w:t>,</w:t>
      </w:r>
      <w:r w:rsidRPr="0011219A">
        <w:rPr>
          <w:rFonts w:ascii="Garamond" w:eastAsia="Calibri" w:hAnsi="Garamond"/>
          <w:color w:val="171717"/>
        </w:rPr>
        <w:t xml:space="preserve"> se </w:t>
      </w:r>
      <w:proofErr w:type="spellStart"/>
      <w:r w:rsidRPr="0011219A">
        <w:rPr>
          <w:rFonts w:ascii="Garamond" w:eastAsia="Calibri" w:hAnsi="Garamond"/>
          <w:color w:val="171717"/>
        </w:rPr>
        <w:t>AMTP</w:t>
      </w:r>
      <w:proofErr w:type="spellEnd"/>
      <w:r w:rsidR="00DD4818">
        <w:rPr>
          <w:rFonts w:ascii="Garamond" w:eastAsia="Calibri" w:hAnsi="Garamond"/>
          <w:color w:val="171717"/>
        </w:rPr>
        <w:t>-ja</w:t>
      </w:r>
      <w:r w:rsidRPr="0011219A">
        <w:rPr>
          <w:rFonts w:ascii="Garamond" w:eastAsia="Calibri" w:hAnsi="Garamond"/>
          <w:color w:val="171717"/>
        </w:rPr>
        <w:t xml:space="preserve"> nr. 461, viti 1992</w:t>
      </w:r>
      <w:r w:rsidR="00DD4818">
        <w:rPr>
          <w:rFonts w:ascii="Garamond" w:eastAsia="Calibri" w:hAnsi="Garamond"/>
          <w:color w:val="171717"/>
        </w:rPr>
        <w:t>,</w:t>
      </w:r>
      <w:r w:rsidRPr="0011219A">
        <w:rPr>
          <w:rFonts w:ascii="Garamond" w:eastAsia="Calibri" w:hAnsi="Garamond"/>
          <w:color w:val="171717"/>
        </w:rPr>
        <w:t xml:space="preserve"> në emër të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Beqirit</w:t>
      </w:r>
      <w:proofErr w:type="spellEnd"/>
      <w:r w:rsidRPr="0011219A">
        <w:rPr>
          <w:rFonts w:ascii="Garamond" w:eastAsia="Calibri" w:hAnsi="Garamond"/>
          <w:color w:val="171717"/>
        </w:rPr>
        <w:t xml:space="preserve"> nuk ka vlefshmëri juridike. Megjithatë, duke qenë se pala paditëse nuk ka kërkuar shfuqizimin e këtij akti, gjykata nuk mund ta shfuqizojë kryesisht, pasi, sipas nenit 6 të </w:t>
      </w:r>
      <w:proofErr w:type="spellStart"/>
      <w:r w:rsidRPr="0011219A">
        <w:rPr>
          <w:rFonts w:ascii="Garamond" w:eastAsia="Calibri" w:hAnsi="Garamond"/>
          <w:color w:val="171717"/>
        </w:rPr>
        <w:t>KPC</w:t>
      </w:r>
      <w:proofErr w:type="spellEnd"/>
      <w:r w:rsidR="00DD4818">
        <w:rPr>
          <w:rFonts w:ascii="Garamond" w:eastAsia="Calibri" w:hAnsi="Garamond"/>
          <w:color w:val="171717"/>
        </w:rPr>
        <w:t>-së</w:t>
      </w:r>
      <w:r w:rsidRPr="0011219A">
        <w:rPr>
          <w:rFonts w:ascii="Garamond" w:eastAsia="Calibri" w:hAnsi="Garamond"/>
          <w:color w:val="171717"/>
        </w:rPr>
        <w:t xml:space="preserve">: “Gjykata që gjykon mosmarrëveshjen duhet të shprehet mbi gjithçka që kërkohet dhe vetëm për atë që kërkohet”. Në respektim të këtij detyrimi procedural, gjykata nuk mund të shprehet për shfuqizimin e </w:t>
      </w:r>
      <w:proofErr w:type="spellStart"/>
      <w:r w:rsidRPr="0011219A">
        <w:rPr>
          <w:rFonts w:ascii="Garamond" w:eastAsia="Calibri" w:hAnsi="Garamond"/>
          <w:color w:val="171717"/>
        </w:rPr>
        <w:t>AMTP</w:t>
      </w:r>
      <w:proofErr w:type="spellEnd"/>
      <w:r w:rsidR="00525496">
        <w:rPr>
          <w:rFonts w:ascii="Garamond" w:eastAsia="Calibri" w:hAnsi="Garamond"/>
          <w:color w:val="171717"/>
        </w:rPr>
        <w:t>-së</w:t>
      </w:r>
      <w:r w:rsidRPr="0011219A">
        <w:rPr>
          <w:rFonts w:ascii="Garamond" w:eastAsia="Calibri" w:hAnsi="Garamond"/>
          <w:color w:val="171717"/>
        </w:rPr>
        <w:t xml:space="preserve"> nr. 461, viti 1992</w:t>
      </w:r>
      <w:r w:rsidR="00525496">
        <w:rPr>
          <w:rFonts w:ascii="Garamond" w:eastAsia="Calibri" w:hAnsi="Garamond"/>
          <w:color w:val="171717"/>
        </w:rPr>
        <w:t>,</w:t>
      </w:r>
      <w:r w:rsidRPr="0011219A">
        <w:rPr>
          <w:rFonts w:ascii="Garamond" w:eastAsia="Calibri" w:hAnsi="Garamond"/>
          <w:color w:val="171717"/>
        </w:rPr>
        <w:t xml:space="preserve"> në emër të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w:t>
      </w:r>
      <w:proofErr w:type="spellEnd"/>
      <w:r w:rsidRPr="0011219A">
        <w:rPr>
          <w:rFonts w:ascii="Garamond" w:eastAsia="Calibri" w:hAnsi="Garamond"/>
          <w:color w:val="171717"/>
        </w:rPr>
        <w:t xml:space="preserve">, për sa kohë nuk është kërkuar nga pala paditëse. Pra, gjykata nuk mund të rregullojë pasojat juridike që ka prodhuar ky akt administrativ, duke detyruar palët e paditura që të paguajnë vlerën monetare për pasuritë e paluajtshme prej 2600 </w:t>
      </w:r>
      <w:proofErr w:type="spellStart"/>
      <w:r w:rsidRPr="0011219A">
        <w:rPr>
          <w:rFonts w:ascii="Garamond" w:eastAsia="Calibri" w:hAnsi="Garamond"/>
          <w:color w:val="171717"/>
        </w:rPr>
        <w:t>m</w:t>
      </w:r>
      <w:r w:rsidRPr="00525496">
        <w:rPr>
          <w:rFonts w:ascii="Garamond" w:hAnsi="Garamond"/>
          <w:vertAlign w:val="superscript"/>
        </w:rPr>
        <w:t>2</w:t>
      </w:r>
      <w:proofErr w:type="spellEnd"/>
      <w:r w:rsidRPr="0011219A">
        <w:rPr>
          <w:rFonts w:ascii="Garamond" w:eastAsia="Calibri" w:hAnsi="Garamond"/>
          <w:color w:val="171717"/>
        </w:rPr>
        <w:t xml:space="preserve">, e cila i është shitur të </w:t>
      </w:r>
      <w:proofErr w:type="spellStart"/>
      <w:r w:rsidRPr="0011219A">
        <w:rPr>
          <w:rFonts w:ascii="Garamond" w:eastAsia="Calibri" w:hAnsi="Garamond"/>
          <w:color w:val="171717"/>
        </w:rPr>
        <w:t>tretëve</w:t>
      </w:r>
      <w:proofErr w:type="spellEnd"/>
      <w:r w:rsidRPr="0011219A">
        <w:rPr>
          <w:rFonts w:ascii="Garamond" w:eastAsia="Calibri" w:hAnsi="Garamond"/>
          <w:color w:val="171717"/>
        </w:rPr>
        <w:t xml:space="preserve"> në shumën 1.164.800 lekë; kjo referuar edhe pikës 3</w:t>
      </w:r>
      <w:r w:rsidR="00525496">
        <w:rPr>
          <w:rFonts w:ascii="Garamond" w:eastAsia="Calibri" w:hAnsi="Garamond"/>
          <w:color w:val="171717"/>
        </w:rPr>
        <w:t>,</w:t>
      </w:r>
      <w:r w:rsidRPr="0011219A">
        <w:rPr>
          <w:rFonts w:ascii="Garamond" w:eastAsia="Calibri" w:hAnsi="Garamond"/>
          <w:color w:val="171717"/>
        </w:rPr>
        <w:t xml:space="preserve"> të nenit 9</w:t>
      </w:r>
      <w:r w:rsidR="00525496">
        <w:rPr>
          <w:rFonts w:ascii="Garamond" w:eastAsia="Calibri" w:hAnsi="Garamond"/>
          <w:color w:val="171717"/>
        </w:rPr>
        <w:t>,</w:t>
      </w:r>
      <w:r w:rsidRPr="0011219A">
        <w:rPr>
          <w:rFonts w:ascii="Garamond" w:eastAsia="Calibri" w:hAnsi="Garamond"/>
          <w:color w:val="171717"/>
        </w:rPr>
        <w:t xml:space="preserve"> të nr. 9948, datë 7.7.2008</w:t>
      </w:r>
      <w:r w:rsidR="00547285">
        <w:rPr>
          <w:rFonts w:ascii="Garamond" w:eastAsia="Calibri" w:hAnsi="Garamond"/>
          <w:color w:val="171717"/>
        </w:rPr>
        <w:t>,</w:t>
      </w:r>
      <w:r w:rsidRPr="0011219A">
        <w:rPr>
          <w:rFonts w:ascii="Garamond" w:eastAsia="Calibri" w:hAnsi="Garamond"/>
          <w:color w:val="171717"/>
        </w:rPr>
        <w:t xml:space="preserve"> “Për shqyrtimin e vlefshmërisë ligjore të krijimit të titujve të pronësisë mbi tokën bujqësore”</w:t>
      </w:r>
      <w:r w:rsidR="00525496">
        <w:rPr>
          <w:rFonts w:ascii="Garamond" w:eastAsia="Calibri" w:hAnsi="Garamond"/>
          <w:color w:val="171717"/>
        </w:rPr>
        <w:t>,</w:t>
      </w:r>
      <w:r w:rsidRPr="0011219A">
        <w:rPr>
          <w:rFonts w:ascii="Garamond" w:eastAsia="Calibri" w:hAnsi="Garamond"/>
          <w:color w:val="171717"/>
        </w:rPr>
        <w:t xml:space="preserve"> në të cilin parashikohet: </w:t>
      </w:r>
      <w:r w:rsidR="00525496" w:rsidRPr="0011219A">
        <w:rPr>
          <w:rFonts w:ascii="Garamond" w:eastAsia="Calibri" w:hAnsi="Garamond"/>
          <w:color w:val="171717"/>
        </w:rPr>
        <w:t xml:space="preserve">kur </w:t>
      </w:r>
      <w:r w:rsidRPr="0011219A">
        <w:rPr>
          <w:rFonts w:ascii="Garamond" w:eastAsia="Calibri" w:hAnsi="Garamond"/>
          <w:color w:val="171717"/>
        </w:rPr>
        <w:t xml:space="preserve">mbajtësi i parë i titullit të pronësisë mbi tokën bujqësore, të lëshuar në kundërshtim me ligjin, nuk e posedon më tokën në mënyrë të plotë ose të pjesshme, si pasojë e transaksionit të realizuar ose të shpronësimit për interes publik të kryer, detyrohet që për sipërfaqen përkatëse të tokës së shitur ose të shpronësuar të kryejë pagesën e kësaj toke, vlera e </w:t>
      </w:r>
      <w:r w:rsidR="00525496">
        <w:rPr>
          <w:rFonts w:ascii="Garamond" w:eastAsia="Calibri" w:hAnsi="Garamond"/>
          <w:color w:val="171717"/>
        </w:rPr>
        <w:t>s</w:t>
      </w:r>
      <w:r w:rsidRPr="0011219A">
        <w:rPr>
          <w:rFonts w:ascii="Garamond" w:eastAsia="Calibri" w:hAnsi="Garamond"/>
          <w:color w:val="171717"/>
        </w:rPr>
        <w:t xml:space="preserve">ë cilës llogaritet me çmimet, sipas hartës së vlerës së tokës të </w:t>
      </w:r>
      <w:proofErr w:type="spellStart"/>
      <w:r w:rsidRPr="0011219A">
        <w:rPr>
          <w:rFonts w:ascii="Garamond" w:eastAsia="Calibri" w:hAnsi="Garamond"/>
          <w:color w:val="171717"/>
        </w:rPr>
        <w:t>AKKP</w:t>
      </w:r>
      <w:proofErr w:type="spellEnd"/>
      <w:r w:rsidR="00525496">
        <w:rPr>
          <w:rFonts w:ascii="Garamond" w:eastAsia="Calibri" w:hAnsi="Garamond"/>
          <w:color w:val="171717"/>
        </w:rPr>
        <w:t>-së</w:t>
      </w:r>
      <w:r w:rsidRPr="0011219A">
        <w:rPr>
          <w:rFonts w:ascii="Garamond" w:eastAsia="Calibri" w:hAnsi="Garamond"/>
          <w:color w:val="171717"/>
        </w:rPr>
        <w:t>, bazuar në metodikën për vlerësimin e pronës së paluajtshme, miratuar me vendim të Kuvendit. Për sa më sipër</w:t>
      </w:r>
      <w:r w:rsidR="00525496">
        <w:rPr>
          <w:rFonts w:ascii="Garamond" w:eastAsia="Calibri" w:hAnsi="Garamond"/>
          <w:color w:val="171717"/>
        </w:rPr>
        <w:t>,</w:t>
      </w:r>
      <w:r w:rsidRPr="0011219A">
        <w:rPr>
          <w:rFonts w:ascii="Garamond" w:eastAsia="Calibri" w:hAnsi="Garamond"/>
          <w:color w:val="171717"/>
        </w:rPr>
        <w:t xml:space="preserve"> gjykata vlerëson se e drejta subjektive e pretenduar nga pala paditëse nuk gjen mbrojtje juridike nëpërmjet këtij objekti të kërkesëpadisë, dhe si e tillë ajo duhet rrëzuar.</w:t>
      </w:r>
    </w:p>
    <w:p w14:paraId="4259D584" w14:textId="172C6FEC"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8. Kundër këtij vendimit ka ushtruar ankim Avokatura e Shtetit, duke kërkuar ndryshimin e tij dhe pranimin e padisë. </w:t>
      </w:r>
    </w:p>
    <w:p w14:paraId="0B60F1C9" w14:textId="4343C82A"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9. </w:t>
      </w:r>
      <w:r w:rsidRPr="0011219A">
        <w:rPr>
          <w:rFonts w:ascii="Garamond" w:eastAsia="Calibri" w:hAnsi="Garamond"/>
          <w:b/>
          <w:bCs/>
          <w:color w:val="171717"/>
        </w:rPr>
        <w:t>Gjykata Administrative e Apelit</w:t>
      </w:r>
      <w:r w:rsidR="00525496">
        <w:rPr>
          <w:rFonts w:ascii="Garamond" w:eastAsia="Calibri" w:hAnsi="Garamond"/>
          <w:b/>
          <w:bCs/>
          <w:color w:val="171717"/>
        </w:rPr>
        <w:t>,</w:t>
      </w:r>
      <w:r w:rsidRPr="0011219A">
        <w:rPr>
          <w:rFonts w:ascii="Garamond" w:eastAsia="Calibri" w:hAnsi="Garamond"/>
          <w:b/>
          <w:bCs/>
          <w:color w:val="171717"/>
        </w:rPr>
        <w:t xml:space="preserve"> </w:t>
      </w:r>
      <w:r w:rsidRPr="0011219A">
        <w:rPr>
          <w:rFonts w:ascii="Garamond" w:eastAsia="Calibri" w:hAnsi="Garamond"/>
          <w:color w:val="171717"/>
        </w:rPr>
        <w:t>me vendimin nr.</w:t>
      </w:r>
      <w:r w:rsidR="00547285">
        <w:rPr>
          <w:rFonts w:ascii="Garamond" w:eastAsia="Calibri" w:hAnsi="Garamond"/>
          <w:color w:val="171717"/>
        </w:rPr>
        <w:t xml:space="preserve"> </w:t>
      </w:r>
      <w:r w:rsidRPr="0011219A">
        <w:rPr>
          <w:rFonts w:ascii="Garamond" w:eastAsia="Calibri" w:hAnsi="Garamond"/>
          <w:color w:val="171717"/>
        </w:rPr>
        <w:t>494 (86-2023-720), datë 7.7.2023, ka vendos</w:t>
      </w:r>
      <w:r w:rsidR="00525496">
        <w:rPr>
          <w:rFonts w:ascii="Garamond" w:eastAsia="Calibri" w:hAnsi="Garamond"/>
          <w:color w:val="171717"/>
        </w:rPr>
        <w:t>ur</w:t>
      </w:r>
      <w:r w:rsidRPr="0011219A">
        <w:rPr>
          <w:rFonts w:ascii="Garamond" w:eastAsia="Calibri" w:hAnsi="Garamond"/>
          <w:color w:val="171717"/>
        </w:rPr>
        <w:t>:</w:t>
      </w:r>
    </w:p>
    <w:p w14:paraId="212874C7" w14:textId="6DE16174"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i/>
          <w:iCs/>
          <w:color w:val="171717"/>
        </w:rPr>
        <w:lastRenderedPageBreak/>
        <w:t>“Prishjen e vendimit nr.</w:t>
      </w:r>
      <w:r w:rsidR="00547285">
        <w:rPr>
          <w:rFonts w:ascii="Garamond" w:eastAsia="Calibri" w:hAnsi="Garamond"/>
          <w:i/>
          <w:iCs/>
          <w:color w:val="171717"/>
        </w:rPr>
        <w:t xml:space="preserve"> </w:t>
      </w:r>
      <w:r w:rsidRPr="0011219A">
        <w:rPr>
          <w:rFonts w:ascii="Garamond" w:eastAsia="Calibri" w:hAnsi="Garamond"/>
          <w:i/>
          <w:iCs/>
          <w:color w:val="171717"/>
        </w:rPr>
        <w:t>4687, datë 12.10.2016</w:t>
      </w:r>
      <w:r w:rsidR="00BD4E1D">
        <w:rPr>
          <w:rFonts w:ascii="Garamond" w:eastAsia="Calibri" w:hAnsi="Garamond"/>
          <w:i/>
          <w:iCs/>
          <w:color w:val="171717"/>
        </w:rPr>
        <w:t>,</w:t>
      </w:r>
      <w:r w:rsidRPr="0011219A">
        <w:rPr>
          <w:rFonts w:ascii="Garamond" w:eastAsia="Calibri" w:hAnsi="Garamond"/>
          <w:i/>
          <w:iCs/>
          <w:color w:val="171717"/>
        </w:rPr>
        <w:t xml:space="preserve"> të Gjykatës Administrative të Shkallës së Parë Tiranë dhe pushimin e gjykimit të kësaj çështje. [...]”.</w:t>
      </w:r>
    </w:p>
    <w:p w14:paraId="2814B815" w14:textId="400EC170"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9.1. Gjykata Administrative e Apelit arsyeton se (...)nga data e paraqitjes së padisë (13.6.2016) deri në marrjen e vendimit (7.7.2023), ka hyrë në fuqi ligji nr. 20/2020, “Për përfundimin e proceseve kalimtare të pronësisë në Republikën e Shqipërisë”, i cili solli një ndryshim thelbësor në kuadrin ligjor. Ky ligj përcakton procedurat dhe organet përgjegjëse për përfundimin e proceseve kalimtare administrativo</w:t>
      </w:r>
      <w:r w:rsidR="00C67BDA">
        <w:rPr>
          <w:rFonts w:ascii="Garamond" w:eastAsia="Calibri" w:hAnsi="Garamond"/>
          <w:color w:val="171717"/>
        </w:rPr>
        <w:t>-</w:t>
      </w:r>
      <w:r w:rsidRPr="0011219A">
        <w:rPr>
          <w:rFonts w:ascii="Garamond" w:eastAsia="Calibri" w:hAnsi="Garamond"/>
          <w:color w:val="171717"/>
        </w:rPr>
        <w:t>ligjore, për regjistrimin e titujve të pronësisë mbi pasuritë e paluajtshme, si dhe për inventarizimin, transferimin, trajtimin dhe regjistrimin e tyre përfundimtar (neni 1). Qëllimi i ligjit është: i</w:t>
      </w:r>
      <w:r w:rsidR="00C67BDA">
        <w:rPr>
          <w:rFonts w:ascii="Garamond" w:eastAsia="Calibri" w:hAnsi="Garamond"/>
          <w:color w:val="171717"/>
        </w:rPr>
        <w:t>.</w:t>
      </w:r>
      <w:r w:rsidRPr="0011219A">
        <w:rPr>
          <w:rFonts w:ascii="Garamond" w:eastAsia="Calibri" w:hAnsi="Garamond"/>
          <w:color w:val="171717"/>
        </w:rPr>
        <w:t xml:space="preserve"> krijimi i një baze të unifikuar ligjore për mbylljen e proceseve kalimtare; </w:t>
      </w:r>
      <w:proofErr w:type="spellStart"/>
      <w:r w:rsidRPr="0011219A">
        <w:rPr>
          <w:rFonts w:ascii="Garamond" w:eastAsia="Calibri" w:hAnsi="Garamond"/>
          <w:color w:val="171717"/>
        </w:rPr>
        <w:t>ii</w:t>
      </w:r>
      <w:proofErr w:type="spellEnd"/>
      <w:r w:rsidR="00C67BDA">
        <w:rPr>
          <w:rFonts w:ascii="Garamond" w:eastAsia="Calibri" w:hAnsi="Garamond"/>
          <w:color w:val="171717"/>
        </w:rPr>
        <w:t>.</w:t>
      </w:r>
      <w:r w:rsidRPr="0011219A">
        <w:rPr>
          <w:rFonts w:ascii="Garamond" w:eastAsia="Calibri" w:hAnsi="Garamond"/>
          <w:color w:val="171717"/>
        </w:rPr>
        <w:t xml:space="preserve"> koordinimi i tyre me procesin e trajtimit dhe kompensimit të pronës; </w:t>
      </w:r>
      <w:proofErr w:type="spellStart"/>
      <w:r w:rsidRPr="0011219A">
        <w:rPr>
          <w:rFonts w:ascii="Garamond" w:eastAsia="Calibri" w:hAnsi="Garamond"/>
          <w:color w:val="171717"/>
        </w:rPr>
        <w:t>iii</w:t>
      </w:r>
      <w:proofErr w:type="spellEnd"/>
      <w:r w:rsidR="00C67BDA">
        <w:rPr>
          <w:rFonts w:ascii="Garamond" w:eastAsia="Calibri" w:hAnsi="Garamond"/>
          <w:color w:val="171717"/>
        </w:rPr>
        <w:t>.</w:t>
      </w:r>
      <w:r w:rsidRPr="0011219A">
        <w:rPr>
          <w:rFonts w:ascii="Garamond" w:eastAsia="Calibri" w:hAnsi="Garamond"/>
          <w:color w:val="171717"/>
        </w:rPr>
        <w:t xml:space="preserve"> standardizimi i dokumentacionit për regjistrimin në regjistrin publik të pasurive të paluajtshme (neni 2). Ligji parashikon një normim të posaçëm procedural edhe për çështjet gjyqësore të iniciuara nga prefektët përpara hyrjes së tij në fuqi, të cilat vijonin ende gjykimin.</w:t>
      </w:r>
    </w:p>
    <w:p w14:paraId="3DE6C38A" w14:textId="636CDF08"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9.2. Neni 68/4 i ligjit nr. 20/2020 parashikon: “Paditë e ngritura nga </w:t>
      </w:r>
      <w:r w:rsidR="00C67BDA" w:rsidRPr="0011219A">
        <w:rPr>
          <w:rFonts w:ascii="Garamond" w:eastAsia="Calibri" w:hAnsi="Garamond"/>
          <w:color w:val="171717"/>
        </w:rPr>
        <w:t xml:space="preserve">prefektët </w:t>
      </w:r>
      <w:r w:rsidRPr="0011219A">
        <w:rPr>
          <w:rFonts w:ascii="Garamond" w:eastAsia="Calibri" w:hAnsi="Garamond"/>
          <w:color w:val="171717"/>
        </w:rPr>
        <w:t xml:space="preserve">para hyrjes në fuqi të ligjit, me objekt pavlefshmërinë/shfuqizimin e </w:t>
      </w:r>
      <w:proofErr w:type="spellStart"/>
      <w:r w:rsidRPr="0011219A">
        <w:rPr>
          <w:rFonts w:ascii="Garamond" w:eastAsia="Calibri" w:hAnsi="Garamond"/>
          <w:color w:val="171717"/>
        </w:rPr>
        <w:t>AMTP</w:t>
      </w:r>
      <w:proofErr w:type="spellEnd"/>
      <w:r w:rsidRPr="0011219A">
        <w:rPr>
          <w:rFonts w:ascii="Garamond" w:eastAsia="Calibri" w:hAnsi="Garamond"/>
          <w:color w:val="171717"/>
        </w:rPr>
        <w:t>-ve, shqyrtohen nga gjykatat sipas kritereve të këtij ligji. Ndërsa pika 5 i këtij ligji parashikon: “5. ASHK</w:t>
      </w:r>
      <w:r w:rsidR="00C67BDA">
        <w:rPr>
          <w:rFonts w:ascii="Garamond" w:eastAsia="Calibri" w:hAnsi="Garamond"/>
          <w:color w:val="171717"/>
        </w:rPr>
        <w:t>-ja</w:t>
      </w:r>
      <w:r w:rsidRPr="0011219A">
        <w:rPr>
          <w:rFonts w:ascii="Garamond" w:eastAsia="Calibri" w:hAnsi="Garamond"/>
          <w:color w:val="171717"/>
        </w:rPr>
        <w:t xml:space="preserve"> heq dorë nga padia në të gjitha gjykimet në proces, përpara hyrjes në fuqi të ligjit, përveç rasteve kur shkaku ligjor është ai i përcaktuar në nenin 7/1 të këtij ligji.” Ky normim vjen si normim i posaçëm në raport me rregullimin e përgjithshëm juridik të kohës që kërkonte shqyrtimi nga </w:t>
      </w:r>
      <w:proofErr w:type="spellStart"/>
      <w:r w:rsidRPr="0011219A">
        <w:rPr>
          <w:rFonts w:ascii="Garamond" w:eastAsia="Calibri" w:hAnsi="Garamond"/>
          <w:color w:val="171717"/>
        </w:rPr>
        <w:t>KVVTP</w:t>
      </w:r>
      <w:proofErr w:type="spellEnd"/>
      <w:r w:rsidR="007F375E">
        <w:rPr>
          <w:rFonts w:ascii="Garamond" w:eastAsia="Calibri" w:hAnsi="Garamond"/>
          <w:color w:val="171717"/>
        </w:rPr>
        <w:t>-ja</w:t>
      </w:r>
      <w:r w:rsidRPr="0011219A">
        <w:rPr>
          <w:rFonts w:ascii="Garamond" w:eastAsia="Calibri" w:hAnsi="Garamond"/>
          <w:color w:val="171717"/>
        </w:rPr>
        <w:t xml:space="preserve"> pranë prefekturave, </w:t>
      </w:r>
      <w:proofErr w:type="spellStart"/>
      <w:r w:rsidRPr="0011219A">
        <w:rPr>
          <w:rFonts w:ascii="Garamond" w:eastAsia="Calibri" w:hAnsi="Garamond"/>
          <w:color w:val="171717"/>
        </w:rPr>
        <w:t>konform</w:t>
      </w:r>
      <w:proofErr w:type="spellEnd"/>
      <w:r w:rsidRPr="0011219A">
        <w:rPr>
          <w:rFonts w:ascii="Garamond" w:eastAsia="Calibri" w:hAnsi="Garamond"/>
          <w:color w:val="171717"/>
        </w:rPr>
        <w:t xml:space="preserve"> dispozitave të ligjit nr.</w:t>
      </w:r>
      <w:r w:rsidR="00BD4E1D">
        <w:rPr>
          <w:rFonts w:ascii="Garamond" w:eastAsia="Calibri" w:hAnsi="Garamond"/>
          <w:color w:val="171717"/>
        </w:rPr>
        <w:t xml:space="preserve"> </w:t>
      </w:r>
      <w:r w:rsidRPr="0011219A">
        <w:rPr>
          <w:rFonts w:ascii="Garamond" w:eastAsia="Calibri" w:hAnsi="Garamond"/>
          <w:color w:val="171717"/>
        </w:rPr>
        <w:t>9948/2008</w:t>
      </w:r>
      <w:r w:rsidR="00BD4E1D">
        <w:rPr>
          <w:rFonts w:ascii="Garamond" w:eastAsia="Calibri" w:hAnsi="Garamond"/>
          <w:color w:val="171717"/>
        </w:rPr>
        <w:t>,</w:t>
      </w:r>
      <w:r w:rsidRPr="0011219A">
        <w:rPr>
          <w:rFonts w:ascii="Garamond" w:eastAsia="Calibri" w:hAnsi="Garamond"/>
          <w:color w:val="171717"/>
        </w:rPr>
        <w:t xml:space="preserve"> “Për shqyrtimin e vlefshmërisë ligjore të krijimit të titujve të pronësisë mbi tokën bujqësore”, ndryshuar, në raport me dispozitat e ligjit nr.</w:t>
      </w:r>
      <w:r w:rsidR="00BD4E1D">
        <w:rPr>
          <w:rFonts w:ascii="Garamond" w:eastAsia="Calibri" w:hAnsi="Garamond"/>
          <w:color w:val="171717"/>
        </w:rPr>
        <w:t xml:space="preserve"> </w:t>
      </w:r>
      <w:r w:rsidRPr="0011219A">
        <w:rPr>
          <w:rFonts w:ascii="Garamond" w:eastAsia="Calibri" w:hAnsi="Garamond"/>
          <w:color w:val="171717"/>
        </w:rPr>
        <w:t>7501, datë 19.7.1991</w:t>
      </w:r>
      <w:r w:rsidR="00BD4E1D">
        <w:rPr>
          <w:rFonts w:ascii="Garamond" w:eastAsia="Calibri" w:hAnsi="Garamond"/>
          <w:color w:val="171717"/>
        </w:rPr>
        <w:t>,</w:t>
      </w:r>
      <w:r w:rsidRPr="0011219A">
        <w:rPr>
          <w:rFonts w:ascii="Garamond" w:eastAsia="Calibri" w:hAnsi="Garamond"/>
          <w:color w:val="171717"/>
        </w:rPr>
        <w:t xml:space="preserve"> “Për </w:t>
      </w:r>
      <w:r w:rsidR="00BD4E1D" w:rsidRPr="0011219A">
        <w:rPr>
          <w:rFonts w:ascii="Garamond" w:eastAsia="Calibri" w:hAnsi="Garamond"/>
          <w:color w:val="171717"/>
        </w:rPr>
        <w:t>tokën</w:t>
      </w:r>
      <w:r w:rsidRPr="0011219A">
        <w:rPr>
          <w:rFonts w:ascii="Garamond" w:eastAsia="Calibri" w:hAnsi="Garamond"/>
          <w:color w:val="171717"/>
        </w:rPr>
        <w:t>”, i ndryshuar</w:t>
      </w:r>
      <w:r w:rsidR="007F375E">
        <w:rPr>
          <w:rFonts w:ascii="Garamond" w:eastAsia="Calibri" w:hAnsi="Garamond"/>
          <w:color w:val="171717"/>
        </w:rPr>
        <w:t>,</w:t>
      </w:r>
      <w:r w:rsidRPr="0011219A">
        <w:rPr>
          <w:rFonts w:ascii="Garamond" w:eastAsia="Calibri" w:hAnsi="Garamond"/>
          <w:color w:val="171717"/>
        </w:rPr>
        <w:t xml:space="preserve"> dhe akteve nënligjore të miratuara në bazë e për zbatim të e tyre.</w:t>
      </w:r>
    </w:p>
    <w:p w14:paraId="58E84AAA" w14:textId="4399626F"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9.3. Sipas nenit 68/5, mbi ASHK</w:t>
      </w:r>
      <w:r w:rsidR="005F0D4E">
        <w:rPr>
          <w:rFonts w:ascii="Garamond" w:eastAsia="Calibri" w:hAnsi="Garamond"/>
          <w:color w:val="171717"/>
        </w:rPr>
        <w:t>-në</w:t>
      </w:r>
      <w:r w:rsidRPr="0011219A">
        <w:rPr>
          <w:rFonts w:ascii="Garamond" w:eastAsia="Calibri" w:hAnsi="Garamond"/>
          <w:color w:val="171717"/>
        </w:rPr>
        <w:t xml:space="preserve"> rëndon detyrimi ligjor për të hequr dorë nga padia, përveç rasteve të parashikuara në nenin 7/1. Ky nen parashikon përjashtimisht regjistrimin e </w:t>
      </w:r>
      <w:proofErr w:type="spellStart"/>
      <w:r w:rsidRPr="0011219A">
        <w:rPr>
          <w:rFonts w:ascii="Garamond" w:eastAsia="Calibri" w:hAnsi="Garamond"/>
          <w:color w:val="171717"/>
        </w:rPr>
        <w:t>AMTP</w:t>
      </w:r>
      <w:proofErr w:type="spellEnd"/>
      <w:r w:rsidR="00D039E2">
        <w:rPr>
          <w:rFonts w:ascii="Garamond" w:eastAsia="Calibri" w:hAnsi="Garamond"/>
          <w:color w:val="171717"/>
        </w:rPr>
        <w:t>-së</w:t>
      </w:r>
      <w:r w:rsidRPr="0011219A">
        <w:rPr>
          <w:rFonts w:ascii="Garamond" w:eastAsia="Calibri" w:hAnsi="Garamond"/>
          <w:color w:val="171717"/>
        </w:rPr>
        <w:t xml:space="preserve"> të paregjistruara, kur plotësohen njëkohësisht tr</w:t>
      </w:r>
      <w:r w:rsidR="00D039E2">
        <w:rPr>
          <w:rFonts w:ascii="Garamond" w:eastAsia="Calibri" w:hAnsi="Garamond"/>
          <w:color w:val="171717"/>
        </w:rPr>
        <w:t>i</w:t>
      </w:r>
      <w:r w:rsidRPr="0011219A">
        <w:rPr>
          <w:rFonts w:ascii="Garamond" w:eastAsia="Calibri" w:hAnsi="Garamond"/>
          <w:color w:val="171717"/>
        </w:rPr>
        <w:t xml:space="preserve"> kushte: a) përfituesi </w:t>
      </w:r>
      <w:proofErr w:type="spellStart"/>
      <w:r w:rsidRPr="0011219A">
        <w:rPr>
          <w:rFonts w:ascii="Garamond" w:eastAsia="Calibri" w:hAnsi="Garamond"/>
          <w:color w:val="171717"/>
        </w:rPr>
        <w:t>AMTP</w:t>
      </w:r>
      <w:proofErr w:type="spellEnd"/>
      <w:r w:rsidRPr="0011219A">
        <w:rPr>
          <w:rFonts w:ascii="Garamond" w:eastAsia="Calibri" w:hAnsi="Garamond"/>
          <w:color w:val="171717"/>
        </w:rPr>
        <w:t xml:space="preserve"> ka qenë i legjitimuar për të përfituar tokë</w:t>
      </w:r>
      <w:r w:rsidR="00D039E2">
        <w:rPr>
          <w:rFonts w:ascii="Garamond" w:eastAsia="Calibri" w:hAnsi="Garamond"/>
          <w:color w:val="171717"/>
        </w:rPr>
        <w:t>,</w:t>
      </w:r>
      <w:r w:rsidRPr="0011219A">
        <w:rPr>
          <w:rFonts w:ascii="Garamond" w:eastAsia="Calibri" w:hAnsi="Garamond"/>
          <w:color w:val="171717"/>
        </w:rPr>
        <w:t xml:space="preserve"> sipas akteve ligjore e nënligjore për ndarjen e tokës bujqësore ose</w:t>
      </w:r>
      <w:r w:rsidR="00D039E2">
        <w:rPr>
          <w:rFonts w:ascii="Garamond" w:eastAsia="Calibri" w:hAnsi="Garamond"/>
          <w:color w:val="171717"/>
        </w:rPr>
        <w:t xml:space="preserve">, </w:t>
      </w:r>
      <w:r w:rsidRPr="0011219A">
        <w:rPr>
          <w:rFonts w:ascii="Garamond" w:eastAsia="Calibri" w:hAnsi="Garamond"/>
          <w:color w:val="171717"/>
        </w:rPr>
        <w:t>edhe nëse nuk ka qenë i legjitimuar, ka përfituar tokën, për të cilën i është hequr pronësia atij apo trashëgimlënësit gjatë krijimit të ish-kooperativës apo ish-ndërmarrjes bujqësore</w:t>
      </w:r>
      <w:r w:rsidR="00D039E2">
        <w:rPr>
          <w:rFonts w:ascii="Garamond" w:eastAsia="Calibri" w:hAnsi="Garamond"/>
          <w:color w:val="171717"/>
        </w:rPr>
        <w:t>;</w:t>
      </w:r>
      <w:r w:rsidRPr="0011219A">
        <w:rPr>
          <w:rFonts w:ascii="Garamond" w:eastAsia="Calibri" w:hAnsi="Garamond"/>
          <w:color w:val="171717"/>
        </w:rPr>
        <w:t xml:space="preserve"> b) përfituesi i </w:t>
      </w:r>
      <w:proofErr w:type="spellStart"/>
      <w:r w:rsidRPr="0011219A">
        <w:rPr>
          <w:rFonts w:ascii="Garamond" w:eastAsia="Calibri" w:hAnsi="Garamond"/>
          <w:color w:val="171717"/>
        </w:rPr>
        <w:t>AMTP</w:t>
      </w:r>
      <w:proofErr w:type="spellEnd"/>
      <w:r w:rsidR="00D039E2">
        <w:rPr>
          <w:rFonts w:ascii="Garamond" w:eastAsia="Calibri" w:hAnsi="Garamond"/>
          <w:color w:val="171717"/>
        </w:rPr>
        <w:t>-së</w:t>
      </w:r>
      <w:r w:rsidRPr="0011219A">
        <w:rPr>
          <w:rFonts w:ascii="Garamond" w:eastAsia="Calibri" w:hAnsi="Garamond"/>
          <w:color w:val="171717"/>
        </w:rPr>
        <w:t xml:space="preserve"> ka marrë tokë në territorin e vetëm një ish-kooperativë ose ish-ndërmarrjeje bujqësore</w:t>
      </w:r>
      <w:r w:rsidR="00D039E2">
        <w:rPr>
          <w:rFonts w:ascii="Garamond" w:eastAsia="Calibri" w:hAnsi="Garamond"/>
          <w:color w:val="171717"/>
        </w:rPr>
        <w:t>;</w:t>
      </w:r>
      <w:r w:rsidRPr="0011219A">
        <w:rPr>
          <w:rFonts w:ascii="Garamond" w:eastAsia="Calibri" w:hAnsi="Garamond"/>
          <w:color w:val="171717"/>
        </w:rPr>
        <w:t xml:space="preserve"> c) toka për cilën është lëshuar </w:t>
      </w:r>
      <w:proofErr w:type="spellStart"/>
      <w:r w:rsidRPr="0011219A">
        <w:rPr>
          <w:rFonts w:ascii="Garamond" w:eastAsia="Calibri" w:hAnsi="Garamond"/>
          <w:color w:val="171717"/>
        </w:rPr>
        <w:t>AMTP</w:t>
      </w:r>
      <w:proofErr w:type="spellEnd"/>
      <w:r w:rsidRPr="0011219A">
        <w:rPr>
          <w:rFonts w:ascii="Garamond" w:eastAsia="Calibri" w:hAnsi="Garamond"/>
          <w:color w:val="171717"/>
        </w:rPr>
        <w:t xml:space="preserve"> nuk ka qenë “truall”, “vepër e infrastrukturës publike”, “rërë bregdetare”, “plazh” ose “sipërfaqe ujore”, në kohën e lëshimit të aktit”. Pra ky nen normon sipas parashikimeve të tij procesin e regjistrimit dhe raportin juridik të ASHK</w:t>
      </w:r>
      <w:r w:rsidR="00867E3E">
        <w:rPr>
          <w:rFonts w:ascii="Garamond" w:eastAsia="Calibri" w:hAnsi="Garamond"/>
          <w:color w:val="171717"/>
        </w:rPr>
        <w:t>-së</w:t>
      </w:r>
      <w:r w:rsidRPr="0011219A">
        <w:rPr>
          <w:rFonts w:ascii="Garamond" w:eastAsia="Calibri" w:hAnsi="Garamond"/>
          <w:color w:val="171717"/>
        </w:rPr>
        <w:t xml:space="preserve"> me regjistrimin e aktit të marrjes së tokës në pronësi, të përfituar përpara hyrjes në fuqi të këtij ligji, paregjistruar në regjistrin e pasurive të paluajtshme. Vetëm këto raste përjashtohen nga detyrimi ligjor i ASHK</w:t>
      </w:r>
      <w:r w:rsidR="00DF7369">
        <w:rPr>
          <w:rFonts w:ascii="Garamond" w:eastAsia="Calibri" w:hAnsi="Garamond"/>
          <w:color w:val="171717"/>
        </w:rPr>
        <w:t>-së</w:t>
      </w:r>
      <w:r w:rsidRPr="0011219A">
        <w:rPr>
          <w:rFonts w:ascii="Garamond" w:eastAsia="Calibri" w:hAnsi="Garamond"/>
          <w:color w:val="171717"/>
        </w:rPr>
        <w:t xml:space="preserve"> për të hequr dorë nga gjykimi i çështjes.</w:t>
      </w:r>
    </w:p>
    <w:p w14:paraId="62854B2D" w14:textId="0870C42A"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9.4. Në rastin konkret nuk jemi përpara kushteve të nenit 7/1, pasi </w:t>
      </w:r>
      <w:proofErr w:type="spellStart"/>
      <w:r w:rsidRPr="0011219A">
        <w:rPr>
          <w:rFonts w:ascii="Garamond" w:eastAsia="Calibri" w:hAnsi="Garamond"/>
          <w:color w:val="171717"/>
        </w:rPr>
        <w:t>AMTP</w:t>
      </w:r>
      <w:proofErr w:type="spellEnd"/>
      <w:r w:rsidR="00DF7369">
        <w:rPr>
          <w:rFonts w:ascii="Garamond" w:eastAsia="Calibri" w:hAnsi="Garamond"/>
          <w:color w:val="171717"/>
        </w:rPr>
        <w:t>-ja</w:t>
      </w:r>
      <w:r w:rsidRPr="0011219A">
        <w:rPr>
          <w:rFonts w:ascii="Garamond" w:eastAsia="Calibri" w:hAnsi="Garamond"/>
          <w:color w:val="171717"/>
        </w:rPr>
        <w:t xml:space="preserve"> nr. 461/1992, lëshuar në emër të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Beqirit</w:t>
      </w:r>
      <w:proofErr w:type="spellEnd"/>
      <w:r w:rsidRPr="0011219A">
        <w:rPr>
          <w:rFonts w:ascii="Garamond" w:eastAsia="Calibri" w:hAnsi="Garamond"/>
          <w:color w:val="171717"/>
        </w:rPr>
        <w:t xml:space="preserve">, ka rezultuar </w:t>
      </w:r>
      <w:r w:rsidRPr="0011219A">
        <w:rPr>
          <w:rFonts w:ascii="Garamond" w:eastAsia="Calibri" w:hAnsi="Garamond"/>
          <w:b/>
          <w:bCs/>
          <w:color w:val="171717"/>
        </w:rPr>
        <w:t>e regjistruar</w:t>
      </w:r>
      <w:r w:rsidRPr="0011219A">
        <w:rPr>
          <w:rFonts w:ascii="Garamond" w:eastAsia="Calibri" w:hAnsi="Garamond"/>
          <w:color w:val="171717"/>
        </w:rPr>
        <w:t xml:space="preserve"> në </w:t>
      </w:r>
      <w:proofErr w:type="spellStart"/>
      <w:r w:rsidRPr="0011219A">
        <w:rPr>
          <w:rFonts w:ascii="Garamond" w:eastAsia="Calibri" w:hAnsi="Garamond"/>
          <w:color w:val="171717"/>
        </w:rPr>
        <w:t>ZVRPP</w:t>
      </w:r>
      <w:proofErr w:type="spellEnd"/>
      <w:r w:rsidR="00DF7369">
        <w:rPr>
          <w:rFonts w:ascii="Garamond" w:eastAsia="Calibri" w:hAnsi="Garamond"/>
          <w:color w:val="171717"/>
        </w:rPr>
        <w:t>,</w:t>
      </w:r>
      <w:r w:rsidRPr="0011219A">
        <w:rPr>
          <w:rFonts w:ascii="Garamond" w:eastAsia="Calibri" w:hAnsi="Garamond"/>
          <w:color w:val="171717"/>
        </w:rPr>
        <w:t xml:space="preserve"> që në kohën e hetimit administrativ nga </w:t>
      </w:r>
      <w:r w:rsidR="00DF7369" w:rsidRPr="0011219A">
        <w:rPr>
          <w:rFonts w:ascii="Garamond" w:eastAsia="Calibri" w:hAnsi="Garamond"/>
          <w:color w:val="171717"/>
        </w:rPr>
        <w:t xml:space="preserve">prefekti </w:t>
      </w:r>
      <w:r w:rsidRPr="0011219A">
        <w:rPr>
          <w:rFonts w:ascii="Garamond" w:eastAsia="Calibri" w:hAnsi="Garamond"/>
          <w:color w:val="171717"/>
        </w:rPr>
        <w:t xml:space="preserve">i Qarkut Tiranë. </w:t>
      </w:r>
      <w:proofErr w:type="spellStart"/>
      <w:r w:rsidRPr="0011219A">
        <w:rPr>
          <w:rFonts w:ascii="Garamond" w:eastAsia="Calibri" w:hAnsi="Garamond"/>
          <w:color w:val="171717"/>
        </w:rPr>
        <w:t>ZVRPP</w:t>
      </w:r>
      <w:proofErr w:type="spellEnd"/>
      <w:r w:rsidRPr="0011219A">
        <w:rPr>
          <w:rFonts w:ascii="Garamond" w:eastAsia="Calibri" w:hAnsi="Garamond"/>
          <w:color w:val="171717"/>
        </w:rPr>
        <w:t xml:space="preserve"> Tiranë ka konfirmuar regjistrimin e parcelës në emër të </w:t>
      </w:r>
      <w:proofErr w:type="spellStart"/>
      <w:r w:rsidRPr="0011219A">
        <w:rPr>
          <w:rFonts w:ascii="Garamond" w:eastAsia="Calibri" w:hAnsi="Garamond"/>
          <w:color w:val="171717"/>
        </w:rPr>
        <w:t>Nazmi</w:t>
      </w:r>
      <w:proofErr w:type="spellEnd"/>
      <w:r w:rsidRPr="0011219A">
        <w:rPr>
          <w:rFonts w:ascii="Garamond" w:eastAsia="Calibri" w:hAnsi="Garamond"/>
          <w:color w:val="171717"/>
        </w:rPr>
        <w:t xml:space="preserve"> </w:t>
      </w:r>
      <w:proofErr w:type="spellStart"/>
      <w:r w:rsidRPr="0011219A">
        <w:rPr>
          <w:rFonts w:ascii="Garamond" w:eastAsia="Calibri" w:hAnsi="Garamond"/>
          <w:color w:val="171717"/>
        </w:rPr>
        <w:t>Beqirit</w:t>
      </w:r>
      <w:proofErr w:type="spellEnd"/>
      <w:r w:rsidRPr="0011219A">
        <w:rPr>
          <w:rFonts w:ascii="Garamond" w:eastAsia="Calibri" w:hAnsi="Garamond"/>
          <w:color w:val="171717"/>
        </w:rPr>
        <w:t xml:space="preserve">: pasuria nr. 205/15, vol. 16, f. 16, sipërfaqja 2600 </w:t>
      </w:r>
      <w:proofErr w:type="spellStart"/>
      <w:r w:rsidRPr="0011219A">
        <w:rPr>
          <w:rFonts w:ascii="Garamond" w:eastAsia="Calibri" w:hAnsi="Garamond"/>
          <w:color w:val="171717"/>
        </w:rPr>
        <w:t>m²</w:t>
      </w:r>
      <w:proofErr w:type="spellEnd"/>
      <w:r w:rsidRPr="0011219A">
        <w:rPr>
          <w:rFonts w:ascii="Garamond" w:eastAsia="Calibri" w:hAnsi="Garamond"/>
          <w:color w:val="171717"/>
        </w:rPr>
        <w:t xml:space="preserve"> “arë”. Për rrjedhojë, në bazë të nenit 68/5 të ligjit nr. 20/2020, pala paditëse duhej të kishte kërkuar pushimin e gjykimit. Kjo për faktin se çështja është regjistruar për shqyrtim gjyqësor në vitin 2016, përpara hyrjes në fuqi të ligjit nr. 20/2020, i cili tashmë është i zbatueshëm edhe për proceset gjyqësore në vijim.</w:t>
      </w:r>
      <w:r w:rsidR="00DF7369">
        <w:rPr>
          <w:rFonts w:ascii="Garamond" w:eastAsia="Calibri" w:hAnsi="Garamond"/>
          <w:color w:val="171717"/>
        </w:rPr>
        <w:t xml:space="preserve"> </w:t>
      </w:r>
      <w:r w:rsidRPr="0011219A">
        <w:rPr>
          <w:rFonts w:ascii="Garamond" w:eastAsia="Calibri" w:hAnsi="Garamond"/>
          <w:color w:val="171717"/>
        </w:rPr>
        <w:t>Kjo çështje vijon ende gjykimin e saj tashmë në shkallë të dytë kohë në të cilën ka hyrë në fuqi dhe gjen zbatim ligji nr. 20/2020.</w:t>
      </w:r>
    </w:p>
    <w:p w14:paraId="2EA1DB02" w14:textId="0942129A"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9.5. Fakti se pala paditëse nuk ka disponuar me heqjen dorë nga ky gjykim nuk ndryshon gjendjen juridike në fuqi dhe as gjendjen faktike në të cilën ndodhet kjo mosmarrëveshje administrative</w:t>
      </w:r>
      <w:r w:rsidR="00F85B88">
        <w:rPr>
          <w:rFonts w:ascii="Garamond" w:eastAsia="Calibri" w:hAnsi="Garamond"/>
          <w:color w:val="171717"/>
        </w:rPr>
        <w:t>,</w:t>
      </w:r>
      <w:r w:rsidRPr="0011219A">
        <w:rPr>
          <w:rFonts w:ascii="Garamond" w:eastAsia="Calibri" w:hAnsi="Garamond"/>
          <w:color w:val="171717"/>
        </w:rPr>
        <w:t xml:space="preserve"> për shkak të ligjit në fuqi. Në rastin konkret Gjykata Administrative Apelit </w:t>
      </w:r>
      <w:proofErr w:type="spellStart"/>
      <w:r w:rsidRPr="0011219A">
        <w:rPr>
          <w:rFonts w:ascii="Garamond" w:eastAsia="Calibri" w:hAnsi="Garamond"/>
          <w:color w:val="171717"/>
        </w:rPr>
        <w:t>konkludon</w:t>
      </w:r>
      <w:proofErr w:type="spellEnd"/>
      <w:r w:rsidRPr="0011219A">
        <w:rPr>
          <w:rFonts w:ascii="Garamond" w:eastAsia="Calibri" w:hAnsi="Garamond"/>
          <w:color w:val="171717"/>
        </w:rPr>
        <w:t xml:space="preserve"> se pavarësisht faktit se ASHK Tiranë Rurale 2 nuk hoqi dorë nga gjykimi i kësaj çështje</w:t>
      </w:r>
      <w:r w:rsidR="0004561F">
        <w:rPr>
          <w:rFonts w:ascii="Garamond" w:eastAsia="Calibri" w:hAnsi="Garamond"/>
          <w:color w:val="171717"/>
        </w:rPr>
        <w:t>je</w:t>
      </w:r>
      <w:r w:rsidRPr="0011219A">
        <w:rPr>
          <w:rFonts w:ascii="Garamond" w:eastAsia="Calibri" w:hAnsi="Garamond"/>
          <w:color w:val="171717"/>
        </w:rPr>
        <w:t xml:space="preserve">, ajo nuk mund të vijojë më tej për shkak të ligjit. Gjykata arrin në këtë </w:t>
      </w:r>
      <w:proofErr w:type="spellStart"/>
      <w:r w:rsidRPr="0011219A">
        <w:rPr>
          <w:rFonts w:ascii="Garamond" w:eastAsia="Calibri" w:hAnsi="Garamond"/>
          <w:color w:val="171717"/>
        </w:rPr>
        <w:t>konkludim</w:t>
      </w:r>
      <w:proofErr w:type="spellEnd"/>
      <w:r w:rsidRPr="0011219A">
        <w:rPr>
          <w:rFonts w:ascii="Garamond" w:eastAsia="Calibri" w:hAnsi="Garamond"/>
          <w:color w:val="171717"/>
        </w:rPr>
        <w:t xml:space="preserve"> pasi mban parasysh nenin 299 të </w:t>
      </w:r>
      <w:proofErr w:type="spellStart"/>
      <w:r w:rsidRPr="0011219A">
        <w:rPr>
          <w:rFonts w:ascii="Garamond" w:eastAsia="Calibri" w:hAnsi="Garamond"/>
          <w:color w:val="171717"/>
        </w:rPr>
        <w:t>KPC</w:t>
      </w:r>
      <w:proofErr w:type="spellEnd"/>
      <w:r w:rsidR="0004561F">
        <w:rPr>
          <w:rFonts w:ascii="Garamond" w:eastAsia="Calibri" w:hAnsi="Garamond"/>
          <w:color w:val="171717"/>
        </w:rPr>
        <w:t>-së,</w:t>
      </w:r>
      <w:r w:rsidRPr="0011219A">
        <w:rPr>
          <w:rFonts w:ascii="Garamond" w:eastAsia="Calibri" w:hAnsi="Garamond"/>
          <w:color w:val="171717"/>
        </w:rPr>
        <w:t xml:space="preserve"> i cili gjen zbatim në respektim të nenit </w:t>
      </w:r>
      <w:r w:rsidR="0004561F">
        <w:rPr>
          <w:rFonts w:ascii="Garamond" w:eastAsia="Calibri" w:hAnsi="Garamond"/>
          <w:color w:val="171717"/>
        </w:rPr>
        <w:t xml:space="preserve">1/2 </w:t>
      </w:r>
      <w:r w:rsidRPr="0011219A">
        <w:rPr>
          <w:rFonts w:ascii="Garamond" w:eastAsia="Calibri" w:hAnsi="Garamond"/>
          <w:color w:val="171717"/>
        </w:rPr>
        <w:t xml:space="preserve">të ligjit nr. 49/2012. Përkatësisht në këtë nen parashikohet: “c) gjykata konstaton se çështja nuk hyn në </w:t>
      </w:r>
      <w:r w:rsidRPr="0011219A">
        <w:rPr>
          <w:rFonts w:ascii="Garamond" w:eastAsia="Calibri" w:hAnsi="Garamond"/>
          <w:color w:val="171717"/>
        </w:rPr>
        <w:lastRenderedPageBreak/>
        <w:t>juridiksionin gjyqësor, si edhe kur padia nuk mund të ngrihet ose gjykimi nuk mund të vazhdonte. Kur këto shkaqe konstatohen nga gjykatat m</w:t>
      </w:r>
      <w:r w:rsidR="003D79C0">
        <w:rPr>
          <w:rFonts w:ascii="Garamond" w:eastAsia="Calibri" w:hAnsi="Garamond"/>
          <w:color w:val="171717"/>
        </w:rPr>
        <w:t>ë</w:t>
      </w:r>
      <w:r w:rsidRPr="0011219A">
        <w:rPr>
          <w:rFonts w:ascii="Garamond" w:eastAsia="Calibri" w:hAnsi="Garamond"/>
          <w:color w:val="171717"/>
        </w:rPr>
        <w:t xml:space="preserve"> të larta, ato prishin vendimin e gjykatave m</w:t>
      </w:r>
      <w:r w:rsidR="003D79C0">
        <w:rPr>
          <w:rFonts w:ascii="Garamond" w:eastAsia="Calibri" w:hAnsi="Garamond"/>
          <w:color w:val="171717"/>
        </w:rPr>
        <w:t>ë</w:t>
      </w:r>
      <w:r w:rsidRPr="0011219A">
        <w:rPr>
          <w:rFonts w:ascii="Garamond" w:eastAsia="Calibri" w:hAnsi="Garamond"/>
          <w:color w:val="171717"/>
        </w:rPr>
        <w:t xml:space="preserve"> të ulëta dhe vendosin pushimin e gjykimit”. Në respektim të kësaj dispozite gjykata </w:t>
      </w:r>
      <w:proofErr w:type="spellStart"/>
      <w:r w:rsidRPr="0011219A">
        <w:rPr>
          <w:rFonts w:ascii="Garamond" w:eastAsia="Calibri" w:hAnsi="Garamond"/>
          <w:color w:val="171717"/>
        </w:rPr>
        <w:t>konkludon</w:t>
      </w:r>
      <w:proofErr w:type="spellEnd"/>
      <w:r w:rsidRPr="0011219A">
        <w:rPr>
          <w:rFonts w:ascii="Garamond" w:eastAsia="Calibri" w:hAnsi="Garamond"/>
          <w:color w:val="171717"/>
        </w:rPr>
        <w:t xml:space="preserve"> se gjykimi i mëtejshëm i kësaj çështjeje nuk mund të vijojë edhe pse pala paditëse nuk hoqi dorë nga gjykimi. Pasi pala paditëse në këtë gjykim</w:t>
      </w:r>
      <w:r w:rsidR="007C4A23">
        <w:rPr>
          <w:rFonts w:ascii="Garamond" w:eastAsia="Calibri" w:hAnsi="Garamond"/>
          <w:color w:val="171717"/>
        </w:rPr>
        <w:t>,</w:t>
      </w:r>
      <w:r w:rsidRPr="0011219A">
        <w:rPr>
          <w:rFonts w:ascii="Garamond" w:eastAsia="Calibri" w:hAnsi="Garamond"/>
          <w:color w:val="171717"/>
        </w:rPr>
        <w:t xml:space="preserve"> për shkak të ligjit nr. 20/2020</w:t>
      </w:r>
      <w:r w:rsidR="007C4A23">
        <w:rPr>
          <w:rFonts w:ascii="Garamond" w:eastAsia="Calibri" w:hAnsi="Garamond"/>
          <w:color w:val="171717"/>
        </w:rPr>
        <w:t>,</w:t>
      </w:r>
      <w:r w:rsidRPr="0011219A">
        <w:rPr>
          <w:rFonts w:ascii="Garamond" w:eastAsia="Calibri" w:hAnsi="Garamond"/>
          <w:color w:val="171717"/>
        </w:rPr>
        <w:t xml:space="preserve"> duhe</w:t>
      </w:r>
      <w:r w:rsidR="007C4A23">
        <w:rPr>
          <w:rFonts w:ascii="Garamond" w:eastAsia="Calibri" w:hAnsi="Garamond"/>
          <w:color w:val="171717"/>
        </w:rPr>
        <w:t>j</w:t>
      </w:r>
      <w:r w:rsidRPr="0011219A">
        <w:rPr>
          <w:rFonts w:ascii="Garamond" w:eastAsia="Calibri" w:hAnsi="Garamond"/>
          <w:color w:val="171717"/>
        </w:rPr>
        <w:t xml:space="preserve"> të hiqte dorë nga gjykimi. Ky detyrim është i ardhur drejtpërdrejt mbi palën paditëse nga ligji. Në çdo rast mbahet parasysh se palë paditëse ka qenë dhe është për shkak të ligjit një organ publik</w:t>
      </w:r>
      <w:r w:rsidR="007C4A23">
        <w:rPr>
          <w:rFonts w:ascii="Garamond" w:eastAsia="Calibri" w:hAnsi="Garamond"/>
          <w:color w:val="171717"/>
        </w:rPr>
        <w:t>,</w:t>
      </w:r>
      <w:r w:rsidRPr="0011219A">
        <w:rPr>
          <w:rFonts w:ascii="Garamond" w:eastAsia="Calibri" w:hAnsi="Garamond"/>
          <w:color w:val="171717"/>
        </w:rPr>
        <w:t xml:space="preserve"> i cili në çdo rast duhet të ngrejë një padi</w:t>
      </w:r>
      <w:r w:rsidR="007C4A23">
        <w:rPr>
          <w:rFonts w:ascii="Garamond" w:eastAsia="Calibri" w:hAnsi="Garamond"/>
          <w:color w:val="171717"/>
        </w:rPr>
        <w:t>,</w:t>
      </w:r>
      <w:r w:rsidRPr="0011219A">
        <w:rPr>
          <w:rFonts w:ascii="Garamond" w:eastAsia="Calibri" w:hAnsi="Garamond"/>
          <w:color w:val="171717"/>
        </w:rPr>
        <w:t xml:space="preserve"> e cila të identifikojë një interes të ligjshëm për ngritjen apo gjykimin e mëtejshëm të saj. Nuk ka asnjë </w:t>
      </w:r>
      <w:proofErr w:type="spellStart"/>
      <w:r w:rsidRPr="0011219A">
        <w:rPr>
          <w:rFonts w:ascii="Garamond" w:eastAsia="Calibri" w:hAnsi="Garamond"/>
          <w:color w:val="171717"/>
        </w:rPr>
        <w:t>sens</w:t>
      </w:r>
      <w:proofErr w:type="spellEnd"/>
      <w:r w:rsidRPr="0011219A">
        <w:rPr>
          <w:rFonts w:ascii="Garamond" w:eastAsia="Calibri" w:hAnsi="Garamond"/>
          <w:color w:val="171717"/>
        </w:rPr>
        <w:t xml:space="preserve"> juridik që një organ publik që udhëhiqet në veprimtarinë e tij publike nga parimi i ligjshmërisë të </w:t>
      </w:r>
      <w:proofErr w:type="spellStart"/>
      <w:r w:rsidRPr="0011219A">
        <w:rPr>
          <w:rFonts w:ascii="Garamond" w:eastAsia="Calibri" w:hAnsi="Garamond"/>
          <w:color w:val="171717"/>
        </w:rPr>
        <w:t>prezumohet</w:t>
      </w:r>
      <w:proofErr w:type="spellEnd"/>
      <w:r w:rsidRPr="0011219A">
        <w:rPr>
          <w:rFonts w:ascii="Garamond" w:eastAsia="Calibri" w:hAnsi="Garamond"/>
          <w:color w:val="171717"/>
        </w:rPr>
        <w:t xml:space="preserve"> se ka një interes të ligjshëm</w:t>
      </w:r>
      <w:r w:rsidR="007C4A23">
        <w:rPr>
          <w:rFonts w:ascii="Garamond" w:eastAsia="Calibri" w:hAnsi="Garamond"/>
          <w:color w:val="171717"/>
        </w:rPr>
        <w:t>,</w:t>
      </w:r>
      <w:r w:rsidRPr="0011219A">
        <w:rPr>
          <w:rFonts w:ascii="Garamond" w:eastAsia="Calibri" w:hAnsi="Garamond"/>
          <w:color w:val="171717"/>
        </w:rPr>
        <w:t xml:space="preserve"> kur ky interes </w:t>
      </w:r>
      <w:r w:rsidRPr="0011219A">
        <w:rPr>
          <w:rFonts w:ascii="Garamond" w:eastAsia="Calibri" w:hAnsi="Garamond"/>
          <w:color w:val="000000"/>
        </w:rPr>
        <w:t xml:space="preserve">hiqet tashmë me një dispozitë ligjore. </w:t>
      </w:r>
      <w:r w:rsidRPr="0011219A">
        <w:rPr>
          <w:rFonts w:ascii="Garamond" w:eastAsia="Calibri" w:hAnsi="Garamond"/>
          <w:color w:val="171717"/>
        </w:rPr>
        <w:t xml:space="preserve">Kjo çështje tashmë pikërisht në zbatim të ligjit nr. 20/2020 nuk mbart më një interes të ligjshëm aktual prezent për vijimin e gjykimit të saj. Vetë ligji nr. 20/2020 ndërpret interesin e ligjshëm të palës paditëse ASHK përkundrejt kësaj çështjeje. </w:t>
      </w:r>
    </w:p>
    <w:p w14:paraId="125BB784" w14:textId="3183CE45"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9.6. Fakti që ASHK</w:t>
      </w:r>
      <w:r w:rsidR="007C4A23">
        <w:rPr>
          <w:rFonts w:ascii="Garamond" w:eastAsia="Calibri" w:hAnsi="Garamond"/>
          <w:color w:val="171717"/>
        </w:rPr>
        <w:t>-ja</w:t>
      </w:r>
      <w:r w:rsidRPr="0011219A">
        <w:rPr>
          <w:rFonts w:ascii="Garamond" w:eastAsia="Calibri" w:hAnsi="Garamond"/>
          <w:color w:val="171717"/>
        </w:rPr>
        <w:t xml:space="preserve"> nuk ka hequr dorë nga padia nuk mund të sjellë zbatim të pabarabartë të </w:t>
      </w:r>
      <w:proofErr w:type="spellStart"/>
      <w:r w:rsidRPr="0011219A">
        <w:rPr>
          <w:rFonts w:ascii="Garamond" w:eastAsia="Calibri" w:hAnsi="Garamond"/>
          <w:color w:val="171717"/>
        </w:rPr>
        <w:t>të</w:t>
      </w:r>
      <w:proofErr w:type="spellEnd"/>
      <w:r w:rsidRPr="0011219A">
        <w:rPr>
          <w:rFonts w:ascii="Garamond" w:eastAsia="Calibri" w:hAnsi="Garamond"/>
          <w:color w:val="171717"/>
        </w:rPr>
        <w:t xml:space="preserve"> njëjtit kuadër ligjor në raste të ngjashme. Heqja dorë nga gjykimi, në këtë çështje, nuk është çështje </w:t>
      </w:r>
      <w:proofErr w:type="spellStart"/>
      <w:r w:rsidRPr="0011219A">
        <w:rPr>
          <w:rFonts w:ascii="Garamond" w:eastAsia="Calibri" w:hAnsi="Garamond"/>
          <w:color w:val="171717"/>
        </w:rPr>
        <w:t>diskrecioni</w:t>
      </w:r>
      <w:proofErr w:type="spellEnd"/>
      <w:r w:rsidRPr="0011219A">
        <w:rPr>
          <w:rFonts w:ascii="Garamond" w:eastAsia="Calibri" w:hAnsi="Garamond"/>
          <w:color w:val="171717"/>
        </w:rPr>
        <w:t xml:space="preserve"> </w:t>
      </w:r>
      <w:r w:rsidR="00A66667">
        <w:rPr>
          <w:rFonts w:ascii="Garamond" w:eastAsia="Calibri" w:hAnsi="Garamond"/>
          <w:color w:val="171717"/>
        </w:rPr>
        <w:t>e</w:t>
      </w:r>
      <w:r w:rsidRPr="0011219A">
        <w:rPr>
          <w:rFonts w:ascii="Garamond" w:eastAsia="Calibri" w:hAnsi="Garamond"/>
          <w:color w:val="171717"/>
        </w:rPr>
        <w:t xml:space="preserve"> palës paditëse</w:t>
      </w:r>
      <w:r w:rsidR="00A66667">
        <w:rPr>
          <w:rFonts w:ascii="Garamond" w:eastAsia="Calibri" w:hAnsi="Garamond"/>
          <w:color w:val="171717"/>
        </w:rPr>
        <w:t>,</w:t>
      </w:r>
      <w:r w:rsidRPr="0011219A">
        <w:rPr>
          <w:rFonts w:ascii="Garamond" w:eastAsia="Calibri" w:hAnsi="Garamond"/>
          <w:color w:val="171717"/>
        </w:rPr>
        <w:t xml:space="preserve"> në kuptim të nenit 39 të ligjit nr. 49/2012, por detyrim ligjor. Interesi i ligjshëm i një organi publik buron vetëm nga ligji; ekzistenca dhe kufijtë e këtij interesi përcaktohen ekskluzivisht prej tij. Kur vetë ligji parashikon se ASHK</w:t>
      </w:r>
      <w:r w:rsidR="00A66667">
        <w:rPr>
          <w:rFonts w:ascii="Garamond" w:eastAsia="Calibri" w:hAnsi="Garamond"/>
          <w:color w:val="171717"/>
        </w:rPr>
        <w:t>-ja</w:t>
      </w:r>
      <w:r w:rsidRPr="0011219A">
        <w:rPr>
          <w:rFonts w:ascii="Garamond" w:eastAsia="Calibri" w:hAnsi="Garamond"/>
          <w:color w:val="171717"/>
        </w:rPr>
        <w:t xml:space="preserve"> duhet të heqë dorë, kjo vjen sepse ligji i ka hequr kësaj pale interesin e ligjshëm aktual për vijimin e gjykimit. Kjo gjendje e re juridike, e pavarur nga vullneti i palëve, prodhon të njëjtin efekt: procesi nuk mund të vazhdojë për shkak të ligjit. Aktualisht, pala paditëse nuk ka më lidhje juridike të vlefshme me padinë objekt gjykimi dhe, si pasojë, përmes këtij procesi nuk mund të realizohet asnjë interes i ligjshëm e as të krijohet një situatë juridike me bazë ligjore. Ligji nr. 20/2020 e ndërpret këtë lidhje dhe, për më tepër, e detyron ASHK</w:t>
      </w:r>
      <w:r w:rsidR="0020003B">
        <w:rPr>
          <w:rFonts w:ascii="Garamond" w:eastAsia="Calibri" w:hAnsi="Garamond"/>
          <w:color w:val="171717"/>
        </w:rPr>
        <w:t xml:space="preserve">-në </w:t>
      </w:r>
      <w:r w:rsidRPr="0011219A">
        <w:rPr>
          <w:rFonts w:ascii="Garamond" w:eastAsia="Calibri" w:hAnsi="Garamond"/>
          <w:color w:val="171717"/>
        </w:rPr>
        <w:t>të heqë dorë nga gjykimi në fazën ku ndodhet çështja.</w:t>
      </w:r>
    </w:p>
    <w:p w14:paraId="639C09FC" w14:textId="25ECA965"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color w:val="171717"/>
        </w:rPr>
        <w:t xml:space="preserve">9.7. Në përfundim, duke zbatuar nenin 299 të </w:t>
      </w:r>
      <w:proofErr w:type="spellStart"/>
      <w:r w:rsidRPr="0011219A">
        <w:rPr>
          <w:rFonts w:ascii="Garamond" w:eastAsia="Calibri" w:hAnsi="Garamond"/>
          <w:color w:val="171717"/>
        </w:rPr>
        <w:t>KPC</w:t>
      </w:r>
      <w:proofErr w:type="spellEnd"/>
      <w:r w:rsidR="0020003B">
        <w:rPr>
          <w:rFonts w:ascii="Garamond" w:eastAsia="Calibri" w:hAnsi="Garamond"/>
          <w:color w:val="171717"/>
        </w:rPr>
        <w:t>-së</w:t>
      </w:r>
      <w:r w:rsidRPr="0011219A">
        <w:rPr>
          <w:rFonts w:ascii="Garamond" w:eastAsia="Calibri" w:hAnsi="Garamond"/>
          <w:color w:val="171717"/>
        </w:rPr>
        <w:t xml:space="preserve">, kjo </w:t>
      </w:r>
      <w:r w:rsidR="0020003B" w:rsidRPr="0011219A">
        <w:rPr>
          <w:rFonts w:ascii="Garamond" w:eastAsia="Calibri" w:hAnsi="Garamond"/>
          <w:color w:val="171717"/>
        </w:rPr>
        <w:t>gjykatë</w:t>
      </w:r>
      <w:r w:rsidRPr="0011219A">
        <w:rPr>
          <w:rFonts w:ascii="Garamond" w:eastAsia="Calibri" w:hAnsi="Garamond"/>
          <w:color w:val="171717"/>
        </w:rPr>
        <w:t xml:space="preserve"> ka çmuar se gjykimi i çështjes duhet </w:t>
      </w:r>
      <w:r w:rsidRPr="0011219A">
        <w:rPr>
          <w:rFonts w:ascii="Garamond" w:eastAsia="Calibri" w:hAnsi="Garamond"/>
          <w:b/>
          <w:bCs/>
          <w:color w:val="171717"/>
        </w:rPr>
        <w:t>të pushohet</w:t>
      </w:r>
      <w:r w:rsidRPr="0011219A">
        <w:rPr>
          <w:rFonts w:ascii="Garamond" w:eastAsia="Calibri" w:hAnsi="Garamond"/>
          <w:color w:val="171717"/>
        </w:rPr>
        <w:t>. Për rrjedhojë, vendimi i Gjykatës Administrative të Shkallës së Parë Tiranë nr.</w:t>
      </w:r>
      <w:r w:rsidR="0020003B">
        <w:rPr>
          <w:rFonts w:ascii="Garamond" w:eastAsia="Calibri" w:hAnsi="Garamond"/>
          <w:color w:val="171717"/>
        </w:rPr>
        <w:t xml:space="preserve"> </w:t>
      </w:r>
      <w:r w:rsidRPr="0011219A">
        <w:rPr>
          <w:rFonts w:ascii="Garamond" w:eastAsia="Calibri" w:hAnsi="Garamond"/>
          <w:color w:val="171717"/>
        </w:rPr>
        <w:t xml:space="preserve">4687/2016 duhet </w:t>
      </w:r>
      <w:r w:rsidRPr="0011219A">
        <w:rPr>
          <w:rFonts w:ascii="Garamond" w:eastAsia="Calibri" w:hAnsi="Garamond"/>
          <w:b/>
          <w:bCs/>
          <w:color w:val="171717"/>
        </w:rPr>
        <w:t>të prishet</w:t>
      </w:r>
      <w:r w:rsidRPr="0011219A">
        <w:rPr>
          <w:rFonts w:ascii="Garamond" w:eastAsia="Calibri" w:hAnsi="Garamond"/>
          <w:color w:val="171717"/>
        </w:rPr>
        <w:t xml:space="preserve"> dhe çështja të mbyllet</w:t>
      </w:r>
      <w:r w:rsidR="0020003B">
        <w:rPr>
          <w:rFonts w:ascii="Garamond" w:eastAsia="Calibri" w:hAnsi="Garamond"/>
          <w:color w:val="171717"/>
        </w:rPr>
        <w:t>,</w:t>
      </w:r>
      <w:r w:rsidRPr="0011219A">
        <w:rPr>
          <w:rFonts w:ascii="Garamond" w:eastAsia="Calibri" w:hAnsi="Garamond"/>
          <w:color w:val="171717"/>
        </w:rPr>
        <w:t xml:space="preserve"> për shkak të humbjes së interesit të ligjshëm nga pala paditëse pas hyrjes në fuqi të ligjit nr. 20/2020.</w:t>
      </w:r>
    </w:p>
    <w:p w14:paraId="7437E9E0" w14:textId="53AB4AC7"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color w:val="171717"/>
        </w:rPr>
        <w:t xml:space="preserve">10. </w:t>
      </w:r>
      <w:r w:rsidRPr="0011219A">
        <w:rPr>
          <w:rFonts w:ascii="Garamond" w:eastAsia="Calibri" w:hAnsi="Garamond"/>
          <w:b/>
          <w:bCs/>
          <w:color w:val="171717"/>
        </w:rPr>
        <w:t xml:space="preserve">Kundër vendimit të Gjykatës Administrative të Apelit ka paraqitur </w:t>
      </w:r>
      <w:r w:rsidRPr="0011219A">
        <w:rPr>
          <w:rFonts w:ascii="Garamond" w:eastAsia="Calibri" w:hAnsi="Garamond"/>
          <w:b/>
          <w:bCs/>
          <w:i/>
          <w:iCs/>
          <w:color w:val="171717"/>
        </w:rPr>
        <w:t xml:space="preserve">rekurs të veçantë, </w:t>
      </w:r>
      <w:r w:rsidRPr="0011219A">
        <w:rPr>
          <w:rFonts w:ascii="Garamond" w:eastAsia="Calibri" w:hAnsi="Garamond"/>
          <w:b/>
          <w:bCs/>
          <w:color w:val="171717"/>
        </w:rPr>
        <w:t>Avokatura e Shtetit, më datë 1.11.2023.</w:t>
      </w:r>
      <w:r w:rsidRPr="0011219A">
        <w:rPr>
          <w:rFonts w:ascii="Garamond" w:eastAsia="Calibri" w:hAnsi="Garamond"/>
          <w:color w:val="171717"/>
        </w:rPr>
        <w:t xml:space="preserve"> Me anë të rekursit kërkohet ndryshimi i vendimit dhe pranimi i padisë, </w:t>
      </w:r>
      <w:r w:rsidRPr="0011219A">
        <w:rPr>
          <w:rFonts w:ascii="Garamond" w:eastAsia="Calibri" w:hAnsi="Garamond"/>
          <w:i/>
          <w:iCs/>
          <w:color w:val="171717"/>
        </w:rPr>
        <w:t>duke parashtruar si shkaqe, në mënyrë të përmbledhur:</w:t>
      </w:r>
    </w:p>
    <w:p w14:paraId="201434B5" w14:textId="6D60A3C9"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w:t>
      </w:r>
      <w:r w:rsidR="00066EC7" w:rsidRPr="0011219A">
        <w:rPr>
          <w:rFonts w:ascii="Garamond" w:eastAsia="Calibri" w:hAnsi="Garamond"/>
          <w:color w:val="171717"/>
        </w:rPr>
        <w:t xml:space="preserve"> </w:t>
      </w:r>
      <w:r w:rsidRPr="0011219A">
        <w:rPr>
          <w:rFonts w:ascii="Garamond" w:eastAsia="Calibri" w:hAnsi="Garamond"/>
          <w:color w:val="171717"/>
        </w:rPr>
        <w:t xml:space="preserve">Vendimi i Gjykatës Administrative të Apelit është dhënë në kundërshtim me ligjin. Kjo gjykatë ka gabuar si në zbatimin e normave të së drejtës materiale </w:t>
      </w:r>
      <w:r w:rsidRPr="00547285">
        <w:rPr>
          <w:rFonts w:ascii="Garamond" w:eastAsia="Calibri" w:hAnsi="Garamond"/>
          <w:i/>
          <w:iCs/>
          <w:color w:val="171717"/>
        </w:rPr>
        <w:t>(</w:t>
      </w:r>
      <w:proofErr w:type="spellStart"/>
      <w:r w:rsidRPr="00547285">
        <w:rPr>
          <w:rFonts w:ascii="Garamond" w:eastAsia="Calibri" w:hAnsi="Garamond"/>
          <w:i/>
          <w:iCs/>
          <w:color w:val="171717"/>
        </w:rPr>
        <w:t>errores</w:t>
      </w:r>
      <w:proofErr w:type="spellEnd"/>
      <w:r w:rsidRPr="00547285">
        <w:rPr>
          <w:rFonts w:ascii="Garamond" w:eastAsia="Calibri" w:hAnsi="Garamond"/>
          <w:i/>
          <w:iCs/>
          <w:color w:val="171717"/>
        </w:rPr>
        <w:t xml:space="preserve"> in </w:t>
      </w:r>
      <w:proofErr w:type="spellStart"/>
      <w:r w:rsidRPr="00547285">
        <w:rPr>
          <w:rFonts w:ascii="Garamond" w:eastAsia="Calibri" w:hAnsi="Garamond"/>
          <w:i/>
          <w:iCs/>
          <w:color w:val="171717"/>
        </w:rPr>
        <w:t>iudicando</w:t>
      </w:r>
      <w:proofErr w:type="spellEnd"/>
      <w:r w:rsidRPr="00547285">
        <w:rPr>
          <w:rFonts w:ascii="Garamond" w:eastAsia="Calibri" w:hAnsi="Garamond"/>
          <w:i/>
          <w:iCs/>
          <w:color w:val="171717"/>
        </w:rPr>
        <w:t>)</w:t>
      </w:r>
      <w:r w:rsidR="00547285">
        <w:rPr>
          <w:rFonts w:ascii="Garamond" w:eastAsia="Calibri" w:hAnsi="Garamond"/>
          <w:i/>
          <w:iCs/>
          <w:color w:val="171717"/>
        </w:rPr>
        <w:t>,</w:t>
      </w:r>
      <w:r w:rsidRPr="0011219A">
        <w:rPr>
          <w:rFonts w:ascii="Garamond" w:eastAsia="Calibri" w:hAnsi="Garamond"/>
          <w:color w:val="171717"/>
        </w:rPr>
        <w:t xml:space="preserve"> ashtu edhe në zbatimin e normave të së drejtës procedurale </w:t>
      </w:r>
      <w:r w:rsidRPr="00547285">
        <w:rPr>
          <w:rFonts w:ascii="Garamond" w:eastAsia="Calibri" w:hAnsi="Garamond"/>
          <w:i/>
          <w:iCs/>
          <w:color w:val="171717"/>
        </w:rPr>
        <w:t>(</w:t>
      </w:r>
      <w:proofErr w:type="spellStart"/>
      <w:r w:rsidRPr="00547285">
        <w:rPr>
          <w:rFonts w:ascii="Garamond" w:eastAsia="Calibri" w:hAnsi="Garamond"/>
          <w:b/>
          <w:bCs/>
          <w:i/>
          <w:iCs/>
          <w:color w:val="171717"/>
        </w:rPr>
        <w:t>errores</w:t>
      </w:r>
      <w:proofErr w:type="spellEnd"/>
      <w:r w:rsidRPr="00547285">
        <w:rPr>
          <w:rFonts w:ascii="Garamond" w:eastAsia="Calibri" w:hAnsi="Garamond"/>
          <w:b/>
          <w:bCs/>
          <w:i/>
          <w:iCs/>
          <w:color w:val="171717"/>
        </w:rPr>
        <w:t xml:space="preserve"> in </w:t>
      </w:r>
      <w:proofErr w:type="spellStart"/>
      <w:r w:rsidRPr="00547285">
        <w:rPr>
          <w:rFonts w:ascii="Garamond" w:eastAsia="Calibri" w:hAnsi="Garamond"/>
          <w:b/>
          <w:bCs/>
          <w:i/>
          <w:iCs/>
          <w:color w:val="171717"/>
        </w:rPr>
        <w:t>procedendo</w:t>
      </w:r>
      <w:proofErr w:type="spellEnd"/>
      <w:r w:rsidRPr="00547285">
        <w:rPr>
          <w:rFonts w:ascii="Garamond" w:eastAsia="Calibri" w:hAnsi="Garamond"/>
          <w:i/>
          <w:iCs/>
          <w:color w:val="171717"/>
        </w:rPr>
        <w:t>).</w:t>
      </w:r>
      <w:r w:rsidRPr="0011219A">
        <w:rPr>
          <w:rFonts w:ascii="Garamond" w:eastAsia="Calibri" w:hAnsi="Garamond"/>
          <w:color w:val="171717"/>
        </w:rPr>
        <w:t xml:space="preserve"> Këto gabime, të cilat kanë karakter thelbësor, cenojnë parimin e ligjshmërisë dhe ndikojnë drejtpërdrejt në njësimin, sigurinë dhe zhvillimin e praktikës gjyqësore.</w:t>
      </w:r>
    </w:p>
    <w:p w14:paraId="4236C0D2" w14:textId="301049B0"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w:t>
      </w:r>
      <w:r w:rsidR="00066EC7" w:rsidRPr="0011219A">
        <w:rPr>
          <w:rFonts w:ascii="Garamond" w:eastAsia="Calibri" w:hAnsi="Garamond"/>
          <w:color w:val="171717"/>
        </w:rPr>
        <w:t xml:space="preserve"> </w:t>
      </w:r>
      <w:r w:rsidRPr="0011219A">
        <w:rPr>
          <w:rFonts w:ascii="Garamond" w:eastAsia="Calibri" w:hAnsi="Garamond"/>
          <w:color w:val="171717"/>
        </w:rPr>
        <w:t>Gjykata e Apelit Administrativ</w:t>
      </w:r>
      <w:r w:rsidR="0020003B">
        <w:rPr>
          <w:rFonts w:ascii="Garamond" w:eastAsia="Calibri" w:hAnsi="Garamond"/>
          <w:color w:val="171717"/>
        </w:rPr>
        <w:t>,</w:t>
      </w:r>
      <w:r w:rsidRPr="0011219A">
        <w:rPr>
          <w:rFonts w:ascii="Garamond" w:eastAsia="Calibri" w:hAnsi="Garamond"/>
          <w:color w:val="171717"/>
        </w:rPr>
        <w:t xml:space="preserve"> me vendimin e saj</w:t>
      </w:r>
      <w:r w:rsidR="0020003B">
        <w:rPr>
          <w:rFonts w:ascii="Garamond" w:eastAsia="Calibri" w:hAnsi="Garamond"/>
          <w:color w:val="171717"/>
        </w:rPr>
        <w:t>,</w:t>
      </w:r>
      <w:r w:rsidRPr="0011219A">
        <w:rPr>
          <w:rFonts w:ascii="Garamond" w:eastAsia="Calibri" w:hAnsi="Garamond"/>
          <w:color w:val="171717"/>
        </w:rPr>
        <w:t xml:space="preserve"> nuk ka marrë në shqyrtim të plotë dhe të argumentuar pretendimet e palës paditëse të parashtruara nëpërmjet mjetit procedural të ankimit. Ky qëndrim, lidhur me </w:t>
      </w:r>
      <w:proofErr w:type="spellStart"/>
      <w:r w:rsidRPr="0011219A">
        <w:rPr>
          <w:rFonts w:ascii="Garamond" w:eastAsia="Calibri" w:hAnsi="Garamond"/>
          <w:color w:val="171717"/>
        </w:rPr>
        <w:t>zbatueshmërinë</w:t>
      </w:r>
      <w:proofErr w:type="spellEnd"/>
      <w:r w:rsidRPr="0011219A">
        <w:rPr>
          <w:rFonts w:ascii="Garamond" w:eastAsia="Calibri" w:hAnsi="Garamond"/>
          <w:color w:val="171717"/>
        </w:rPr>
        <w:t xml:space="preserve"> e ligjit nr. 20/2020, nuk është i drejtë, pasi padia është paraqitur për gjykim në vitin 2016, në një kohë kur ky ligj ende nuk kishte hyrë në fuqi. Për më tepër, Gjykata Administrative e Shkallës së Parë Tiranë ka gjykuar dhe ka vendosur në përputhje me kuadrin ligjor që ishte në fuqi në momentin e paraqitjes së padisë.</w:t>
      </w:r>
    </w:p>
    <w:p w14:paraId="4990138D" w14:textId="7BE7A24E"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 Nga vendimi i Gjykatës Administrative të Apelit Tiranë rezulton se është mjaftuar vetëm me citimin e disa dispozitave të ligjit nr. 20/2020, konkretisht të neneve 7, 9 dhe 68 të tij, pa bërë një analizë të plotë të </w:t>
      </w:r>
      <w:proofErr w:type="spellStart"/>
      <w:r w:rsidRPr="0011219A">
        <w:rPr>
          <w:rFonts w:ascii="Garamond" w:eastAsia="Calibri" w:hAnsi="Garamond"/>
          <w:color w:val="171717"/>
        </w:rPr>
        <w:t>zbatueshmërisë</w:t>
      </w:r>
      <w:proofErr w:type="spellEnd"/>
      <w:r w:rsidRPr="0011219A">
        <w:rPr>
          <w:rFonts w:ascii="Garamond" w:eastAsia="Calibri" w:hAnsi="Garamond"/>
          <w:color w:val="171717"/>
        </w:rPr>
        <w:t xml:space="preserve"> së këtyre dispozitave në raport me kohën e paraqitjes së padisë dhe kuadrin ligjor në fuqi në atë periudhë.</w:t>
      </w:r>
      <w:r w:rsidR="00547285">
        <w:rPr>
          <w:rFonts w:ascii="Garamond" w:eastAsia="Calibri" w:hAnsi="Garamond"/>
          <w:color w:val="171717"/>
        </w:rPr>
        <w:t xml:space="preserve"> </w:t>
      </w:r>
      <w:r w:rsidRPr="0011219A">
        <w:rPr>
          <w:rFonts w:ascii="Garamond" w:eastAsia="Calibri" w:hAnsi="Garamond"/>
          <w:color w:val="171717"/>
        </w:rPr>
        <w:t>Në këtë kuptim, gjykata ka tejkaluar shkakun ligjor të padisë</w:t>
      </w:r>
      <w:r w:rsidR="0020003B">
        <w:rPr>
          <w:rFonts w:ascii="Garamond" w:eastAsia="Calibri" w:hAnsi="Garamond"/>
          <w:color w:val="171717"/>
        </w:rPr>
        <w:t>,</w:t>
      </w:r>
      <w:r w:rsidRPr="0011219A">
        <w:rPr>
          <w:rFonts w:ascii="Garamond" w:eastAsia="Calibri" w:hAnsi="Garamond"/>
          <w:color w:val="171717"/>
        </w:rPr>
        <w:t xml:space="preserve"> duke vepruar në kundërshtim me parimet e përcaktuara nga jurisprudenca njësuese e Gjykatës së Lartë. </w:t>
      </w:r>
    </w:p>
    <w:p w14:paraId="374AEB34" w14:textId="77CF6D97"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Me hyrjen në fuqi të ligjit nr. 20/2020</w:t>
      </w:r>
      <w:r w:rsidR="007103FA">
        <w:rPr>
          <w:rFonts w:ascii="Garamond" w:eastAsia="Calibri" w:hAnsi="Garamond"/>
          <w:color w:val="171717"/>
        </w:rPr>
        <w:t>,</w:t>
      </w:r>
      <w:r w:rsidRPr="0011219A">
        <w:rPr>
          <w:rFonts w:ascii="Garamond" w:eastAsia="Calibri" w:hAnsi="Garamond"/>
          <w:color w:val="171717"/>
        </w:rPr>
        <w:t xml:space="preserve"> “Për përfundimin e proceseve kalimtare të pronësisë në Republikën e Shqipërisë”, është shfuqizuar ligji nr. 9948, datë 7.7.2008</w:t>
      </w:r>
      <w:r w:rsidR="007103FA">
        <w:rPr>
          <w:rFonts w:ascii="Garamond" w:eastAsia="Calibri" w:hAnsi="Garamond"/>
          <w:color w:val="171717"/>
        </w:rPr>
        <w:t>,</w:t>
      </w:r>
      <w:r w:rsidRPr="0011219A">
        <w:rPr>
          <w:rFonts w:ascii="Garamond" w:eastAsia="Calibri" w:hAnsi="Garamond"/>
          <w:color w:val="171717"/>
        </w:rPr>
        <w:t xml:space="preserve"> i ndryshuar, i cili rregullonte veprimtarinë e komisioneve vendore për vlerësimin e titujve të pronësisë, nën varësi të prefektit. Si pasojë e këtij shfuqizimi, tagri dhe përgjegjësia për shqyrtimin e vlefshmërisë ligjore të </w:t>
      </w:r>
      <w:r w:rsidRPr="0011219A">
        <w:rPr>
          <w:rFonts w:ascii="Garamond" w:eastAsia="Calibri" w:hAnsi="Garamond"/>
          <w:color w:val="171717"/>
        </w:rPr>
        <w:lastRenderedPageBreak/>
        <w:t>titujve të pronësisë nuk i takojnë më institucionit të prefektit. Në përputhje me përcaktimet e ligjit nr. 20/2020, organi kompetent për zbatimin e këtij ligji është Agjencia Shtetërore e Kadastrës, së bashku me drejtoritë e saj rajonale dhe vendore.</w:t>
      </w:r>
    </w:p>
    <w:p w14:paraId="502E01B5" w14:textId="561D5958"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Neni 5, pika 22 e ligjit citon</w:t>
      </w:r>
      <w:r w:rsidR="0020003B">
        <w:rPr>
          <w:rFonts w:ascii="Garamond" w:eastAsia="Calibri" w:hAnsi="Garamond"/>
          <w:color w:val="171717"/>
        </w:rPr>
        <w:t>:</w:t>
      </w:r>
      <w:r w:rsidRPr="0011219A">
        <w:rPr>
          <w:rFonts w:ascii="Garamond" w:eastAsia="Calibri" w:hAnsi="Garamond"/>
          <w:color w:val="171717"/>
        </w:rPr>
        <w:t xml:space="preserve"> “Agjencia Shtetërore e Kadastrës është autoriteti publik përgjegjës për zbatimin e këtij ligji dhe për koordinimin e proceseve në bashkëpunim me institucionet dhe organet e tjera qendrore shtetërore, njësitë e vetëqeverisjes vendore</w:t>
      </w:r>
      <w:r w:rsidR="0020003B">
        <w:rPr>
          <w:rFonts w:ascii="Garamond" w:eastAsia="Calibri" w:hAnsi="Garamond"/>
          <w:color w:val="171717"/>
        </w:rPr>
        <w:t>,</w:t>
      </w:r>
      <w:r w:rsidRPr="0011219A">
        <w:rPr>
          <w:rFonts w:ascii="Garamond" w:eastAsia="Calibri" w:hAnsi="Garamond"/>
          <w:color w:val="171717"/>
        </w:rPr>
        <w:t xml:space="preserve"> apo nëpërmjet strukturave në përbërje të saj, me qëllim përfundimin e proceseve kalimtare t</w:t>
      </w:r>
      <w:r w:rsidR="004D4F9D">
        <w:rPr>
          <w:rFonts w:ascii="Garamond" w:eastAsia="Calibri" w:hAnsi="Garamond"/>
          <w:color w:val="171717"/>
        </w:rPr>
        <w:t xml:space="preserve">ë </w:t>
      </w:r>
      <w:r w:rsidRPr="0011219A">
        <w:rPr>
          <w:rFonts w:ascii="Garamond" w:eastAsia="Calibri" w:hAnsi="Garamond"/>
          <w:color w:val="171717"/>
        </w:rPr>
        <w:t>pronësisë në Republikën e Shqipërisë.” (</w:t>
      </w:r>
      <w:r w:rsidR="0020003B" w:rsidRPr="0011219A">
        <w:rPr>
          <w:rFonts w:ascii="Garamond" w:eastAsia="Calibri" w:hAnsi="Garamond"/>
          <w:color w:val="171717"/>
        </w:rPr>
        <w:t xml:space="preserve">Neni </w:t>
      </w:r>
      <w:r w:rsidRPr="0011219A">
        <w:rPr>
          <w:rFonts w:ascii="Garamond" w:eastAsia="Calibri" w:hAnsi="Garamond"/>
          <w:color w:val="171717"/>
        </w:rPr>
        <w:t>5, pika 2 të ligjit nr.</w:t>
      </w:r>
      <w:r w:rsidR="0020003B">
        <w:rPr>
          <w:rFonts w:ascii="Garamond" w:eastAsia="Calibri" w:hAnsi="Garamond"/>
          <w:color w:val="171717"/>
        </w:rPr>
        <w:t xml:space="preserve"> </w:t>
      </w:r>
      <w:r w:rsidRPr="0011219A">
        <w:rPr>
          <w:rFonts w:ascii="Garamond" w:eastAsia="Calibri" w:hAnsi="Garamond"/>
          <w:color w:val="171717"/>
        </w:rPr>
        <w:t>20/2020</w:t>
      </w:r>
      <w:r w:rsidR="0020003B">
        <w:rPr>
          <w:rFonts w:ascii="Garamond" w:eastAsia="Calibri" w:hAnsi="Garamond"/>
          <w:color w:val="171717"/>
        </w:rPr>
        <w:t>.</w:t>
      </w:r>
      <w:r w:rsidRPr="0011219A">
        <w:rPr>
          <w:rFonts w:ascii="Garamond" w:eastAsia="Calibri" w:hAnsi="Garamond"/>
          <w:color w:val="171717"/>
        </w:rPr>
        <w:t xml:space="preserve">) Në zbatim të këtij parashikimi ligjor, Gjykata Administrative e Apelit në respektim të nenit 199/2 të </w:t>
      </w:r>
      <w:proofErr w:type="spellStart"/>
      <w:r w:rsidRPr="0011219A">
        <w:rPr>
          <w:rFonts w:ascii="Garamond" w:eastAsia="Calibri" w:hAnsi="Garamond"/>
          <w:color w:val="171717"/>
        </w:rPr>
        <w:t>KPC</w:t>
      </w:r>
      <w:proofErr w:type="spellEnd"/>
      <w:r w:rsidR="0020003B">
        <w:rPr>
          <w:rFonts w:ascii="Garamond" w:eastAsia="Calibri" w:hAnsi="Garamond"/>
          <w:color w:val="171717"/>
        </w:rPr>
        <w:t>-së</w:t>
      </w:r>
      <w:r w:rsidRPr="0011219A">
        <w:rPr>
          <w:rFonts w:ascii="Garamond" w:eastAsia="Calibri" w:hAnsi="Garamond"/>
          <w:color w:val="171717"/>
        </w:rPr>
        <w:t xml:space="preserve">, ka kryer kalimin procedural të palës paditëse nga </w:t>
      </w:r>
      <w:r w:rsidR="00D54BEB" w:rsidRPr="0011219A">
        <w:rPr>
          <w:rFonts w:ascii="Garamond" w:eastAsia="Calibri" w:hAnsi="Garamond"/>
          <w:color w:val="171717"/>
        </w:rPr>
        <w:t xml:space="preserve">prefekti </w:t>
      </w:r>
      <w:r w:rsidRPr="0011219A">
        <w:rPr>
          <w:rFonts w:ascii="Garamond" w:eastAsia="Calibri" w:hAnsi="Garamond"/>
          <w:color w:val="171717"/>
        </w:rPr>
        <w:t>i Qarkut Tiranë te</w:t>
      </w:r>
      <w:r w:rsidR="004D4F9D">
        <w:rPr>
          <w:rFonts w:ascii="Garamond" w:eastAsia="Calibri" w:hAnsi="Garamond"/>
          <w:color w:val="171717"/>
        </w:rPr>
        <w:t>k</w:t>
      </w:r>
      <w:r w:rsidRPr="0011219A">
        <w:rPr>
          <w:rFonts w:ascii="Garamond" w:eastAsia="Calibri" w:hAnsi="Garamond"/>
          <w:color w:val="171717"/>
        </w:rPr>
        <w:t xml:space="preserve"> Agjencia Shtetërore e Kadastrës, Drejtoria Vendore Kavajë. Ky akt është </w:t>
      </w:r>
      <w:proofErr w:type="spellStart"/>
      <w:r w:rsidRPr="0011219A">
        <w:rPr>
          <w:rFonts w:ascii="Garamond" w:eastAsia="Calibri" w:hAnsi="Garamond"/>
          <w:color w:val="171717"/>
        </w:rPr>
        <w:t>formalizuar</w:t>
      </w:r>
      <w:proofErr w:type="spellEnd"/>
      <w:r w:rsidRPr="0011219A">
        <w:rPr>
          <w:rFonts w:ascii="Garamond" w:eastAsia="Calibri" w:hAnsi="Garamond"/>
          <w:color w:val="171717"/>
        </w:rPr>
        <w:t xml:space="preserve"> dhe i është komunikuar palëve nga gjykata.</w:t>
      </w:r>
    </w:p>
    <w:p w14:paraId="1004521A" w14:textId="583023A1"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Ligji nr.</w:t>
      </w:r>
      <w:r w:rsidR="00D54BEB">
        <w:rPr>
          <w:rFonts w:ascii="Garamond" w:eastAsia="Calibri" w:hAnsi="Garamond"/>
          <w:color w:val="171717"/>
        </w:rPr>
        <w:t xml:space="preserve"> </w:t>
      </w:r>
      <w:r w:rsidRPr="0011219A">
        <w:rPr>
          <w:rFonts w:ascii="Garamond" w:eastAsia="Calibri" w:hAnsi="Garamond"/>
          <w:color w:val="171717"/>
        </w:rPr>
        <w:t>20/2020 ka sjellë një rregullim të ri në lidhje me çështjet e pronësisë të fituar me aktet e marrjes së tokës në pronësi, duke ngarkuar Agjencinë Shtetërore të Kadastrës, si autoriteti publik përgjegjës për zbatimin e tij. Ky ligj parashikon shprehimisht</w:t>
      </w:r>
      <w:r w:rsidR="00D54BEB">
        <w:rPr>
          <w:rFonts w:ascii="Garamond" w:eastAsia="Calibri" w:hAnsi="Garamond"/>
          <w:color w:val="171717"/>
        </w:rPr>
        <w:t>,</w:t>
      </w:r>
      <w:r w:rsidRPr="0011219A">
        <w:rPr>
          <w:rFonts w:ascii="Garamond" w:eastAsia="Calibri" w:hAnsi="Garamond"/>
          <w:color w:val="171717"/>
        </w:rPr>
        <w:t xml:space="preserve"> se kompetenca e ASHK</w:t>
      </w:r>
      <w:r w:rsidR="00D54BEB">
        <w:rPr>
          <w:rFonts w:ascii="Garamond" w:eastAsia="Calibri" w:hAnsi="Garamond"/>
          <w:color w:val="171717"/>
        </w:rPr>
        <w:t>-së</w:t>
      </w:r>
      <w:r w:rsidRPr="0011219A">
        <w:rPr>
          <w:rFonts w:ascii="Garamond" w:eastAsia="Calibri" w:hAnsi="Garamond"/>
          <w:color w:val="171717"/>
        </w:rPr>
        <w:t xml:space="preserve"> shtrihen mbi kërkesat për regjistrimin e akteve të marrjes së tokës në pronësi, të vlerësimit të vendimeve të ish-</w:t>
      </w:r>
      <w:proofErr w:type="spellStart"/>
      <w:r w:rsidRPr="0011219A">
        <w:rPr>
          <w:rFonts w:ascii="Garamond" w:eastAsia="Calibri" w:hAnsi="Garamond"/>
          <w:color w:val="171717"/>
        </w:rPr>
        <w:t>KVVTP</w:t>
      </w:r>
      <w:proofErr w:type="spellEnd"/>
      <w:r w:rsidR="00713760">
        <w:rPr>
          <w:rFonts w:ascii="Garamond" w:eastAsia="Calibri" w:hAnsi="Garamond"/>
          <w:color w:val="171717"/>
        </w:rPr>
        <w:t>-së</w:t>
      </w:r>
      <w:r w:rsidRPr="0011219A">
        <w:rPr>
          <w:rFonts w:ascii="Garamond" w:eastAsia="Calibri" w:hAnsi="Garamond"/>
          <w:color w:val="171717"/>
        </w:rPr>
        <w:t xml:space="preserve"> për shfuqizimin plotësisht/pjesërisht të tyre, të procedurave për verifikimin e </w:t>
      </w:r>
      <w:proofErr w:type="spellStart"/>
      <w:r w:rsidRPr="0011219A">
        <w:rPr>
          <w:rFonts w:ascii="Garamond" w:eastAsia="Calibri" w:hAnsi="Garamond"/>
          <w:color w:val="171717"/>
        </w:rPr>
        <w:t>AMTP</w:t>
      </w:r>
      <w:proofErr w:type="spellEnd"/>
      <w:r w:rsidR="008C5ECB">
        <w:rPr>
          <w:rFonts w:ascii="Garamond" w:eastAsia="Calibri" w:hAnsi="Garamond"/>
          <w:color w:val="171717"/>
        </w:rPr>
        <w:t>-së</w:t>
      </w:r>
      <w:r w:rsidRPr="0011219A">
        <w:rPr>
          <w:rFonts w:ascii="Garamond" w:eastAsia="Calibri" w:hAnsi="Garamond"/>
          <w:color w:val="171717"/>
        </w:rPr>
        <w:t xml:space="preserve"> të paregjistruara dhe regjistrimit të tyre në regjistrin publik të pasurive të paluajtshme. Këto rregullime janë vendosur me qëllim arritjen e objektivit të ligjit 20/20</w:t>
      </w:r>
      <w:r w:rsidR="008C5ECB">
        <w:rPr>
          <w:rFonts w:ascii="Garamond" w:eastAsia="Calibri" w:hAnsi="Garamond"/>
          <w:color w:val="171717"/>
        </w:rPr>
        <w:t>,</w:t>
      </w:r>
      <w:r w:rsidRPr="0011219A">
        <w:rPr>
          <w:rFonts w:ascii="Garamond" w:eastAsia="Calibri" w:hAnsi="Garamond"/>
          <w:color w:val="171717"/>
        </w:rPr>
        <w:t xml:space="preserve"> që konsiston në krijimin e një baze ligjore të harmonizuar për përfundimin e proceseve kalimtare administrativo-ligjore të trajtimit të pronës së paluajtshme të shtetit dhe pronës private, duke përcaktuar ndër të tjera normat për regjistrimin e titujve të pronësisë, të dhënë sipas akteve ligjore e nënligjore për pronësinë mbi tokën bujqësore, të miratuara përpara hyrjes në fuqi të këtij ligji, përfundimin e procesit të inventarizimit të pronave të paluajtshme të shtetit, trajtimin e problemeve në lidhje me mbivendosjet e titujve mbi pasurinë e paluajtshme etj.</w:t>
      </w:r>
    </w:p>
    <w:p w14:paraId="10CE5EA7" w14:textId="0A5F6602"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Gjykimi Administrativ</w:t>
      </w:r>
      <w:r w:rsidR="008C5ECB">
        <w:rPr>
          <w:rFonts w:ascii="Garamond" w:eastAsia="Calibri" w:hAnsi="Garamond"/>
          <w:color w:val="171717"/>
        </w:rPr>
        <w:t xml:space="preserve"> </w:t>
      </w:r>
      <w:r w:rsidRPr="0011219A">
        <w:rPr>
          <w:rFonts w:ascii="Garamond" w:eastAsia="Calibri" w:hAnsi="Garamond"/>
          <w:color w:val="171717"/>
        </w:rPr>
        <w:t>kryhet në respektim të nenit 17, pika 2</w:t>
      </w:r>
      <w:r w:rsidR="009E19E3">
        <w:rPr>
          <w:rFonts w:ascii="Garamond" w:eastAsia="Calibri" w:hAnsi="Garamond"/>
          <w:color w:val="171717"/>
        </w:rPr>
        <w:t>,</w:t>
      </w:r>
      <w:r w:rsidRPr="0011219A">
        <w:rPr>
          <w:rFonts w:ascii="Garamond" w:eastAsia="Calibri" w:hAnsi="Garamond"/>
          <w:color w:val="171717"/>
        </w:rPr>
        <w:t xml:space="preserve"> e ligjit nr.</w:t>
      </w:r>
      <w:r w:rsidR="009E19E3">
        <w:rPr>
          <w:rFonts w:ascii="Garamond" w:eastAsia="Calibri" w:hAnsi="Garamond"/>
          <w:color w:val="171717"/>
        </w:rPr>
        <w:t xml:space="preserve"> </w:t>
      </w:r>
      <w:r w:rsidRPr="0011219A">
        <w:rPr>
          <w:rFonts w:ascii="Garamond" w:eastAsia="Calibri" w:hAnsi="Garamond"/>
          <w:color w:val="171717"/>
        </w:rPr>
        <w:t>49/2012, cili përcakton</w:t>
      </w:r>
      <w:r w:rsidR="009E19E3">
        <w:rPr>
          <w:rFonts w:ascii="Garamond" w:eastAsia="Calibri" w:hAnsi="Garamond"/>
          <w:color w:val="171717"/>
        </w:rPr>
        <w:t>,</w:t>
      </w:r>
      <w:r w:rsidRPr="0011219A">
        <w:rPr>
          <w:rFonts w:ascii="Garamond" w:eastAsia="Calibri" w:hAnsi="Garamond"/>
          <w:color w:val="171717"/>
        </w:rPr>
        <w:t xml:space="preserve"> se</w:t>
      </w:r>
      <w:r w:rsidR="009E19E3">
        <w:rPr>
          <w:rFonts w:ascii="Garamond" w:eastAsia="Calibri" w:hAnsi="Garamond"/>
          <w:color w:val="171717"/>
        </w:rPr>
        <w:t>:</w:t>
      </w:r>
      <w:r w:rsidRPr="0011219A">
        <w:rPr>
          <w:rFonts w:ascii="Garamond" w:eastAsia="Calibri" w:hAnsi="Garamond"/>
          <w:color w:val="171717"/>
        </w:rPr>
        <w:t xml:space="preserve"> “Gjykata zgjidh mosmarrëveshjet në përputhje me dispozitat ligjore dhe normat e tjera në fuqi, që janë të detyrueshme. Ajo bën një cilësim të saktë të fakteve dhe veprimeve që lidhen me mosmarrëveshjen pa u lidhur me përcaktimin që mund të propozojnë palët. Dhe nenin 37/1</w:t>
      </w:r>
      <w:r w:rsidR="009E19E3">
        <w:rPr>
          <w:rFonts w:ascii="Garamond" w:eastAsia="Calibri" w:hAnsi="Garamond"/>
          <w:color w:val="171717"/>
        </w:rPr>
        <w:t>,</w:t>
      </w:r>
      <w:r w:rsidRPr="0011219A">
        <w:rPr>
          <w:rFonts w:ascii="Garamond" w:eastAsia="Calibri" w:hAnsi="Garamond"/>
          <w:color w:val="171717"/>
        </w:rPr>
        <w:t xml:space="preserve"> i cili përcakton: “Gjykata shqyrton ligjshmërinë e veprimit administrativ që kundërshtohet, në bazë të provave të paraqitura nga palët dhe të situatës ligjore dhe faktike që ekzistonte në kohën e kryerjes së veprimit konkret administrativ”</w:t>
      </w:r>
      <w:r w:rsidR="009E19E3">
        <w:rPr>
          <w:rFonts w:ascii="Garamond" w:eastAsia="Calibri" w:hAnsi="Garamond"/>
          <w:color w:val="171717"/>
        </w:rPr>
        <w:t>.</w:t>
      </w:r>
    </w:p>
    <w:p w14:paraId="5811F0C7" w14:textId="6BAC9CFE"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Përderisa</w:t>
      </w:r>
      <w:r w:rsidR="00066EC7" w:rsidRPr="0011219A">
        <w:rPr>
          <w:rFonts w:ascii="Garamond" w:eastAsia="Calibri" w:hAnsi="Garamond"/>
          <w:color w:val="171717"/>
        </w:rPr>
        <w:t xml:space="preserve"> </w:t>
      </w:r>
      <w:r w:rsidRPr="0011219A">
        <w:rPr>
          <w:rFonts w:ascii="Garamond" w:eastAsia="Calibri" w:hAnsi="Garamond"/>
          <w:color w:val="171717"/>
        </w:rPr>
        <w:t>zbatimi i ligjit procedural apo material për rastin konkret nuk lidhet me nevojën për rivlerësimin e fakteve apo provave, por me domosdoshmërinë një interpretimi të ndryshëm të ligjit mbi të njëjtin fakt në momentin e kryerjes së veprimit, rezulton se arsyetimi i përdorur nga Gjykata Administrative e Apelit, për zgjidhjen e çështjes</w:t>
      </w:r>
      <w:r w:rsidR="009E19E3">
        <w:rPr>
          <w:rFonts w:ascii="Garamond" w:eastAsia="Calibri" w:hAnsi="Garamond"/>
          <w:color w:val="171717"/>
        </w:rPr>
        <w:t>,</w:t>
      </w:r>
      <w:r w:rsidRPr="0011219A">
        <w:rPr>
          <w:rFonts w:ascii="Garamond" w:eastAsia="Calibri" w:hAnsi="Garamond"/>
          <w:color w:val="171717"/>
        </w:rPr>
        <w:t xml:space="preserve"> duke </w:t>
      </w:r>
      <w:r w:rsidR="009E19E3">
        <w:rPr>
          <w:rFonts w:ascii="Garamond" w:eastAsia="Calibri" w:hAnsi="Garamond"/>
          <w:color w:val="171717"/>
        </w:rPr>
        <w:t>i</w:t>
      </w:r>
      <w:r w:rsidRPr="0011219A">
        <w:rPr>
          <w:rFonts w:ascii="Garamond" w:eastAsia="Calibri" w:hAnsi="Garamond"/>
          <w:color w:val="171717"/>
        </w:rPr>
        <w:t>u referuar dispozitave të ligjit nr.</w:t>
      </w:r>
      <w:r w:rsidR="009E19E3">
        <w:rPr>
          <w:rFonts w:ascii="Garamond" w:eastAsia="Calibri" w:hAnsi="Garamond"/>
          <w:color w:val="171717"/>
        </w:rPr>
        <w:t xml:space="preserve"> </w:t>
      </w:r>
      <w:r w:rsidRPr="0011219A">
        <w:rPr>
          <w:rFonts w:ascii="Garamond" w:eastAsia="Calibri" w:hAnsi="Garamond"/>
          <w:color w:val="171717"/>
        </w:rPr>
        <w:t>20/2020, është i gabuar. Zbatimi i ligjit procedural apo material, për rastin në shqyrtim, nuk diktohet nga nevoja për rivlerësimin e fakteve apo provave, por nga domosdoshmëria për interpretim të ndryshëm të ligjit mbi të njëjtin fakt (shih vendimin nr.</w:t>
      </w:r>
      <w:r w:rsidR="00BD4E1D">
        <w:rPr>
          <w:rFonts w:ascii="Garamond" w:eastAsia="Calibri" w:hAnsi="Garamond"/>
          <w:color w:val="171717"/>
        </w:rPr>
        <w:t xml:space="preserve"> </w:t>
      </w:r>
      <w:r w:rsidRPr="0011219A">
        <w:rPr>
          <w:rFonts w:ascii="Garamond" w:eastAsia="Calibri" w:hAnsi="Garamond"/>
          <w:color w:val="171717"/>
        </w:rPr>
        <w:t>00-2017-(143), datë 25.2.2022</w:t>
      </w:r>
      <w:r w:rsidR="00BD4E1D">
        <w:rPr>
          <w:rFonts w:ascii="Garamond" w:eastAsia="Calibri" w:hAnsi="Garamond"/>
          <w:color w:val="171717"/>
        </w:rPr>
        <w:t>,</w:t>
      </w:r>
      <w:r w:rsidRPr="0011219A">
        <w:rPr>
          <w:rFonts w:ascii="Garamond" w:eastAsia="Calibri" w:hAnsi="Garamond"/>
          <w:color w:val="171717"/>
        </w:rPr>
        <w:t xml:space="preserve"> i Gjykatës së Lartë).</w:t>
      </w:r>
    </w:p>
    <w:p w14:paraId="434EE067" w14:textId="6B90EA97"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w:t>
      </w:r>
      <w:r w:rsidR="00066EC7" w:rsidRPr="0011219A">
        <w:rPr>
          <w:rFonts w:ascii="Garamond" w:eastAsia="Calibri" w:hAnsi="Garamond"/>
          <w:color w:val="171717"/>
        </w:rPr>
        <w:t xml:space="preserve"> </w:t>
      </w:r>
      <w:r w:rsidRPr="0011219A">
        <w:rPr>
          <w:rFonts w:ascii="Garamond" w:eastAsia="Calibri" w:hAnsi="Garamond"/>
          <w:color w:val="171717"/>
        </w:rPr>
        <w:t>Në këtë proces duhet pasur parasysh</w:t>
      </w:r>
      <w:r w:rsidR="009E19E3">
        <w:rPr>
          <w:rFonts w:ascii="Garamond" w:eastAsia="Calibri" w:hAnsi="Garamond"/>
          <w:color w:val="171717"/>
        </w:rPr>
        <w:t>,</w:t>
      </w:r>
      <w:r w:rsidRPr="0011219A">
        <w:rPr>
          <w:rFonts w:ascii="Garamond" w:eastAsia="Calibri" w:hAnsi="Garamond"/>
          <w:color w:val="171717"/>
        </w:rPr>
        <w:t xml:space="preserve"> se konstatimi i gjykatës, sipas të cilit titulli i pronësisë në emër të paditësit nuk ka vlerë juridike, për shkak se ky konstatim nuk është </w:t>
      </w:r>
      <w:proofErr w:type="spellStart"/>
      <w:r w:rsidRPr="0011219A">
        <w:rPr>
          <w:rFonts w:ascii="Garamond" w:eastAsia="Calibri" w:hAnsi="Garamond"/>
          <w:color w:val="171717"/>
        </w:rPr>
        <w:t>ankimuar</w:t>
      </w:r>
      <w:proofErr w:type="spellEnd"/>
      <w:r w:rsidRPr="0011219A">
        <w:rPr>
          <w:rFonts w:ascii="Garamond" w:eastAsia="Calibri" w:hAnsi="Garamond"/>
          <w:color w:val="171717"/>
        </w:rPr>
        <w:t xml:space="preserve"> nga palët e paditura</w:t>
      </w:r>
      <w:r w:rsidR="009E19E3">
        <w:rPr>
          <w:rFonts w:ascii="Garamond" w:eastAsia="Calibri" w:hAnsi="Garamond"/>
          <w:color w:val="171717"/>
        </w:rPr>
        <w:t>,</w:t>
      </w:r>
      <w:r w:rsidRPr="0011219A">
        <w:rPr>
          <w:rFonts w:ascii="Garamond" w:eastAsia="Calibri" w:hAnsi="Garamond"/>
          <w:color w:val="171717"/>
        </w:rPr>
        <w:t xml:space="preserve"> ka marrë fuqinë e gjësë së gjykuar dhe si i tillë nuk mund t’i nënshtrohej më verifikimit të vlefshmërisë ligjore sipas ligjit nr. 20/2020.</w:t>
      </w:r>
    </w:p>
    <w:p w14:paraId="4403AEA7" w14:textId="1994A5CB" w:rsidR="00615B75" w:rsidRPr="0011219A" w:rsidRDefault="00615B75" w:rsidP="00615B75">
      <w:pPr>
        <w:tabs>
          <w:tab w:val="left" w:pos="50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 Duke u mbështetur në vendimin njësues, në faktin që gjykata e shkallës se parë ka </w:t>
      </w:r>
      <w:proofErr w:type="spellStart"/>
      <w:r w:rsidRPr="0011219A">
        <w:rPr>
          <w:rFonts w:ascii="Garamond" w:eastAsia="Calibri" w:hAnsi="Garamond"/>
          <w:color w:val="171717"/>
        </w:rPr>
        <w:t>konkluduar</w:t>
      </w:r>
      <w:proofErr w:type="spellEnd"/>
      <w:r w:rsidRPr="0011219A">
        <w:rPr>
          <w:rFonts w:ascii="Garamond" w:eastAsia="Calibri" w:hAnsi="Garamond"/>
          <w:color w:val="171717"/>
        </w:rPr>
        <w:t xml:space="preserve"> për pavlefshmërinë e </w:t>
      </w:r>
      <w:proofErr w:type="spellStart"/>
      <w:r w:rsidRPr="0011219A">
        <w:rPr>
          <w:rFonts w:ascii="Garamond" w:eastAsia="Calibri" w:hAnsi="Garamond"/>
          <w:color w:val="171717"/>
        </w:rPr>
        <w:t>AMTP</w:t>
      </w:r>
      <w:proofErr w:type="spellEnd"/>
      <w:r w:rsidR="009E19E3">
        <w:rPr>
          <w:rFonts w:ascii="Garamond" w:eastAsia="Calibri" w:hAnsi="Garamond"/>
          <w:color w:val="171717"/>
        </w:rPr>
        <w:t>-së</w:t>
      </w:r>
      <w:r w:rsidRPr="0011219A">
        <w:rPr>
          <w:rFonts w:ascii="Garamond" w:eastAsia="Calibri" w:hAnsi="Garamond"/>
          <w:color w:val="171717"/>
        </w:rPr>
        <w:t>, konkluzion</w:t>
      </w:r>
      <w:r w:rsidR="009E19E3">
        <w:rPr>
          <w:rFonts w:ascii="Garamond" w:eastAsia="Calibri" w:hAnsi="Garamond"/>
          <w:color w:val="171717"/>
        </w:rPr>
        <w:t>,</w:t>
      </w:r>
      <w:r w:rsidRPr="0011219A">
        <w:rPr>
          <w:rFonts w:ascii="Garamond" w:eastAsia="Calibri" w:hAnsi="Garamond"/>
          <w:color w:val="171717"/>
        </w:rPr>
        <w:t xml:space="preserve"> i cili</w:t>
      </w:r>
      <w:r w:rsidR="009E19E3">
        <w:rPr>
          <w:rFonts w:ascii="Garamond" w:eastAsia="Calibri" w:hAnsi="Garamond"/>
          <w:color w:val="171717"/>
        </w:rPr>
        <w:t>,</w:t>
      </w:r>
      <w:r w:rsidRPr="0011219A">
        <w:rPr>
          <w:rFonts w:ascii="Garamond" w:eastAsia="Calibri" w:hAnsi="Garamond"/>
          <w:color w:val="171717"/>
        </w:rPr>
        <w:t xml:space="preserve"> për shkak se nuk është ngritur në ankim nga pala e paditur ka marrë vlerën e gjësë së gjykuar, si dhe në faktin se ASHK</w:t>
      </w:r>
      <w:r w:rsidR="009E19E3">
        <w:rPr>
          <w:rFonts w:ascii="Garamond" w:eastAsia="Calibri" w:hAnsi="Garamond"/>
          <w:color w:val="171717"/>
        </w:rPr>
        <w:t>-ja</w:t>
      </w:r>
      <w:r w:rsidRPr="0011219A">
        <w:rPr>
          <w:rFonts w:ascii="Garamond" w:eastAsia="Calibri" w:hAnsi="Garamond"/>
          <w:color w:val="171717"/>
        </w:rPr>
        <w:t xml:space="preserve"> nuk ka ushtruar të drejtën e heqjes dorë nga padia, Gjykata Administrative e Apelit duhej të kishte pranuar ankimin si të bazuar ligj dhe të kishte vendosur në përputhje me kërkimet e parashtruara në të.</w:t>
      </w:r>
    </w:p>
    <w:p w14:paraId="5C501156" w14:textId="141F5FC5" w:rsidR="00615B75" w:rsidRPr="0011219A" w:rsidRDefault="00615B75" w:rsidP="00615B75">
      <w:pPr>
        <w:tabs>
          <w:tab w:val="left" w:pos="500"/>
          <w:tab w:val="left" w:pos="108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11. </w:t>
      </w:r>
      <w:r w:rsidRPr="0011219A">
        <w:rPr>
          <w:rFonts w:ascii="Garamond" w:eastAsia="Calibri" w:hAnsi="Garamond"/>
          <w:b/>
          <w:bCs/>
          <w:color w:val="171717"/>
        </w:rPr>
        <w:t>Me vendim të gjyqtarit të vetëm nr.</w:t>
      </w:r>
      <w:r w:rsidR="007103FA">
        <w:rPr>
          <w:rFonts w:ascii="Garamond" w:eastAsia="Calibri" w:hAnsi="Garamond"/>
          <w:b/>
          <w:bCs/>
          <w:color w:val="171717"/>
        </w:rPr>
        <w:t xml:space="preserve"> </w:t>
      </w:r>
      <w:r w:rsidRPr="0011219A">
        <w:rPr>
          <w:rFonts w:ascii="Garamond" w:eastAsia="Calibri" w:hAnsi="Garamond"/>
          <w:b/>
          <w:bCs/>
          <w:color w:val="171717"/>
        </w:rPr>
        <w:t>16436 (31025-06043-86-2016), datë 6.11.2023</w:t>
      </w:r>
      <w:r w:rsidR="007103FA">
        <w:rPr>
          <w:rFonts w:ascii="Garamond" w:eastAsia="Calibri" w:hAnsi="Garamond"/>
          <w:b/>
          <w:bCs/>
          <w:color w:val="171717"/>
        </w:rPr>
        <w:t>,</w:t>
      </w:r>
      <w:r w:rsidRPr="0011219A">
        <w:rPr>
          <w:rFonts w:ascii="Garamond" w:eastAsia="Calibri" w:hAnsi="Garamond"/>
          <w:b/>
          <w:bCs/>
          <w:color w:val="171717"/>
        </w:rPr>
        <w:t xml:space="preserve"> Gjykata Administrative e Apelit </w:t>
      </w:r>
      <w:r w:rsidRPr="0011219A">
        <w:rPr>
          <w:rFonts w:ascii="Garamond" w:eastAsia="Calibri" w:hAnsi="Garamond"/>
          <w:color w:val="171717"/>
        </w:rPr>
        <w:t xml:space="preserve">ka vendosur </w:t>
      </w:r>
      <w:r w:rsidRPr="007103FA">
        <w:rPr>
          <w:rFonts w:ascii="Garamond" w:eastAsia="Calibri" w:hAnsi="Garamond"/>
          <w:i/>
          <w:iCs/>
          <w:color w:val="171717"/>
        </w:rPr>
        <w:t>“Pranimin e rekursit”.</w:t>
      </w:r>
      <w:r w:rsidRPr="0011219A">
        <w:rPr>
          <w:rFonts w:ascii="Garamond" w:eastAsia="Calibri" w:hAnsi="Garamond"/>
          <w:i/>
          <w:iCs/>
          <w:color w:val="171717"/>
        </w:rPr>
        <w:t xml:space="preserve"> </w:t>
      </w:r>
      <w:r w:rsidRPr="0011219A">
        <w:rPr>
          <w:rFonts w:ascii="Garamond" w:eastAsia="Calibri" w:hAnsi="Garamond"/>
          <w:color w:val="171717"/>
        </w:rPr>
        <w:t xml:space="preserve">Janë kryer njoftimet përkatëse dhe nuk rezulton të jetë depozituar </w:t>
      </w:r>
      <w:proofErr w:type="spellStart"/>
      <w:r w:rsidRPr="0011219A">
        <w:rPr>
          <w:rFonts w:ascii="Garamond" w:eastAsia="Calibri" w:hAnsi="Garamond"/>
          <w:color w:val="171717"/>
        </w:rPr>
        <w:t>kundërrekurs</w:t>
      </w:r>
      <w:proofErr w:type="spellEnd"/>
      <w:r w:rsidRPr="0011219A">
        <w:rPr>
          <w:rFonts w:ascii="Garamond" w:eastAsia="Calibri" w:hAnsi="Garamond"/>
          <w:color w:val="171717"/>
        </w:rPr>
        <w:t xml:space="preserve"> prej palëve të paditura. </w:t>
      </w:r>
    </w:p>
    <w:p w14:paraId="06B5F3D3" w14:textId="19E37C47" w:rsidR="00615B75" w:rsidRPr="0011219A" w:rsidRDefault="00615B75" w:rsidP="00615B75">
      <w:pPr>
        <w:tabs>
          <w:tab w:val="left" w:pos="500"/>
          <w:tab w:val="left" w:pos="108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lastRenderedPageBreak/>
        <w:t>12. Fashikulli gjyqësor dhe aktet procedurale janë regjistruar në Gjykatë të Lartë për kompetencë shqyrtimi, më datë 9.1.2024.</w:t>
      </w:r>
    </w:p>
    <w:p w14:paraId="76E79E25" w14:textId="12A9B7ED" w:rsidR="00615B75" w:rsidRPr="0011219A" w:rsidRDefault="00615B75" w:rsidP="00615B75">
      <w:pPr>
        <w:tabs>
          <w:tab w:val="left" w:pos="720"/>
          <w:tab w:val="left" w:pos="1260"/>
        </w:tabs>
        <w:autoSpaceDE w:val="0"/>
        <w:autoSpaceDN w:val="0"/>
        <w:adjustRightInd w:val="0"/>
        <w:ind w:firstLine="284"/>
        <w:jc w:val="both"/>
        <w:rPr>
          <w:rFonts w:ascii="Garamond" w:eastAsia="Calibri" w:hAnsi="Garamond"/>
          <w:b/>
          <w:bCs/>
          <w:color w:val="171717"/>
        </w:rPr>
      </w:pPr>
      <w:proofErr w:type="spellStart"/>
      <w:r w:rsidRPr="0011219A">
        <w:rPr>
          <w:rFonts w:ascii="Garamond" w:eastAsia="Calibri" w:hAnsi="Garamond"/>
          <w:b/>
          <w:bCs/>
          <w:color w:val="171717"/>
        </w:rPr>
        <w:t>II</w:t>
      </w:r>
      <w:proofErr w:type="spellEnd"/>
      <w:r w:rsidRPr="0011219A">
        <w:rPr>
          <w:rFonts w:ascii="Garamond" w:eastAsia="Calibri" w:hAnsi="Garamond"/>
          <w:b/>
          <w:bCs/>
          <w:color w:val="171717"/>
        </w:rPr>
        <w:t>. Vlerësimi i Kolegjit Administrativ</w:t>
      </w:r>
    </w:p>
    <w:p w14:paraId="6ED43AF6" w14:textId="1F019087" w:rsidR="00615B75" w:rsidRPr="0011219A" w:rsidRDefault="00615B75" w:rsidP="00615B75">
      <w:pPr>
        <w:tabs>
          <w:tab w:val="left" w:pos="720"/>
          <w:tab w:val="left" w:pos="1260"/>
        </w:tabs>
        <w:autoSpaceDE w:val="0"/>
        <w:autoSpaceDN w:val="0"/>
        <w:adjustRightInd w:val="0"/>
        <w:ind w:firstLine="284"/>
        <w:jc w:val="both"/>
        <w:rPr>
          <w:rFonts w:ascii="Garamond" w:eastAsia="Calibri" w:hAnsi="Garamond"/>
          <w:i/>
          <w:iCs/>
          <w:color w:val="171717"/>
        </w:rPr>
      </w:pPr>
      <w:r w:rsidRPr="0011219A">
        <w:rPr>
          <w:rFonts w:ascii="Garamond" w:eastAsia="Calibri" w:hAnsi="Garamond"/>
          <w:i/>
          <w:iCs/>
          <w:color w:val="171717"/>
        </w:rPr>
        <w:t>-</w:t>
      </w:r>
      <w:r w:rsidR="009E19E3">
        <w:rPr>
          <w:rFonts w:ascii="Garamond" w:eastAsia="Calibri" w:hAnsi="Garamond"/>
          <w:i/>
          <w:iCs/>
          <w:color w:val="171717"/>
        </w:rPr>
        <w:t xml:space="preserve"> </w:t>
      </w:r>
      <w:r w:rsidRPr="0011219A">
        <w:rPr>
          <w:rFonts w:ascii="Garamond" w:eastAsia="Calibri" w:hAnsi="Garamond"/>
          <w:i/>
          <w:iCs/>
          <w:color w:val="171717"/>
        </w:rPr>
        <w:t>Mbi procedurën për njësimin e praktikës gjyqësore</w:t>
      </w:r>
    </w:p>
    <w:p w14:paraId="57C75C4E" w14:textId="5A50F089"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 xml:space="preserve">13. Kolegji Administrativ i Gjykatës së Lartë </w:t>
      </w:r>
      <w:r w:rsidRPr="009E19E3">
        <w:rPr>
          <w:rFonts w:ascii="Garamond" w:eastAsia="Calibri" w:hAnsi="Garamond"/>
          <w:i/>
          <w:iCs/>
          <w:color w:val="171717"/>
        </w:rPr>
        <w:t xml:space="preserve">(në vijim </w:t>
      </w:r>
      <w:r w:rsidR="009E19E3" w:rsidRPr="009E19E3">
        <w:rPr>
          <w:rFonts w:ascii="Garamond" w:eastAsia="Calibri" w:hAnsi="Garamond"/>
          <w:i/>
          <w:iCs/>
          <w:color w:val="171717"/>
        </w:rPr>
        <w:t>“</w:t>
      </w:r>
      <w:r w:rsidRPr="009E19E3">
        <w:rPr>
          <w:rFonts w:ascii="Garamond" w:eastAsia="Calibri" w:hAnsi="Garamond"/>
          <w:i/>
          <w:iCs/>
          <w:color w:val="171717"/>
        </w:rPr>
        <w:t>Kolegji</w:t>
      </w:r>
      <w:r w:rsidR="009E19E3" w:rsidRPr="009E19E3">
        <w:rPr>
          <w:rFonts w:ascii="Garamond" w:eastAsia="Calibri" w:hAnsi="Garamond"/>
          <w:i/>
          <w:iCs/>
          <w:color w:val="171717"/>
        </w:rPr>
        <w:t>”</w:t>
      </w:r>
      <w:r w:rsidRPr="009E19E3">
        <w:rPr>
          <w:rFonts w:ascii="Garamond" w:eastAsia="Calibri" w:hAnsi="Garamond"/>
          <w:i/>
          <w:iCs/>
          <w:color w:val="171717"/>
        </w:rPr>
        <w:t xml:space="preserve">) </w:t>
      </w:r>
      <w:r w:rsidRPr="0011219A">
        <w:rPr>
          <w:rFonts w:ascii="Garamond" w:eastAsia="Calibri" w:hAnsi="Garamond"/>
          <w:color w:val="171717"/>
        </w:rPr>
        <w:t>me trup gjykues të përbërë nga tre gjyqtarë, më datë 5.2.2024</w:t>
      </w:r>
      <w:r w:rsidRPr="0011219A">
        <w:rPr>
          <w:rFonts w:ascii="Garamond" w:eastAsia="Calibri" w:hAnsi="Garamond"/>
          <w:i/>
          <w:iCs/>
          <w:color w:val="171717"/>
        </w:rPr>
        <w:t xml:space="preserve"> </w:t>
      </w:r>
      <w:r w:rsidRPr="0011219A">
        <w:rPr>
          <w:rFonts w:ascii="Garamond" w:eastAsia="Calibri" w:hAnsi="Garamond"/>
          <w:color w:val="171717"/>
        </w:rPr>
        <w:t>kreu veprimtarinë seleksionuese.</w:t>
      </w:r>
      <w:r w:rsidR="00FB3575" w:rsidRPr="0011219A">
        <w:rPr>
          <w:rStyle w:val="FootnoteReference"/>
          <w:rFonts w:ascii="Garamond" w:eastAsia="Calibri" w:hAnsi="Garamond"/>
          <w:color w:val="171717"/>
        </w:rPr>
        <w:footnoteReference w:id="3"/>
      </w:r>
      <w:r w:rsidRPr="0011219A">
        <w:rPr>
          <w:rFonts w:ascii="Garamond" w:eastAsia="Calibri" w:hAnsi="Garamond"/>
          <w:color w:val="171717"/>
        </w:rPr>
        <w:t xml:space="preserve"> Më pas u krye planifikimi për shqyrtim në dhomë këshillimi, në kushtet kur çështja i përket kategorisë </w:t>
      </w:r>
      <w:proofErr w:type="spellStart"/>
      <w:r w:rsidRPr="0011219A">
        <w:rPr>
          <w:rFonts w:ascii="Garamond" w:eastAsia="Calibri" w:hAnsi="Garamond"/>
          <w:color w:val="171717"/>
        </w:rPr>
        <w:t>prioritare</w:t>
      </w:r>
      <w:proofErr w:type="spellEnd"/>
      <w:r w:rsidRPr="0011219A">
        <w:rPr>
          <w:rFonts w:ascii="Garamond" w:eastAsia="Calibri" w:hAnsi="Garamond"/>
          <w:color w:val="171717"/>
        </w:rPr>
        <w:t>, pasi objekt i rekursit është vendimi i Gjykatës Administrative të Apelit, që ka disponuar për prishje të vendimit të gjykatës administrative të shkallës së parë dhe pushimin e gjykimit.</w:t>
      </w:r>
    </w:p>
    <w:p w14:paraId="162D0C48" w14:textId="0215477C" w:rsidR="00615B75" w:rsidRPr="0011219A" w:rsidRDefault="00615B75" w:rsidP="00FB35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14. Prej shqyrtimit të çështjes në dhomë këshillimi, më datë 23.7.2024, Kolegji mori vendimin e ndërmjetëm, në zbatim të nenit 62/a, pika 2</w:t>
      </w:r>
      <w:r w:rsidR="009E19E3">
        <w:rPr>
          <w:rFonts w:ascii="Garamond" w:eastAsia="Calibri" w:hAnsi="Garamond"/>
          <w:color w:val="171717"/>
        </w:rPr>
        <w:t>,</w:t>
      </w:r>
      <w:r w:rsidRPr="0011219A">
        <w:rPr>
          <w:rFonts w:ascii="Garamond" w:eastAsia="Calibri" w:hAnsi="Garamond"/>
          <w:color w:val="171717"/>
        </w:rPr>
        <w:t xml:space="preserve"> të ligjit nr. 49/2012</w:t>
      </w:r>
      <w:r w:rsidR="00BD4E1D">
        <w:rPr>
          <w:rFonts w:ascii="Garamond" w:eastAsia="Calibri" w:hAnsi="Garamond"/>
          <w:color w:val="171717"/>
        </w:rPr>
        <w:t>,</w:t>
      </w:r>
      <w:r w:rsidRPr="0011219A">
        <w:rPr>
          <w:rFonts w:ascii="Garamond" w:eastAsia="Calibri" w:hAnsi="Garamond"/>
          <w:color w:val="171717"/>
        </w:rPr>
        <w:t xml:space="preserve"> </w:t>
      </w:r>
      <w:r w:rsidRPr="00BD4E1D">
        <w:rPr>
          <w:rFonts w:ascii="Garamond" w:eastAsia="Calibri" w:hAnsi="Garamond"/>
          <w:i/>
          <w:iCs/>
          <w:color w:val="171717"/>
        </w:rPr>
        <w:t>“P</w:t>
      </w:r>
      <w:r w:rsidRPr="0011219A">
        <w:rPr>
          <w:rFonts w:ascii="Garamond" w:eastAsia="Calibri" w:hAnsi="Garamond"/>
          <w:i/>
          <w:iCs/>
          <w:color w:val="171717"/>
        </w:rPr>
        <w:t xml:space="preserve">ër gjykatat administrative dhe gjykimin e mosmarrëveshjeve administrative”, </w:t>
      </w:r>
      <w:r w:rsidR="009E19E3">
        <w:rPr>
          <w:rFonts w:ascii="Garamond" w:eastAsia="Calibri" w:hAnsi="Garamond"/>
          <w:i/>
          <w:iCs/>
          <w:color w:val="171717"/>
        </w:rPr>
        <w:t>të</w:t>
      </w:r>
      <w:r w:rsidRPr="0011219A">
        <w:rPr>
          <w:rFonts w:ascii="Garamond" w:eastAsia="Calibri" w:hAnsi="Garamond"/>
          <w:i/>
          <w:iCs/>
          <w:color w:val="171717"/>
        </w:rPr>
        <w:t xml:space="preserve"> ndryshuar </w:t>
      </w:r>
      <w:r w:rsidRPr="0011219A">
        <w:rPr>
          <w:rFonts w:ascii="Garamond" w:eastAsia="Calibri" w:hAnsi="Garamond"/>
          <w:color w:val="171717"/>
        </w:rPr>
        <w:t xml:space="preserve">(në vijim </w:t>
      </w:r>
      <w:r w:rsidR="009E19E3">
        <w:rPr>
          <w:rFonts w:ascii="Garamond" w:eastAsia="Calibri" w:hAnsi="Garamond"/>
          <w:color w:val="171717"/>
        </w:rPr>
        <w:t>“</w:t>
      </w:r>
      <w:r w:rsidRPr="0011219A">
        <w:rPr>
          <w:rFonts w:ascii="Garamond" w:eastAsia="Calibri" w:hAnsi="Garamond"/>
          <w:color w:val="171717"/>
        </w:rPr>
        <w:t>ligji nr.</w:t>
      </w:r>
      <w:r w:rsidR="007103FA">
        <w:rPr>
          <w:rFonts w:ascii="Garamond" w:eastAsia="Calibri" w:hAnsi="Garamond"/>
          <w:color w:val="171717"/>
        </w:rPr>
        <w:t xml:space="preserve"> </w:t>
      </w:r>
      <w:r w:rsidRPr="0011219A">
        <w:rPr>
          <w:rFonts w:ascii="Garamond" w:eastAsia="Calibri" w:hAnsi="Garamond"/>
          <w:color w:val="171717"/>
        </w:rPr>
        <w:t>49/2012</w:t>
      </w:r>
      <w:r w:rsidR="009E19E3">
        <w:rPr>
          <w:rFonts w:ascii="Garamond" w:eastAsia="Calibri" w:hAnsi="Garamond"/>
          <w:color w:val="171717"/>
        </w:rPr>
        <w:t>”</w:t>
      </w:r>
      <w:r w:rsidRPr="0011219A">
        <w:rPr>
          <w:rFonts w:ascii="Garamond" w:eastAsia="Calibri" w:hAnsi="Garamond"/>
          <w:color w:val="171717"/>
        </w:rPr>
        <w:t xml:space="preserve">) për nisjen e procedurës për njësimin e praktikës gjyqësore në gjykimin administrativ, duke kaluar në seancë gjyqësore </w:t>
      </w:r>
      <w:r w:rsidRPr="0011219A">
        <w:rPr>
          <w:rFonts w:ascii="Garamond" w:eastAsia="Calibri" w:hAnsi="Garamond"/>
          <w:color w:val="000000"/>
        </w:rPr>
        <w:t>shqyrtimin e kësaj çështjeje</w:t>
      </w:r>
      <w:r w:rsidRPr="0011219A">
        <w:rPr>
          <w:rFonts w:ascii="Garamond" w:eastAsia="Calibri" w:hAnsi="Garamond"/>
          <w:color w:val="171717"/>
        </w:rPr>
        <w:t>.</w:t>
      </w:r>
      <w:r w:rsidR="00FB3575" w:rsidRPr="0011219A">
        <w:rPr>
          <w:rStyle w:val="FootnoteReference"/>
          <w:rFonts w:ascii="Garamond" w:eastAsia="Calibri" w:hAnsi="Garamond"/>
          <w:color w:val="171717"/>
        </w:rPr>
        <w:footnoteReference w:id="4"/>
      </w:r>
      <w:r w:rsidRPr="0011219A">
        <w:rPr>
          <w:rFonts w:ascii="Garamond" w:eastAsia="Calibri" w:hAnsi="Garamond"/>
          <w:color w:val="171717"/>
        </w:rPr>
        <w:t xml:space="preserve"> Kolegji shtroi për njësim pyetjen: </w:t>
      </w:r>
    </w:p>
    <w:p w14:paraId="109814F4" w14:textId="01FE5B07" w:rsidR="00615B75" w:rsidRPr="0011219A" w:rsidRDefault="00615B75" w:rsidP="00615B75">
      <w:pPr>
        <w:autoSpaceDE w:val="0"/>
        <w:autoSpaceDN w:val="0"/>
        <w:adjustRightInd w:val="0"/>
        <w:ind w:firstLine="284"/>
        <w:jc w:val="both"/>
        <w:rPr>
          <w:rFonts w:ascii="Garamond" w:eastAsia="Calibri" w:hAnsi="Garamond"/>
          <w:b/>
          <w:bCs/>
          <w:color w:val="171717"/>
        </w:rPr>
      </w:pPr>
      <w:r w:rsidRPr="0011219A">
        <w:rPr>
          <w:rFonts w:ascii="Garamond" w:eastAsia="Calibri" w:hAnsi="Garamond"/>
          <w:color w:val="171717"/>
        </w:rPr>
        <w:t>-</w:t>
      </w:r>
      <w:r w:rsidR="009E19E3">
        <w:rPr>
          <w:rFonts w:ascii="Garamond" w:eastAsia="Calibri" w:hAnsi="Garamond"/>
          <w:color w:val="171717"/>
        </w:rPr>
        <w:t xml:space="preserve"> </w:t>
      </w:r>
      <w:r w:rsidRPr="0011219A">
        <w:rPr>
          <w:rFonts w:ascii="Garamond" w:eastAsia="Calibri" w:hAnsi="Garamond"/>
          <w:b/>
          <w:bCs/>
          <w:color w:val="171717"/>
        </w:rPr>
        <w:t xml:space="preserve">Si gjen zbatim neni 68, pika 4, 5 e në vijim </w:t>
      </w:r>
      <w:r w:rsidR="009E19E3">
        <w:rPr>
          <w:rFonts w:ascii="Garamond" w:eastAsia="Calibri" w:hAnsi="Garamond"/>
          <w:b/>
          <w:bCs/>
          <w:color w:val="171717"/>
        </w:rPr>
        <w:t>të</w:t>
      </w:r>
      <w:r w:rsidRPr="0011219A">
        <w:rPr>
          <w:rFonts w:ascii="Garamond" w:eastAsia="Calibri" w:hAnsi="Garamond"/>
          <w:b/>
          <w:bCs/>
          <w:color w:val="171717"/>
        </w:rPr>
        <w:t xml:space="preserve"> kësaj dispozite kalimtare të ligjit nr. 20/2020</w:t>
      </w:r>
      <w:r w:rsidR="00BD4E1D">
        <w:rPr>
          <w:rFonts w:ascii="Garamond" w:eastAsia="Calibri" w:hAnsi="Garamond"/>
          <w:b/>
          <w:bCs/>
          <w:color w:val="171717"/>
        </w:rPr>
        <w:t>,</w:t>
      </w:r>
      <w:r w:rsidRPr="0011219A">
        <w:rPr>
          <w:rFonts w:ascii="Garamond" w:eastAsia="Calibri" w:hAnsi="Garamond"/>
          <w:b/>
          <w:bCs/>
          <w:color w:val="171717"/>
        </w:rPr>
        <w:t xml:space="preserve"> “Për </w:t>
      </w:r>
      <w:r w:rsidR="009E19E3" w:rsidRPr="0011219A">
        <w:rPr>
          <w:rFonts w:ascii="Garamond" w:eastAsia="Calibri" w:hAnsi="Garamond"/>
          <w:b/>
          <w:bCs/>
          <w:color w:val="171717"/>
        </w:rPr>
        <w:t xml:space="preserve">përfundimin e proceseve kalimtare të pronësisë </w:t>
      </w:r>
      <w:r w:rsidRPr="0011219A">
        <w:rPr>
          <w:rFonts w:ascii="Garamond" w:eastAsia="Calibri" w:hAnsi="Garamond"/>
          <w:b/>
          <w:bCs/>
          <w:color w:val="171717"/>
        </w:rPr>
        <w:t>në Republikën e Shqipërisë”, për çështjet e regjistruara për shqyrtim pranë Gjykatave Administrative?</w:t>
      </w:r>
    </w:p>
    <w:p w14:paraId="098D924B" w14:textId="128292F9"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15. Pas zhvillimit të seancave gjyqësore, Kolegji, me trup gjykues të përbërë nga 5 gjyqtarë, më datë</w:t>
      </w:r>
      <w:r w:rsidR="00BD4E1D">
        <w:rPr>
          <w:rFonts w:ascii="Garamond" w:eastAsia="Calibri" w:hAnsi="Garamond"/>
          <w:color w:val="171717"/>
        </w:rPr>
        <w:t xml:space="preserve"> </w:t>
      </w:r>
      <w:r w:rsidRPr="0011219A">
        <w:rPr>
          <w:rFonts w:ascii="Garamond" w:eastAsia="Calibri" w:hAnsi="Garamond"/>
          <w:color w:val="171717"/>
        </w:rPr>
        <w:t>18.2.2025 shpalli vendimin përfundimtar, ku u përcaktua rregulli njësues për praktikën gjyqësore dhe zgjidhja e mosmarrëveshjes.</w:t>
      </w:r>
    </w:p>
    <w:p w14:paraId="74861034" w14:textId="15F6CDF9"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i/>
          <w:iCs/>
          <w:color w:val="171717"/>
        </w:rPr>
        <w:t>-</w:t>
      </w:r>
      <w:r w:rsidR="00BD4E1D">
        <w:rPr>
          <w:rFonts w:ascii="Garamond" w:eastAsia="Calibri" w:hAnsi="Garamond"/>
          <w:i/>
          <w:iCs/>
          <w:color w:val="171717"/>
        </w:rPr>
        <w:t xml:space="preserve"> </w:t>
      </w:r>
      <w:r w:rsidRPr="0011219A">
        <w:rPr>
          <w:rFonts w:ascii="Garamond" w:eastAsia="Calibri" w:hAnsi="Garamond"/>
          <w:i/>
          <w:iCs/>
          <w:color w:val="171717"/>
        </w:rPr>
        <w:t>Përcaktimi i rregullit njësues për praktikën gjyqësore</w:t>
      </w:r>
    </w:p>
    <w:p w14:paraId="6BB95D28" w14:textId="033C3930"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16. Kolegji vlerëson se, për qëllime të njësimit të praktikës gjyqësore, interpretimi dhe zbatimi i ligjit nr. 20/2020</w:t>
      </w:r>
      <w:r w:rsidR="00BD4E1D">
        <w:rPr>
          <w:rFonts w:ascii="Garamond" w:eastAsia="Calibri" w:hAnsi="Garamond"/>
          <w:color w:val="000000"/>
        </w:rPr>
        <w:t>,</w:t>
      </w:r>
      <w:r w:rsidRPr="0011219A">
        <w:rPr>
          <w:rFonts w:ascii="Garamond" w:eastAsia="Calibri" w:hAnsi="Garamond"/>
          <w:color w:val="000000"/>
        </w:rPr>
        <w:t xml:space="preserve"> “Për përfundimin e proceseve kalimtare të pronësisë në Republikën e Shqipërisë”</w:t>
      </w:r>
      <w:r w:rsidR="001F18E3">
        <w:rPr>
          <w:rFonts w:ascii="Garamond" w:eastAsia="Calibri" w:hAnsi="Garamond"/>
          <w:color w:val="000000"/>
        </w:rPr>
        <w:t>,</w:t>
      </w:r>
      <w:r w:rsidRPr="0011219A">
        <w:rPr>
          <w:rFonts w:ascii="Garamond" w:eastAsia="Calibri" w:hAnsi="Garamond"/>
          <w:color w:val="000000"/>
        </w:rPr>
        <w:t xml:space="preserve"> është vendimtar për përcaktimin e legjitimimit material aktiv të Agjencisë Shtetërore të Kadastrës (ASHK) në proceset e trashëguara nga institucioni i </w:t>
      </w:r>
      <w:r w:rsidR="004D4F9D" w:rsidRPr="0011219A">
        <w:rPr>
          <w:rFonts w:ascii="Garamond" w:eastAsia="Calibri" w:hAnsi="Garamond"/>
          <w:color w:val="000000"/>
        </w:rPr>
        <w:t xml:space="preserve">Prefektit </w:t>
      </w:r>
      <w:r w:rsidRPr="0011219A">
        <w:rPr>
          <w:rFonts w:ascii="Garamond" w:eastAsia="Calibri" w:hAnsi="Garamond"/>
          <w:color w:val="000000"/>
        </w:rPr>
        <w:t>të Qarkut, të ngritura mbi bazën e ligjit nr. 9948, datë 7.7.2008</w:t>
      </w:r>
      <w:r w:rsidR="007103FA">
        <w:rPr>
          <w:rFonts w:ascii="Garamond" w:eastAsia="Calibri" w:hAnsi="Garamond"/>
          <w:color w:val="000000"/>
        </w:rPr>
        <w:t>,</w:t>
      </w:r>
      <w:r w:rsidRPr="0011219A">
        <w:rPr>
          <w:rFonts w:ascii="Garamond" w:eastAsia="Calibri" w:hAnsi="Garamond"/>
          <w:color w:val="000000"/>
        </w:rPr>
        <w:t xml:space="preserve"> “Për shqyrtimin e vlefshmërisë ligjore të titujve të pronësisë mbi tokën bujqësore”, të ndryshuar.</w:t>
      </w:r>
    </w:p>
    <w:p w14:paraId="4137C0C4" w14:textId="0599685B"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17. Ligji nr. 7501, datë 19.7.1991</w:t>
      </w:r>
      <w:r w:rsidR="007103FA">
        <w:rPr>
          <w:rFonts w:ascii="Garamond" w:eastAsia="Calibri" w:hAnsi="Garamond"/>
          <w:color w:val="000000"/>
        </w:rPr>
        <w:t>,</w:t>
      </w:r>
      <w:r w:rsidRPr="0011219A">
        <w:rPr>
          <w:rFonts w:ascii="Garamond" w:eastAsia="Calibri" w:hAnsi="Garamond"/>
          <w:color w:val="000000"/>
        </w:rPr>
        <w:t xml:space="preserve"> “Për </w:t>
      </w:r>
      <w:r w:rsidR="007103FA" w:rsidRPr="0011219A">
        <w:rPr>
          <w:rFonts w:ascii="Garamond" w:eastAsia="Calibri" w:hAnsi="Garamond"/>
          <w:color w:val="000000"/>
        </w:rPr>
        <w:t>tokën</w:t>
      </w:r>
      <w:r w:rsidRPr="0011219A">
        <w:rPr>
          <w:rFonts w:ascii="Garamond" w:eastAsia="Calibri" w:hAnsi="Garamond"/>
          <w:color w:val="000000"/>
        </w:rPr>
        <w:t>”, që shënoi bazën e reformës agrare, përcaktoi ndarjen e tokës bujqësore sipas normës për frymë dhe krijimin e akteve të marrjes së tokës në pronësi (</w:t>
      </w:r>
      <w:proofErr w:type="spellStart"/>
      <w:r w:rsidRPr="0011219A">
        <w:rPr>
          <w:rFonts w:ascii="Garamond" w:eastAsia="Calibri" w:hAnsi="Garamond"/>
          <w:color w:val="000000"/>
        </w:rPr>
        <w:t>AMTP</w:t>
      </w:r>
      <w:proofErr w:type="spellEnd"/>
      <w:r w:rsidRPr="0011219A">
        <w:rPr>
          <w:rFonts w:ascii="Garamond" w:eastAsia="Calibri" w:hAnsi="Garamond"/>
          <w:color w:val="000000"/>
        </w:rPr>
        <w:t xml:space="preserve">). Mungesa e një sistemi të njësuar administrativ dhe kontrollues solli, me kalimin e viteve, pasiguri mbi vlefshmërinë e titujve dhe konflikte në praktikën gjyqësore. Për t’i adresuar këto problematika, ligji nr. 9948/2008 vendosi mekanizmin e verifikimit të </w:t>
      </w:r>
      <w:proofErr w:type="spellStart"/>
      <w:r w:rsidRPr="0011219A">
        <w:rPr>
          <w:rFonts w:ascii="Garamond" w:eastAsia="Calibri" w:hAnsi="Garamond"/>
          <w:color w:val="000000"/>
        </w:rPr>
        <w:t>AMTP</w:t>
      </w:r>
      <w:proofErr w:type="spellEnd"/>
      <w:r w:rsidR="001F18E3">
        <w:rPr>
          <w:rFonts w:ascii="Garamond" w:eastAsia="Calibri" w:hAnsi="Garamond"/>
          <w:color w:val="000000"/>
        </w:rPr>
        <w:t>-së</w:t>
      </w:r>
      <w:r w:rsidRPr="0011219A">
        <w:rPr>
          <w:rFonts w:ascii="Garamond" w:eastAsia="Calibri" w:hAnsi="Garamond"/>
          <w:color w:val="000000"/>
        </w:rPr>
        <w:t xml:space="preserve"> përmes komisioneve vendore nën mbikëqyrjen e Prefektit të Qarkut, të cilit iu njoh kompetenca për të paraqitur në gjykatë padi për pavlefshmërinë e titujve të lëshuar në kundërshtim me ligjin.</w:t>
      </w:r>
    </w:p>
    <w:p w14:paraId="12EAF526" w14:textId="3EF958F7"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18. Ligji nr. 20/2020, i cili përmbyll këtë proces ligjor, u miratua për të garantuar sigurinë juridike të titujve të pronësisë dhe për të unifikuar përgjegjësinë administrative mbi regjistrimin dhe verifikimin e tyre, duke i kaluar kompetencat nga prefekturat te</w:t>
      </w:r>
      <w:r w:rsidR="004D4F9D">
        <w:rPr>
          <w:rFonts w:ascii="Garamond" w:eastAsia="Calibri" w:hAnsi="Garamond"/>
          <w:color w:val="000000"/>
        </w:rPr>
        <w:t>k</w:t>
      </w:r>
      <w:r w:rsidRPr="0011219A">
        <w:rPr>
          <w:rFonts w:ascii="Garamond" w:eastAsia="Calibri" w:hAnsi="Garamond"/>
          <w:color w:val="000000"/>
        </w:rPr>
        <w:t xml:space="preserve"> Agjencia Shtetërore e Kadastrës si organ unik përgjegjës. Ky ligj, i miratuar edhe pas orientimit të dhënë nga Komisioni i Venecias, synon konsolidimin përfundimtar të marrëdhënieve juridike të pronësisë dhe harmonizimin e praktikës gjyqësore në këtë fushë.</w:t>
      </w:r>
    </w:p>
    <w:p w14:paraId="5ACB7364" w14:textId="3ECAA1C9"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19. Objekti i ligjit nr. 20/2020 (nenet 1 dhe 2), është përcaktimi i procedurave dhe organit shtetëror përgjegjës për përfundimin e proceseve kalimtare administrativo-ligjore për regjistrimin e titujve të pronësisë mbi pasuritë e paluajtshme shtetërore e private, si dhe për inventarizimin, transferimin, trajtimin dhe regjistrimin e tyre përfundimtar. Neni 5, pika 2, përcakton se Agjencia Shtetërore e Kadastrës është autoriteti publik përgjegjës për zbatimin e këtij ligji dhe për koordinimin e proceseve me institucionet e tjera qendrore dhe vendore.</w:t>
      </w:r>
    </w:p>
    <w:p w14:paraId="4A16B332" w14:textId="75CDDFC7"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20. Me qëllim njësimin e praktikës gjyqësore, rëndësi të veçantë në këtë kuadër ka neni 68 i ligjit, i cili përcakton pasojat e hyrjes në fuqi të tij mbi procedurat ekzistuese. Ky nen sanksionon se </w:t>
      </w:r>
      <w:r w:rsidRPr="0011219A">
        <w:rPr>
          <w:rFonts w:ascii="Garamond" w:eastAsia="Calibri" w:hAnsi="Garamond"/>
          <w:color w:val="000000"/>
        </w:rPr>
        <w:lastRenderedPageBreak/>
        <w:t>procedimet administrative pranë prefektit për verifikimin e titujve të pronësisë konsiderohen të pushuara; paditë e ngritura nga prefekti para hyrjes në fuqi të ligjit shqyrtohen sipas kritereve të tij; ndërsa ASHK</w:t>
      </w:r>
      <w:r w:rsidR="00AD6F38">
        <w:rPr>
          <w:rFonts w:ascii="Garamond" w:eastAsia="Calibri" w:hAnsi="Garamond"/>
          <w:color w:val="000000"/>
        </w:rPr>
        <w:t>-ja</w:t>
      </w:r>
      <w:r w:rsidRPr="0011219A">
        <w:rPr>
          <w:rFonts w:ascii="Garamond" w:eastAsia="Calibri" w:hAnsi="Garamond"/>
          <w:color w:val="000000"/>
        </w:rPr>
        <w:t xml:space="preserve"> detyrohet të heqë dorë nga paditë në proces, përveç rasteve kur shkaku ligjor i tyre bazohet në nenin 7, pika 1, të po këtij ligji.</w:t>
      </w:r>
    </w:p>
    <w:p w14:paraId="63E56645" w14:textId="02D1B4B5"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21. Kolegji vlerëson se, përmes këtyre parashikimeve, ligji nr. 20/2020 ka </w:t>
      </w:r>
      <w:r w:rsidRPr="0011219A">
        <w:rPr>
          <w:rFonts w:ascii="Garamond" w:eastAsia="Calibri" w:hAnsi="Garamond"/>
          <w:b/>
          <w:bCs/>
          <w:color w:val="000000"/>
        </w:rPr>
        <w:t xml:space="preserve">karakter </w:t>
      </w:r>
      <w:proofErr w:type="spellStart"/>
      <w:r w:rsidRPr="0011219A">
        <w:rPr>
          <w:rFonts w:ascii="Garamond" w:eastAsia="Calibri" w:hAnsi="Garamond"/>
          <w:b/>
          <w:bCs/>
          <w:color w:val="000000"/>
        </w:rPr>
        <w:t>ndërkohor</w:t>
      </w:r>
      <w:proofErr w:type="spellEnd"/>
      <w:r w:rsidRPr="0011219A">
        <w:rPr>
          <w:rFonts w:ascii="Garamond" w:eastAsia="Calibri" w:hAnsi="Garamond"/>
          <w:color w:val="000000"/>
        </w:rPr>
        <w:t xml:space="preserve">, pasi rregullon jo vetëm mënyrën e trajtimit të proceseve të reja, por edhe </w:t>
      </w:r>
      <w:r w:rsidRPr="0011219A">
        <w:rPr>
          <w:rFonts w:ascii="Garamond" w:eastAsia="Calibri" w:hAnsi="Garamond"/>
          <w:b/>
          <w:bCs/>
          <w:color w:val="000000"/>
        </w:rPr>
        <w:t>vazhdimësinë dhe përfundimin e çështjeve gjyqësore në zhvillim</w:t>
      </w:r>
      <w:r w:rsidRPr="0011219A">
        <w:rPr>
          <w:rFonts w:ascii="Garamond" w:eastAsia="Calibri" w:hAnsi="Garamond"/>
          <w:color w:val="000000"/>
        </w:rPr>
        <w:t>, të ngritura mbi bazën e legjislacionit të mëparshëm. Dispozita kyçe për këtë qëllim është neni 68, i cili përmban normat kalimtare që përcaktojnë se si duhet të trajtohen çështjet administrative që kanë filluar më parë. Në këtë kuptim, neni 68, pika 4 parashikon:</w:t>
      </w:r>
      <w:r w:rsidR="00AD6F38">
        <w:rPr>
          <w:rFonts w:ascii="Garamond" w:eastAsia="Calibri" w:hAnsi="Garamond"/>
          <w:color w:val="000000"/>
        </w:rPr>
        <w:t xml:space="preserve"> </w:t>
      </w:r>
      <w:r w:rsidR="00AD6F38">
        <w:rPr>
          <w:rFonts w:ascii="Garamond" w:eastAsia="Calibri" w:hAnsi="Garamond"/>
          <w:i/>
          <w:iCs/>
          <w:color w:val="000000"/>
        </w:rPr>
        <w:t>“</w:t>
      </w:r>
      <w:r w:rsidRPr="0011219A">
        <w:rPr>
          <w:rFonts w:ascii="Garamond" w:eastAsia="Calibri" w:hAnsi="Garamond"/>
          <w:i/>
          <w:iCs/>
          <w:color w:val="000000"/>
        </w:rPr>
        <w:t xml:space="preserve">Paditë e ngritura nga prefektët para hyrjes në fuqi të këtij ligji, me objekt pavlefshmërinë/shfuqizimin e </w:t>
      </w:r>
      <w:proofErr w:type="spellStart"/>
      <w:r w:rsidRPr="0011219A">
        <w:rPr>
          <w:rFonts w:ascii="Garamond" w:eastAsia="Calibri" w:hAnsi="Garamond"/>
          <w:i/>
          <w:iCs/>
          <w:color w:val="000000"/>
        </w:rPr>
        <w:t>AMTP</w:t>
      </w:r>
      <w:proofErr w:type="spellEnd"/>
      <w:r w:rsidRPr="0011219A">
        <w:rPr>
          <w:rFonts w:ascii="Garamond" w:eastAsia="Calibri" w:hAnsi="Garamond"/>
          <w:i/>
          <w:iCs/>
          <w:color w:val="000000"/>
        </w:rPr>
        <w:t xml:space="preserve">-ve, shqyrtohen nga gjykatat sipas kritereve të këtij ligji.” </w:t>
      </w:r>
      <w:r w:rsidRPr="0011219A">
        <w:rPr>
          <w:rFonts w:ascii="Garamond" w:eastAsia="Calibri" w:hAnsi="Garamond"/>
          <w:color w:val="000000"/>
        </w:rPr>
        <w:t>Ndërsa pika 5 vijon:</w:t>
      </w:r>
      <w:r w:rsidR="00AD6F38">
        <w:rPr>
          <w:rFonts w:ascii="Garamond" w:eastAsia="Calibri" w:hAnsi="Garamond"/>
          <w:color w:val="000000"/>
        </w:rPr>
        <w:t xml:space="preserve"> </w:t>
      </w:r>
      <w:r w:rsidR="00AD6F38">
        <w:rPr>
          <w:rFonts w:ascii="Garamond" w:eastAsia="Calibri" w:hAnsi="Garamond"/>
          <w:i/>
          <w:iCs/>
          <w:color w:val="000000"/>
        </w:rPr>
        <w:t>“</w:t>
      </w:r>
      <w:r w:rsidRPr="0011219A">
        <w:rPr>
          <w:rFonts w:ascii="Garamond" w:eastAsia="Calibri" w:hAnsi="Garamond"/>
          <w:i/>
          <w:iCs/>
          <w:color w:val="000000"/>
        </w:rPr>
        <w:t>ASHK-ja heq dorë nga padia në të gjitha gjykimet në proces përpara hyrjes në fuqi të këtij ligji, përveç rasteve kur shkaku ligjor i padisë është sipas përcaktimeve të nenit 7, pika 1 të këtij ligji.”</w:t>
      </w:r>
    </w:p>
    <w:p w14:paraId="72914E7D" w14:textId="1986202F"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22. Neni 68, pika 4 ka efekt të menjëhershëm, duke i detyruar gjykatat që edhe për paditë e nisura para hyrjes në fuqi të ligjit të zbatojnë kriteret materiale dhe procedurale të ligjit të ri. Kjo dispozitë përfaqëson një rregull </w:t>
      </w:r>
      <w:proofErr w:type="spellStart"/>
      <w:r w:rsidRPr="0011219A">
        <w:rPr>
          <w:rFonts w:ascii="Garamond" w:eastAsia="Calibri" w:hAnsi="Garamond"/>
          <w:color w:val="000000"/>
        </w:rPr>
        <w:t>ndërkohor</w:t>
      </w:r>
      <w:proofErr w:type="spellEnd"/>
      <w:r w:rsidR="00AD6F38">
        <w:rPr>
          <w:rFonts w:ascii="Garamond" w:eastAsia="Calibri" w:hAnsi="Garamond"/>
          <w:color w:val="000000"/>
        </w:rPr>
        <w:t>,</w:t>
      </w:r>
      <w:r w:rsidRPr="0011219A">
        <w:rPr>
          <w:rFonts w:ascii="Garamond" w:eastAsia="Calibri" w:hAnsi="Garamond"/>
          <w:color w:val="000000"/>
        </w:rPr>
        <w:t xml:space="preserve"> që unifikon </w:t>
      </w:r>
      <w:r w:rsidR="00AD6F38" w:rsidRPr="0011219A">
        <w:rPr>
          <w:rFonts w:ascii="Garamond" w:eastAsia="Calibri" w:hAnsi="Garamond"/>
          <w:color w:val="000000"/>
        </w:rPr>
        <w:t>standardet</w:t>
      </w:r>
      <w:r w:rsidRPr="0011219A">
        <w:rPr>
          <w:rFonts w:ascii="Garamond" w:eastAsia="Calibri" w:hAnsi="Garamond"/>
          <w:color w:val="000000"/>
        </w:rPr>
        <w:t xml:space="preserve"> e shqyrtimit për çështjet në gjykim e sipër, duke reduktuar vëllimin e legjitimimit material të paditësit, për shkak të vlerësimit nga ligjvënësi</w:t>
      </w:r>
      <w:r w:rsidR="00AD6F38">
        <w:rPr>
          <w:rFonts w:ascii="Garamond" w:eastAsia="Calibri" w:hAnsi="Garamond"/>
          <w:color w:val="000000"/>
        </w:rPr>
        <w:t>,</w:t>
      </w:r>
      <w:r w:rsidRPr="0011219A">
        <w:rPr>
          <w:rFonts w:ascii="Garamond" w:eastAsia="Calibri" w:hAnsi="Garamond"/>
          <w:color w:val="000000"/>
        </w:rPr>
        <w:t xml:space="preserve"> se jo çdo lloj shkelje ligjore në procesin e lëshimit të </w:t>
      </w:r>
      <w:proofErr w:type="spellStart"/>
      <w:r w:rsidRPr="0011219A">
        <w:rPr>
          <w:rFonts w:ascii="Garamond" w:eastAsia="Calibri" w:hAnsi="Garamond"/>
          <w:color w:val="000000"/>
        </w:rPr>
        <w:t>AMTP</w:t>
      </w:r>
      <w:proofErr w:type="spellEnd"/>
      <w:r w:rsidR="00AD6F38">
        <w:rPr>
          <w:rFonts w:ascii="Garamond" w:eastAsia="Calibri" w:hAnsi="Garamond"/>
          <w:color w:val="000000"/>
        </w:rPr>
        <w:t>-së</w:t>
      </w:r>
      <w:r w:rsidRPr="0011219A">
        <w:rPr>
          <w:rFonts w:ascii="Garamond" w:eastAsia="Calibri" w:hAnsi="Garamond"/>
          <w:color w:val="000000"/>
        </w:rPr>
        <w:t xml:space="preserve"> do të vlejë të ndiqet </w:t>
      </w:r>
      <w:proofErr w:type="spellStart"/>
      <w:r w:rsidRPr="0011219A">
        <w:rPr>
          <w:rFonts w:ascii="Garamond" w:eastAsia="Calibri" w:hAnsi="Garamond"/>
          <w:color w:val="000000"/>
        </w:rPr>
        <w:t>gjyqësisht</w:t>
      </w:r>
      <w:proofErr w:type="spellEnd"/>
      <w:r w:rsidRPr="0011219A">
        <w:rPr>
          <w:rFonts w:ascii="Garamond" w:eastAsia="Calibri" w:hAnsi="Garamond"/>
          <w:color w:val="000000"/>
        </w:rPr>
        <w:t xml:space="preserve"> nga ASHK</w:t>
      </w:r>
      <w:r w:rsidR="00AD6F38">
        <w:rPr>
          <w:rFonts w:ascii="Garamond" w:eastAsia="Calibri" w:hAnsi="Garamond"/>
          <w:color w:val="000000"/>
        </w:rPr>
        <w:t>-ja</w:t>
      </w:r>
      <w:r w:rsidRPr="0011219A">
        <w:rPr>
          <w:rFonts w:ascii="Garamond" w:eastAsia="Calibri" w:hAnsi="Garamond"/>
          <w:color w:val="000000"/>
        </w:rPr>
        <w:t xml:space="preserve"> (duke u lidhur ky rregullim vetëm dhe ekskluzivisht me këto lloj padish, ku palë paditëse është ASHK). Për rrjedhojë, gjykata duhet të riorientojë kuadrin ligjor të vlerësimit të padisë </w:t>
      </w:r>
      <w:r w:rsidRPr="0011219A">
        <w:rPr>
          <w:rFonts w:ascii="Garamond" w:eastAsia="Calibri" w:hAnsi="Garamond"/>
          <w:i/>
          <w:iCs/>
          <w:color w:val="000000"/>
        </w:rPr>
        <w:t>(</w:t>
      </w:r>
      <w:proofErr w:type="spellStart"/>
      <w:r w:rsidRPr="0011219A">
        <w:rPr>
          <w:rFonts w:ascii="Garamond" w:eastAsia="Calibri" w:hAnsi="Garamond"/>
          <w:i/>
          <w:iCs/>
          <w:color w:val="000000"/>
        </w:rPr>
        <w:t>petitum</w:t>
      </w:r>
      <w:proofErr w:type="spellEnd"/>
      <w:r w:rsidRPr="0011219A">
        <w:rPr>
          <w:rFonts w:ascii="Garamond" w:eastAsia="Calibri" w:hAnsi="Garamond"/>
          <w:i/>
          <w:iCs/>
          <w:color w:val="000000"/>
        </w:rPr>
        <w:t xml:space="preserve"> dhe </w:t>
      </w:r>
      <w:proofErr w:type="spellStart"/>
      <w:r w:rsidRPr="0011219A">
        <w:rPr>
          <w:rFonts w:ascii="Garamond" w:eastAsia="Calibri" w:hAnsi="Garamond"/>
          <w:i/>
          <w:iCs/>
          <w:color w:val="000000"/>
        </w:rPr>
        <w:t>causa</w:t>
      </w:r>
      <w:proofErr w:type="spellEnd"/>
      <w:r w:rsidRPr="0011219A">
        <w:rPr>
          <w:rFonts w:ascii="Garamond" w:eastAsia="Calibri" w:hAnsi="Garamond"/>
          <w:i/>
          <w:iCs/>
          <w:color w:val="000000"/>
        </w:rPr>
        <w:t xml:space="preserve"> </w:t>
      </w:r>
      <w:proofErr w:type="spellStart"/>
      <w:r w:rsidRPr="0011219A">
        <w:rPr>
          <w:rFonts w:ascii="Garamond" w:eastAsia="Calibri" w:hAnsi="Garamond"/>
          <w:i/>
          <w:iCs/>
          <w:color w:val="000000"/>
        </w:rPr>
        <w:t>petendi</w:t>
      </w:r>
      <w:proofErr w:type="spellEnd"/>
      <w:r w:rsidRPr="0011219A">
        <w:rPr>
          <w:rFonts w:ascii="Garamond" w:eastAsia="Calibri" w:hAnsi="Garamond"/>
          <w:i/>
          <w:iCs/>
          <w:color w:val="000000"/>
        </w:rPr>
        <w:t>)</w:t>
      </w:r>
      <w:r w:rsidRPr="0011219A">
        <w:rPr>
          <w:rFonts w:ascii="Garamond" w:eastAsia="Calibri" w:hAnsi="Garamond"/>
          <w:color w:val="000000"/>
        </w:rPr>
        <w:t xml:space="preserve"> sipas ligjit nr. 20/2020, duke hetuar nëse akti i pronësisë i kontestuar bie brenda kufijve të nenit 7/1, i parë në harmoni me dispozitat e tjera të këtij ligji dhe, për rrjedhojë, nëse ekziston interes publik për vijimin e gjykimit.</w:t>
      </w:r>
    </w:p>
    <w:p w14:paraId="4B7D010E" w14:textId="46290402"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23. Në plan praktik, neni 68, pika 4</w:t>
      </w:r>
      <w:r w:rsidR="00D655A3">
        <w:rPr>
          <w:rFonts w:ascii="Garamond" w:eastAsia="Calibri" w:hAnsi="Garamond"/>
          <w:color w:val="000000"/>
        </w:rPr>
        <w:t>,</w:t>
      </w:r>
      <w:r w:rsidRPr="0011219A">
        <w:rPr>
          <w:rFonts w:ascii="Garamond" w:eastAsia="Calibri" w:hAnsi="Garamond"/>
          <w:color w:val="000000"/>
        </w:rPr>
        <w:t xml:space="preserve"> i ngarkon gjykatës detyrimin të verifikojë nëse shkaqet e padisë së paraqitur para hyrjes në fuqi të ligjit nr. 20/2020 përputhen me shkaqet e padisë për të cilat ky ligj autorizon organet shtetërore për t</w:t>
      </w:r>
      <w:r w:rsidR="00D655A3">
        <w:rPr>
          <w:rFonts w:ascii="Garamond" w:eastAsia="Calibri" w:hAnsi="Garamond"/>
          <w:color w:val="000000"/>
        </w:rPr>
        <w:t>’</w:t>
      </w:r>
      <w:r w:rsidRPr="0011219A">
        <w:rPr>
          <w:rFonts w:ascii="Garamond" w:eastAsia="Calibri" w:hAnsi="Garamond"/>
          <w:color w:val="000000"/>
        </w:rPr>
        <w:t xml:space="preserve">iu drejtuar gjykatës për të kërkuar pavlefshmërinë e </w:t>
      </w:r>
      <w:proofErr w:type="spellStart"/>
      <w:r w:rsidRPr="0011219A">
        <w:rPr>
          <w:rFonts w:ascii="Garamond" w:eastAsia="Calibri" w:hAnsi="Garamond"/>
          <w:color w:val="000000"/>
        </w:rPr>
        <w:t>AMTP</w:t>
      </w:r>
      <w:proofErr w:type="spellEnd"/>
      <w:r w:rsidR="009D5A1B">
        <w:rPr>
          <w:rFonts w:ascii="Garamond" w:eastAsia="Calibri" w:hAnsi="Garamond"/>
          <w:color w:val="000000"/>
        </w:rPr>
        <w:t>-së</w:t>
      </w:r>
      <w:r w:rsidRPr="0011219A">
        <w:rPr>
          <w:rFonts w:ascii="Garamond" w:eastAsia="Calibri" w:hAnsi="Garamond"/>
          <w:color w:val="000000"/>
        </w:rPr>
        <w:t xml:space="preserve"> përkatëse dhe kalimin e pasurisë në pronësi shtetërore. Nëse këto shkaqe përputhen me ndonjërin nga shkaqet për të cilat ky ligj autorizon ngritjen e padisë për pavlefshmërin</w:t>
      </w:r>
      <w:r w:rsidR="00AF797C">
        <w:rPr>
          <w:rFonts w:ascii="Garamond" w:eastAsia="Calibri" w:hAnsi="Garamond"/>
          <w:color w:val="000000"/>
        </w:rPr>
        <w:t>ë</w:t>
      </w:r>
      <w:r w:rsidRPr="0011219A">
        <w:rPr>
          <w:rFonts w:ascii="Garamond" w:eastAsia="Calibri" w:hAnsi="Garamond"/>
          <w:color w:val="000000"/>
        </w:rPr>
        <w:t xml:space="preserve"> e </w:t>
      </w:r>
      <w:proofErr w:type="spellStart"/>
      <w:r w:rsidRPr="0011219A">
        <w:rPr>
          <w:rFonts w:ascii="Garamond" w:eastAsia="Calibri" w:hAnsi="Garamond"/>
          <w:color w:val="000000"/>
        </w:rPr>
        <w:t>AMTP</w:t>
      </w:r>
      <w:proofErr w:type="spellEnd"/>
      <w:r w:rsidR="00CB690E">
        <w:rPr>
          <w:rFonts w:ascii="Garamond" w:eastAsia="Calibri" w:hAnsi="Garamond"/>
          <w:color w:val="000000"/>
        </w:rPr>
        <w:t>-së</w:t>
      </w:r>
      <w:r w:rsidRPr="0011219A">
        <w:rPr>
          <w:rFonts w:ascii="Garamond" w:eastAsia="Calibri" w:hAnsi="Garamond"/>
          <w:color w:val="000000"/>
        </w:rPr>
        <w:t xml:space="preserve"> (neni 8, pika 3, neni 9, pika 2 dhe 3 të ligjit nr. 20/2020), gjykimi vijon në themel sipas standardeve të ligjit të ri; në të kundërt, në mungesë të tyre, interesi publik për vijimin e procesit konsiderohet i shuar dhe padia duhet të rrëzohet për mungesë legjitimimi aktiv të paditësit.</w:t>
      </w:r>
      <w:bookmarkStart w:id="0" w:name="_GoBack"/>
      <w:bookmarkEnd w:id="0"/>
      <w:r w:rsidRPr="0011219A">
        <w:rPr>
          <w:rFonts w:ascii="Garamond" w:eastAsia="Calibri" w:hAnsi="Garamond"/>
          <w:color w:val="000000"/>
        </w:rPr>
        <w:t xml:space="preserve"> Përmes këtij qëndrimi, ligjvënësi ka vendosur që, pavarësisht kohës së shqyrtimit, të trajtojë në mënyrë të njëjtë subjekte</w:t>
      </w:r>
      <w:r w:rsidR="00CB690E">
        <w:rPr>
          <w:rFonts w:ascii="Garamond" w:eastAsia="Calibri" w:hAnsi="Garamond"/>
          <w:color w:val="000000"/>
        </w:rPr>
        <w:t>,</w:t>
      </w:r>
      <w:r w:rsidRPr="0011219A">
        <w:rPr>
          <w:rFonts w:ascii="Garamond" w:eastAsia="Calibri" w:hAnsi="Garamond"/>
          <w:color w:val="000000"/>
        </w:rPr>
        <w:t xml:space="preserve"> të cilat ndodhen në të njëjtat kushte. Kjo dispozitë duhet parë në bashkëveprim me nenin 68, pika 5, ku e para përcakton mënyrën se si gjykatat duhet të shqyrtojnë çështjet e nisura më parë, ndërsa e dyta sanksionon detyrimin </w:t>
      </w:r>
      <w:proofErr w:type="spellStart"/>
      <w:r w:rsidRPr="0011219A">
        <w:rPr>
          <w:rFonts w:ascii="Garamond" w:eastAsia="Calibri" w:hAnsi="Garamond"/>
          <w:b/>
          <w:bCs/>
          <w:i/>
          <w:iCs/>
          <w:color w:val="000000"/>
        </w:rPr>
        <w:t>ex</w:t>
      </w:r>
      <w:proofErr w:type="spellEnd"/>
      <w:r w:rsidRPr="0011219A">
        <w:rPr>
          <w:rFonts w:ascii="Garamond" w:eastAsia="Calibri" w:hAnsi="Garamond"/>
          <w:b/>
          <w:bCs/>
          <w:i/>
          <w:iCs/>
          <w:color w:val="000000"/>
        </w:rPr>
        <w:t xml:space="preserve"> lege</w:t>
      </w:r>
      <w:r w:rsidRPr="0011219A">
        <w:rPr>
          <w:rFonts w:ascii="Garamond" w:eastAsia="Calibri" w:hAnsi="Garamond"/>
          <w:color w:val="000000"/>
        </w:rPr>
        <w:t xml:space="preserve"> të organit administrativ për të hequr dorë nga e drejta e padisë, duke e shndërruar këtë nga një akt </w:t>
      </w:r>
      <w:proofErr w:type="spellStart"/>
      <w:r w:rsidRPr="0011219A">
        <w:rPr>
          <w:rFonts w:ascii="Garamond" w:eastAsia="Calibri" w:hAnsi="Garamond"/>
          <w:color w:val="000000"/>
        </w:rPr>
        <w:t>diskrecionar</w:t>
      </w:r>
      <w:proofErr w:type="spellEnd"/>
      <w:r w:rsidRPr="0011219A">
        <w:rPr>
          <w:rFonts w:ascii="Garamond" w:eastAsia="Calibri" w:hAnsi="Garamond"/>
          <w:color w:val="000000"/>
        </w:rPr>
        <w:t xml:space="preserve"> në një pasojë të detyrueshme ligjore</w:t>
      </w:r>
      <w:r w:rsidR="00CB690E">
        <w:rPr>
          <w:rFonts w:ascii="Garamond" w:eastAsia="Calibri" w:hAnsi="Garamond"/>
          <w:color w:val="000000"/>
        </w:rPr>
        <w:t>,</w:t>
      </w:r>
      <w:r w:rsidRPr="0011219A">
        <w:rPr>
          <w:rFonts w:ascii="Garamond" w:eastAsia="Calibri" w:hAnsi="Garamond"/>
          <w:color w:val="000000"/>
        </w:rPr>
        <w:t xml:space="preserve"> që buron nga mungesa e interesit publik, për shkak të parashikimeve të shprehura ligjore.</w:t>
      </w:r>
    </w:p>
    <w:p w14:paraId="159E4271" w14:textId="6FEF37B1"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24. Kolegji vlerëson se neni 68, pika 5</w:t>
      </w:r>
      <w:r w:rsidR="00CB690E">
        <w:rPr>
          <w:rFonts w:ascii="Garamond" w:eastAsia="Calibri" w:hAnsi="Garamond"/>
          <w:color w:val="000000"/>
        </w:rPr>
        <w:t>,</w:t>
      </w:r>
      <w:r w:rsidRPr="0011219A">
        <w:rPr>
          <w:rFonts w:ascii="Garamond" w:eastAsia="Calibri" w:hAnsi="Garamond"/>
          <w:color w:val="000000"/>
        </w:rPr>
        <w:t xml:space="preserve"> i ligjit nr. 20/2020</w:t>
      </w:r>
      <w:r w:rsidR="00CB690E">
        <w:rPr>
          <w:rFonts w:ascii="Garamond" w:eastAsia="Calibri" w:hAnsi="Garamond"/>
          <w:color w:val="000000"/>
        </w:rPr>
        <w:t>,</w:t>
      </w:r>
      <w:r w:rsidRPr="0011219A">
        <w:rPr>
          <w:rFonts w:ascii="Garamond" w:eastAsia="Calibri" w:hAnsi="Garamond"/>
          <w:color w:val="000000"/>
        </w:rPr>
        <w:t xml:space="preserve"> ka natyrë të posaçme dhe shpreh qartësisht vullnetin e ligjvënësit për të përmbyllur procesin shumëvjeçar të verifikimit të titujve të pronësisë mbi tokën bujqësore, sipas ligjit të mëparshëm. Qëllimi i tij është mbyllja përfundimtare e fazës kalimtare të konsolidimit të pronësisë dhe eliminimi i disa padive të caktuara që kanë mbajtur pezull për shumë kohë sigurinë juridike të titujve të lëshuar në bazë të ligjit nr. 7501/1991 dhe akteve pasuese. Me këtë dispozitë, ligjvënësi ka synuar t’i japë fund ndërhyrjeve të vazhdueshme të administratës mbi disa kategori titujsh dhe të orientojë sistemin drejt një regjimi të njësuar pronësie, nën përgjegjësinë e Agjencisë Shtetërore të Kadastrës.</w:t>
      </w:r>
    </w:p>
    <w:p w14:paraId="7367A00C" w14:textId="3D3F4736"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25. Ky ligj</w:t>
      </w:r>
      <w:r w:rsidR="00CB690E">
        <w:rPr>
          <w:rFonts w:ascii="Garamond" w:eastAsia="Calibri" w:hAnsi="Garamond"/>
          <w:color w:val="000000"/>
        </w:rPr>
        <w:t>,</w:t>
      </w:r>
      <w:r w:rsidRPr="0011219A">
        <w:rPr>
          <w:rFonts w:ascii="Garamond" w:eastAsia="Calibri" w:hAnsi="Garamond"/>
          <w:color w:val="000000"/>
        </w:rPr>
        <w:t xml:space="preserve"> përveçse synon të krijojë siguri juridike në çështjet e pronësisë së tokës bujqësore përmes mbylljes përfundimtare të disa proceseve gjyqësore, nuk lë pa mbrojtje interesin publik, për mbrojtjen e të cilit paditë e ngritura para hyrjes së në fuqi të këtij ligji do të vazhdojnë të gjykohen</w:t>
      </w:r>
      <w:r w:rsidR="003C20E6">
        <w:rPr>
          <w:rFonts w:ascii="Garamond" w:eastAsia="Calibri" w:hAnsi="Garamond"/>
          <w:color w:val="000000"/>
        </w:rPr>
        <w:t>,</w:t>
      </w:r>
      <w:r w:rsidRPr="0011219A">
        <w:rPr>
          <w:rFonts w:ascii="Garamond" w:eastAsia="Calibri" w:hAnsi="Garamond"/>
          <w:color w:val="000000"/>
        </w:rPr>
        <w:t xml:space="preserve"> apo nëse nuk janë ngritur akoma do të mund të ngrihen. Ligjvënësi e ka identifikuar në ligj interesin publik dhe ka lidhur me të vazhdimin apo fillimin e procesit gjyqësor. </w:t>
      </w:r>
    </w:p>
    <w:p w14:paraId="6973D2A2" w14:textId="26A10D25"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26. Dispozita e nenit 68, pika 5</w:t>
      </w:r>
      <w:r w:rsidRPr="0011219A">
        <w:rPr>
          <w:rFonts w:ascii="Garamond" w:eastAsia="Calibri" w:hAnsi="Garamond"/>
          <w:color w:val="171717"/>
        </w:rPr>
        <w:t xml:space="preserve"> </w:t>
      </w:r>
      <w:r w:rsidRPr="0011219A">
        <w:rPr>
          <w:rFonts w:ascii="Garamond" w:eastAsia="Calibri" w:hAnsi="Garamond"/>
          <w:color w:val="000000"/>
        </w:rPr>
        <w:t xml:space="preserve">duhet të interpretohet në lidhje me nenin 7, pika 1, i cili përcakton vëllimin e legjitimimit aktiv të paditësit në mbrojtje të </w:t>
      </w:r>
      <w:r w:rsidR="003C20E6" w:rsidRPr="0011219A">
        <w:rPr>
          <w:rFonts w:ascii="Garamond" w:eastAsia="Calibri" w:hAnsi="Garamond"/>
          <w:color w:val="000000"/>
        </w:rPr>
        <w:t>interesit</w:t>
      </w:r>
      <w:r w:rsidRPr="0011219A">
        <w:rPr>
          <w:rFonts w:ascii="Garamond" w:eastAsia="Calibri" w:hAnsi="Garamond"/>
          <w:color w:val="000000"/>
        </w:rPr>
        <w:t xml:space="preserve"> publik. Edhe pse neni 7, </w:t>
      </w:r>
      <w:r w:rsidRPr="0011219A">
        <w:rPr>
          <w:rFonts w:ascii="Garamond" w:eastAsia="Calibri" w:hAnsi="Garamond"/>
          <w:color w:val="000000"/>
        </w:rPr>
        <w:lastRenderedPageBreak/>
        <w:t>pika 1 i referohet tekstualisht “</w:t>
      </w:r>
      <w:proofErr w:type="spellStart"/>
      <w:r w:rsidRPr="0011219A">
        <w:rPr>
          <w:rFonts w:ascii="Garamond" w:eastAsia="Calibri" w:hAnsi="Garamond"/>
          <w:color w:val="000000"/>
        </w:rPr>
        <w:t>AMTP</w:t>
      </w:r>
      <w:proofErr w:type="spellEnd"/>
      <w:r w:rsidRPr="0011219A">
        <w:rPr>
          <w:rFonts w:ascii="Garamond" w:eastAsia="Calibri" w:hAnsi="Garamond"/>
          <w:color w:val="000000"/>
        </w:rPr>
        <w:t xml:space="preserve">-ve të paregjistruara”, në të gjen pasqyrim edhe rasti kur mbrojtja e interesit publik legjitimon organet shtetërore për të kundërshtuar </w:t>
      </w:r>
      <w:proofErr w:type="spellStart"/>
      <w:r w:rsidRPr="0011219A">
        <w:rPr>
          <w:rFonts w:ascii="Garamond" w:eastAsia="Calibri" w:hAnsi="Garamond"/>
          <w:color w:val="000000"/>
        </w:rPr>
        <w:t>AMTP</w:t>
      </w:r>
      <w:proofErr w:type="spellEnd"/>
      <w:r w:rsidR="003C20E6">
        <w:rPr>
          <w:rFonts w:ascii="Garamond" w:eastAsia="Calibri" w:hAnsi="Garamond"/>
          <w:color w:val="000000"/>
        </w:rPr>
        <w:t>-të</w:t>
      </w:r>
      <w:r w:rsidRPr="0011219A">
        <w:rPr>
          <w:rFonts w:ascii="Garamond" w:eastAsia="Calibri" w:hAnsi="Garamond"/>
          <w:color w:val="000000"/>
        </w:rPr>
        <w:t xml:space="preserve"> e regjistruara tashmë në regjistrat publikë (rasti i parashikuar në nenin 9, pika 2 në lidhje me nenin 7, pika 1 shkronja “c”), çka përbën një standard material të ligjshmërisë që vlen për çdo titull pronësie, të regjistruar apo të paregjistruar. Këto standarde përbëjnë treguesin e vetëm ligjor që përcakton nëse ekziston apo jo interes publik për vijimin e procesit gjyqësor dhe duhet të mbahen parasysh, si nga ASHK</w:t>
      </w:r>
      <w:r w:rsidR="0020510A">
        <w:rPr>
          <w:rFonts w:ascii="Garamond" w:eastAsia="Calibri" w:hAnsi="Garamond"/>
          <w:color w:val="000000"/>
        </w:rPr>
        <w:t>-ja</w:t>
      </w:r>
      <w:r w:rsidRPr="0011219A">
        <w:rPr>
          <w:rFonts w:ascii="Garamond" w:eastAsia="Calibri" w:hAnsi="Garamond"/>
          <w:color w:val="000000"/>
        </w:rPr>
        <w:t xml:space="preserve"> edhe nga gjykatat në vlerësimin e ecurisë së gjykimit të padive të ngritura nga prefektët.</w:t>
      </w:r>
    </w:p>
    <w:p w14:paraId="1B648ECF" w14:textId="0163720E"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27. Në këtë kuadër, shtrohet çështja nëse efekti i nenit 68, pika 5 duhet lexuar edhe në dritën e nenit 9 të ligjit nr. 20/2020, i cili rregullon </w:t>
      </w:r>
      <w:proofErr w:type="spellStart"/>
      <w:r w:rsidRPr="0011219A">
        <w:rPr>
          <w:rFonts w:ascii="Garamond" w:eastAsia="Calibri" w:hAnsi="Garamond"/>
          <w:color w:val="000000"/>
        </w:rPr>
        <w:t>AMTP</w:t>
      </w:r>
      <w:proofErr w:type="spellEnd"/>
      <w:r w:rsidR="0020510A">
        <w:rPr>
          <w:rFonts w:ascii="Garamond" w:eastAsia="Calibri" w:hAnsi="Garamond"/>
          <w:color w:val="000000"/>
        </w:rPr>
        <w:t>-të</w:t>
      </w:r>
      <w:r w:rsidRPr="0011219A">
        <w:rPr>
          <w:rFonts w:ascii="Garamond" w:eastAsia="Calibri" w:hAnsi="Garamond"/>
          <w:color w:val="000000"/>
        </w:rPr>
        <w:t xml:space="preserve"> e regjistruara. </w:t>
      </w:r>
      <w:r w:rsidRPr="0011219A">
        <w:rPr>
          <w:rFonts w:ascii="Garamond" w:eastAsia="Calibri" w:hAnsi="Garamond"/>
          <w:b/>
          <w:bCs/>
          <w:color w:val="000000"/>
        </w:rPr>
        <w:t>Neni 9, duke iu referuar shprehimisht kufizimit të parashikuar në nenin 7, pika 1, shkronja “c”, përcakton se për titujt e regjistruar zbatohet i njëjti ndalim material lidhur me tokat me karakter publik.</w:t>
      </w:r>
      <w:r w:rsidRPr="0011219A">
        <w:rPr>
          <w:rFonts w:ascii="Garamond" w:eastAsia="Calibri" w:hAnsi="Garamond"/>
          <w:color w:val="000000"/>
        </w:rPr>
        <w:t xml:space="preserve"> Prandaj, megjithëse neni 7, pika 1 adreson titujt e paregjistruar, lidhja që vendos neni 9 me shkronjën “c” tregon se ligjvënësi ka synuar që neni 68, pika 5</w:t>
      </w:r>
      <w:r w:rsidR="00BD73D8">
        <w:rPr>
          <w:rFonts w:ascii="Garamond" w:eastAsia="Calibri" w:hAnsi="Garamond"/>
          <w:color w:val="000000"/>
        </w:rPr>
        <w:t>,</w:t>
      </w:r>
      <w:r w:rsidRPr="0011219A">
        <w:rPr>
          <w:rFonts w:ascii="Garamond" w:eastAsia="Calibri" w:hAnsi="Garamond"/>
          <w:color w:val="000000"/>
        </w:rPr>
        <w:t xml:space="preserve"> të veprojë edhe për </w:t>
      </w:r>
      <w:proofErr w:type="spellStart"/>
      <w:r w:rsidRPr="0011219A">
        <w:rPr>
          <w:rFonts w:ascii="Garamond" w:eastAsia="Calibri" w:hAnsi="Garamond"/>
          <w:color w:val="000000"/>
        </w:rPr>
        <w:t>AMTP</w:t>
      </w:r>
      <w:proofErr w:type="spellEnd"/>
      <w:r w:rsidR="00BD73D8">
        <w:rPr>
          <w:rFonts w:ascii="Garamond" w:eastAsia="Calibri" w:hAnsi="Garamond"/>
          <w:color w:val="000000"/>
        </w:rPr>
        <w:t>-të</w:t>
      </w:r>
      <w:r w:rsidRPr="0011219A">
        <w:rPr>
          <w:rFonts w:ascii="Garamond" w:eastAsia="Calibri" w:hAnsi="Garamond"/>
          <w:color w:val="000000"/>
        </w:rPr>
        <w:t xml:space="preserve"> e regjistruara, sa herë konstatohet ky kufizim material. Si rrjedhojë, detyrimi për heqje dorë ose rrëzimi i padisë për mungesë legjitimimi aktiv vepron njëlloj për të dy</w:t>
      </w:r>
      <w:r w:rsidR="00DB12B7">
        <w:rPr>
          <w:rFonts w:ascii="Garamond" w:eastAsia="Calibri" w:hAnsi="Garamond"/>
          <w:color w:val="000000"/>
        </w:rPr>
        <w:t>ja</w:t>
      </w:r>
      <w:r w:rsidRPr="0011219A">
        <w:rPr>
          <w:rFonts w:ascii="Garamond" w:eastAsia="Calibri" w:hAnsi="Garamond"/>
          <w:color w:val="000000"/>
        </w:rPr>
        <w:t xml:space="preserve"> kategoritë e titujve, duke ruajtur kriterin njësues të nenit 7, pika 1, shkronja “c”.</w:t>
      </w:r>
    </w:p>
    <w:p w14:paraId="7BC75BA2" w14:textId="7E496BA9"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28. Përcaktimi nëse vepron heqja dorë nga e drejta e padisë</w:t>
      </w:r>
      <w:r w:rsidR="006B6CA1">
        <w:rPr>
          <w:rFonts w:ascii="Garamond" w:eastAsia="Calibri" w:hAnsi="Garamond"/>
          <w:color w:val="000000"/>
        </w:rPr>
        <w:t>,</w:t>
      </w:r>
      <w:r w:rsidRPr="0011219A">
        <w:rPr>
          <w:rFonts w:ascii="Garamond" w:eastAsia="Calibri" w:hAnsi="Garamond"/>
          <w:color w:val="000000"/>
        </w:rPr>
        <w:t xml:space="preserve"> sipas nenit 68, pika 5</w:t>
      </w:r>
      <w:r w:rsidR="006B6CA1">
        <w:rPr>
          <w:rFonts w:ascii="Garamond" w:eastAsia="Calibri" w:hAnsi="Garamond"/>
          <w:color w:val="000000"/>
        </w:rPr>
        <w:t>,</w:t>
      </w:r>
      <w:r w:rsidRPr="0011219A">
        <w:rPr>
          <w:rFonts w:ascii="Garamond" w:eastAsia="Calibri" w:hAnsi="Garamond"/>
          <w:color w:val="000000"/>
        </w:rPr>
        <w:t xml:space="preserve"> kushtëzohet nga teksti material i nenit 7, pika 1, shkronja “c”, i cili i referohet karakterit publik të tokës (“truall”, “vepër infrastrukture publike”, “rërë bregdetare”, “plazh”, “sipërfaqe ujore”). Këto standarde materiale të vlefshmërisë së titullit, në përputhje me interpretimin e nenit 9, vlejnë njëlloj si për </w:t>
      </w:r>
      <w:proofErr w:type="spellStart"/>
      <w:r w:rsidRPr="0011219A">
        <w:rPr>
          <w:rFonts w:ascii="Garamond" w:eastAsia="Calibri" w:hAnsi="Garamond"/>
          <w:color w:val="000000"/>
        </w:rPr>
        <w:t>AMTP</w:t>
      </w:r>
      <w:proofErr w:type="spellEnd"/>
      <w:r w:rsidR="006B6CA1">
        <w:rPr>
          <w:rFonts w:ascii="Garamond" w:eastAsia="Calibri" w:hAnsi="Garamond"/>
          <w:color w:val="000000"/>
        </w:rPr>
        <w:t>-të</w:t>
      </w:r>
      <w:r w:rsidRPr="0011219A">
        <w:rPr>
          <w:rFonts w:ascii="Garamond" w:eastAsia="Calibri" w:hAnsi="Garamond"/>
          <w:color w:val="000000"/>
        </w:rPr>
        <w:t xml:space="preserve"> e paregjistruara, ashtu edhe për ato të regjistruara. Nëse nga verifikimi gjyqësor nuk rezulton shkelje e këtyre kushteve, interesi publik për vijimin e gjykimit konsiderohet i shuar dhe vepron neni 68, pika 5, që sjell heqjen dorë nga e drejta e padisë ose rrëzimin e padisë për mungesë legjitimimi aktiv. Vetëm në rastet kur konstatohet shkelje materiale sipas nenit 7, pika 1 (veçanërisht shkronja “c”), gjykimi vijon në themel si përjashtim i kufizuar që ruan interesin publik të ligjshëm dhe qëllimin e ligjit për mbrojtjen e tokës me karakter publik.</w:t>
      </w:r>
    </w:p>
    <w:p w14:paraId="2A135E26" w14:textId="6BA2830F"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29. Në këtë mënyrë, qëllimi </w:t>
      </w:r>
      <w:proofErr w:type="spellStart"/>
      <w:r w:rsidRPr="0011219A">
        <w:rPr>
          <w:rFonts w:ascii="Garamond" w:eastAsia="Calibri" w:hAnsi="Garamond"/>
          <w:color w:val="000000"/>
        </w:rPr>
        <w:t>teleologjik</w:t>
      </w:r>
      <w:proofErr w:type="spellEnd"/>
      <w:r w:rsidRPr="0011219A">
        <w:rPr>
          <w:rFonts w:ascii="Garamond" w:eastAsia="Calibri" w:hAnsi="Garamond"/>
          <w:color w:val="000000"/>
        </w:rPr>
        <w:t xml:space="preserve"> i nenit 68, pika 5</w:t>
      </w:r>
      <w:r w:rsidR="00DF72ED">
        <w:rPr>
          <w:rFonts w:ascii="Garamond" w:eastAsia="Calibri" w:hAnsi="Garamond"/>
          <w:color w:val="000000"/>
        </w:rPr>
        <w:t>,</w:t>
      </w:r>
      <w:r w:rsidRPr="0011219A">
        <w:rPr>
          <w:rFonts w:ascii="Garamond" w:eastAsia="Calibri" w:hAnsi="Garamond"/>
          <w:color w:val="000000"/>
        </w:rPr>
        <w:t xml:space="preserve"> është të vendosë një vijë ndarëse midis së kaluarës dhe së tashmes: të gjitha paditë e nisura nga prefekti i </w:t>
      </w:r>
      <w:r w:rsidR="004D4F9D" w:rsidRPr="0011219A">
        <w:rPr>
          <w:rFonts w:ascii="Garamond" w:eastAsia="Calibri" w:hAnsi="Garamond"/>
          <w:color w:val="000000"/>
        </w:rPr>
        <w:t xml:space="preserve">Qarkut </w:t>
      </w:r>
      <w:r w:rsidRPr="0011219A">
        <w:rPr>
          <w:rFonts w:ascii="Garamond" w:eastAsia="Calibri" w:hAnsi="Garamond"/>
          <w:color w:val="000000"/>
        </w:rPr>
        <w:t>dhe të trashëguara nga ASHK</w:t>
      </w:r>
      <w:r w:rsidR="00DF72ED">
        <w:rPr>
          <w:rFonts w:ascii="Garamond" w:eastAsia="Calibri" w:hAnsi="Garamond"/>
          <w:color w:val="000000"/>
        </w:rPr>
        <w:t>-ja</w:t>
      </w:r>
      <w:r w:rsidRPr="0011219A">
        <w:rPr>
          <w:rFonts w:ascii="Garamond" w:eastAsia="Calibri" w:hAnsi="Garamond"/>
          <w:color w:val="000000"/>
        </w:rPr>
        <w:t xml:space="preserve"> duhet të ndërpriten, përveç rasteve të veçanta që përmbushin shkaqet materiale të nenit 7, pika 1, shkronja “c”. Ky rregull është instrumenti përmes të cilit ligjvënësi mbyll procesin kalimtar të pronësisë dhe përforcon sigurinë juridike të titujve të regjistruar, duke reduktuar ndërhyrjen shtetërore vetëm në rastet e abuzimit të qartë material. Në këtë mënyrë, heqja dorë nga padia nuk është më akt formal i vullnetit të administratës, por pasojë e detyrueshme e mbylljes së një procesi historik, që ligji e konsideron të përfunduar.</w:t>
      </w:r>
    </w:p>
    <w:p w14:paraId="440F9ADE" w14:textId="391282A1"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30. Kolegji çmon se ky synim i mbylljes përfundimtare të fazës kalimtare shpjegon pse ligjvënësi e ka lidhur vijimin e gjykimit vetëm me shkaqet materiale të nenit 7, pika 1, shkronja “c”, duke mos lejuar vazhdim padish kur ky test nuk rezulton i cenuar. Kufizimi material i parashikuar nga neni 7, pika 1, i lexuar në harmoni me nenin 9, reflekton drejtpërdrejt në legjitimimin aktiv të ASHK</w:t>
      </w:r>
      <w:r w:rsidR="008E3208">
        <w:rPr>
          <w:rFonts w:ascii="Garamond" w:eastAsia="Calibri" w:hAnsi="Garamond"/>
          <w:color w:val="000000"/>
        </w:rPr>
        <w:t>-së</w:t>
      </w:r>
      <w:r w:rsidRPr="0011219A">
        <w:rPr>
          <w:rFonts w:ascii="Garamond" w:eastAsia="Calibri" w:hAnsi="Garamond"/>
          <w:color w:val="000000"/>
        </w:rPr>
        <w:t xml:space="preserve"> për paditë e trashëguara, pavarësisht statusit të regjistrimit të titullit.</w:t>
      </w:r>
    </w:p>
    <w:p w14:paraId="25B4FFEE" w14:textId="1E4C60CB"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31. Duke zëvendësuar prefektin me ASHK</w:t>
      </w:r>
      <w:r w:rsidR="00A24FE8">
        <w:rPr>
          <w:rFonts w:ascii="Garamond" w:eastAsia="Calibri" w:hAnsi="Garamond"/>
          <w:color w:val="000000"/>
        </w:rPr>
        <w:t>-në</w:t>
      </w:r>
      <w:r w:rsidRPr="0011219A">
        <w:rPr>
          <w:rFonts w:ascii="Garamond" w:eastAsia="Calibri" w:hAnsi="Garamond"/>
          <w:color w:val="000000"/>
        </w:rPr>
        <w:t xml:space="preserve"> si palë paditëse, ligji nr. 20/2020 ka kufizuar legjitimimin aktiv material të organit publik: ASHK</w:t>
      </w:r>
      <w:r w:rsidR="00A24FE8">
        <w:rPr>
          <w:rFonts w:ascii="Garamond" w:eastAsia="Calibri" w:hAnsi="Garamond"/>
          <w:color w:val="000000"/>
        </w:rPr>
        <w:t>-ja</w:t>
      </w:r>
      <w:r w:rsidRPr="0011219A">
        <w:rPr>
          <w:rFonts w:ascii="Garamond" w:eastAsia="Calibri" w:hAnsi="Garamond"/>
          <w:color w:val="000000"/>
        </w:rPr>
        <w:t xml:space="preserve"> nuk ka më tagër të përgjithshëm për të vijuar çdo padi të nisur nga prefekti, por vetëm ato që mbështeten në shkaqet e nenit 7, pika 1, shkronja “c”. Ky legjitimim është i </w:t>
      </w:r>
      <w:proofErr w:type="spellStart"/>
      <w:r w:rsidRPr="0011219A">
        <w:rPr>
          <w:rFonts w:ascii="Garamond" w:eastAsia="Calibri" w:hAnsi="Garamond"/>
          <w:color w:val="000000"/>
        </w:rPr>
        <w:t>derivuar</w:t>
      </w:r>
      <w:proofErr w:type="spellEnd"/>
      <w:r w:rsidRPr="0011219A">
        <w:rPr>
          <w:rFonts w:ascii="Garamond" w:eastAsia="Calibri" w:hAnsi="Garamond"/>
          <w:color w:val="000000"/>
        </w:rPr>
        <w:t xml:space="preserve"> </w:t>
      </w:r>
      <w:proofErr w:type="spellStart"/>
      <w:r w:rsidRPr="0011219A">
        <w:rPr>
          <w:rFonts w:ascii="Garamond" w:eastAsia="Calibri" w:hAnsi="Garamond"/>
          <w:i/>
          <w:iCs/>
          <w:color w:val="000000"/>
        </w:rPr>
        <w:t>ex</w:t>
      </w:r>
      <w:proofErr w:type="spellEnd"/>
      <w:r w:rsidRPr="0011219A">
        <w:rPr>
          <w:rFonts w:ascii="Garamond" w:eastAsia="Calibri" w:hAnsi="Garamond"/>
          <w:i/>
          <w:iCs/>
          <w:color w:val="000000"/>
        </w:rPr>
        <w:t xml:space="preserve"> lege</w:t>
      </w:r>
      <w:r w:rsidRPr="0011219A">
        <w:rPr>
          <w:rFonts w:ascii="Garamond" w:eastAsia="Calibri" w:hAnsi="Garamond"/>
          <w:color w:val="000000"/>
        </w:rPr>
        <w:t xml:space="preserve"> dhe varet nga ekzistenca e një interesi të ligjshëm publik. Për pasojë, gjykata duhet të verifikojë jo vetëm formën e padisë, por edhe bazën ligjore që justifikon vijimin e saj, duke interpretuar nenet 68, pika</w:t>
      </w:r>
      <w:r w:rsidR="00CD5C56">
        <w:rPr>
          <w:rFonts w:ascii="Garamond" w:eastAsia="Calibri" w:hAnsi="Garamond"/>
          <w:color w:val="000000"/>
        </w:rPr>
        <w:t>t</w:t>
      </w:r>
      <w:r w:rsidRPr="0011219A">
        <w:rPr>
          <w:rFonts w:ascii="Garamond" w:eastAsia="Calibri" w:hAnsi="Garamond"/>
          <w:color w:val="000000"/>
        </w:rPr>
        <w:t xml:space="preserve"> 4 dhe 5</w:t>
      </w:r>
      <w:r w:rsidR="00246411">
        <w:rPr>
          <w:rFonts w:ascii="Garamond" w:eastAsia="Calibri" w:hAnsi="Garamond"/>
          <w:color w:val="000000"/>
        </w:rPr>
        <w:t>,</w:t>
      </w:r>
      <w:r w:rsidRPr="0011219A">
        <w:rPr>
          <w:rFonts w:ascii="Garamond" w:eastAsia="Calibri" w:hAnsi="Garamond"/>
          <w:color w:val="000000"/>
        </w:rPr>
        <w:t xml:space="preserve"> në dritën e nenit 7, pika 1, shkronja “c”. Vetëm kur kjo bazë rezulton e plotësuar, vijon gjykimi në themel; në çdo rast tjetër, detyrimi për mbylljen e procesit rrjedh drejtpërdrejt nga ligji.</w:t>
      </w:r>
    </w:p>
    <w:p w14:paraId="2BCB19AA" w14:textId="2D32469B"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32. Neni 68, pika 5, i ligjit nr. 20/2020, që detyron ASHK</w:t>
      </w:r>
      <w:r w:rsidR="00066FB3">
        <w:rPr>
          <w:rFonts w:ascii="Garamond" w:eastAsia="Calibri" w:hAnsi="Garamond"/>
          <w:color w:val="000000"/>
        </w:rPr>
        <w:t>-në</w:t>
      </w:r>
      <w:r w:rsidRPr="0011219A">
        <w:rPr>
          <w:rFonts w:ascii="Garamond" w:eastAsia="Calibri" w:hAnsi="Garamond"/>
          <w:color w:val="000000"/>
        </w:rPr>
        <w:t xml:space="preserve"> të heqë dorë nga padia për të gjitha gjykimet në proces, përveç rasteve të nenit 7, pika 1, krijon një lidhje të drejtpërdrejtë ndërmjet interesit publik dhe detyrimit ligjor të organit administrativ. Ndryshe nga rregullimi i mëparshëm, ku prefekti kishte hapësirë </w:t>
      </w:r>
      <w:proofErr w:type="spellStart"/>
      <w:r w:rsidRPr="0011219A">
        <w:rPr>
          <w:rFonts w:ascii="Garamond" w:eastAsia="Calibri" w:hAnsi="Garamond"/>
          <w:color w:val="000000"/>
        </w:rPr>
        <w:t>diskrecionare</w:t>
      </w:r>
      <w:proofErr w:type="spellEnd"/>
      <w:r w:rsidRPr="0011219A">
        <w:rPr>
          <w:rFonts w:ascii="Garamond" w:eastAsia="Calibri" w:hAnsi="Garamond"/>
          <w:color w:val="000000"/>
        </w:rPr>
        <w:t xml:space="preserve"> për të vlerësuar nëse duhej apo jo të vijonte </w:t>
      </w:r>
      <w:r w:rsidRPr="0011219A">
        <w:rPr>
          <w:rFonts w:ascii="Garamond" w:eastAsia="Calibri" w:hAnsi="Garamond"/>
          <w:color w:val="000000"/>
        </w:rPr>
        <w:lastRenderedPageBreak/>
        <w:t xml:space="preserve">procesin gjyqësor, tani ligji e shndërron këtë në </w:t>
      </w:r>
      <w:r w:rsidRPr="0011219A">
        <w:rPr>
          <w:rFonts w:ascii="Garamond" w:eastAsia="Calibri" w:hAnsi="Garamond"/>
          <w:b/>
          <w:bCs/>
          <w:color w:val="000000"/>
        </w:rPr>
        <w:t xml:space="preserve">një detyrim </w:t>
      </w:r>
      <w:proofErr w:type="spellStart"/>
      <w:r w:rsidRPr="0011219A">
        <w:rPr>
          <w:rFonts w:ascii="Garamond" w:eastAsia="Calibri" w:hAnsi="Garamond"/>
          <w:b/>
          <w:bCs/>
          <w:i/>
          <w:iCs/>
          <w:color w:val="000000"/>
        </w:rPr>
        <w:t>ex</w:t>
      </w:r>
      <w:proofErr w:type="spellEnd"/>
      <w:r w:rsidRPr="0011219A">
        <w:rPr>
          <w:rFonts w:ascii="Garamond" w:eastAsia="Calibri" w:hAnsi="Garamond"/>
          <w:b/>
          <w:bCs/>
          <w:i/>
          <w:iCs/>
          <w:color w:val="000000"/>
        </w:rPr>
        <w:t xml:space="preserve"> lege</w:t>
      </w:r>
      <w:r w:rsidRPr="0011219A">
        <w:rPr>
          <w:rFonts w:ascii="Garamond" w:eastAsia="Calibri" w:hAnsi="Garamond"/>
          <w:color w:val="000000"/>
        </w:rPr>
        <w:t>, që lind automatikisht nga mungesa e shkaqeve materiale të parashikuara në nenin 7, pika 1, veçanërisht shkronja “c”.</w:t>
      </w:r>
    </w:p>
    <w:p w14:paraId="29A45E2F" w14:textId="756E0DF2"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33. Ky detyrim nuk ka karakter formal, por përbën </w:t>
      </w:r>
      <w:r w:rsidRPr="0011219A">
        <w:rPr>
          <w:rFonts w:ascii="Garamond" w:eastAsia="Calibri" w:hAnsi="Garamond"/>
          <w:b/>
          <w:bCs/>
          <w:color w:val="000000"/>
        </w:rPr>
        <w:t>pasojë të mungesës së legjitimimit aktiv material</w:t>
      </w:r>
      <w:r w:rsidRPr="0011219A">
        <w:rPr>
          <w:rFonts w:ascii="Garamond" w:eastAsia="Calibri" w:hAnsi="Garamond"/>
          <w:color w:val="000000"/>
        </w:rPr>
        <w:t xml:space="preserve"> që rezulton nga ndërhyrja e ligjit të ri. Në momentin që ligji i heq organit publik tagrin për të vijuar procesin për kategori të caktuara mosmarrëveshjesh, ai humbet pozitën e palës së legjitimuar për qëllime gjyqësore, sepse i pakësohet me ligj legjitimimi aktiv. Heqja dorë nga padia, në këtë kuptim, nuk është akt vullneti, por </w:t>
      </w:r>
      <w:r w:rsidRPr="0011219A">
        <w:rPr>
          <w:rFonts w:ascii="Garamond" w:eastAsia="Calibri" w:hAnsi="Garamond"/>
          <w:b/>
          <w:bCs/>
          <w:color w:val="000000"/>
        </w:rPr>
        <w:t>pasojë deklarative e një efekti ligjor tashmë të krijuar</w:t>
      </w:r>
      <w:r w:rsidRPr="0011219A">
        <w:rPr>
          <w:rFonts w:ascii="Garamond" w:eastAsia="Calibri" w:hAnsi="Garamond"/>
          <w:color w:val="000000"/>
        </w:rPr>
        <w:t>. Rrjedhimisht, në rastet kur ASHK</w:t>
      </w:r>
      <w:r w:rsidR="00346CDE">
        <w:rPr>
          <w:rFonts w:ascii="Garamond" w:eastAsia="Calibri" w:hAnsi="Garamond"/>
          <w:color w:val="000000"/>
        </w:rPr>
        <w:t>-ja</w:t>
      </w:r>
      <w:r w:rsidRPr="0011219A">
        <w:rPr>
          <w:rFonts w:ascii="Garamond" w:eastAsia="Calibri" w:hAnsi="Garamond"/>
          <w:color w:val="000000"/>
        </w:rPr>
        <w:t xml:space="preserve"> nuk ka depozituar një akt formal heqjeje dorë, gjykata kur nuk janë rastet </w:t>
      </w:r>
      <w:proofErr w:type="spellStart"/>
      <w:r w:rsidRPr="0011219A">
        <w:rPr>
          <w:rFonts w:ascii="Garamond" w:eastAsia="Calibri" w:hAnsi="Garamond"/>
          <w:color w:val="000000"/>
        </w:rPr>
        <w:t>përjashtimore</w:t>
      </w:r>
      <w:proofErr w:type="spellEnd"/>
      <w:r w:rsidRPr="0011219A">
        <w:rPr>
          <w:rFonts w:ascii="Garamond" w:eastAsia="Calibri" w:hAnsi="Garamond"/>
          <w:color w:val="000000"/>
        </w:rPr>
        <w:t xml:space="preserve"> të cituara më sipër, nuk mund të vazhdojë shqyrtimin e padisë sikur ky detyrim të mos ekzistonte, por duhet </w:t>
      </w:r>
      <w:r w:rsidRPr="0011219A">
        <w:rPr>
          <w:rFonts w:ascii="Garamond" w:eastAsia="Calibri" w:hAnsi="Garamond"/>
          <w:b/>
          <w:bCs/>
          <w:color w:val="000000"/>
        </w:rPr>
        <w:t>të konstatojë mungesën e interesit publik dhe të legjitimimit aktiv</w:t>
      </w:r>
      <w:r w:rsidRPr="0011219A">
        <w:rPr>
          <w:rFonts w:ascii="Garamond" w:eastAsia="Calibri" w:hAnsi="Garamond"/>
          <w:color w:val="000000"/>
        </w:rPr>
        <w:t xml:space="preserve"> dhe të vendosë rrëzimin e padisë. Kjo është pasojë e drejtpërdrejtë e </w:t>
      </w:r>
      <w:r w:rsidRPr="0011219A">
        <w:rPr>
          <w:rFonts w:ascii="Garamond" w:eastAsia="Calibri" w:hAnsi="Garamond"/>
          <w:b/>
          <w:bCs/>
          <w:color w:val="000000"/>
        </w:rPr>
        <w:t>parimit të ligjshmërisë</w:t>
      </w:r>
      <w:r w:rsidRPr="0011219A">
        <w:rPr>
          <w:rFonts w:ascii="Garamond" w:eastAsia="Calibri" w:hAnsi="Garamond"/>
          <w:color w:val="000000"/>
        </w:rPr>
        <w:t>, sipas të cilit organet publike mund të veprojnë vetëm brenda kompetencave që u njeh ligji.</w:t>
      </w:r>
    </w:p>
    <w:p w14:paraId="21BDF93B" w14:textId="6EE1A59E"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 xml:space="preserve">34. Në këtë drejtim, Kolegji thekson rëndësinë praktike të dallimit ndërmjet “pushimit të gjykimit” dhe “rrëzimit të padisë”. Pushimi është pasojë e një </w:t>
      </w:r>
      <w:r w:rsidRPr="0011219A">
        <w:rPr>
          <w:rFonts w:ascii="Garamond" w:eastAsia="Calibri" w:hAnsi="Garamond"/>
          <w:b/>
          <w:bCs/>
          <w:color w:val="000000"/>
        </w:rPr>
        <w:t>heqjeje dorë formale</w:t>
      </w:r>
      <w:r w:rsidRPr="0011219A">
        <w:rPr>
          <w:rFonts w:ascii="Garamond" w:eastAsia="Calibri" w:hAnsi="Garamond"/>
          <w:color w:val="000000"/>
        </w:rPr>
        <w:t xml:space="preserve"> të bërë nga pala, ndërsa rrëzimi për mungesë legjitimimi aktiv është </w:t>
      </w:r>
      <w:r w:rsidRPr="0011219A">
        <w:rPr>
          <w:rFonts w:ascii="Garamond" w:eastAsia="Calibri" w:hAnsi="Garamond"/>
          <w:b/>
          <w:bCs/>
          <w:color w:val="000000"/>
        </w:rPr>
        <w:t>pasojë ligjore</w:t>
      </w:r>
      <w:r w:rsidR="005842C1" w:rsidRPr="00386A7D">
        <w:rPr>
          <w:rFonts w:ascii="Garamond" w:eastAsia="Calibri" w:hAnsi="Garamond"/>
          <w:color w:val="000000"/>
        </w:rPr>
        <w:t>,</w:t>
      </w:r>
      <w:r w:rsidRPr="0011219A">
        <w:rPr>
          <w:rFonts w:ascii="Garamond" w:eastAsia="Calibri" w:hAnsi="Garamond"/>
          <w:color w:val="000000"/>
        </w:rPr>
        <w:t xml:space="preserve"> që lind vetvetiu kur ligji ia ka hequr organit publik këtë të drejtë. Në rastet kur ASHK</w:t>
      </w:r>
      <w:r w:rsidR="00386A7D">
        <w:rPr>
          <w:rFonts w:ascii="Garamond" w:eastAsia="Calibri" w:hAnsi="Garamond"/>
          <w:color w:val="000000"/>
        </w:rPr>
        <w:t>-ja</w:t>
      </w:r>
      <w:r w:rsidRPr="0011219A">
        <w:rPr>
          <w:rFonts w:ascii="Garamond" w:eastAsia="Calibri" w:hAnsi="Garamond"/>
          <w:color w:val="000000"/>
        </w:rPr>
        <w:t xml:space="preserve"> nuk ka ushtruar aktin formal të heqjes dorë, por ligji ia ka ndaluar vijimin e procesit, gjykata duhet të </w:t>
      </w:r>
      <w:r w:rsidRPr="0011219A">
        <w:rPr>
          <w:rFonts w:ascii="Garamond" w:eastAsia="Calibri" w:hAnsi="Garamond"/>
          <w:b/>
          <w:bCs/>
          <w:color w:val="000000"/>
        </w:rPr>
        <w:t>rrëzojë padinë</w:t>
      </w:r>
      <w:r w:rsidRPr="0011219A">
        <w:rPr>
          <w:rFonts w:ascii="Garamond" w:eastAsia="Calibri" w:hAnsi="Garamond"/>
          <w:color w:val="000000"/>
        </w:rPr>
        <w:t xml:space="preserve"> për mungesë interesi të ligjshëm. </w:t>
      </w:r>
      <w:r w:rsidRPr="0011219A">
        <w:rPr>
          <w:rFonts w:ascii="Garamond" w:eastAsia="Calibri" w:hAnsi="Garamond"/>
          <w:color w:val="171717"/>
        </w:rPr>
        <w:t>Duhet theksuar këtu</w:t>
      </w:r>
      <w:r w:rsidR="00674158">
        <w:rPr>
          <w:rFonts w:ascii="Garamond" w:eastAsia="Calibri" w:hAnsi="Garamond"/>
          <w:color w:val="171717"/>
        </w:rPr>
        <w:t>,</w:t>
      </w:r>
      <w:r w:rsidRPr="0011219A">
        <w:rPr>
          <w:rFonts w:ascii="Garamond" w:eastAsia="Calibri" w:hAnsi="Garamond"/>
          <w:color w:val="171717"/>
        </w:rPr>
        <w:t xml:space="preserve"> se heqja dorë për të cilën flet ligji nr. 20/2020</w:t>
      </w:r>
      <w:r w:rsidR="00674158">
        <w:rPr>
          <w:rFonts w:ascii="Garamond" w:eastAsia="Calibri" w:hAnsi="Garamond"/>
          <w:color w:val="171717"/>
        </w:rPr>
        <w:t>,</w:t>
      </w:r>
      <w:r w:rsidRPr="0011219A">
        <w:rPr>
          <w:rFonts w:ascii="Garamond" w:eastAsia="Calibri" w:hAnsi="Garamond"/>
          <w:color w:val="171717"/>
        </w:rPr>
        <w:t xml:space="preserve"> nuk lidhet me heqjen dorë nga gjykimi i padisë</w:t>
      </w:r>
      <w:r w:rsidR="00674158">
        <w:rPr>
          <w:rFonts w:ascii="Garamond" w:eastAsia="Calibri" w:hAnsi="Garamond"/>
          <w:color w:val="171717"/>
        </w:rPr>
        <w:t>,</w:t>
      </w:r>
      <w:r w:rsidRPr="0011219A">
        <w:rPr>
          <w:rFonts w:ascii="Garamond" w:eastAsia="Calibri" w:hAnsi="Garamond"/>
          <w:color w:val="171717"/>
        </w:rPr>
        <w:t xml:space="preserve"> sipas kuptimit të nenit 201 të </w:t>
      </w:r>
      <w:proofErr w:type="spellStart"/>
      <w:r w:rsidRPr="0011219A">
        <w:rPr>
          <w:rFonts w:ascii="Garamond" w:eastAsia="Calibri" w:hAnsi="Garamond"/>
          <w:color w:val="171717"/>
        </w:rPr>
        <w:t>KPC</w:t>
      </w:r>
      <w:proofErr w:type="spellEnd"/>
      <w:r w:rsidR="00674158">
        <w:rPr>
          <w:rFonts w:ascii="Garamond" w:eastAsia="Calibri" w:hAnsi="Garamond"/>
          <w:color w:val="171717"/>
        </w:rPr>
        <w:t>-së</w:t>
      </w:r>
      <w:r w:rsidRPr="0011219A">
        <w:rPr>
          <w:rFonts w:ascii="Garamond" w:eastAsia="Calibri" w:hAnsi="Garamond"/>
          <w:color w:val="171717"/>
        </w:rPr>
        <w:t>, por me atë të heqjes dorë nga e drejta e padisë</w:t>
      </w:r>
      <w:r w:rsidR="00674158">
        <w:rPr>
          <w:rFonts w:ascii="Garamond" w:eastAsia="Calibri" w:hAnsi="Garamond"/>
          <w:color w:val="171717"/>
        </w:rPr>
        <w:t>,</w:t>
      </w:r>
      <w:r w:rsidRPr="0011219A">
        <w:rPr>
          <w:rFonts w:ascii="Garamond" w:eastAsia="Calibri" w:hAnsi="Garamond"/>
          <w:color w:val="171717"/>
        </w:rPr>
        <w:t xml:space="preserve"> sipas nenit 201/a të </w:t>
      </w:r>
      <w:proofErr w:type="spellStart"/>
      <w:r w:rsidRPr="0011219A">
        <w:rPr>
          <w:rFonts w:ascii="Garamond" w:eastAsia="Calibri" w:hAnsi="Garamond"/>
          <w:color w:val="171717"/>
        </w:rPr>
        <w:t>KPC</w:t>
      </w:r>
      <w:proofErr w:type="spellEnd"/>
      <w:r w:rsidR="00674158">
        <w:rPr>
          <w:rFonts w:ascii="Garamond" w:eastAsia="Calibri" w:hAnsi="Garamond"/>
          <w:color w:val="171717"/>
        </w:rPr>
        <w:t>-së</w:t>
      </w:r>
      <w:r w:rsidRPr="0011219A">
        <w:rPr>
          <w:rFonts w:ascii="Garamond" w:eastAsia="Calibri" w:hAnsi="Garamond"/>
          <w:color w:val="171717"/>
        </w:rPr>
        <w:t>.</w:t>
      </w:r>
    </w:p>
    <w:p w14:paraId="100F2334" w14:textId="22EAA2E1"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000000"/>
        </w:rPr>
      </w:pPr>
      <w:r w:rsidRPr="0011219A">
        <w:rPr>
          <w:rFonts w:ascii="Garamond" w:eastAsia="Calibri" w:hAnsi="Garamond"/>
          <w:color w:val="000000"/>
        </w:rPr>
        <w:t xml:space="preserve">35. Ky interpretim siguron zbatimin e </w:t>
      </w:r>
      <w:r w:rsidRPr="0011219A">
        <w:rPr>
          <w:rFonts w:ascii="Garamond" w:eastAsia="Calibri" w:hAnsi="Garamond"/>
          <w:b/>
          <w:bCs/>
          <w:color w:val="000000"/>
        </w:rPr>
        <w:t>parimit të sigurisë juridike</w:t>
      </w:r>
      <w:r w:rsidRPr="0011219A">
        <w:rPr>
          <w:rFonts w:ascii="Garamond" w:eastAsia="Calibri" w:hAnsi="Garamond"/>
          <w:color w:val="000000"/>
        </w:rPr>
        <w:t>, duke shmangur mbajtjen e qytetarëve nën pasigurinë e proceseve të pafund</w:t>
      </w:r>
      <w:r w:rsidR="004516D1">
        <w:rPr>
          <w:rFonts w:ascii="Garamond" w:eastAsia="Calibri" w:hAnsi="Garamond"/>
          <w:color w:val="000000"/>
        </w:rPr>
        <w:t>me</w:t>
      </w:r>
      <w:r w:rsidRPr="0011219A">
        <w:rPr>
          <w:rFonts w:ascii="Garamond" w:eastAsia="Calibri" w:hAnsi="Garamond"/>
          <w:color w:val="000000"/>
        </w:rPr>
        <w:t xml:space="preserve"> gjyqësor</w:t>
      </w:r>
      <w:r w:rsidR="004516D1">
        <w:rPr>
          <w:rFonts w:ascii="Garamond" w:eastAsia="Calibri" w:hAnsi="Garamond"/>
          <w:color w:val="000000"/>
        </w:rPr>
        <w:t xml:space="preserve">e </w:t>
      </w:r>
      <w:r w:rsidRPr="0011219A">
        <w:rPr>
          <w:rFonts w:ascii="Garamond" w:eastAsia="Calibri" w:hAnsi="Garamond"/>
          <w:color w:val="000000"/>
        </w:rPr>
        <w:t>për tituj pronësie të fituar prej kohësh, për të cilat ligji i ka hequr tashmë legjitimimin aktiv paditësit ASHK. Vetëm rastet e jashtëzakonshme, kur ekzistojnë shkelje të rënda materiale sipas nenit 7, pika 1, shkronja “c” justifikojnë vijimin më tej të procesit gjyqësor. Kjo qasje është në përputhje me nenin 17, pika 2, të ligjit nr. 49/2012, sipas të cilit gjykata zgjidh mosmarrëveshjet “në përputhje me dispozitat ligjore dhe normat e tjera në fuqi që janë të detyrueshme”. Për rrjedhojë, gjykatat janë të detyruara të zbatojnë kriteret dhe pasojat e përcaktuara nga ligji nr. 20/2020, i cili ka zëvendësuar plotësisht ligjin nr. 9948/2008 dhe ka vendosur standardin përfundimtar të shqyrtimit gjyqësor në këtë fushë.</w:t>
      </w:r>
    </w:p>
    <w:p w14:paraId="2FC64268" w14:textId="6EC24A09"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000000"/>
        </w:rPr>
      </w:pPr>
      <w:r w:rsidRPr="0011219A">
        <w:rPr>
          <w:rFonts w:ascii="Garamond" w:eastAsia="Calibri" w:hAnsi="Garamond"/>
          <w:color w:val="000000"/>
        </w:rPr>
        <w:t xml:space="preserve">36. Parimet e mësipërme praktikisht përcaktojnë: Nëse padia ngre shkaqe që bien nën kriteret materiale të nenit 7, pika 1, shkronja “c” gjykata vijon shqyrtimin në themel dhe vendos sipas fakteve të provuara; nëse jo, konstatohet mungesa e legjitimimit aktiv material dhe padia rrëzohet. Ky standard vepron njëlloj si për </w:t>
      </w:r>
      <w:proofErr w:type="spellStart"/>
      <w:r w:rsidRPr="0011219A">
        <w:rPr>
          <w:rFonts w:ascii="Garamond" w:eastAsia="Calibri" w:hAnsi="Garamond"/>
          <w:color w:val="000000"/>
        </w:rPr>
        <w:t>AMTP</w:t>
      </w:r>
      <w:proofErr w:type="spellEnd"/>
      <w:r w:rsidR="009953BB">
        <w:rPr>
          <w:rFonts w:ascii="Garamond" w:eastAsia="Calibri" w:hAnsi="Garamond"/>
          <w:color w:val="000000"/>
        </w:rPr>
        <w:t>-të</w:t>
      </w:r>
      <w:r w:rsidRPr="0011219A">
        <w:rPr>
          <w:rFonts w:ascii="Garamond" w:eastAsia="Calibri" w:hAnsi="Garamond"/>
          <w:color w:val="000000"/>
        </w:rPr>
        <w:t xml:space="preserve"> e paregjistruara, ashtu edhe për </w:t>
      </w:r>
      <w:proofErr w:type="spellStart"/>
      <w:r w:rsidRPr="0011219A">
        <w:rPr>
          <w:rFonts w:ascii="Garamond" w:eastAsia="Calibri" w:hAnsi="Garamond"/>
          <w:color w:val="000000"/>
        </w:rPr>
        <w:t>AMTP</w:t>
      </w:r>
      <w:proofErr w:type="spellEnd"/>
      <w:r w:rsidR="009953BB">
        <w:rPr>
          <w:rFonts w:ascii="Garamond" w:eastAsia="Calibri" w:hAnsi="Garamond"/>
          <w:color w:val="000000"/>
        </w:rPr>
        <w:t>-të</w:t>
      </w:r>
      <w:r w:rsidRPr="0011219A">
        <w:rPr>
          <w:rFonts w:ascii="Garamond" w:eastAsia="Calibri" w:hAnsi="Garamond"/>
          <w:color w:val="000000"/>
        </w:rPr>
        <w:t xml:space="preserve"> e regjistruara, ku në mungesë shkeljeje sipas nenit 7, pika 1, shkronja “c” aktivizohet detyrimi i heqjes dorë sipas nenit 68, pika 5; kur heqja dorë nuk shprehet formalisht, pasoja është rrëzimi për mungesë interesi të ligjshëm.</w:t>
      </w:r>
    </w:p>
    <w:p w14:paraId="63EE5251" w14:textId="579B3E7C"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000000"/>
        </w:rPr>
      </w:pPr>
      <w:r w:rsidRPr="0011219A">
        <w:rPr>
          <w:rFonts w:ascii="Garamond" w:eastAsia="Calibri" w:hAnsi="Garamond"/>
          <w:color w:val="000000"/>
        </w:rPr>
        <w:t>37. Pra, për paditë e ngritura nga prefekti përpara hyrjes në fuqi të ligjit nr. 20/2020, ASHK</w:t>
      </w:r>
      <w:r w:rsidR="001D79C7">
        <w:rPr>
          <w:rFonts w:ascii="Garamond" w:eastAsia="Calibri" w:hAnsi="Garamond"/>
          <w:color w:val="000000"/>
        </w:rPr>
        <w:t>-ja</w:t>
      </w:r>
      <w:r w:rsidRPr="0011219A">
        <w:rPr>
          <w:rFonts w:ascii="Garamond" w:eastAsia="Calibri" w:hAnsi="Garamond"/>
          <w:color w:val="000000"/>
        </w:rPr>
        <w:t xml:space="preserve"> ka detyrimin </w:t>
      </w:r>
      <w:proofErr w:type="spellStart"/>
      <w:r w:rsidRPr="0011219A">
        <w:rPr>
          <w:rFonts w:ascii="Garamond" w:eastAsia="Calibri" w:hAnsi="Garamond"/>
          <w:i/>
          <w:iCs/>
          <w:color w:val="000000"/>
        </w:rPr>
        <w:t>ex</w:t>
      </w:r>
      <w:proofErr w:type="spellEnd"/>
      <w:r w:rsidRPr="0011219A">
        <w:rPr>
          <w:rFonts w:ascii="Garamond" w:eastAsia="Calibri" w:hAnsi="Garamond"/>
          <w:i/>
          <w:iCs/>
          <w:color w:val="000000"/>
        </w:rPr>
        <w:t xml:space="preserve"> lege</w:t>
      </w:r>
      <w:r w:rsidRPr="0011219A">
        <w:rPr>
          <w:rFonts w:ascii="Garamond" w:eastAsia="Calibri" w:hAnsi="Garamond"/>
          <w:color w:val="000000"/>
        </w:rPr>
        <w:t xml:space="preserve"> të heqë dorë, përveç rasteve të parashikuara nga neni 7, pika 1; në mungesë të heqjes dorë, gjykata konstaton mungesë legjitimimi aktiv material të palës publike dhe rrëzon padinë.</w:t>
      </w:r>
    </w:p>
    <w:p w14:paraId="48D8D2A7" w14:textId="27D2FCA2"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000000"/>
        </w:rPr>
      </w:pPr>
      <w:r w:rsidRPr="0011219A">
        <w:rPr>
          <w:rFonts w:ascii="Garamond" w:eastAsia="Calibri" w:hAnsi="Garamond"/>
          <w:color w:val="000000"/>
        </w:rPr>
        <w:t>38. Sa më sipër, Kolegji arrin në përfundimin se legjitimimi aktiv material i ASHK</w:t>
      </w:r>
      <w:r w:rsidR="003200C2">
        <w:rPr>
          <w:rFonts w:ascii="Garamond" w:eastAsia="Calibri" w:hAnsi="Garamond"/>
          <w:color w:val="000000"/>
        </w:rPr>
        <w:t>-së</w:t>
      </w:r>
      <w:r w:rsidRPr="0011219A">
        <w:rPr>
          <w:rFonts w:ascii="Garamond" w:eastAsia="Calibri" w:hAnsi="Garamond"/>
          <w:color w:val="000000"/>
        </w:rPr>
        <w:t xml:space="preserve"> në proceset e trashëguara nuk është i përgjithshëm, por i kufizuar nga ligji; zbatimi i ligjit nr. 20/2020 redukton qëllimisht hapësirën e ndërhyrjes publike, në funksion të përfundimit të proceseve kalimtare dhe stabilizimit përfundimtar të regjistrimeve.</w:t>
      </w:r>
    </w:p>
    <w:p w14:paraId="411639B8" w14:textId="212DA487"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39. Duke u mbështetur në këtë analizë të plotë dhe në interpretimin sistematik të ligjit nr. 20/2020, Kolegji çmon se duhet të përcaktohet në mënyrë përfundimtare rregulli njësues që do të drejtojë praktikën gjyqësore në të gjitha rastet analoge.</w:t>
      </w:r>
    </w:p>
    <w:p w14:paraId="0CB114A6" w14:textId="52917870" w:rsidR="00615B75" w:rsidRPr="0011219A" w:rsidRDefault="00615B75" w:rsidP="00615B75">
      <w:pPr>
        <w:tabs>
          <w:tab w:val="left" w:pos="280"/>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40. Bazuar në arsyetimin e mësipërm, në interpretim sistematik të neneve 7, pika 1</w:t>
      </w:r>
      <w:r w:rsidR="00E147BC">
        <w:rPr>
          <w:rFonts w:ascii="Garamond" w:eastAsia="Calibri" w:hAnsi="Garamond"/>
          <w:color w:val="000000"/>
        </w:rPr>
        <w:t>,</w:t>
      </w:r>
      <w:r w:rsidRPr="0011219A">
        <w:rPr>
          <w:rFonts w:ascii="Garamond" w:eastAsia="Calibri" w:hAnsi="Garamond"/>
          <w:color w:val="000000"/>
        </w:rPr>
        <w:t xml:space="preserve"> dhe 68, pika 4 e 5</w:t>
      </w:r>
      <w:r w:rsidR="00E147BC">
        <w:rPr>
          <w:rFonts w:ascii="Garamond" w:eastAsia="Calibri" w:hAnsi="Garamond"/>
          <w:color w:val="000000"/>
        </w:rPr>
        <w:t>,</w:t>
      </w:r>
      <w:r w:rsidRPr="0011219A">
        <w:rPr>
          <w:rFonts w:ascii="Garamond" w:eastAsia="Calibri" w:hAnsi="Garamond"/>
          <w:color w:val="000000"/>
        </w:rPr>
        <w:t xml:space="preserve"> të ligjit nr. 20/2020, Kolegji </w:t>
      </w:r>
      <w:proofErr w:type="spellStart"/>
      <w:r w:rsidRPr="0011219A">
        <w:rPr>
          <w:rFonts w:ascii="Garamond" w:eastAsia="Calibri" w:hAnsi="Garamond"/>
          <w:color w:val="000000"/>
        </w:rPr>
        <w:t>konkludon</w:t>
      </w:r>
      <w:proofErr w:type="spellEnd"/>
      <w:r w:rsidRPr="0011219A">
        <w:rPr>
          <w:rFonts w:ascii="Garamond" w:eastAsia="Calibri" w:hAnsi="Garamond"/>
          <w:color w:val="000000"/>
        </w:rPr>
        <w:t xml:space="preserve"> në këtë </w:t>
      </w:r>
      <w:r w:rsidRPr="0011219A">
        <w:rPr>
          <w:rFonts w:ascii="Garamond" w:eastAsia="Calibri" w:hAnsi="Garamond"/>
          <w:b/>
          <w:bCs/>
          <w:color w:val="000000"/>
        </w:rPr>
        <w:t>rregull njësues</w:t>
      </w:r>
      <w:r w:rsidRPr="0011219A">
        <w:rPr>
          <w:rFonts w:ascii="Garamond" w:eastAsia="Calibri" w:hAnsi="Garamond"/>
          <w:color w:val="000000"/>
        </w:rPr>
        <w:t>:</w:t>
      </w:r>
    </w:p>
    <w:p w14:paraId="2B7B394D" w14:textId="2466127E" w:rsidR="00615B75" w:rsidRPr="0011219A" w:rsidRDefault="00615B75" w:rsidP="00615B75">
      <w:pPr>
        <w:tabs>
          <w:tab w:val="left" w:pos="440"/>
        </w:tabs>
        <w:autoSpaceDE w:val="0"/>
        <w:autoSpaceDN w:val="0"/>
        <w:adjustRightInd w:val="0"/>
        <w:ind w:firstLine="284"/>
        <w:jc w:val="both"/>
        <w:rPr>
          <w:rFonts w:ascii="Garamond" w:eastAsia="Calibri" w:hAnsi="Garamond"/>
          <w:color w:val="171717"/>
        </w:rPr>
      </w:pPr>
      <w:r w:rsidRPr="0011219A">
        <w:rPr>
          <w:rFonts w:ascii="Garamond" w:eastAsia="Calibri" w:hAnsi="Garamond"/>
          <w:b/>
          <w:bCs/>
          <w:color w:val="171717"/>
        </w:rPr>
        <w:t>i</w:t>
      </w:r>
      <w:r w:rsidR="00BD4E1D">
        <w:rPr>
          <w:rFonts w:ascii="Garamond" w:eastAsia="Calibri" w:hAnsi="Garamond"/>
          <w:b/>
          <w:bCs/>
          <w:color w:val="171717"/>
        </w:rPr>
        <w:t>.</w:t>
      </w:r>
      <w:r w:rsidRPr="0011219A">
        <w:rPr>
          <w:rFonts w:ascii="Garamond" w:eastAsia="Calibri" w:hAnsi="Garamond"/>
          <w:b/>
          <w:bCs/>
          <w:color w:val="171717"/>
        </w:rPr>
        <w:t xml:space="preserve"> </w:t>
      </w:r>
      <w:r w:rsidRPr="0011219A">
        <w:rPr>
          <w:rFonts w:ascii="Garamond" w:eastAsia="Calibri" w:hAnsi="Garamond"/>
          <w:b/>
          <w:bCs/>
          <w:i/>
          <w:iCs/>
          <w:color w:val="171717"/>
        </w:rPr>
        <w:t>Në zbatim të nenit 68, pika 5 të ligjit nr.</w:t>
      </w:r>
      <w:r w:rsidR="007103FA">
        <w:rPr>
          <w:rFonts w:ascii="Garamond" w:eastAsia="Calibri" w:hAnsi="Garamond"/>
          <w:b/>
          <w:bCs/>
          <w:i/>
          <w:iCs/>
          <w:color w:val="171717"/>
        </w:rPr>
        <w:t xml:space="preserve"> </w:t>
      </w:r>
      <w:r w:rsidRPr="0011219A">
        <w:rPr>
          <w:rFonts w:ascii="Garamond" w:eastAsia="Calibri" w:hAnsi="Garamond"/>
          <w:b/>
          <w:bCs/>
          <w:i/>
          <w:iCs/>
          <w:color w:val="171717"/>
        </w:rPr>
        <w:t>20/2020</w:t>
      </w:r>
      <w:r w:rsidR="00BD4E1D">
        <w:rPr>
          <w:rFonts w:ascii="Garamond" w:eastAsia="Calibri" w:hAnsi="Garamond"/>
          <w:b/>
          <w:bCs/>
          <w:i/>
          <w:iCs/>
          <w:color w:val="171717"/>
        </w:rPr>
        <w:t>,</w:t>
      </w:r>
      <w:r w:rsidRPr="0011219A">
        <w:rPr>
          <w:rFonts w:ascii="Garamond" w:eastAsia="Calibri" w:hAnsi="Garamond"/>
          <w:b/>
          <w:bCs/>
          <w:i/>
          <w:iCs/>
          <w:color w:val="171717"/>
        </w:rPr>
        <w:t xml:space="preserve"> “Për përfundimin e proceseve kalimtare të pronësisë në Republikën e Shqipërisë”</w:t>
      </w:r>
      <w:r w:rsidR="00E147BC">
        <w:rPr>
          <w:rFonts w:ascii="Garamond" w:eastAsia="Calibri" w:hAnsi="Garamond"/>
          <w:b/>
          <w:bCs/>
          <w:i/>
          <w:iCs/>
          <w:color w:val="171717"/>
        </w:rPr>
        <w:t>,</w:t>
      </w:r>
      <w:r w:rsidRPr="0011219A">
        <w:rPr>
          <w:rFonts w:ascii="Garamond" w:eastAsia="Calibri" w:hAnsi="Garamond"/>
          <w:b/>
          <w:bCs/>
          <w:i/>
          <w:iCs/>
          <w:color w:val="171717"/>
        </w:rPr>
        <w:t xml:space="preserve"> për të gjitha paditë e ngritura nga </w:t>
      </w:r>
      <w:r w:rsidRPr="0011219A">
        <w:rPr>
          <w:rFonts w:ascii="Garamond" w:eastAsia="Calibri" w:hAnsi="Garamond"/>
          <w:b/>
          <w:bCs/>
          <w:i/>
          <w:iCs/>
          <w:color w:val="171717"/>
        </w:rPr>
        <w:lastRenderedPageBreak/>
        <w:t xml:space="preserve">prefekti, përpara hyrjes në fuqi të këtij ligji, më datë 7.5.2020, me objekt pavlefshmërinë/shfuqizimin e </w:t>
      </w:r>
      <w:proofErr w:type="spellStart"/>
      <w:r w:rsidRPr="0011219A">
        <w:rPr>
          <w:rFonts w:ascii="Garamond" w:eastAsia="Calibri" w:hAnsi="Garamond"/>
          <w:b/>
          <w:bCs/>
          <w:i/>
          <w:iCs/>
          <w:color w:val="171717"/>
        </w:rPr>
        <w:t>AMTP</w:t>
      </w:r>
      <w:proofErr w:type="spellEnd"/>
      <w:r w:rsidR="00E147BC">
        <w:rPr>
          <w:rFonts w:ascii="Garamond" w:eastAsia="Calibri" w:hAnsi="Garamond"/>
          <w:b/>
          <w:bCs/>
          <w:i/>
          <w:iCs/>
          <w:color w:val="171717"/>
        </w:rPr>
        <w:t>-së</w:t>
      </w:r>
      <w:r w:rsidRPr="0011219A">
        <w:rPr>
          <w:rFonts w:ascii="Garamond" w:eastAsia="Calibri" w:hAnsi="Garamond"/>
          <w:b/>
          <w:bCs/>
          <w:i/>
          <w:iCs/>
          <w:color w:val="171717"/>
        </w:rPr>
        <w:t>, pavarësisht se në cilën shkallë gjykimi ndodhen, ASHK</w:t>
      </w:r>
      <w:r w:rsidR="00E521D7">
        <w:rPr>
          <w:rFonts w:ascii="Garamond" w:eastAsia="Calibri" w:hAnsi="Garamond"/>
          <w:b/>
          <w:bCs/>
          <w:i/>
          <w:iCs/>
          <w:color w:val="171717"/>
        </w:rPr>
        <w:t>-ja</w:t>
      </w:r>
      <w:r w:rsidRPr="0011219A">
        <w:rPr>
          <w:rFonts w:ascii="Garamond" w:eastAsia="Calibri" w:hAnsi="Garamond"/>
          <w:b/>
          <w:bCs/>
          <w:i/>
          <w:iCs/>
          <w:color w:val="171717"/>
        </w:rPr>
        <w:t xml:space="preserve"> detyrohet të heqë dorë nga e drejta e padisë, përveç rasteve kur shkaku ligjor i padisë është sipas përcaktimeve të nenit 7, pika 1 të këtij ligji.</w:t>
      </w:r>
    </w:p>
    <w:p w14:paraId="358BE0DE" w14:textId="7058646D" w:rsidR="00615B75" w:rsidRPr="0011219A" w:rsidRDefault="00615B75" w:rsidP="00615B75">
      <w:pPr>
        <w:tabs>
          <w:tab w:val="left" w:pos="440"/>
        </w:tabs>
        <w:autoSpaceDE w:val="0"/>
        <w:autoSpaceDN w:val="0"/>
        <w:adjustRightInd w:val="0"/>
        <w:ind w:firstLine="284"/>
        <w:jc w:val="both"/>
        <w:rPr>
          <w:rFonts w:ascii="Garamond" w:eastAsia="Calibri" w:hAnsi="Garamond"/>
          <w:b/>
          <w:bCs/>
          <w:i/>
          <w:iCs/>
          <w:color w:val="171717"/>
        </w:rPr>
      </w:pPr>
      <w:proofErr w:type="spellStart"/>
      <w:r w:rsidRPr="0011219A">
        <w:rPr>
          <w:rFonts w:ascii="Garamond" w:eastAsia="Calibri" w:hAnsi="Garamond"/>
          <w:b/>
          <w:bCs/>
          <w:color w:val="171717"/>
        </w:rPr>
        <w:t>ii</w:t>
      </w:r>
      <w:proofErr w:type="spellEnd"/>
      <w:r w:rsidR="00BD4E1D">
        <w:rPr>
          <w:rFonts w:ascii="Garamond" w:eastAsia="Calibri" w:hAnsi="Garamond"/>
          <w:b/>
          <w:bCs/>
          <w:color w:val="171717"/>
        </w:rPr>
        <w:t>.</w:t>
      </w:r>
      <w:r w:rsidRPr="0011219A">
        <w:rPr>
          <w:rFonts w:ascii="Garamond" w:eastAsia="Calibri" w:hAnsi="Garamond"/>
          <w:b/>
          <w:bCs/>
          <w:color w:val="171717"/>
        </w:rPr>
        <w:t xml:space="preserve"> </w:t>
      </w:r>
      <w:r w:rsidRPr="0011219A">
        <w:rPr>
          <w:rFonts w:ascii="Garamond" w:eastAsia="Calibri" w:hAnsi="Garamond"/>
          <w:b/>
          <w:bCs/>
          <w:i/>
          <w:iCs/>
          <w:color w:val="171717"/>
        </w:rPr>
        <w:t>Kur mungon vullneti i shprehur për heqjen dorë nga e drejta e padisë prej ASHK</w:t>
      </w:r>
      <w:r w:rsidR="00E521D7">
        <w:rPr>
          <w:rFonts w:ascii="Garamond" w:eastAsia="Calibri" w:hAnsi="Garamond"/>
          <w:b/>
          <w:bCs/>
          <w:i/>
          <w:iCs/>
          <w:color w:val="171717"/>
        </w:rPr>
        <w:t>-së</w:t>
      </w:r>
      <w:r w:rsidRPr="0011219A">
        <w:rPr>
          <w:rFonts w:ascii="Garamond" w:eastAsia="Calibri" w:hAnsi="Garamond"/>
          <w:b/>
          <w:bCs/>
          <w:i/>
          <w:iCs/>
          <w:color w:val="171717"/>
        </w:rPr>
        <w:t>, në zbatim të nenit 68, pika 4</w:t>
      </w:r>
      <w:r w:rsidR="00B94BCB">
        <w:rPr>
          <w:rFonts w:ascii="Garamond" w:eastAsia="Calibri" w:hAnsi="Garamond"/>
          <w:b/>
          <w:bCs/>
          <w:i/>
          <w:iCs/>
          <w:color w:val="171717"/>
        </w:rPr>
        <w:t>,</w:t>
      </w:r>
      <w:r w:rsidRPr="0011219A">
        <w:rPr>
          <w:rFonts w:ascii="Garamond" w:eastAsia="Calibri" w:hAnsi="Garamond"/>
          <w:b/>
          <w:bCs/>
          <w:i/>
          <w:iCs/>
          <w:color w:val="171717"/>
        </w:rPr>
        <w:t xml:space="preserve"> të ligjit nr. 20/2020</w:t>
      </w:r>
      <w:r w:rsidR="00BD4E1D">
        <w:rPr>
          <w:rFonts w:ascii="Garamond" w:eastAsia="Calibri" w:hAnsi="Garamond"/>
          <w:b/>
          <w:bCs/>
          <w:i/>
          <w:iCs/>
          <w:color w:val="171717"/>
        </w:rPr>
        <w:t>,</w:t>
      </w:r>
      <w:r w:rsidRPr="0011219A">
        <w:rPr>
          <w:rFonts w:ascii="Garamond" w:eastAsia="Calibri" w:hAnsi="Garamond"/>
          <w:b/>
          <w:bCs/>
          <w:i/>
          <w:iCs/>
          <w:color w:val="171717"/>
        </w:rPr>
        <w:t xml:space="preserve"> “Për përfundimin e proceseve kalimtare të pronësisë në Republikën e Shqipërisë”</w:t>
      </w:r>
      <w:r w:rsidR="00B94BCB">
        <w:rPr>
          <w:rFonts w:ascii="Garamond" w:eastAsia="Calibri" w:hAnsi="Garamond"/>
          <w:b/>
          <w:bCs/>
          <w:i/>
          <w:iCs/>
          <w:color w:val="171717"/>
        </w:rPr>
        <w:t>,</w:t>
      </w:r>
      <w:r w:rsidRPr="0011219A">
        <w:rPr>
          <w:rFonts w:ascii="Garamond" w:eastAsia="Calibri" w:hAnsi="Garamond"/>
          <w:b/>
          <w:bCs/>
          <w:i/>
          <w:iCs/>
          <w:color w:val="171717"/>
        </w:rPr>
        <w:t xml:space="preserve"> gjykatat vijojnë shqyrtimin e padive të ngritura nga prefektët me objekt pavlefshmërinë/shfuqizimin e </w:t>
      </w:r>
      <w:proofErr w:type="spellStart"/>
      <w:r w:rsidRPr="0011219A">
        <w:rPr>
          <w:rFonts w:ascii="Garamond" w:eastAsia="Calibri" w:hAnsi="Garamond"/>
          <w:b/>
          <w:bCs/>
          <w:i/>
          <w:iCs/>
          <w:color w:val="171717"/>
        </w:rPr>
        <w:t>AMTP</w:t>
      </w:r>
      <w:proofErr w:type="spellEnd"/>
      <w:r w:rsidR="00B94BCB">
        <w:rPr>
          <w:rFonts w:ascii="Garamond" w:eastAsia="Calibri" w:hAnsi="Garamond"/>
          <w:b/>
          <w:bCs/>
          <w:i/>
          <w:iCs/>
          <w:color w:val="171717"/>
        </w:rPr>
        <w:t>-së</w:t>
      </w:r>
      <w:r w:rsidRPr="0011219A">
        <w:rPr>
          <w:rFonts w:ascii="Garamond" w:eastAsia="Calibri" w:hAnsi="Garamond"/>
          <w:b/>
          <w:bCs/>
          <w:i/>
          <w:iCs/>
          <w:color w:val="171717"/>
        </w:rPr>
        <w:t>, sipas kritereve të këtij ligji.</w:t>
      </w:r>
    </w:p>
    <w:p w14:paraId="3F8665A4" w14:textId="070EC5C2" w:rsidR="00615B75" w:rsidRPr="0011219A" w:rsidRDefault="00615B75" w:rsidP="00615B75">
      <w:pPr>
        <w:tabs>
          <w:tab w:val="left" w:pos="440"/>
        </w:tabs>
        <w:autoSpaceDE w:val="0"/>
        <w:autoSpaceDN w:val="0"/>
        <w:adjustRightInd w:val="0"/>
        <w:ind w:firstLine="284"/>
        <w:jc w:val="both"/>
        <w:rPr>
          <w:rFonts w:ascii="Garamond" w:eastAsia="Calibri" w:hAnsi="Garamond"/>
          <w:b/>
          <w:bCs/>
          <w:i/>
          <w:iCs/>
          <w:color w:val="171717"/>
        </w:rPr>
      </w:pPr>
      <w:proofErr w:type="spellStart"/>
      <w:r w:rsidRPr="0011219A">
        <w:rPr>
          <w:rFonts w:ascii="Garamond" w:eastAsia="Calibri" w:hAnsi="Garamond"/>
          <w:b/>
          <w:bCs/>
          <w:color w:val="171717"/>
        </w:rPr>
        <w:t>iii</w:t>
      </w:r>
      <w:proofErr w:type="spellEnd"/>
      <w:r w:rsidR="00BD4E1D">
        <w:rPr>
          <w:rFonts w:ascii="Garamond" w:eastAsia="Calibri" w:hAnsi="Garamond"/>
          <w:b/>
          <w:bCs/>
          <w:color w:val="171717"/>
        </w:rPr>
        <w:t>.</w:t>
      </w:r>
      <w:r w:rsidRPr="0011219A">
        <w:rPr>
          <w:rFonts w:ascii="Garamond" w:eastAsia="Calibri" w:hAnsi="Garamond"/>
          <w:b/>
          <w:bCs/>
          <w:color w:val="171717"/>
        </w:rPr>
        <w:t xml:space="preserve"> </w:t>
      </w:r>
      <w:r w:rsidRPr="0011219A">
        <w:rPr>
          <w:rFonts w:ascii="Garamond" w:eastAsia="Calibri" w:hAnsi="Garamond"/>
          <w:b/>
          <w:bCs/>
          <w:i/>
          <w:iCs/>
          <w:color w:val="171717"/>
        </w:rPr>
        <w:t>Në rast se në padi ngrihen formalisht pretendime me shkaqe nga ato të përcaktuara nga neni 7, pika 1</w:t>
      </w:r>
      <w:r w:rsidR="00BD4E1D">
        <w:rPr>
          <w:rFonts w:ascii="Garamond" w:eastAsia="Calibri" w:hAnsi="Garamond"/>
          <w:b/>
          <w:bCs/>
          <w:i/>
          <w:iCs/>
          <w:color w:val="171717"/>
        </w:rPr>
        <w:t>,</w:t>
      </w:r>
      <w:r w:rsidRPr="0011219A">
        <w:rPr>
          <w:rFonts w:ascii="Garamond" w:eastAsia="Calibri" w:hAnsi="Garamond"/>
          <w:b/>
          <w:bCs/>
          <w:i/>
          <w:iCs/>
          <w:color w:val="171717"/>
        </w:rPr>
        <w:t xml:space="preserve"> të ligjit nr. 20/2020</w:t>
      </w:r>
      <w:r w:rsidR="00BD4E1D">
        <w:rPr>
          <w:rFonts w:ascii="Garamond" w:eastAsia="Calibri" w:hAnsi="Garamond"/>
          <w:b/>
          <w:bCs/>
          <w:i/>
          <w:iCs/>
          <w:color w:val="171717"/>
        </w:rPr>
        <w:t>,</w:t>
      </w:r>
      <w:r w:rsidR="001C50E9">
        <w:rPr>
          <w:rFonts w:ascii="Garamond" w:eastAsia="Calibri" w:hAnsi="Garamond"/>
          <w:b/>
          <w:bCs/>
          <w:i/>
          <w:iCs/>
          <w:color w:val="171717"/>
        </w:rPr>
        <w:t xml:space="preserve"> </w:t>
      </w:r>
      <w:r w:rsidRPr="0011219A">
        <w:rPr>
          <w:rFonts w:ascii="Garamond" w:eastAsia="Calibri" w:hAnsi="Garamond"/>
          <w:b/>
          <w:bCs/>
          <w:i/>
          <w:iCs/>
          <w:color w:val="171717"/>
        </w:rPr>
        <w:t>gjykatat disponojnë për pranimin ose rrëzimin e padisë, varësisht gjendjes së faktit të vërtetuar. Nëse padia nuk ngre formalisht asnjë nga shkaqet e përcaktuara nga neni 7, pika 1 të ligjit nr. 20/2020, gjykatat vlerësojnë mungesën e legjitimimit aktiv material të palës paditëse dhe disponojnë me rrëzimin e padisë.</w:t>
      </w:r>
    </w:p>
    <w:p w14:paraId="77DD58DA" w14:textId="60415C1D" w:rsidR="00615B75" w:rsidRPr="0011219A" w:rsidRDefault="00615B75" w:rsidP="00615B75">
      <w:pPr>
        <w:autoSpaceDE w:val="0"/>
        <w:autoSpaceDN w:val="0"/>
        <w:adjustRightInd w:val="0"/>
        <w:ind w:firstLine="284"/>
        <w:jc w:val="both"/>
        <w:rPr>
          <w:rFonts w:ascii="Garamond" w:eastAsia="Calibri" w:hAnsi="Garamond"/>
          <w:i/>
          <w:iCs/>
          <w:color w:val="171717"/>
        </w:rPr>
      </w:pPr>
      <w:r w:rsidRPr="0011219A">
        <w:rPr>
          <w:rFonts w:ascii="Garamond" w:eastAsia="Calibri" w:hAnsi="Garamond"/>
          <w:i/>
          <w:iCs/>
          <w:color w:val="171717"/>
        </w:rPr>
        <w:t>-</w:t>
      </w:r>
      <w:r w:rsidR="00BD4E1D">
        <w:rPr>
          <w:rFonts w:ascii="Garamond" w:eastAsia="Calibri" w:hAnsi="Garamond"/>
          <w:i/>
          <w:iCs/>
          <w:color w:val="171717"/>
        </w:rPr>
        <w:t xml:space="preserve"> </w:t>
      </w:r>
      <w:r w:rsidRPr="0011219A">
        <w:rPr>
          <w:rFonts w:ascii="Garamond" w:eastAsia="Calibri" w:hAnsi="Garamond"/>
          <w:i/>
          <w:iCs/>
          <w:color w:val="171717"/>
        </w:rPr>
        <w:t>Zgjidhja e çështjes konkrete.</w:t>
      </w:r>
    </w:p>
    <w:p w14:paraId="71E585A4" w14:textId="28595FAC" w:rsidR="00615B75" w:rsidRPr="0011219A" w:rsidRDefault="00615B75" w:rsidP="00615B75">
      <w:pPr>
        <w:tabs>
          <w:tab w:val="left" w:pos="36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41. Në vlerësim të fakteve të pranuara nga gjykatat më të ulëta, Kolegji konstaton se padia është ngritur përpara hyrjes në fuqi të ligjit nr. 20/2020 dhe, për rrjedhojë, mbi të veprojnë dispozitat kalimtare të nenit 68, pika 4 dhe 5 të këtij ligji. Në zbatim të këtyre dispozitave, ASHK</w:t>
      </w:r>
      <w:r w:rsidR="00231E8B">
        <w:rPr>
          <w:rFonts w:ascii="Garamond" w:eastAsia="Calibri" w:hAnsi="Garamond"/>
          <w:color w:val="000000"/>
        </w:rPr>
        <w:t>-ja</w:t>
      </w:r>
      <w:r w:rsidRPr="0011219A">
        <w:rPr>
          <w:rFonts w:ascii="Garamond" w:eastAsia="Calibri" w:hAnsi="Garamond"/>
          <w:color w:val="000000"/>
        </w:rPr>
        <w:t>, si pasardhëse ligjore e prefektit, gëzon legjitimim aktiv vetëm për rastet kur shkaqet e padisë përputhen me kriteret materiale të nenit 7, pika 1</w:t>
      </w:r>
      <w:r w:rsidR="00231260">
        <w:rPr>
          <w:rFonts w:ascii="Garamond" w:eastAsia="Calibri" w:hAnsi="Garamond"/>
          <w:color w:val="000000"/>
        </w:rPr>
        <w:t>,</w:t>
      </w:r>
      <w:r w:rsidRPr="0011219A">
        <w:rPr>
          <w:rFonts w:ascii="Garamond" w:eastAsia="Calibri" w:hAnsi="Garamond"/>
          <w:color w:val="000000"/>
        </w:rPr>
        <w:t xml:space="preserve"> shkronja “c”. Në mungesë të këtyre shkaqeve, interesi publik për vijimin e procesit gjyqësor shuhet dhe padia nuk mund të vazhdojë.</w:t>
      </w:r>
    </w:p>
    <w:p w14:paraId="0D44E78F" w14:textId="07B814F1" w:rsidR="00615B75" w:rsidRPr="0011219A" w:rsidRDefault="00615B75" w:rsidP="00615B75">
      <w:pPr>
        <w:tabs>
          <w:tab w:val="left" w:pos="36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42. Kolegji vlerëson se, në rastin konkret, sipas fakteve të konstatuara nga gjykata më e ulët nuk është provuar ndonjë nga shkeljet materiale të përcaktuara në nenin 7, pika 1</w:t>
      </w:r>
      <w:r w:rsidR="00231260">
        <w:rPr>
          <w:rFonts w:ascii="Garamond" w:eastAsia="Calibri" w:hAnsi="Garamond"/>
          <w:color w:val="000000"/>
        </w:rPr>
        <w:t>,</w:t>
      </w:r>
      <w:r w:rsidRPr="0011219A">
        <w:rPr>
          <w:rFonts w:ascii="Garamond" w:eastAsia="Calibri" w:hAnsi="Garamond"/>
          <w:color w:val="000000"/>
        </w:rPr>
        <w:t xml:space="preserve"> shkronja “c”. Për rrjedhojë, organi publik nuk ka më legjitimim aktiv material për të ndjekur procesin. Heqja dorë nga padia në këtë rast nuk është çështje vullneti, por pasojë e drejtpërdrejtë e detyrimit ligjor të nenit 68, pika 5, që ndalon vijimin e proceseve të tilla.</w:t>
      </w:r>
    </w:p>
    <w:p w14:paraId="27740515" w14:textId="60838AD7" w:rsidR="00615B75" w:rsidRPr="0011219A" w:rsidRDefault="00615B75" w:rsidP="00615B75">
      <w:pPr>
        <w:tabs>
          <w:tab w:val="left" w:pos="360"/>
        </w:tabs>
        <w:autoSpaceDE w:val="0"/>
        <w:autoSpaceDN w:val="0"/>
        <w:adjustRightInd w:val="0"/>
        <w:ind w:firstLine="284"/>
        <w:jc w:val="both"/>
        <w:rPr>
          <w:rFonts w:ascii="Garamond" w:eastAsia="Calibri" w:hAnsi="Garamond"/>
          <w:color w:val="171717"/>
        </w:rPr>
      </w:pPr>
      <w:r w:rsidRPr="0011219A">
        <w:rPr>
          <w:rFonts w:ascii="Garamond" w:eastAsia="Calibri" w:hAnsi="Garamond"/>
          <w:color w:val="000000"/>
        </w:rPr>
        <w:t>43. Në këtë kuptim, vendimi i Gjykatës Administrative të Apelit, i cili ka pushuar gjykimin, është i pasaktë, pasi padia duhej të rrëzohej për mungesë legjitimimi aktiv material, në përputhje me rregullin njësues dhe qëllimin e ligjit për përfundimin e proceseve kalimtare.</w:t>
      </w:r>
    </w:p>
    <w:p w14:paraId="28F3CFF2" w14:textId="77777777" w:rsidR="00615B75" w:rsidRPr="0011219A" w:rsidRDefault="00615B75" w:rsidP="00615B75">
      <w:pPr>
        <w:autoSpaceDE w:val="0"/>
        <w:autoSpaceDN w:val="0"/>
        <w:adjustRightInd w:val="0"/>
        <w:ind w:firstLine="284"/>
        <w:jc w:val="right"/>
        <w:rPr>
          <w:rFonts w:ascii="Garamond" w:eastAsia="Calibri" w:hAnsi="Garamond"/>
          <w:color w:val="171717"/>
        </w:rPr>
      </w:pPr>
    </w:p>
    <w:p w14:paraId="2C7D3E2C" w14:textId="77777777" w:rsidR="00615B75" w:rsidRPr="0011219A" w:rsidRDefault="00615B75" w:rsidP="00615B75">
      <w:pPr>
        <w:autoSpaceDE w:val="0"/>
        <w:autoSpaceDN w:val="0"/>
        <w:adjustRightInd w:val="0"/>
        <w:ind w:firstLine="284"/>
        <w:jc w:val="center"/>
        <w:rPr>
          <w:rFonts w:ascii="Garamond" w:eastAsia="Calibri" w:hAnsi="Garamond"/>
          <w:bCs/>
          <w:color w:val="171717"/>
        </w:rPr>
      </w:pPr>
      <w:r w:rsidRPr="0011219A">
        <w:rPr>
          <w:rFonts w:ascii="Garamond" w:eastAsia="Calibri" w:hAnsi="Garamond"/>
          <w:bCs/>
          <w:color w:val="171717"/>
        </w:rPr>
        <w:t>PËR KËTO ARSYE,</w:t>
      </w:r>
    </w:p>
    <w:p w14:paraId="5BC6EDDB" w14:textId="77777777" w:rsidR="00615B75" w:rsidRPr="0011219A" w:rsidRDefault="00615B75" w:rsidP="00615B75">
      <w:pPr>
        <w:autoSpaceDE w:val="0"/>
        <w:autoSpaceDN w:val="0"/>
        <w:adjustRightInd w:val="0"/>
        <w:ind w:firstLine="284"/>
        <w:jc w:val="center"/>
        <w:rPr>
          <w:rFonts w:ascii="Garamond" w:eastAsia="Calibri" w:hAnsi="Garamond"/>
          <w:b/>
          <w:bCs/>
          <w:color w:val="171717"/>
        </w:rPr>
      </w:pPr>
    </w:p>
    <w:p w14:paraId="799FDC85" w14:textId="1C9A2509" w:rsidR="00615B75" w:rsidRPr="0011219A" w:rsidRDefault="00615B75" w:rsidP="00615B75">
      <w:pPr>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Kolegji Administrativ i Gjykatës së Lartë, mbështetur në nenin 1, pika 2, neni 58</w:t>
      </w:r>
      <w:r w:rsidR="00231260">
        <w:rPr>
          <w:rFonts w:ascii="Garamond" w:eastAsia="Calibri" w:hAnsi="Garamond"/>
          <w:color w:val="171717"/>
        </w:rPr>
        <w:t>,</w:t>
      </w:r>
      <w:r w:rsidRPr="0011219A">
        <w:rPr>
          <w:rFonts w:ascii="Garamond" w:eastAsia="Calibri" w:hAnsi="Garamond"/>
          <w:color w:val="171717"/>
        </w:rPr>
        <w:t xml:space="preserve"> në lidhje me nenin 62/a dhe neni 63, pika 1, shkronja “dh”</w:t>
      </w:r>
      <w:r w:rsidR="00231260">
        <w:rPr>
          <w:rFonts w:ascii="Garamond" w:eastAsia="Calibri" w:hAnsi="Garamond"/>
          <w:color w:val="171717"/>
        </w:rPr>
        <w:t>,</w:t>
      </w:r>
      <w:r w:rsidRPr="0011219A">
        <w:rPr>
          <w:rFonts w:ascii="Garamond" w:eastAsia="Calibri" w:hAnsi="Garamond"/>
          <w:color w:val="171717"/>
        </w:rPr>
        <w:t xml:space="preserve"> të ligjit nr. 49/2012</w:t>
      </w:r>
      <w:r w:rsidR="007103FA">
        <w:rPr>
          <w:rFonts w:ascii="Garamond" w:eastAsia="Calibri" w:hAnsi="Garamond"/>
          <w:color w:val="171717"/>
        </w:rPr>
        <w:t xml:space="preserve">, </w:t>
      </w:r>
      <w:r w:rsidR="007103FA">
        <w:rPr>
          <w:rFonts w:ascii="Garamond" w:eastAsia="Calibri" w:hAnsi="Garamond"/>
          <w:i/>
          <w:iCs/>
          <w:color w:val="171717"/>
        </w:rPr>
        <w:t>“</w:t>
      </w:r>
      <w:r w:rsidRPr="0011219A">
        <w:rPr>
          <w:rFonts w:ascii="Garamond" w:eastAsia="Calibri" w:hAnsi="Garamond"/>
          <w:i/>
          <w:iCs/>
          <w:color w:val="171717"/>
        </w:rPr>
        <w:t>Për gjykatat administrative dhe gjykimin e mosmarrëveshjeve administrative”</w:t>
      </w:r>
      <w:r w:rsidRPr="0011219A">
        <w:rPr>
          <w:rFonts w:ascii="Garamond" w:eastAsia="Calibri" w:hAnsi="Garamond"/>
          <w:color w:val="171717"/>
        </w:rPr>
        <w:t xml:space="preserve">, </w:t>
      </w:r>
      <w:r w:rsidR="007103FA">
        <w:rPr>
          <w:rFonts w:ascii="Garamond" w:eastAsia="Calibri" w:hAnsi="Garamond"/>
          <w:color w:val="171717"/>
        </w:rPr>
        <w:t>të</w:t>
      </w:r>
      <w:r w:rsidRPr="0011219A">
        <w:rPr>
          <w:rFonts w:ascii="Garamond" w:eastAsia="Calibri" w:hAnsi="Garamond"/>
          <w:color w:val="171717"/>
        </w:rPr>
        <w:t xml:space="preserve"> ndryshuar,</w:t>
      </w:r>
    </w:p>
    <w:p w14:paraId="04DBE516" w14:textId="77777777" w:rsidR="00615B75" w:rsidRPr="0011219A" w:rsidRDefault="00615B75" w:rsidP="00615B75">
      <w:pPr>
        <w:autoSpaceDE w:val="0"/>
        <w:autoSpaceDN w:val="0"/>
        <w:adjustRightInd w:val="0"/>
        <w:ind w:firstLine="284"/>
        <w:jc w:val="both"/>
        <w:rPr>
          <w:rFonts w:ascii="Garamond" w:eastAsia="Calibri" w:hAnsi="Garamond"/>
          <w:color w:val="171717"/>
        </w:rPr>
      </w:pPr>
    </w:p>
    <w:p w14:paraId="02F03FC2" w14:textId="77777777" w:rsidR="00615B75" w:rsidRPr="0011219A" w:rsidRDefault="00615B75" w:rsidP="00615B75">
      <w:pPr>
        <w:autoSpaceDE w:val="0"/>
        <w:autoSpaceDN w:val="0"/>
        <w:adjustRightInd w:val="0"/>
        <w:ind w:firstLine="284"/>
        <w:jc w:val="center"/>
        <w:rPr>
          <w:rFonts w:ascii="Garamond" w:eastAsia="Calibri" w:hAnsi="Garamond"/>
          <w:bCs/>
          <w:color w:val="171717"/>
        </w:rPr>
      </w:pPr>
      <w:r w:rsidRPr="0011219A">
        <w:rPr>
          <w:rFonts w:ascii="Garamond" w:eastAsia="Calibri" w:hAnsi="Garamond"/>
          <w:bCs/>
          <w:color w:val="171717"/>
        </w:rPr>
        <w:t>VENDOSI:</w:t>
      </w:r>
    </w:p>
    <w:p w14:paraId="55CAA2E2" w14:textId="77777777" w:rsidR="00615B75" w:rsidRPr="0011219A" w:rsidRDefault="00615B75" w:rsidP="00615B75">
      <w:pPr>
        <w:autoSpaceDE w:val="0"/>
        <w:autoSpaceDN w:val="0"/>
        <w:adjustRightInd w:val="0"/>
        <w:ind w:firstLine="284"/>
        <w:jc w:val="center"/>
        <w:rPr>
          <w:rFonts w:ascii="Garamond" w:eastAsia="Calibri" w:hAnsi="Garamond"/>
          <w:b/>
          <w:bCs/>
          <w:color w:val="171717"/>
        </w:rPr>
      </w:pPr>
    </w:p>
    <w:p w14:paraId="59D794CA" w14:textId="608B9D4A" w:rsidR="00615B75" w:rsidRPr="0011219A" w:rsidRDefault="00615B75" w:rsidP="00615B75">
      <w:pPr>
        <w:tabs>
          <w:tab w:val="left" w:pos="5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1.</w:t>
      </w:r>
      <w:r w:rsidR="00066EC7" w:rsidRPr="0011219A">
        <w:rPr>
          <w:rFonts w:ascii="Garamond" w:eastAsia="Calibri" w:hAnsi="Garamond"/>
          <w:color w:val="171717"/>
        </w:rPr>
        <w:t xml:space="preserve"> </w:t>
      </w:r>
      <w:r w:rsidRPr="0011219A">
        <w:rPr>
          <w:rFonts w:ascii="Garamond" w:eastAsia="Calibri" w:hAnsi="Garamond"/>
          <w:color w:val="171717"/>
        </w:rPr>
        <w:t>Ndryshimin e vendimit nr.</w:t>
      </w:r>
      <w:r w:rsidR="007103FA">
        <w:rPr>
          <w:rFonts w:ascii="Garamond" w:eastAsia="Calibri" w:hAnsi="Garamond"/>
          <w:color w:val="171717"/>
        </w:rPr>
        <w:t xml:space="preserve"> </w:t>
      </w:r>
      <w:r w:rsidRPr="0011219A">
        <w:rPr>
          <w:rFonts w:ascii="Garamond" w:eastAsia="Calibri" w:hAnsi="Garamond"/>
          <w:color w:val="171717"/>
        </w:rPr>
        <w:t>494 (86-2023-720), datë 7.7.2023</w:t>
      </w:r>
      <w:r w:rsidR="007103FA">
        <w:rPr>
          <w:rFonts w:ascii="Garamond" w:eastAsia="Calibri" w:hAnsi="Garamond"/>
          <w:color w:val="171717"/>
        </w:rPr>
        <w:t>,</w:t>
      </w:r>
      <w:r w:rsidRPr="0011219A">
        <w:rPr>
          <w:rFonts w:ascii="Garamond" w:eastAsia="Calibri" w:hAnsi="Garamond"/>
          <w:color w:val="171717"/>
        </w:rPr>
        <w:t xml:space="preserve"> të Gjykatës Administrative të Apelit</w:t>
      </w:r>
      <w:r w:rsidR="00231260">
        <w:rPr>
          <w:rFonts w:ascii="Garamond" w:eastAsia="Calibri" w:hAnsi="Garamond"/>
          <w:color w:val="171717"/>
        </w:rPr>
        <w:t>,</w:t>
      </w:r>
      <w:r w:rsidRPr="0011219A">
        <w:rPr>
          <w:rFonts w:ascii="Garamond" w:eastAsia="Calibri" w:hAnsi="Garamond"/>
          <w:color w:val="171717"/>
        </w:rPr>
        <w:t xml:space="preserve"> dhe të vendimit nr.</w:t>
      </w:r>
      <w:r w:rsidR="007103FA">
        <w:rPr>
          <w:rFonts w:ascii="Garamond" w:eastAsia="Calibri" w:hAnsi="Garamond"/>
          <w:color w:val="171717"/>
        </w:rPr>
        <w:t xml:space="preserve"> </w:t>
      </w:r>
      <w:r w:rsidRPr="0011219A">
        <w:rPr>
          <w:rFonts w:ascii="Garamond" w:eastAsia="Calibri" w:hAnsi="Garamond"/>
          <w:color w:val="171717"/>
        </w:rPr>
        <w:t>4687 (80-2016-4727), datë 12.10.2016</w:t>
      </w:r>
      <w:r w:rsidR="00BD4E1D">
        <w:rPr>
          <w:rFonts w:ascii="Garamond" w:eastAsia="Calibri" w:hAnsi="Garamond"/>
          <w:color w:val="171717"/>
        </w:rPr>
        <w:t>,</w:t>
      </w:r>
      <w:r w:rsidRPr="0011219A">
        <w:rPr>
          <w:rFonts w:ascii="Garamond" w:eastAsia="Calibri" w:hAnsi="Garamond"/>
          <w:color w:val="171717"/>
        </w:rPr>
        <w:t xml:space="preserve"> të Gjykatës Administrative të Shkallës së Parë Tiranë dhe rrëzimin e padisë.</w:t>
      </w:r>
    </w:p>
    <w:p w14:paraId="3E73EE50" w14:textId="721880EF" w:rsidR="00615B75" w:rsidRPr="0011219A" w:rsidRDefault="00615B75" w:rsidP="00615B75">
      <w:pPr>
        <w:tabs>
          <w:tab w:val="left" w:pos="540"/>
        </w:tabs>
        <w:autoSpaceDE w:val="0"/>
        <w:autoSpaceDN w:val="0"/>
        <w:adjustRightInd w:val="0"/>
        <w:ind w:firstLine="284"/>
        <w:jc w:val="both"/>
        <w:rPr>
          <w:rFonts w:ascii="Garamond" w:eastAsia="Calibri" w:hAnsi="Garamond"/>
          <w:color w:val="171717"/>
        </w:rPr>
      </w:pPr>
      <w:r w:rsidRPr="0011219A">
        <w:rPr>
          <w:rFonts w:ascii="Garamond" w:eastAsia="Calibri" w:hAnsi="Garamond"/>
          <w:color w:val="171717"/>
        </w:rPr>
        <w:t>2.</w:t>
      </w:r>
      <w:r w:rsidR="00066EC7" w:rsidRPr="0011219A">
        <w:rPr>
          <w:rFonts w:ascii="Garamond" w:eastAsia="Calibri" w:hAnsi="Garamond"/>
          <w:color w:val="171717"/>
        </w:rPr>
        <w:t xml:space="preserve"> </w:t>
      </w:r>
      <w:r w:rsidRPr="0011219A">
        <w:rPr>
          <w:rFonts w:ascii="Garamond" w:eastAsia="Calibri" w:hAnsi="Garamond"/>
          <w:color w:val="171717"/>
        </w:rPr>
        <w:t>Ky vendim njësues botohet në Fletoren Zyrtare.</w:t>
      </w:r>
    </w:p>
    <w:p w14:paraId="23166DD1" w14:textId="77777777" w:rsidR="00A31F6D" w:rsidRDefault="00A31F6D" w:rsidP="00AC2044">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Calibri" w:hAnsi="Garamond"/>
          <w:b/>
          <w:bCs/>
          <w:color w:val="171717"/>
        </w:rPr>
      </w:pPr>
    </w:p>
    <w:p w14:paraId="52CF4172" w14:textId="4F041616" w:rsidR="00615B75" w:rsidRDefault="00615B75" w:rsidP="00AC2044">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Calibri" w:hAnsi="Garamond"/>
          <w:b/>
          <w:bCs/>
          <w:color w:val="171717"/>
        </w:rPr>
      </w:pPr>
      <w:r w:rsidRPr="0011219A">
        <w:rPr>
          <w:rFonts w:ascii="Garamond" w:eastAsia="Calibri" w:hAnsi="Garamond"/>
          <w:b/>
          <w:bCs/>
          <w:color w:val="171717"/>
        </w:rPr>
        <w:t>Tiranë, më 18.2.2025</w:t>
      </w:r>
      <w:r w:rsidR="00A31F6D">
        <w:rPr>
          <w:rFonts w:ascii="Garamond" w:eastAsia="Calibri" w:hAnsi="Garamond"/>
          <w:b/>
          <w:bCs/>
          <w:color w:val="171717"/>
        </w:rPr>
        <w:t>.</w:t>
      </w:r>
    </w:p>
    <w:p w14:paraId="06C3390B" w14:textId="77777777" w:rsidR="008B792C" w:rsidRDefault="008B792C" w:rsidP="00AC2044">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Calibri" w:hAnsi="Garamond"/>
          <w:b/>
          <w:bCs/>
          <w:color w:val="171717"/>
        </w:rPr>
      </w:pPr>
    </w:p>
    <w:p w14:paraId="6AD01C09" w14:textId="0A70222E" w:rsidR="00A31F6D" w:rsidRDefault="00A31F6D" w:rsidP="00AC2044">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Calibri" w:hAnsi="Garamond"/>
          <w:color w:val="171717"/>
        </w:rPr>
      </w:pPr>
      <w:r>
        <w:rPr>
          <w:rFonts w:ascii="Garamond" w:eastAsia="Calibri" w:hAnsi="Garamond"/>
          <w:b/>
          <w:bCs/>
          <w:color w:val="171717"/>
        </w:rPr>
        <w:t xml:space="preserve">Kryesues: </w:t>
      </w:r>
      <w:r w:rsidRPr="00A31F6D">
        <w:rPr>
          <w:rFonts w:ascii="Garamond" w:eastAsia="Calibri" w:hAnsi="Garamond"/>
          <w:color w:val="171717"/>
        </w:rPr>
        <w:t xml:space="preserve">Sokol </w:t>
      </w:r>
      <w:proofErr w:type="spellStart"/>
      <w:r w:rsidRPr="00A31F6D">
        <w:rPr>
          <w:rFonts w:ascii="Garamond" w:eastAsia="Calibri" w:hAnsi="Garamond"/>
          <w:color w:val="171717"/>
        </w:rPr>
        <w:t>Sadushi</w:t>
      </w:r>
      <w:proofErr w:type="spellEnd"/>
    </w:p>
    <w:p w14:paraId="23C44AEC" w14:textId="3122BFC9" w:rsidR="00A31F6D" w:rsidRPr="0011219A" w:rsidRDefault="00A31F6D" w:rsidP="00AC2044">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Calibri" w:hAnsi="Garamond"/>
          <w:b/>
          <w:bCs/>
          <w:color w:val="171717"/>
        </w:rPr>
      </w:pPr>
      <w:r>
        <w:rPr>
          <w:rFonts w:ascii="Garamond" w:eastAsia="Calibri" w:hAnsi="Garamond"/>
          <w:b/>
          <w:bCs/>
          <w:color w:val="171717"/>
        </w:rPr>
        <w:t xml:space="preserve">Anëtarë:  </w:t>
      </w:r>
      <w:proofErr w:type="spellStart"/>
      <w:r w:rsidRPr="00A31F6D">
        <w:rPr>
          <w:rFonts w:ascii="Garamond" w:eastAsia="Calibri" w:hAnsi="Garamond"/>
          <w:color w:val="171717"/>
        </w:rPr>
        <w:t>Asim</w:t>
      </w:r>
      <w:proofErr w:type="spellEnd"/>
      <w:r w:rsidRPr="00A31F6D">
        <w:rPr>
          <w:rFonts w:ascii="Garamond" w:eastAsia="Calibri" w:hAnsi="Garamond"/>
          <w:color w:val="171717"/>
        </w:rPr>
        <w:t xml:space="preserve"> </w:t>
      </w:r>
      <w:proofErr w:type="spellStart"/>
      <w:r w:rsidRPr="00A31F6D">
        <w:rPr>
          <w:rFonts w:ascii="Garamond" w:eastAsia="Calibri" w:hAnsi="Garamond"/>
          <w:color w:val="171717"/>
        </w:rPr>
        <w:t>Voksi</w:t>
      </w:r>
      <w:proofErr w:type="spellEnd"/>
      <w:r w:rsidRPr="00A31F6D">
        <w:rPr>
          <w:rFonts w:ascii="Garamond" w:eastAsia="Calibri" w:hAnsi="Garamond"/>
          <w:color w:val="171717"/>
        </w:rPr>
        <w:t xml:space="preserve">, Arbena </w:t>
      </w:r>
      <w:proofErr w:type="spellStart"/>
      <w:r w:rsidRPr="00A31F6D">
        <w:rPr>
          <w:rFonts w:ascii="Garamond" w:eastAsia="Calibri" w:hAnsi="Garamond"/>
          <w:color w:val="171717"/>
        </w:rPr>
        <w:t>Ahmeti</w:t>
      </w:r>
      <w:proofErr w:type="spellEnd"/>
      <w:r w:rsidRPr="00A31F6D">
        <w:rPr>
          <w:rFonts w:ascii="Garamond" w:eastAsia="Calibri" w:hAnsi="Garamond"/>
          <w:color w:val="171717"/>
        </w:rPr>
        <w:t xml:space="preserve">, Enkelejda </w:t>
      </w:r>
      <w:proofErr w:type="spellStart"/>
      <w:r w:rsidRPr="00A31F6D">
        <w:rPr>
          <w:rFonts w:ascii="Garamond" w:eastAsia="Calibri" w:hAnsi="Garamond"/>
          <w:color w:val="171717"/>
        </w:rPr>
        <w:t>Metaliaj</w:t>
      </w:r>
      <w:proofErr w:type="spellEnd"/>
      <w:r w:rsidRPr="00A31F6D">
        <w:rPr>
          <w:rFonts w:ascii="Garamond" w:eastAsia="Calibri" w:hAnsi="Garamond"/>
          <w:color w:val="171717"/>
        </w:rPr>
        <w:t xml:space="preserve"> (Softa), Gentian </w:t>
      </w:r>
      <w:proofErr w:type="spellStart"/>
      <w:r w:rsidRPr="00A31F6D">
        <w:rPr>
          <w:rFonts w:ascii="Garamond" w:eastAsia="Calibri" w:hAnsi="Garamond"/>
          <w:color w:val="171717"/>
        </w:rPr>
        <w:t>Medja</w:t>
      </w:r>
      <w:proofErr w:type="spellEnd"/>
    </w:p>
    <w:sectPr w:rsidR="00A31F6D" w:rsidRPr="0011219A" w:rsidSect="00231260">
      <w:footerReference w:type="default" r:id="rId19"/>
      <w:pgSz w:w="11906" w:h="16838" w:code="9"/>
      <w:pgMar w:top="1170" w:right="1440" w:bottom="1440" w:left="1440" w:header="720" w:footer="8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15AE0" w14:textId="77777777" w:rsidR="003200C2" w:rsidRDefault="003200C2" w:rsidP="00F37043">
      <w:r>
        <w:separator/>
      </w:r>
    </w:p>
  </w:endnote>
  <w:endnote w:type="continuationSeparator" w:id="0">
    <w:p w14:paraId="423B28A2" w14:textId="77777777" w:rsidR="003200C2" w:rsidRDefault="003200C2" w:rsidP="00F37043">
      <w:r>
        <w:continuationSeparator/>
      </w:r>
    </w:p>
  </w:endnote>
  <w:endnote w:type="continuationNotice" w:id="1">
    <w:p w14:paraId="002D56AA" w14:textId="77777777" w:rsidR="003200C2" w:rsidRDefault="00320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EF936" w14:textId="4811DAEF" w:rsidR="003200C2" w:rsidRDefault="003200C2">
    <w:pPr>
      <w:pStyle w:val="Footer"/>
      <w:jc w:val="right"/>
    </w:pPr>
    <w:r>
      <w:fldChar w:fldCharType="begin"/>
    </w:r>
    <w:r>
      <w:instrText xml:space="preserve"> PAGE   \* MERGEFORMAT </w:instrText>
    </w:r>
    <w:r>
      <w:fldChar w:fldCharType="separate"/>
    </w:r>
    <w:r>
      <w:rPr>
        <w:noProof/>
      </w:rPr>
      <w:t>2</w:t>
    </w:r>
    <w:r>
      <w:rPr>
        <w:noProof/>
      </w:rPr>
      <w:fldChar w:fldCharType="end"/>
    </w:r>
  </w:p>
  <w:p w14:paraId="6F5B6089" w14:textId="77777777" w:rsidR="003200C2" w:rsidRDefault="00320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14AF7" w14:textId="77777777" w:rsidR="003200C2" w:rsidRDefault="003200C2" w:rsidP="00F37043">
      <w:r>
        <w:separator/>
      </w:r>
    </w:p>
  </w:footnote>
  <w:footnote w:type="continuationSeparator" w:id="0">
    <w:p w14:paraId="7F36BDD5" w14:textId="77777777" w:rsidR="003200C2" w:rsidRDefault="003200C2" w:rsidP="00F37043">
      <w:r>
        <w:continuationSeparator/>
      </w:r>
    </w:p>
  </w:footnote>
  <w:footnote w:type="continuationNotice" w:id="1">
    <w:p w14:paraId="75FC114D" w14:textId="77777777" w:rsidR="003200C2" w:rsidRDefault="003200C2"/>
  </w:footnote>
  <w:footnote w:id="2">
    <w:p w14:paraId="660768FC" w14:textId="260B9427" w:rsidR="003200C2" w:rsidRPr="000B0730" w:rsidRDefault="003200C2" w:rsidP="000B0730">
      <w:pPr>
        <w:pStyle w:val="FootnoteText"/>
        <w:jc w:val="both"/>
        <w:rPr>
          <w:rFonts w:ascii="Garamond" w:hAnsi="Garamond"/>
          <w:i/>
          <w:color w:val="C00000"/>
          <w:lang w:val="sq-AL"/>
        </w:rPr>
      </w:pPr>
      <w:r>
        <w:rPr>
          <w:rStyle w:val="FootnoteReference"/>
        </w:rPr>
        <w:footnoteRef/>
      </w:r>
      <w:r>
        <w:t xml:space="preserve"> </w:t>
      </w:r>
      <w:r w:rsidRPr="00624B63">
        <w:rPr>
          <w:rFonts w:ascii="Garamond" w:hAnsi="Garamond"/>
          <w:i/>
          <w:color w:val="171717"/>
          <w:lang w:val="sq-AL"/>
        </w:rPr>
        <w:t>Vendimi i ndërmjetëm datë 23.7.2024</w:t>
      </w:r>
      <w:r>
        <w:rPr>
          <w:rFonts w:ascii="Garamond" w:hAnsi="Garamond"/>
          <w:i/>
          <w:color w:val="171717"/>
          <w:lang w:val="sq-AL"/>
        </w:rPr>
        <w:t>,</w:t>
      </w:r>
      <w:r w:rsidRPr="00624B63">
        <w:rPr>
          <w:rFonts w:ascii="Garamond" w:hAnsi="Garamond"/>
          <w:i/>
          <w:color w:val="171717"/>
          <w:lang w:val="sq-AL"/>
        </w:rPr>
        <w:t xml:space="preserve"> i Kolegjit Administrativ për njësimin e praktikës gjyqësore për çështjen përkatëse është njoftuar me anë të publikimit dhe në faqen zyrtare të Gjykatës së Lartë, si vijon: </w:t>
      </w:r>
      <w:hyperlink r:id="rId1" w:history="1">
        <w:r w:rsidRPr="00624B63">
          <w:rPr>
            <w:rStyle w:val="Hyperlink"/>
            <w:rFonts w:ascii="Garamond" w:hAnsi="Garamond"/>
            <w:lang w:val="sq-AL"/>
          </w:rPr>
          <w:t>https://www.gjykataelarte.gov.al/sq/vendime-te-ndermjetme-per-njesiminndryshimin-e-praktikes-gjyqesore</w:t>
        </w:r>
      </w:hyperlink>
      <w:r w:rsidRPr="00624B63">
        <w:rPr>
          <w:rFonts w:ascii="Garamond" w:hAnsi="Garamond"/>
          <w:lang w:val="sq-AL"/>
        </w:rPr>
        <w:t xml:space="preserve"> </w:t>
      </w:r>
      <w:r w:rsidRPr="00624B63">
        <w:rPr>
          <w:rFonts w:ascii="Garamond" w:hAnsi="Garamond"/>
          <w:i/>
          <w:lang w:val="sq-AL"/>
        </w:rPr>
        <w:t xml:space="preserve"> </w:t>
      </w:r>
    </w:p>
  </w:footnote>
  <w:footnote w:id="3">
    <w:p w14:paraId="5D41A764" w14:textId="4E7AC5ED" w:rsidR="003200C2" w:rsidRPr="00FB3575" w:rsidRDefault="003200C2" w:rsidP="00FB3575">
      <w:pPr>
        <w:pStyle w:val="NormalWeb"/>
        <w:shd w:val="clear" w:color="auto" w:fill="FFFFFF"/>
        <w:spacing w:before="0" w:beforeAutospacing="0" w:after="0" w:afterAutospacing="0"/>
        <w:jc w:val="both"/>
        <w:textAlignment w:val="baseline"/>
        <w:rPr>
          <w:rFonts w:ascii="Garamond" w:hAnsi="Garamond"/>
          <w:i/>
          <w:sz w:val="20"/>
          <w:szCs w:val="20"/>
          <w:lang w:val="sq-AL"/>
        </w:rPr>
      </w:pPr>
      <w:r>
        <w:rPr>
          <w:rStyle w:val="FootnoteReference"/>
        </w:rPr>
        <w:footnoteRef/>
      </w:r>
      <w:r>
        <w:t xml:space="preserve"> </w:t>
      </w:r>
      <w:r w:rsidRPr="00624B63">
        <w:rPr>
          <w:rFonts w:ascii="Garamond" w:hAnsi="Garamond"/>
          <w:i/>
          <w:sz w:val="20"/>
          <w:szCs w:val="20"/>
          <w:lang w:val="sq-AL"/>
        </w:rPr>
        <w:t>Për më shumë shih vendimin nr.</w:t>
      </w:r>
      <w:r>
        <w:rPr>
          <w:rFonts w:ascii="Garamond" w:hAnsi="Garamond"/>
          <w:i/>
          <w:sz w:val="20"/>
          <w:szCs w:val="20"/>
          <w:lang w:val="sq-AL"/>
        </w:rPr>
        <w:t xml:space="preserve"> </w:t>
      </w:r>
      <w:r w:rsidRPr="00624B63">
        <w:rPr>
          <w:rFonts w:ascii="Garamond" w:hAnsi="Garamond"/>
          <w:bCs/>
          <w:i/>
          <w:sz w:val="20"/>
          <w:szCs w:val="20"/>
          <w:lang w:val="sq-AL"/>
        </w:rPr>
        <w:t>00-2023-1699, datë 24.4.2023</w:t>
      </w:r>
      <w:r>
        <w:rPr>
          <w:rFonts w:ascii="Garamond" w:hAnsi="Garamond"/>
          <w:bCs/>
          <w:i/>
          <w:sz w:val="20"/>
          <w:szCs w:val="20"/>
          <w:lang w:val="sq-AL"/>
        </w:rPr>
        <w:t>,</w:t>
      </w:r>
      <w:r w:rsidRPr="00624B63">
        <w:rPr>
          <w:rFonts w:ascii="Garamond" w:hAnsi="Garamond"/>
          <w:bCs/>
          <w:i/>
          <w:sz w:val="20"/>
          <w:szCs w:val="20"/>
          <w:lang w:val="sq-AL"/>
        </w:rPr>
        <w:t xml:space="preserve"> të </w:t>
      </w:r>
      <w:r w:rsidRPr="00624B63">
        <w:rPr>
          <w:rFonts w:ascii="Garamond" w:hAnsi="Garamond"/>
          <w:i/>
          <w:sz w:val="20"/>
          <w:szCs w:val="20"/>
          <w:lang w:val="sq-AL"/>
        </w:rPr>
        <w:t>Kolegjit Administrativ të Gjykatës së Lartë.</w:t>
      </w:r>
    </w:p>
  </w:footnote>
  <w:footnote w:id="4">
    <w:p w14:paraId="1D9BCEBF" w14:textId="76BDC1FE" w:rsidR="003200C2" w:rsidRPr="00FB3575" w:rsidRDefault="003200C2" w:rsidP="00FB3575">
      <w:pPr>
        <w:pStyle w:val="FootnoteText"/>
        <w:jc w:val="both"/>
        <w:rPr>
          <w:rFonts w:ascii="Garamond" w:hAnsi="Garamond"/>
          <w:i/>
          <w:lang w:val="sq-AL"/>
        </w:rPr>
      </w:pPr>
      <w:r>
        <w:rPr>
          <w:rStyle w:val="FootnoteReference"/>
        </w:rPr>
        <w:footnoteRef/>
      </w:r>
      <w:r>
        <w:t xml:space="preserve"> </w:t>
      </w:r>
      <w:r w:rsidRPr="00624B63">
        <w:rPr>
          <w:rFonts w:ascii="Garamond" w:hAnsi="Garamond"/>
          <w:i/>
          <w:lang w:val="sq-AL"/>
        </w:rPr>
        <w:t>Vendimi i ndërmjetëm mbi nisjen e procedurës për njësimin e praktikës gjyqësore administrative, ku jepen arsyet për nevojën e njësimit</w:t>
      </w:r>
      <w:r>
        <w:rPr>
          <w:rFonts w:ascii="Garamond" w:hAnsi="Garamond"/>
          <w:i/>
          <w:lang w:val="sq-AL"/>
        </w:rPr>
        <w:t xml:space="preserve"> </w:t>
      </w:r>
      <w:r w:rsidRPr="00624B63">
        <w:rPr>
          <w:rFonts w:ascii="Garamond" w:hAnsi="Garamond"/>
          <w:i/>
          <w:lang w:val="sq-AL"/>
        </w:rPr>
        <w:t xml:space="preserve">është njoftuar me anë të publikimit në faqen zyrtare në </w:t>
      </w:r>
      <w:proofErr w:type="spellStart"/>
      <w:r>
        <w:rPr>
          <w:rFonts w:ascii="Garamond" w:hAnsi="Garamond"/>
          <w:i/>
          <w:lang w:val="sq-AL"/>
        </w:rPr>
        <w:t>w</w:t>
      </w:r>
      <w:r w:rsidRPr="00624B63">
        <w:rPr>
          <w:rFonts w:ascii="Garamond" w:hAnsi="Garamond"/>
          <w:i/>
          <w:lang w:val="sq-AL"/>
        </w:rPr>
        <w:t>eb</w:t>
      </w:r>
      <w:proofErr w:type="spellEnd"/>
      <w:r w:rsidRPr="00624B63">
        <w:rPr>
          <w:rFonts w:ascii="Garamond" w:hAnsi="Garamond"/>
          <w:i/>
          <w:lang w:val="sq-AL"/>
        </w:rPr>
        <w:t xml:space="preserve"> të Gjykatës së Lartë, siç përmendet dhe më lart.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57C5"/>
    <w:multiLevelType w:val="hybridMultilevel"/>
    <w:tmpl w:val="F1063C2C"/>
    <w:lvl w:ilvl="0" w:tplc="44A4CBB6">
      <w:start w:val="22"/>
      <w:numFmt w:val="decimal"/>
      <w:lvlText w:val="%1."/>
      <w:lvlJc w:val="left"/>
      <w:pPr>
        <w:ind w:left="502" w:hanging="360"/>
      </w:pPr>
      <w:rPr>
        <w:rFonts w:ascii="Times New Roman" w:hAnsi="Times New Roman" w:cs="Times New Roman"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2B6D7E"/>
    <w:multiLevelType w:val="hybridMultilevel"/>
    <w:tmpl w:val="A6A81C16"/>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18B64C9"/>
    <w:multiLevelType w:val="hybridMultilevel"/>
    <w:tmpl w:val="C81EB44C"/>
    <w:lvl w:ilvl="0" w:tplc="FFFFFFFF">
      <w:start w:val="1"/>
      <w:numFmt w:val="decimal"/>
      <w:lvlText w:val="%1."/>
      <w:lvlJc w:val="left"/>
      <w:pPr>
        <w:ind w:left="990" w:hanging="360"/>
      </w:pPr>
      <w:rPr>
        <w:b w:val="0"/>
        <w:bCs w:val="0"/>
        <w:i w:val="0"/>
        <w:i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050A7615"/>
    <w:multiLevelType w:val="multilevel"/>
    <w:tmpl w:val="D046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81B4B"/>
    <w:multiLevelType w:val="hybridMultilevel"/>
    <w:tmpl w:val="4258A2A6"/>
    <w:lvl w:ilvl="0" w:tplc="FFFFFFFF">
      <w:start w:val="2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8A28AC"/>
    <w:multiLevelType w:val="multilevel"/>
    <w:tmpl w:val="27E0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DD26B2"/>
    <w:multiLevelType w:val="hybridMultilevel"/>
    <w:tmpl w:val="6A909092"/>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B421AFA"/>
    <w:multiLevelType w:val="multilevel"/>
    <w:tmpl w:val="30AA56C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A956E9"/>
    <w:multiLevelType w:val="hybridMultilevel"/>
    <w:tmpl w:val="E3468BF0"/>
    <w:lvl w:ilvl="0" w:tplc="484258C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912261"/>
    <w:multiLevelType w:val="hybridMultilevel"/>
    <w:tmpl w:val="830C006E"/>
    <w:lvl w:ilvl="0" w:tplc="FFFFFFFF">
      <w:start w:val="1"/>
      <w:numFmt w:val="decimal"/>
      <w:lvlText w:val="%1."/>
      <w:lvlJc w:val="left"/>
      <w:pPr>
        <w:ind w:left="990" w:hanging="360"/>
      </w:pPr>
      <w:rPr>
        <w:b w:val="0"/>
        <w:bCs w:val="0"/>
        <w:i w:val="0"/>
        <w:i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0" w15:restartNumberingAfterBreak="0">
    <w:nsid w:val="0D970C68"/>
    <w:multiLevelType w:val="multilevel"/>
    <w:tmpl w:val="6346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D031DA"/>
    <w:multiLevelType w:val="multilevel"/>
    <w:tmpl w:val="9078CD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A33534"/>
    <w:multiLevelType w:val="multilevel"/>
    <w:tmpl w:val="0E84375E"/>
    <w:lvl w:ilvl="0">
      <w:start w:val="11"/>
      <w:numFmt w:val="decimal"/>
      <w:lvlText w:val="%1."/>
      <w:lvlJc w:val="left"/>
      <w:pPr>
        <w:tabs>
          <w:tab w:val="num" w:pos="720"/>
        </w:tabs>
        <w:ind w:left="720" w:hanging="360"/>
      </w:pPr>
      <w:rPr>
        <w:lang w:val="sq-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100D7D"/>
    <w:multiLevelType w:val="multilevel"/>
    <w:tmpl w:val="5BA42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630"/>
        </w:tabs>
        <w:ind w:left="63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5522ADE"/>
    <w:multiLevelType w:val="multilevel"/>
    <w:tmpl w:val="63AA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D73DC1"/>
    <w:multiLevelType w:val="multilevel"/>
    <w:tmpl w:val="AD02BFA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4E7D48"/>
    <w:multiLevelType w:val="hybridMultilevel"/>
    <w:tmpl w:val="3CEE06B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6C7E66"/>
    <w:multiLevelType w:val="hybridMultilevel"/>
    <w:tmpl w:val="3D42811C"/>
    <w:lvl w:ilvl="0" w:tplc="484258C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E9260F"/>
    <w:multiLevelType w:val="hybridMultilevel"/>
    <w:tmpl w:val="74F40E76"/>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444D22"/>
    <w:multiLevelType w:val="multilevel"/>
    <w:tmpl w:val="C936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AD58BE"/>
    <w:multiLevelType w:val="multilevel"/>
    <w:tmpl w:val="71B84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AC2B8E"/>
    <w:multiLevelType w:val="hybridMultilevel"/>
    <w:tmpl w:val="174E77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253C62"/>
    <w:multiLevelType w:val="multilevel"/>
    <w:tmpl w:val="53F4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6F668B"/>
    <w:multiLevelType w:val="multilevel"/>
    <w:tmpl w:val="76AE6A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67716E"/>
    <w:multiLevelType w:val="multilevel"/>
    <w:tmpl w:val="B478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9F629A"/>
    <w:multiLevelType w:val="hybridMultilevel"/>
    <w:tmpl w:val="D94CE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D60DF8"/>
    <w:multiLevelType w:val="hybridMultilevel"/>
    <w:tmpl w:val="1E0AAC42"/>
    <w:lvl w:ilvl="0" w:tplc="03D8C1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514784"/>
    <w:multiLevelType w:val="hybridMultilevel"/>
    <w:tmpl w:val="C81EB44C"/>
    <w:lvl w:ilvl="0" w:tplc="FFFFFFFF">
      <w:start w:val="1"/>
      <w:numFmt w:val="decimal"/>
      <w:lvlText w:val="%1."/>
      <w:lvlJc w:val="left"/>
      <w:pPr>
        <w:ind w:left="990" w:hanging="360"/>
      </w:pPr>
      <w:rPr>
        <w:b w:val="0"/>
        <w:bCs w:val="0"/>
        <w:i w:val="0"/>
        <w:i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9" w15:restartNumberingAfterBreak="0">
    <w:nsid w:val="30D62C09"/>
    <w:multiLevelType w:val="hybridMultilevel"/>
    <w:tmpl w:val="52E818BA"/>
    <w:lvl w:ilvl="0" w:tplc="FFFFFFFF">
      <w:start w:val="22"/>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1AF500E"/>
    <w:multiLevelType w:val="hybridMultilevel"/>
    <w:tmpl w:val="8CDA1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B77B85"/>
    <w:multiLevelType w:val="hybridMultilevel"/>
    <w:tmpl w:val="F1063C2C"/>
    <w:lvl w:ilvl="0" w:tplc="FFFFFFFF">
      <w:start w:val="22"/>
      <w:numFmt w:val="decimal"/>
      <w:lvlText w:val="%1."/>
      <w:lvlJc w:val="left"/>
      <w:pPr>
        <w:ind w:left="720" w:hanging="360"/>
      </w:pPr>
      <w:rPr>
        <w:rFonts w:ascii="Times New Roman" w:hAnsi="Times New Roman" w:cs="Times New Roman" w:hint="default"/>
        <w:i w:val="0"/>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6FB6B3D"/>
    <w:multiLevelType w:val="hybridMultilevel"/>
    <w:tmpl w:val="0E426EB8"/>
    <w:lvl w:ilvl="0" w:tplc="2348D9CC">
      <w:start w:val="1"/>
      <w:numFmt w:val="lowerRoman"/>
      <w:lvlText w:val="%1)"/>
      <w:lvlJc w:val="left"/>
      <w:pPr>
        <w:ind w:left="1170" w:hanging="720"/>
      </w:pPr>
      <w:rPr>
        <w:rFonts w:hint="default"/>
        <w:b w:val="0"/>
        <w:bCs/>
        <w:i/>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374178A6"/>
    <w:multiLevelType w:val="hybridMultilevel"/>
    <w:tmpl w:val="810C207E"/>
    <w:lvl w:ilvl="0" w:tplc="FFFFFFFF">
      <w:start w:val="1"/>
      <w:numFmt w:val="decimal"/>
      <w:lvlText w:val="%1."/>
      <w:lvlJc w:val="left"/>
      <w:pPr>
        <w:ind w:left="990" w:hanging="360"/>
      </w:pPr>
      <w:rPr>
        <w:b w:val="0"/>
        <w:bCs w:val="0"/>
        <w:i w:val="0"/>
        <w:i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4" w15:restartNumberingAfterBreak="0">
    <w:nsid w:val="3A5B070F"/>
    <w:multiLevelType w:val="hybridMultilevel"/>
    <w:tmpl w:val="AC1C3E36"/>
    <w:lvl w:ilvl="0" w:tplc="FFFFFFFF">
      <w:start w:val="1"/>
      <w:numFmt w:val="decimal"/>
      <w:lvlText w:val="%1."/>
      <w:lvlJc w:val="left"/>
      <w:pPr>
        <w:ind w:left="990" w:hanging="360"/>
      </w:pPr>
      <w:rPr>
        <w:b w:val="0"/>
        <w:bCs w:val="0"/>
        <w:i w:val="0"/>
        <w:i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5" w15:restartNumberingAfterBreak="0">
    <w:nsid w:val="3B283697"/>
    <w:multiLevelType w:val="hybridMultilevel"/>
    <w:tmpl w:val="5A5E1B6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3BBC665F"/>
    <w:multiLevelType w:val="multilevel"/>
    <w:tmpl w:val="8AC8B8D2"/>
    <w:lvl w:ilvl="0">
      <w:start w:val="1"/>
      <w:numFmt w:val="decimal"/>
      <w:lvlText w:val="%1."/>
      <w:lvlJc w:val="left"/>
      <w:pPr>
        <w:ind w:left="720" w:hanging="360"/>
      </w:pPr>
      <w:rPr>
        <w:rFonts w:ascii="Times New Roman" w:hAnsi="Times New Roman" w:cs="Times New Roman" w:hint="default"/>
        <w:b w:val="0"/>
        <w:i w:val="0"/>
      </w:rPr>
    </w:lvl>
    <w:lvl w:ilvl="1">
      <w:start w:val="1"/>
      <w:numFmt w:val="decimal"/>
      <w:isLgl/>
      <w:lvlText w:val="%1.%2"/>
      <w:lvlJc w:val="left"/>
      <w:pPr>
        <w:ind w:left="720" w:hanging="360"/>
      </w:pPr>
      <w:rPr>
        <w:rFonts w:eastAsia="Times New Roman"/>
        <w:i w:val="0"/>
      </w:rPr>
    </w:lvl>
    <w:lvl w:ilvl="2">
      <w:start w:val="1"/>
      <w:numFmt w:val="decimal"/>
      <w:isLgl/>
      <w:lvlText w:val="%1.%2.%3"/>
      <w:lvlJc w:val="left"/>
      <w:pPr>
        <w:ind w:left="1080" w:hanging="720"/>
      </w:pPr>
      <w:rPr>
        <w:rFonts w:eastAsia="Times New Roman"/>
        <w:i w:val="0"/>
        <w:color w:val="auto"/>
      </w:rPr>
    </w:lvl>
    <w:lvl w:ilvl="3">
      <w:start w:val="1"/>
      <w:numFmt w:val="decimal"/>
      <w:isLgl/>
      <w:lvlText w:val="%1.%2.%3.%4"/>
      <w:lvlJc w:val="left"/>
      <w:pPr>
        <w:ind w:left="1080" w:hanging="720"/>
      </w:pPr>
      <w:rPr>
        <w:rFonts w:eastAsia="Times New Roman"/>
        <w:i w:val="0"/>
      </w:rPr>
    </w:lvl>
    <w:lvl w:ilvl="4">
      <w:start w:val="1"/>
      <w:numFmt w:val="decimal"/>
      <w:isLgl/>
      <w:lvlText w:val="%1.%2.%3.%4.%5"/>
      <w:lvlJc w:val="left"/>
      <w:pPr>
        <w:ind w:left="1440" w:hanging="1080"/>
      </w:pPr>
      <w:rPr>
        <w:rFonts w:eastAsia="Times New Roman"/>
        <w:i w:val="0"/>
      </w:rPr>
    </w:lvl>
    <w:lvl w:ilvl="5">
      <w:start w:val="1"/>
      <w:numFmt w:val="decimal"/>
      <w:isLgl/>
      <w:lvlText w:val="%1.%2.%3.%4.%5.%6"/>
      <w:lvlJc w:val="left"/>
      <w:pPr>
        <w:ind w:left="1440" w:hanging="1080"/>
      </w:pPr>
      <w:rPr>
        <w:rFonts w:eastAsia="Times New Roman"/>
        <w:i w:val="0"/>
      </w:rPr>
    </w:lvl>
    <w:lvl w:ilvl="6">
      <w:start w:val="1"/>
      <w:numFmt w:val="decimal"/>
      <w:isLgl/>
      <w:lvlText w:val="%1.%2.%3.%4.%5.%6.%7"/>
      <w:lvlJc w:val="left"/>
      <w:pPr>
        <w:ind w:left="1800" w:hanging="1440"/>
      </w:pPr>
      <w:rPr>
        <w:rFonts w:eastAsia="Times New Roman"/>
        <w:i w:val="0"/>
      </w:rPr>
    </w:lvl>
    <w:lvl w:ilvl="7">
      <w:start w:val="1"/>
      <w:numFmt w:val="decimal"/>
      <w:isLgl/>
      <w:lvlText w:val="%1.%2.%3.%4.%5.%6.%7.%8"/>
      <w:lvlJc w:val="left"/>
      <w:pPr>
        <w:ind w:left="1800" w:hanging="1440"/>
      </w:pPr>
      <w:rPr>
        <w:rFonts w:eastAsia="Times New Roman"/>
        <w:i w:val="0"/>
      </w:rPr>
    </w:lvl>
    <w:lvl w:ilvl="8">
      <w:start w:val="1"/>
      <w:numFmt w:val="decimal"/>
      <w:isLgl/>
      <w:lvlText w:val="%1.%2.%3.%4.%5.%6.%7.%8.%9"/>
      <w:lvlJc w:val="left"/>
      <w:pPr>
        <w:ind w:left="2160" w:hanging="1800"/>
      </w:pPr>
      <w:rPr>
        <w:rFonts w:eastAsia="Times New Roman"/>
        <w:i w:val="0"/>
      </w:rPr>
    </w:lvl>
  </w:abstractNum>
  <w:abstractNum w:abstractNumId="37" w15:restartNumberingAfterBreak="0">
    <w:nsid w:val="3C583F7D"/>
    <w:multiLevelType w:val="hybridMultilevel"/>
    <w:tmpl w:val="A31CDFE4"/>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E603D2"/>
    <w:multiLevelType w:val="multilevel"/>
    <w:tmpl w:val="57C6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501D4F"/>
    <w:multiLevelType w:val="hybridMultilevel"/>
    <w:tmpl w:val="3C608DAA"/>
    <w:lvl w:ilvl="0" w:tplc="484258C8">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CC108F"/>
    <w:multiLevelType w:val="hybridMultilevel"/>
    <w:tmpl w:val="81344088"/>
    <w:lvl w:ilvl="0" w:tplc="D45EA156">
      <w:start w:val="1"/>
      <w:numFmt w:val="upperRoman"/>
      <w:lvlText w:val="%1."/>
      <w:lvlJc w:val="left"/>
      <w:pPr>
        <w:ind w:left="1080" w:hanging="720"/>
      </w:pPr>
    </w:lvl>
    <w:lvl w:ilvl="1" w:tplc="F5C2AF7C">
      <w:start w:val="1"/>
      <w:numFmt w:val="decimal"/>
      <w:lvlText w:val="%2."/>
      <w:lvlJc w:val="left"/>
      <w:pPr>
        <w:tabs>
          <w:tab w:val="num" w:pos="1440"/>
        </w:tabs>
        <w:ind w:left="1440" w:hanging="360"/>
      </w:pPr>
      <w:rPr>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410C1C92"/>
    <w:multiLevelType w:val="multilevel"/>
    <w:tmpl w:val="732C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6C12FE"/>
    <w:multiLevelType w:val="multilevel"/>
    <w:tmpl w:val="9B7E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2EA469E"/>
    <w:multiLevelType w:val="hybridMultilevel"/>
    <w:tmpl w:val="11CE5144"/>
    <w:lvl w:ilvl="0" w:tplc="FFFFFFFF">
      <w:start w:val="22"/>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35307F6"/>
    <w:multiLevelType w:val="hybridMultilevel"/>
    <w:tmpl w:val="6A909092"/>
    <w:lvl w:ilvl="0" w:tplc="A2AE8D2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43DC03EF"/>
    <w:multiLevelType w:val="multilevel"/>
    <w:tmpl w:val="0820E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4744F84"/>
    <w:multiLevelType w:val="multilevel"/>
    <w:tmpl w:val="7D52362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60C737D"/>
    <w:multiLevelType w:val="multilevel"/>
    <w:tmpl w:val="AF82AA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C7747E9"/>
    <w:multiLevelType w:val="hybridMultilevel"/>
    <w:tmpl w:val="F9442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D824405"/>
    <w:multiLevelType w:val="hybridMultilevel"/>
    <w:tmpl w:val="C02E593A"/>
    <w:lvl w:ilvl="0" w:tplc="E806DA2E">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DA15A45"/>
    <w:multiLevelType w:val="multilevel"/>
    <w:tmpl w:val="91C6C45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535116E"/>
    <w:multiLevelType w:val="multilevel"/>
    <w:tmpl w:val="BBE25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664DFB"/>
    <w:multiLevelType w:val="hybridMultilevel"/>
    <w:tmpl w:val="D66A192A"/>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FD378A1"/>
    <w:multiLevelType w:val="hybridMultilevel"/>
    <w:tmpl w:val="9E385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840F4B"/>
    <w:multiLevelType w:val="multilevel"/>
    <w:tmpl w:val="A98E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B92261"/>
    <w:multiLevelType w:val="hybridMultilevel"/>
    <w:tmpl w:val="C81EB44C"/>
    <w:lvl w:ilvl="0" w:tplc="16BC925E">
      <w:start w:val="1"/>
      <w:numFmt w:val="decimal"/>
      <w:lvlText w:val="%1."/>
      <w:lvlJc w:val="left"/>
      <w:pPr>
        <w:ind w:left="1080" w:hanging="360"/>
      </w:pPr>
      <w:rPr>
        <w:b w:val="0"/>
        <w:bCs w:val="0"/>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6" w15:restartNumberingAfterBreak="0">
    <w:nsid w:val="69E37973"/>
    <w:multiLevelType w:val="multilevel"/>
    <w:tmpl w:val="E9F0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141FE0"/>
    <w:multiLevelType w:val="hybridMultilevel"/>
    <w:tmpl w:val="6A909092"/>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761C65B2"/>
    <w:multiLevelType w:val="multilevel"/>
    <w:tmpl w:val="6B808BF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86E6FF3"/>
    <w:multiLevelType w:val="multilevel"/>
    <w:tmpl w:val="3B848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A3759FE"/>
    <w:multiLevelType w:val="hybridMultilevel"/>
    <w:tmpl w:val="DF8C7F5E"/>
    <w:lvl w:ilvl="0" w:tplc="AD44BF3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63693F"/>
    <w:multiLevelType w:val="hybridMultilevel"/>
    <w:tmpl w:val="AD2CFF7E"/>
    <w:lvl w:ilvl="0" w:tplc="D81C2D78">
      <w:start w:val="1"/>
      <w:numFmt w:val="low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6E10BB"/>
    <w:multiLevelType w:val="multilevel"/>
    <w:tmpl w:val="376A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82080A"/>
    <w:multiLevelType w:val="hybridMultilevel"/>
    <w:tmpl w:val="31B8BC9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BE72CD4"/>
    <w:multiLevelType w:val="multilevel"/>
    <w:tmpl w:val="D7A0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4509F8"/>
    <w:multiLevelType w:val="hybridMultilevel"/>
    <w:tmpl w:val="D9BA6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1E2747"/>
    <w:multiLevelType w:val="hybridMultilevel"/>
    <w:tmpl w:val="6C0EEC94"/>
    <w:lvl w:ilvl="0" w:tplc="FFFFFFFF">
      <w:start w:val="22"/>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63"/>
  </w:num>
  <w:num w:numId="5">
    <w:abstractNumId w:val="37"/>
  </w:num>
  <w:num w:numId="6">
    <w:abstractNumId w:val="52"/>
  </w:num>
  <w:num w:numId="7">
    <w:abstractNumId w:val="1"/>
  </w:num>
  <w:num w:numId="8">
    <w:abstractNumId w:val="22"/>
  </w:num>
  <w:num w:numId="9">
    <w:abstractNumId w:val="48"/>
  </w:num>
  <w:num w:numId="10">
    <w:abstractNumId w:val="30"/>
  </w:num>
  <w:num w:numId="11">
    <w:abstractNumId w:val="60"/>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7"/>
  </w:num>
  <w:num w:numId="15">
    <w:abstractNumId w:val="49"/>
  </w:num>
  <w:num w:numId="16">
    <w:abstractNumId w:val="65"/>
  </w:num>
  <w:num w:numId="17">
    <w:abstractNumId w:val="55"/>
  </w:num>
  <w:num w:numId="18">
    <w:abstractNumId w:val="18"/>
  </w:num>
  <w:num w:numId="19">
    <w:abstractNumId w:val="8"/>
  </w:num>
  <w:num w:numId="20">
    <w:abstractNumId w:val="39"/>
  </w:num>
  <w:num w:numId="21">
    <w:abstractNumId w:val="44"/>
  </w:num>
  <w:num w:numId="22">
    <w:abstractNumId w:val="57"/>
  </w:num>
  <w:num w:numId="23">
    <w:abstractNumId w:val="34"/>
  </w:num>
  <w:num w:numId="24">
    <w:abstractNumId w:val="9"/>
  </w:num>
  <w:num w:numId="25">
    <w:abstractNumId w:val="33"/>
  </w:num>
  <w:num w:numId="26">
    <w:abstractNumId w:val="0"/>
  </w:num>
  <w:num w:numId="27">
    <w:abstractNumId w:val="4"/>
  </w:num>
  <w:num w:numId="28">
    <w:abstractNumId w:val="66"/>
  </w:num>
  <w:num w:numId="29">
    <w:abstractNumId w:val="32"/>
  </w:num>
  <w:num w:numId="30">
    <w:abstractNumId w:val="43"/>
  </w:num>
  <w:num w:numId="31">
    <w:abstractNumId w:val="6"/>
  </w:num>
  <w:num w:numId="32">
    <w:abstractNumId w:val="29"/>
  </w:num>
  <w:num w:numId="33">
    <w:abstractNumId w:val="53"/>
  </w:num>
  <w:num w:numId="34">
    <w:abstractNumId w:val="31"/>
  </w:num>
  <w:num w:numId="35">
    <w:abstractNumId w:val="26"/>
  </w:num>
  <w:num w:numId="36">
    <w:abstractNumId w:val="2"/>
  </w:num>
  <w:num w:numId="37">
    <w:abstractNumId w:val="28"/>
  </w:num>
  <w:num w:numId="38">
    <w:abstractNumId w:val="45"/>
  </w:num>
  <w:num w:numId="39">
    <w:abstractNumId w:val="41"/>
  </w:num>
  <w:num w:numId="40">
    <w:abstractNumId w:val="23"/>
  </w:num>
  <w:num w:numId="41">
    <w:abstractNumId w:val="15"/>
  </w:num>
  <w:num w:numId="42">
    <w:abstractNumId w:val="56"/>
  </w:num>
  <w:num w:numId="43">
    <w:abstractNumId w:val="10"/>
  </w:num>
  <w:num w:numId="44">
    <w:abstractNumId w:val="3"/>
  </w:num>
  <w:num w:numId="45">
    <w:abstractNumId w:val="64"/>
  </w:num>
  <w:num w:numId="46">
    <w:abstractNumId w:val="20"/>
  </w:num>
  <w:num w:numId="47">
    <w:abstractNumId w:val="62"/>
  </w:num>
  <w:num w:numId="48">
    <w:abstractNumId w:val="61"/>
  </w:num>
  <w:num w:numId="49">
    <w:abstractNumId w:val="59"/>
  </w:num>
  <w:num w:numId="50">
    <w:abstractNumId w:val="25"/>
  </w:num>
  <w:num w:numId="51">
    <w:abstractNumId w:val="13"/>
  </w:num>
  <w:num w:numId="52">
    <w:abstractNumId w:val="21"/>
  </w:num>
  <w:num w:numId="53">
    <w:abstractNumId w:val="42"/>
  </w:num>
  <w:num w:numId="54">
    <w:abstractNumId w:val="54"/>
  </w:num>
  <w:num w:numId="55">
    <w:abstractNumId w:val="35"/>
  </w:num>
  <w:num w:numId="56">
    <w:abstractNumId w:val="38"/>
  </w:num>
  <w:num w:numId="57">
    <w:abstractNumId w:val="5"/>
  </w:num>
  <w:num w:numId="58">
    <w:abstractNumId w:val="51"/>
  </w:num>
  <w:num w:numId="59">
    <w:abstractNumId w:val="11"/>
  </w:num>
  <w:num w:numId="60">
    <w:abstractNumId w:val="7"/>
  </w:num>
  <w:num w:numId="61">
    <w:abstractNumId w:val="12"/>
  </w:num>
  <w:num w:numId="62">
    <w:abstractNumId w:val="46"/>
  </w:num>
  <w:num w:numId="63">
    <w:abstractNumId w:val="47"/>
  </w:num>
  <w:num w:numId="64">
    <w:abstractNumId w:val="24"/>
  </w:num>
  <w:num w:numId="65">
    <w:abstractNumId w:val="16"/>
  </w:num>
  <w:num w:numId="66">
    <w:abstractNumId w:val="58"/>
  </w:num>
  <w:num w:numId="67">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D6A"/>
    <w:rsid w:val="000015BE"/>
    <w:rsid w:val="00002D88"/>
    <w:rsid w:val="000039CC"/>
    <w:rsid w:val="00011DE9"/>
    <w:rsid w:val="000139EA"/>
    <w:rsid w:val="00014089"/>
    <w:rsid w:val="000140B8"/>
    <w:rsid w:val="0003177A"/>
    <w:rsid w:val="000320E9"/>
    <w:rsid w:val="00033CB7"/>
    <w:rsid w:val="0003604E"/>
    <w:rsid w:val="000424C7"/>
    <w:rsid w:val="000443C4"/>
    <w:rsid w:val="0004506A"/>
    <w:rsid w:val="0004561F"/>
    <w:rsid w:val="000506DC"/>
    <w:rsid w:val="000524E7"/>
    <w:rsid w:val="000611A9"/>
    <w:rsid w:val="0006660F"/>
    <w:rsid w:val="00066CC4"/>
    <w:rsid w:val="00066E15"/>
    <w:rsid w:val="00066EC7"/>
    <w:rsid w:val="00066FB3"/>
    <w:rsid w:val="0007167A"/>
    <w:rsid w:val="000820F9"/>
    <w:rsid w:val="000865EF"/>
    <w:rsid w:val="00092E9D"/>
    <w:rsid w:val="000965AE"/>
    <w:rsid w:val="000A16DA"/>
    <w:rsid w:val="000A451F"/>
    <w:rsid w:val="000A4C82"/>
    <w:rsid w:val="000A7F83"/>
    <w:rsid w:val="000B04D1"/>
    <w:rsid w:val="000B0730"/>
    <w:rsid w:val="000B096A"/>
    <w:rsid w:val="000B136F"/>
    <w:rsid w:val="000B16C1"/>
    <w:rsid w:val="000B63D3"/>
    <w:rsid w:val="000C11D6"/>
    <w:rsid w:val="000C79A2"/>
    <w:rsid w:val="000D61DD"/>
    <w:rsid w:val="000E0F78"/>
    <w:rsid w:val="000E30C0"/>
    <w:rsid w:val="000E38FD"/>
    <w:rsid w:val="000E3D15"/>
    <w:rsid w:val="000E4882"/>
    <w:rsid w:val="000E4C12"/>
    <w:rsid w:val="000E4DAA"/>
    <w:rsid w:val="000F1200"/>
    <w:rsid w:val="000F33C4"/>
    <w:rsid w:val="000F5B65"/>
    <w:rsid w:val="000F5D97"/>
    <w:rsid w:val="000F5E06"/>
    <w:rsid w:val="000F75C4"/>
    <w:rsid w:val="000F775C"/>
    <w:rsid w:val="000F7F4D"/>
    <w:rsid w:val="001105B6"/>
    <w:rsid w:val="001118FC"/>
    <w:rsid w:val="00111C09"/>
    <w:rsid w:val="0011219A"/>
    <w:rsid w:val="00113F0B"/>
    <w:rsid w:val="00115D8E"/>
    <w:rsid w:val="001211B5"/>
    <w:rsid w:val="00122126"/>
    <w:rsid w:val="00136EA5"/>
    <w:rsid w:val="00141243"/>
    <w:rsid w:val="001430C5"/>
    <w:rsid w:val="00147611"/>
    <w:rsid w:val="00147997"/>
    <w:rsid w:val="001668BA"/>
    <w:rsid w:val="001740E5"/>
    <w:rsid w:val="00183A00"/>
    <w:rsid w:val="00184195"/>
    <w:rsid w:val="00184788"/>
    <w:rsid w:val="0018610D"/>
    <w:rsid w:val="00193F71"/>
    <w:rsid w:val="00194417"/>
    <w:rsid w:val="00196078"/>
    <w:rsid w:val="00197AF3"/>
    <w:rsid w:val="001A0657"/>
    <w:rsid w:val="001C03FF"/>
    <w:rsid w:val="001C33E0"/>
    <w:rsid w:val="001C50E9"/>
    <w:rsid w:val="001D545A"/>
    <w:rsid w:val="001D5BB9"/>
    <w:rsid w:val="001D78F2"/>
    <w:rsid w:val="001D79C7"/>
    <w:rsid w:val="001E129D"/>
    <w:rsid w:val="001E4027"/>
    <w:rsid w:val="001E52CE"/>
    <w:rsid w:val="001F18E3"/>
    <w:rsid w:val="001F217D"/>
    <w:rsid w:val="001F2B47"/>
    <w:rsid w:val="001F4551"/>
    <w:rsid w:val="001F51CE"/>
    <w:rsid w:val="0020003B"/>
    <w:rsid w:val="00201FF0"/>
    <w:rsid w:val="0020510A"/>
    <w:rsid w:val="00213B2A"/>
    <w:rsid w:val="0022135C"/>
    <w:rsid w:val="00227306"/>
    <w:rsid w:val="00230DAC"/>
    <w:rsid w:val="00231260"/>
    <w:rsid w:val="00231E8B"/>
    <w:rsid w:val="00232FDD"/>
    <w:rsid w:val="00241C40"/>
    <w:rsid w:val="00242F0C"/>
    <w:rsid w:val="002453F7"/>
    <w:rsid w:val="00246411"/>
    <w:rsid w:val="002470EA"/>
    <w:rsid w:val="00255846"/>
    <w:rsid w:val="002565E4"/>
    <w:rsid w:val="00257E25"/>
    <w:rsid w:val="00264F4B"/>
    <w:rsid w:val="00265D8B"/>
    <w:rsid w:val="00271D63"/>
    <w:rsid w:val="00277732"/>
    <w:rsid w:val="0028294D"/>
    <w:rsid w:val="00282AC0"/>
    <w:rsid w:val="0029499B"/>
    <w:rsid w:val="00296306"/>
    <w:rsid w:val="00296C67"/>
    <w:rsid w:val="002A5A21"/>
    <w:rsid w:val="002B111C"/>
    <w:rsid w:val="002B2D92"/>
    <w:rsid w:val="002B362E"/>
    <w:rsid w:val="002B46EC"/>
    <w:rsid w:val="002B68B9"/>
    <w:rsid w:val="002C01A6"/>
    <w:rsid w:val="002D1A7E"/>
    <w:rsid w:val="002D50A9"/>
    <w:rsid w:val="002D6D2F"/>
    <w:rsid w:val="002D7355"/>
    <w:rsid w:val="002F1F3C"/>
    <w:rsid w:val="002F4F30"/>
    <w:rsid w:val="002F7DB1"/>
    <w:rsid w:val="003070FB"/>
    <w:rsid w:val="003106E2"/>
    <w:rsid w:val="003137D0"/>
    <w:rsid w:val="003200C2"/>
    <w:rsid w:val="00326148"/>
    <w:rsid w:val="00336C57"/>
    <w:rsid w:val="00346CDE"/>
    <w:rsid w:val="00347DEC"/>
    <w:rsid w:val="00353A80"/>
    <w:rsid w:val="003564B0"/>
    <w:rsid w:val="00361C02"/>
    <w:rsid w:val="00364B1E"/>
    <w:rsid w:val="00364D3B"/>
    <w:rsid w:val="003650DB"/>
    <w:rsid w:val="003666E1"/>
    <w:rsid w:val="003672CF"/>
    <w:rsid w:val="003702CA"/>
    <w:rsid w:val="00377AC3"/>
    <w:rsid w:val="00386694"/>
    <w:rsid w:val="0038687B"/>
    <w:rsid w:val="00386A7D"/>
    <w:rsid w:val="0039080E"/>
    <w:rsid w:val="003944A5"/>
    <w:rsid w:val="00394DB7"/>
    <w:rsid w:val="00395197"/>
    <w:rsid w:val="00397F87"/>
    <w:rsid w:val="003A2E3E"/>
    <w:rsid w:val="003B39B9"/>
    <w:rsid w:val="003C1E50"/>
    <w:rsid w:val="003C20E6"/>
    <w:rsid w:val="003C442D"/>
    <w:rsid w:val="003C554E"/>
    <w:rsid w:val="003C5CF1"/>
    <w:rsid w:val="003D3837"/>
    <w:rsid w:val="003D5BB7"/>
    <w:rsid w:val="003D64C6"/>
    <w:rsid w:val="003D79C0"/>
    <w:rsid w:val="003E7189"/>
    <w:rsid w:val="003F18BF"/>
    <w:rsid w:val="003F7A4B"/>
    <w:rsid w:val="003F7D49"/>
    <w:rsid w:val="00403131"/>
    <w:rsid w:val="00407379"/>
    <w:rsid w:val="00410556"/>
    <w:rsid w:val="004143B5"/>
    <w:rsid w:val="0042055A"/>
    <w:rsid w:val="004246D4"/>
    <w:rsid w:val="004254F9"/>
    <w:rsid w:val="00426711"/>
    <w:rsid w:val="004303FB"/>
    <w:rsid w:val="00430DAF"/>
    <w:rsid w:val="00443132"/>
    <w:rsid w:val="00445B42"/>
    <w:rsid w:val="00450138"/>
    <w:rsid w:val="004516D1"/>
    <w:rsid w:val="00452504"/>
    <w:rsid w:val="00456BCC"/>
    <w:rsid w:val="004627B8"/>
    <w:rsid w:val="00474065"/>
    <w:rsid w:val="004754DC"/>
    <w:rsid w:val="00477101"/>
    <w:rsid w:val="00486D21"/>
    <w:rsid w:val="00490485"/>
    <w:rsid w:val="00490792"/>
    <w:rsid w:val="00491486"/>
    <w:rsid w:val="00492001"/>
    <w:rsid w:val="00495A77"/>
    <w:rsid w:val="004A1B8D"/>
    <w:rsid w:val="004B1218"/>
    <w:rsid w:val="004B2F2F"/>
    <w:rsid w:val="004C4E8C"/>
    <w:rsid w:val="004D4F9D"/>
    <w:rsid w:val="004D7237"/>
    <w:rsid w:val="004E042D"/>
    <w:rsid w:val="004F108B"/>
    <w:rsid w:val="004F3FE1"/>
    <w:rsid w:val="004F6DD2"/>
    <w:rsid w:val="004F7E31"/>
    <w:rsid w:val="00503889"/>
    <w:rsid w:val="00504770"/>
    <w:rsid w:val="00507B4E"/>
    <w:rsid w:val="0051210A"/>
    <w:rsid w:val="005136C8"/>
    <w:rsid w:val="00513760"/>
    <w:rsid w:val="0051577F"/>
    <w:rsid w:val="00516953"/>
    <w:rsid w:val="00520052"/>
    <w:rsid w:val="00525496"/>
    <w:rsid w:val="005327B8"/>
    <w:rsid w:val="0053364A"/>
    <w:rsid w:val="005340FA"/>
    <w:rsid w:val="00534D38"/>
    <w:rsid w:val="00542BFF"/>
    <w:rsid w:val="00546C47"/>
    <w:rsid w:val="00547285"/>
    <w:rsid w:val="00555C5A"/>
    <w:rsid w:val="00561537"/>
    <w:rsid w:val="00563A1C"/>
    <w:rsid w:val="00572AF2"/>
    <w:rsid w:val="00575314"/>
    <w:rsid w:val="005842C1"/>
    <w:rsid w:val="005871BC"/>
    <w:rsid w:val="0059354C"/>
    <w:rsid w:val="0059378F"/>
    <w:rsid w:val="005960C3"/>
    <w:rsid w:val="005B44C8"/>
    <w:rsid w:val="005C7DE0"/>
    <w:rsid w:val="005D0E42"/>
    <w:rsid w:val="005E19E9"/>
    <w:rsid w:val="005E3C20"/>
    <w:rsid w:val="005E4807"/>
    <w:rsid w:val="005F0D4E"/>
    <w:rsid w:val="005F7974"/>
    <w:rsid w:val="00600CD2"/>
    <w:rsid w:val="00607680"/>
    <w:rsid w:val="0061147B"/>
    <w:rsid w:val="00615B75"/>
    <w:rsid w:val="00635930"/>
    <w:rsid w:val="00654251"/>
    <w:rsid w:val="00655969"/>
    <w:rsid w:val="00656269"/>
    <w:rsid w:val="00656F2A"/>
    <w:rsid w:val="00660D08"/>
    <w:rsid w:val="0066721B"/>
    <w:rsid w:val="00672378"/>
    <w:rsid w:val="00674158"/>
    <w:rsid w:val="00675596"/>
    <w:rsid w:val="00677753"/>
    <w:rsid w:val="00677E46"/>
    <w:rsid w:val="0068170A"/>
    <w:rsid w:val="00683952"/>
    <w:rsid w:val="00683D09"/>
    <w:rsid w:val="0068656A"/>
    <w:rsid w:val="0069100B"/>
    <w:rsid w:val="00692613"/>
    <w:rsid w:val="00692957"/>
    <w:rsid w:val="0069417A"/>
    <w:rsid w:val="006A23B3"/>
    <w:rsid w:val="006A2802"/>
    <w:rsid w:val="006A31D9"/>
    <w:rsid w:val="006A38CE"/>
    <w:rsid w:val="006A3B9D"/>
    <w:rsid w:val="006A550C"/>
    <w:rsid w:val="006B1EE7"/>
    <w:rsid w:val="006B40F4"/>
    <w:rsid w:val="006B442A"/>
    <w:rsid w:val="006B6CA1"/>
    <w:rsid w:val="006C0985"/>
    <w:rsid w:val="006D30A8"/>
    <w:rsid w:val="006D7F83"/>
    <w:rsid w:val="006F4B8B"/>
    <w:rsid w:val="00702CE0"/>
    <w:rsid w:val="00704C89"/>
    <w:rsid w:val="007058CF"/>
    <w:rsid w:val="00707D23"/>
    <w:rsid w:val="007103FA"/>
    <w:rsid w:val="00712426"/>
    <w:rsid w:val="00713760"/>
    <w:rsid w:val="00714645"/>
    <w:rsid w:val="00725A2F"/>
    <w:rsid w:val="00725EF7"/>
    <w:rsid w:val="0073406F"/>
    <w:rsid w:val="00741AB7"/>
    <w:rsid w:val="00746889"/>
    <w:rsid w:val="00747A5E"/>
    <w:rsid w:val="0075005A"/>
    <w:rsid w:val="00751E0C"/>
    <w:rsid w:val="00753AF3"/>
    <w:rsid w:val="00761F55"/>
    <w:rsid w:val="0076501D"/>
    <w:rsid w:val="0077422B"/>
    <w:rsid w:val="00774A9F"/>
    <w:rsid w:val="007771B0"/>
    <w:rsid w:val="00781C23"/>
    <w:rsid w:val="00784380"/>
    <w:rsid w:val="007858C7"/>
    <w:rsid w:val="007863D1"/>
    <w:rsid w:val="007A3736"/>
    <w:rsid w:val="007A3869"/>
    <w:rsid w:val="007A4F32"/>
    <w:rsid w:val="007A5A33"/>
    <w:rsid w:val="007B11D7"/>
    <w:rsid w:val="007B14A2"/>
    <w:rsid w:val="007B1EB7"/>
    <w:rsid w:val="007B2A08"/>
    <w:rsid w:val="007B3D5B"/>
    <w:rsid w:val="007B6FE5"/>
    <w:rsid w:val="007C18FA"/>
    <w:rsid w:val="007C1A75"/>
    <w:rsid w:val="007C4A23"/>
    <w:rsid w:val="007C5343"/>
    <w:rsid w:val="007C734B"/>
    <w:rsid w:val="007D49DC"/>
    <w:rsid w:val="007D5271"/>
    <w:rsid w:val="007D6710"/>
    <w:rsid w:val="007E0CFA"/>
    <w:rsid w:val="007E7801"/>
    <w:rsid w:val="007E7C6B"/>
    <w:rsid w:val="007F1BE9"/>
    <w:rsid w:val="007F375E"/>
    <w:rsid w:val="00802C9C"/>
    <w:rsid w:val="00804193"/>
    <w:rsid w:val="008057BE"/>
    <w:rsid w:val="00813173"/>
    <w:rsid w:val="008135BD"/>
    <w:rsid w:val="008162F5"/>
    <w:rsid w:val="008207D2"/>
    <w:rsid w:val="00826580"/>
    <w:rsid w:val="00833EE4"/>
    <w:rsid w:val="008356D5"/>
    <w:rsid w:val="0084191E"/>
    <w:rsid w:val="00842F5C"/>
    <w:rsid w:val="00863D28"/>
    <w:rsid w:val="00865279"/>
    <w:rsid w:val="00867E3E"/>
    <w:rsid w:val="00881945"/>
    <w:rsid w:val="008860A5"/>
    <w:rsid w:val="00892124"/>
    <w:rsid w:val="00892DC7"/>
    <w:rsid w:val="00893CF1"/>
    <w:rsid w:val="00896FF0"/>
    <w:rsid w:val="008A0AEF"/>
    <w:rsid w:val="008A4B45"/>
    <w:rsid w:val="008A5288"/>
    <w:rsid w:val="008A5CBE"/>
    <w:rsid w:val="008A766A"/>
    <w:rsid w:val="008B5C29"/>
    <w:rsid w:val="008B792C"/>
    <w:rsid w:val="008C024D"/>
    <w:rsid w:val="008C0A3F"/>
    <w:rsid w:val="008C540A"/>
    <w:rsid w:val="008C5ECB"/>
    <w:rsid w:val="008D071F"/>
    <w:rsid w:val="008D11C7"/>
    <w:rsid w:val="008D38CA"/>
    <w:rsid w:val="008D5F24"/>
    <w:rsid w:val="008D6889"/>
    <w:rsid w:val="008E1C1A"/>
    <w:rsid w:val="008E3208"/>
    <w:rsid w:val="008F2983"/>
    <w:rsid w:val="009000D3"/>
    <w:rsid w:val="009003A5"/>
    <w:rsid w:val="00903DAE"/>
    <w:rsid w:val="00907F09"/>
    <w:rsid w:val="00910555"/>
    <w:rsid w:val="00911379"/>
    <w:rsid w:val="00915680"/>
    <w:rsid w:val="009156D1"/>
    <w:rsid w:val="00916CC6"/>
    <w:rsid w:val="00922EAF"/>
    <w:rsid w:val="00930D84"/>
    <w:rsid w:val="00931013"/>
    <w:rsid w:val="00932E44"/>
    <w:rsid w:val="00932F13"/>
    <w:rsid w:val="00940663"/>
    <w:rsid w:val="0094337A"/>
    <w:rsid w:val="0095006E"/>
    <w:rsid w:val="00952F88"/>
    <w:rsid w:val="00954337"/>
    <w:rsid w:val="00960E6F"/>
    <w:rsid w:val="009611BA"/>
    <w:rsid w:val="00973FC5"/>
    <w:rsid w:val="009751BF"/>
    <w:rsid w:val="00981014"/>
    <w:rsid w:val="009857CE"/>
    <w:rsid w:val="009934E9"/>
    <w:rsid w:val="009953BB"/>
    <w:rsid w:val="009A1A41"/>
    <w:rsid w:val="009C1414"/>
    <w:rsid w:val="009C160A"/>
    <w:rsid w:val="009C29B0"/>
    <w:rsid w:val="009C5236"/>
    <w:rsid w:val="009D4668"/>
    <w:rsid w:val="009D5A1B"/>
    <w:rsid w:val="009D5C5B"/>
    <w:rsid w:val="009D679D"/>
    <w:rsid w:val="009E19E3"/>
    <w:rsid w:val="009E3764"/>
    <w:rsid w:val="009E64BF"/>
    <w:rsid w:val="009F0DA7"/>
    <w:rsid w:val="009F6E2D"/>
    <w:rsid w:val="00A0197C"/>
    <w:rsid w:val="00A045B2"/>
    <w:rsid w:val="00A10749"/>
    <w:rsid w:val="00A1332B"/>
    <w:rsid w:val="00A13DC7"/>
    <w:rsid w:val="00A2003D"/>
    <w:rsid w:val="00A23408"/>
    <w:rsid w:val="00A24FE8"/>
    <w:rsid w:val="00A31A5D"/>
    <w:rsid w:val="00A31F6D"/>
    <w:rsid w:val="00A3413C"/>
    <w:rsid w:val="00A34C00"/>
    <w:rsid w:val="00A45638"/>
    <w:rsid w:val="00A502B0"/>
    <w:rsid w:val="00A536DA"/>
    <w:rsid w:val="00A55CF3"/>
    <w:rsid w:val="00A62C68"/>
    <w:rsid w:val="00A65414"/>
    <w:rsid w:val="00A65988"/>
    <w:rsid w:val="00A66667"/>
    <w:rsid w:val="00A718AA"/>
    <w:rsid w:val="00A733B2"/>
    <w:rsid w:val="00A82CE6"/>
    <w:rsid w:val="00A83092"/>
    <w:rsid w:val="00A92A72"/>
    <w:rsid w:val="00A97630"/>
    <w:rsid w:val="00AA6C61"/>
    <w:rsid w:val="00AB065A"/>
    <w:rsid w:val="00AB1F50"/>
    <w:rsid w:val="00AB43BB"/>
    <w:rsid w:val="00AC1D6A"/>
    <w:rsid w:val="00AC2044"/>
    <w:rsid w:val="00AC23AA"/>
    <w:rsid w:val="00AC5B92"/>
    <w:rsid w:val="00AC64F2"/>
    <w:rsid w:val="00AC6D35"/>
    <w:rsid w:val="00AD5C34"/>
    <w:rsid w:val="00AD6F38"/>
    <w:rsid w:val="00AD7818"/>
    <w:rsid w:val="00AE012E"/>
    <w:rsid w:val="00AE484D"/>
    <w:rsid w:val="00AF157B"/>
    <w:rsid w:val="00AF1B65"/>
    <w:rsid w:val="00AF35B7"/>
    <w:rsid w:val="00AF797C"/>
    <w:rsid w:val="00B00161"/>
    <w:rsid w:val="00B05DF6"/>
    <w:rsid w:val="00B12912"/>
    <w:rsid w:val="00B14DF1"/>
    <w:rsid w:val="00B24F7B"/>
    <w:rsid w:val="00B260C2"/>
    <w:rsid w:val="00B30678"/>
    <w:rsid w:val="00B330B4"/>
    <w:rsid w:val="00B36D9A"/>
    <w:rsid w:val="00B40DE0"/>
    <w:rsid w:val="00B42987"/>
    <w:rsid w:val="00B43973"/>
    <w:rsid w:val="00B53E36"/>
    <w:rsid w:val="00B57059"/>
    <w:rsid w:val="00B64CD0"/>
    <w:rsid w:val="00B65A20"/>
    <w:rsid w:val="00B6640F"/>
    <w:rsid w:val="00B66A59"/>
    <w:rsid w:val="00B71812"/>
    <w:rsid w:val="00B75122"/>
    <w:rsid w:val="00B76607"/>
    <w:rsid w:val="00B772D0"/>
    <w:rsid w:val="00B77F0E"/>
    <w:rsid w:val="00B77FD2"/>
    <w:rsid w:val="00B804A5"/>
    <w:rsid w:val="00B82F3E"/>
    <w:rsid w:val="00B868CA"/>
    <w:rsid w:val="00B8777A"/>
    <w:rsid w:val="00B87DFF"/>
    <w:rsid w:val="00B943E8"/>
    <w:rsid w:val="00B94BCB"/>
    <w:rsid w:val="00BA5053"/>
    <w:rsid w:val="00BB2BF9"/>
    <w:rsid w:val="00BB7032"/>
    <w:rsid w:val="00BB78FC"/>
    <w:rsid w:val="00BC1269"/>
    <w:rsid w:val="00BC5BB8"/>
    <w:rsid w:val="00BD4E1D"/>
    <w:rsid w:val="00BD73D8"/>
    <w:rsid w:val="00BE2AC2"/>
    <w:rsid w:val="00BE2F06"/>
    <w:rsid w:val="00BF2D4E"/>
    <w:rsid w:val="00C02FFB"/>
    <w:rsid w:val="00C04CED"/>
    <w:rsid w:val="00C105A1"/>
    <w:rsid w:val="00C11BB4"/>
    <w:rsid w:val="00C14ED0"/>
    <w:rsid w:val="00C32B3E"/>
    <w:rsid w:val="00C34CFF"/>
    <w:rsid w:val="00C400AC"/>
    <w:rsid w:val="00C40EB3"/>
    <w:rsid w:val="00C4378D"/>
    <w:rsid w:val="00C4398B"/>
    <w:rsid w:val="00C46C13"/>
    <w:rsid w:val="00C56C67"/>
    <w:rsid w:val="00C57276"/>
    <w:rsid w:val="00C60391"/>
    <w:rsid w:val="00C65882"/>
    <w:rsid w:val="00C67BDA"/>
    <w:rsid w:val="00C74F88"/>
    <w:rsid w:val="00C75567"/>
    <w:rsid w:val="00C75CF2"/>
    <w:rsid w:val="00C90CD3"/>
    <w:rsid w:val="00C9367D"/>
    <w:rsid w:val="00C93DCF"/>
    <w:rsid w:val="00CA6BE3"/>
    <w:rsid w:val="00CA7A55"/>
    <w:rsid w:val="00CB0740"/>
    <w:rsid w:val="00CB09BB"/>
    <w:rsid w:val="00CB514E"/>
    <w:rsid w:val="00CB690E"/>
    <w:rsid w:val="00CB77C1"/>
    <w:rsid w:val="00CC71F3"/>
    <w:rsid w:val="00CD5C56"/>
    <w:rsid w:val="00CD6979"/>
    <w:rsid w:val="00CD6E7F"/>
    <w:rsid w:val="00CE0096"/>
    <w:rsid w:val="00CE4726"/>
    <w:rsid w:val="00CE5881"/>
    <w:rsid w:val="00CF2E61"/>
    <w:rsid w:val="00CF5843"/>
    <w:rsid w:val="00CF6265"/>
    <w:rsid w:val="00CF7141"/>
    <w:rsid w:val="00D023D4"/>
    <w:rsid w:val="00D039E2"/>
    <w:rsid w:val="00D1001D"/>
    <w:rsid w:val="00D13E23"/>
    <w:rsid w:val="00D218FE"/>
    <w:rsid w:val="00D23348"/>
    <w:rsid w:val="00D23C18"/>
    <w:rsid w:val="00D23E6C"/>
    <w:rsid w:val="00D37DC7"/>
    <w:rsid w:val="00D418B6"/>
    <w:rsid w:val="00D4231A"/>
    <w:rsid w:val="00D447E8"/>
    <w:rsid w:val="00D46700"/>
    <w:rsid w:val="00D46DA0"/>
    <w:rsid w:val="00D52785"/>
    <w:rsid w:val="00D5383C"/>
    <w:rsid w:val="00D54BEB"/>
    <w:rsid w:val="00D57AAE"/>
    <w:rsid w:val="00D60CA7"/>
    <w:rsid w:val="00D61A8E"/>
    <w:rsid w:val="00D620B8"/>
    <w:rsid w:val="00D655A3"/>
    <w:rsid w:val="00D6734C"/>
    <w:rsid w:val="00D73D2E"/>
    <w:rsid w:val="00D76148"/>
    <w:rsid w:val="00D83064"/>
    <w:rsid w:val="00D91368"/>
    <w:rsid w:val="00D942BB"/>
    <w:rsid w:val="00D95069"/>
    <w:rsid w:val="00D974B1"/>
    <w:rsid w:val="00DA18CC"/>
    <w:rsid w:val="00DA2A71"/>
    <w:rsid w:val="00DA3356"/>
    <w:rsid w:val="00DA6185"/>
    <w:rsid w:val="00DB12B7"/>
    <w:rsid w:val="00DB492C"/>
    <w:rsid w:val="00DD0742"/>
    <w:rsid w:val="00DD4818"/>
    <w:rsid w:val="00DE1215"/>
    <w:rsid w:val="00DE4552"/>
    <w:rsid w:val="00DE513F"/>
    <w:rsid w:val="00DE5A84"/>
    <w:rsid w:val="00DF15F4"/>
    <w:rsid w:val="00DF552E"/>
    <w:rsid w:val="00DF72ED"/>
    <w:rsid w:val="00DF7369"/>
    <w:rsid w:val="00E025B4"/>
    <w:rsid w:val="00E03E5D"/>
    <w:rsid w:val="00E055C2"/>
    <w:rsid w:val="00E129B8"/>
    <w:rsid w:val="00E13E51"/>
    <w:rsid w:val="00E147BC"/>
    <w:rsid w:val="00E1491D"/>
    <w:rsid w:val="00E17876"/>
    <w:rsid w:val="00E23315"/>
    <w:rsid w:val="00E27719"/>
    <w:rsid w:val="00E33AF8"/>
    <w:rsid w:val="00E33B10"/>
    <w:rsid w:val="00E36AE0"/>
    <w:rsid w:val="00E37214"/>
    <w:rsid w:val="00E411A1"/>
    <w:rsid w:val="00E45BFB"/>
    <w:rsid w:val="00E46C35"/>
    <w:rsid w:val="00E521D7"/>
    <w:rsid w:val="00E56ED8"/>
    <w:rsid w:val="00E631DD"/>
    <w:rsid w:val="00E6363C"/>
    <w:rsid w:val="00E645A8"/>
    <w:rsid w:val="00E67918"/>
    <w:rsid w:val="00E713F0"/>
    <w:rsid w:val="00E722B3"/>
    <w:rsid w:val="00E767C8"/>
    <w:rsid w:val="00E8528B"/>
    <w:rsid w:val="00E86A38"/>
    <w:rsid w:val="00E946DA"/>
    <w:rsid w:val="00EA6804"/>
    <w:rsid w:val="00EA6A31"/>
    <w:rsid w:val="00EB3699"/>
    <w:rsid w:val="00EB5FF5"/>
    <w:rsid w:val="00EC1273"/>
    <w:rsid w:val="00EC144C"/>
    <w:rsid w:val="00EC1FCC"/>
    <w:rsid w:val="00EC33A8"/>
    <w:rsid w:val="00EC37E2"/>
    <w:rsid w:val="00EC4E80"/>
    <w:rsid w:val="00EC581B"/>
    <w:rsid w:val="00ED18EB"/>
    <w:rsid w:val="00ED1A9F"/>
    <w:rsid w:val="00ED293E"/>
    <w:rsid w:val="00ED4415"/>
    <w:rsid w:val="00EE1A47"/>
    <w:rsid w:val="00EE58D6"/>
    <w:rsid w:val="00F02668"/>
    <w:rsid w:val="00F02CCD"/>
    <w:rsid w:val="00F10D9E"/>
    <w:rsid w:val="00F20A38"/>
    <w:rsid w:val="00F239EA"/>
    <w:rsid w:val="00F251C4"/>
    <w:rsid w:val="00F33D57"/>
    <w:rsid w:val="00F34130"/>
    <w:rsid w:val="00F34465"/>
    <w:rsid w:val="00F37043"/>
    <w:rsid w:val="00F42219"/>
    <w:rsid w:val="00F43790"/>
    <w:rsid w:val="00F60536"/>
    <w:rsid w:val="00F61A6D"/>
    <w:rsid w:val="00F64DC3"/>
    <w:rsid w:val="00F65D76"/>
    <w:rsid w:val="00F71808"/>
    <w:rsid w:val="00F806B3"/>
    <w:rsid w:val="00F81111"/>
    <w:rsid w:val="00F84E9B"/>
    <w:rsid w:val="00F85B88"/>
    <w:rsid w:val="00FA0A06"/>
    <w:rsid w:val="00FA11E5"/>
    <w:rsid w:val="00FA25D2"/>
    <w:rsid w:val="00FA2B1F"/>
    <w:rsid w:val="00FA5478"/>
    <w:rsid w:val="00FB3575"/>
    <w:rsid w:val="00FC0E32"/>
    <w:rsid w:val="00FC7538"/>
    <w:rsid w:val="00FD6175"/>
    <w:rsid w:val="00FF0DB1"/>
    <w:rsid w:val="00FF7A45"/>
    <w:rsid w:val="00FF7C5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5170DE"/>
  <w15:docId w15:val="{E60C5D79-E4AA-4932-A0CA-66A97E2B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043"/>
    <w:rPr>
      <w:rFonts w:ascii="Times New Roman" w:eastAsia="MS Mincho" w:hAnsi="Times New Roman"/>
      <w:sz w:val="24"/>
      <w:szCs w:val="24"/>
      <w:lang w:val="sq-AL"/>
    </w:rPr>
  </w:style>
  <w:style w:type="paragraph" w:styleId="Heading1">
    <w:name w:val="heading 1"/>
    <w:basedOn w:val="Normal"/>
    <w:next w:val="Normal"/>
    <w:link w:val="Heading1Char"/>
    <w:uiPriority w:val="9"/>
    <w:qFormat/>
    <w:rsid w:val="00F37043"/>
    <w:pPr>
      <w:keepNext/>
      <w:outlineLvl w:val="0"/>
    </w:pPr>
    <w:rPr>
      <w:rFonts w:eastAsia="Times New Roman"/>
      <w:sz w:val="28"/>
      <w:lang w:val="en-US"/>
    </w:rPr>
  </w:style>
  <w:style w:type="paragraph" w:styleId="Heading2">
    <w:name w:val="heading 2"/>
    <w:basedOn w:val="Normal"/>
    <w:next w:val="Normal"/>
    <w:link w:val="Heading2Char"/>
    <w:uiPriority w:val="9"/>
    <w:unhideWhenUsed/>
    <w:qFormat/>
    <w:rsid w:val="00F37043"/>
    <w:pPr>
      <w:keepNext/>
      <w:outlineLvl w:val="1"/>
    </w:pPr>
    <w:rPr>
      <w:rFonts w:eastAsia="Times New Roman"/>
      <w:b/>
      <w:bCs/>
      <w:sz w:val="28"/>
      <w:lang w:val="en-US"/>
    </w:rPr>
  </w:style>
  <w:style w:type="paragraph" w:styleId="Heading3">
    <w:name w:val="heading 3"/>
    <w:basedOn w:val="Normal"/>
    <w:next w:val="Normal"/>
    <w:link w:val="Heading3Char"/>
    <w:uiPriority w:val="9"/>
    <w:unhideWhenUsed/>
    <w:qFormat/>
    <w:rsid w:val="00F37043"/>
    <w:pPr>
      <w:keepNext/>
      <w:spacing w:before="240" w:after="60"/>
      <w:outlineLvl w:val="2"/>
    </w:pPr>
    <w:rPr>
      <w:rFonts w:ascii="Cambria" w:hAnsi="Cambria"/>
      <w:b/>
      <w:bCs/>
      <w:sz w:val="26"/>
      <w:szCs w:val="26"/>
      <w:lang w:bidi="en-US"/>
    </w:rPr>
  </w:style>
  <w:style w:type="paragraph" w:styleId="Heading5">
    <w:name w:val="heading 5"/>
    <w:basedOn w:val="Normal"/>
    <w:next w:val="Normal"/>
    <w:link w:val="Heading5Char"/>
    <w:uiPriority w:val="9"/>
    <w:unhideWhenUsed/>
    <w:qFormat/>
    <w:rsid w:val="00F37043"/>
    <w:pPr>
      <w:keepNext/>
      <w:jc w:val="center"/>
      <w:outlineLvl w:val="4"/>
    </w:pPr>
    <w:rPr>
      <w:rFonts w:eastAsia="Times New Roman"/>
      <w:b/>
      <w:bCs/>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37043"/>
    <w:rPr>
      <w:rFonts w:ascii="Times New Roman" w:eastAsia="Times New Roman" w:hAnsi="Times New Roman" w:cs="Times New Roman"/>
      <w:sz w:val="28"/>
      <w:szCs w:val="24"/>
    </w:rPr>
  </w:style>
  <w:style w:type="character" w:customStyle="1" w:styleId="Heading2Char">
    <w:name w:val="Heading 2 Char"/>
    <w:link w:val="Heading2"/>
    <w:uiPriority w:val="9"/>
    <w:rsid w:val="00F37043"/>
    <w:rPr>
      <w:rFonts w:ascii="Times New Roman" w:eastAsia="Times New Roman" w:hAnsi="Times New Roman" w:cs="Times New Roman"/>
      <w:b/>
      <w:bCs/>
      <w:sz w:val="28"/>
      <w:szCs w:val="24"/>
    </w:rPr>
  </w:style>
  <w:style w:type="character" w:customStyle="1" w:styleId="Heading3Char">
    <w:name w:val="Heading 3 Char"/>
    <w:link w:val="Heading3"/>
    <w:uiPriority w:val="9"/>
    <w:rsid w:val="00F37043"/>
    <w:rPr>
      <w:rFonts w:ascii="Cambria" w:eastAsia="MS Mincho" w:hAnsi="Cambria" w:cs="Times New Roman"/>
      <w:b/>
      <w:bCs/>
      <w:sz w:val="26"/>
      <w:szCs w:val="26"/>
      <w:lang w:val="sq-AL" w:bidi="en-US"/>
    </w:rPr>
  </w:style>
  <w:style w:type="character" w:customStyle="1" w:styleId="Heading5Char">
    <w:name w:val="Heading 5 Char"/>
    <w:link w:val="Heading5"/>
    <w:uiPriority w:val="9"/>
    <w:rsid w:val="00F37043"/>
    <w:rPr>
      <w:rFonts w:ascii="Times New Roman" w:eastAsia="Times New Roman" w:hAnsi="Times New Roman" w:cs="Times New Roman"/>
      <w:b/>
      <w:bCs/>
      <w:sz w:val="28"/>
      <w:szCs w:val="24"/>
    </w:rPr>
  </w:style>
  <w:style w:type="paragraph" w:styleId="NoSpacing">
    <w:name w:val="No Spacing"/>
    <w:link w:val="NoSpacingChar"/>
    <w:uiPriority w:val="1"/>
    <w:qFormat/>
    <w:rsid w:val="00F37043"/>
    <w:rPr>
      <w:sz w:val="22"/>
      <w:szCs w:val="22"/>
      <w:lang w:val="sq-AL"/>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F37043"/>
    <w:rPr>
      <w:rFonts w:ascii="Times New Roman" w:eastAsia="Times New Roman" w:hAnsi="Times New Roman" w:cs="Times New Roman"/>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34"/>
    <w:qFormat/>
    <w:rsid w:val="00F37043"/>
    <w:pPr>
      <w:ind w:left="720"/>
      <w:contextualSpacing/>
    </w:pPr>
    <w:rPr>
      <w:rFonts w:eastAsia="Times New Roman"/>
      <w:sz w:val="22"/>
      <w:szCs w:val="22"/>
      <w:lang w:val="en-US"/>
    </w:rPr>
  </w:style>
  <w:style w:type="character" w:customStyle="1" w:styleId="NoSpacingChar">
    <w:name w:val="No Spacing Char"/>
    <w:link w:val="NoSpacing"/>
    <w:uiPriority w:val="1"/>
    <w:locked/>
    <w:rsid w:val="00F37043"/>
    <w:rPr>
      <w:rFonts w:ascii="Calibri" w:eastAsia="Calibri" w:hAnsi="Calibri" w:cs="Times New Roman"/>
      <w:lang w:val="sq-AL"/>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Char Char,Car"/>
    <w:basedOn w:val="Normal"/>
    <w:link w:val="FootnoteTextChar"/>
    <w:uiPriority w:val="99"/>
    <w:unhideWhenUsed/>
    <w:qFormat/>
    <w:rsid w:val="00F37043"/>
    <w:rPr>
      <w:rFonts w:eastAsia="Times New Roman"/>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link w:val="FootnoteText"/>
    <w:uiPriority w:val="99"/>
    <w:rsid w:val="00F37043"/>
    <w:rPr>
      <w:rFonts w:ascii="Times New Roman" w:eastAsia="Times New Roman" w:hAnsi="Times New Roman" w:cs="Times New Roman"/>
      <w:sz w:val="20"/>
      <w:szCs w:val="20"/>
    </w:rPr>
  </w:style>
  <w:style w:type="character" w:styleId="FootnoteReference">
    <w:name w:val="footnote reference"/>
    <w:aliases w:val="Footnote number,4_G"/>
    <w:uiPriority w:val="99"/>
    <w:unhideWhenUsed/>
    <w:rsid w:val="00F37043"/>
    <w:rPr>
      <w:vertAlign w:val="superscript"/>
    </w:rPr>
  </w:style>
  <w:style w:type="paragraph" w:styleId="BalloonText">
    <w:name w:val="Balloon Text"/>
    <w:basedOn w:val="Normal"/>
    <w:link w:val="BalloonTextChar"/>
    <w:uiPriority w:val="99"/>
    <w:semiHidden/>
    <w:unhideWhenUsed/>
    <w:rsid w:val="00F37043"/>
    <w:rPr>
      <w:rFonts w:ascii="Tahoma" w:hAnsi="Tahoma" w:cs="Tahoma"/>
      <w:sz w:val="16"/>
      <w:szCs w:val="16"/>
    </w:rPr>
  </w:style>
  <w:style w:type="character" w:customStyle="1" w:styleId="BalloonTextChar">
    <w:name w:val="Balloon Text Char"/>
    <w:link w:val="BalloonText"/>
    <w:uiPriority w:val="99"/>
    <w:semiHidden/>
    <w:rsid w:val="00F37043"/>
    <w:rPr>
      <w:rFonts w:ascii="Tahoma" w:eastAsia="MS Mincho" w:hAnsi="Tahoma" w:cs="Tahoma"/>
      <w:sz w:val="16"/>
      <w:szCs w:val="16"/>
      <w:lang w:val="sq-AL"/>
    </w:rPr>
  </w:style>
  <w:style w:type="numbering" w:customStyle="1" w:styleId="NoList1">
    <w:name w:val="No List1"/>
    <w:next w:val="NoList"/>
    <w:uiPriority w:val="99"/>
    <w:semiHidden/>
    <w:unhideWhenUsed/>
    <w:rsid w:val="00F37043"/>
  </w:style>
  <w:style w:type="paragraph" w:customStyle="1" w:styleId="paragraph">
    <w:name w:val="paragraph"/>
    <w:basedOn w:val="Normal"/>
    <w:rsid w:val="00F37043"/>
    <w:pPr>
      <w:spacing w:before="100" w:beforeAutospacing="1" w:after="100" w:afterAutospacing="1"/>
    </w:pPr>
    <w:rPr>
      <w:rFonts w:eastAsia="Times New Roman"/>
      <w:lang w:val="en-US"/>
    </w:rPr>
  </w:style>
  <w:style w:type="character" w:customStyle="1" w:styleId="eop">
    <w:name w:val="eop"/>
    <w:basedOn w:val="DefaultParagraphFont"/>
    <w:rsid w:val="00F37043"/>
  </w:style>
  <w:style w:type="character" w:customStyle="1" w:styleId="normaltextrun">
    <w:name w:val="normaltextrun"/>
    <w:basedOn w:val="DefaultParagraphFont"/>
    <w:rsid w:val="00F37043"/>
  </w:style>
  <w:style w:type="paragraph" w:customStyle="1" w:styleId="Default">
    <w:name w:val="Default"/>
    <w:rsid w:val="00F37043"/>
    <w:pPr>
      <w:autoSpaceDE w:val="0"/>
      <w:autoSpaceDN w:val="0"/>
      <w:adjustRightInd w:val="0"/>
    </w:pPr>
    <w:rPr>
      <w:rFonts w:ascii="Times New Roman" w:hAnsi="Times New Roman"/>
      <w:color w:val="000000"/>
      <w:sz w:val="24"/>
      <w:szCs w:val="24"/>
    </w:rPr>
  </w:style>
  <w:style w:type="character" w:customStyle="1" w:styleId="Bodytext2">
    <w:name w:val="Body text (2)_"/>
    <w:link w:val="Bodytext20"/>
    <w:uiPriority w:val="99"/>
    <w:rsid w:val="00F37043"/>
    <w:rPr>
      <w:rFonts w:ascii="Arial" w:hAnsi="Arial" w:cs="Arial"/>
      <w:b/>
      <w:bCs/>
      <w:sz w:val="15"/>
      <w:szCs w:val="15"/>
      <w:shd w:val="clear" w:color="auto" w:fill="FFFFFF"/>
    </w:rPr>
  </w:style>
  <w:style w:type="paragraph" w:customStyle="1" w:styleId="Bodytext20">
    <w:name w:val="Body text (2)"/>
    <w:basedOn w:val="Normal"/>
    <w:link w:val="Bodytext2"/>
    <w:uiPriority w:val="99"/>
    <w:rsid w:val="00F37043"/>
    <w:pPr>
      <w:widowControl w:val="0"/>
      <w:shd w:val="clear" w:color="auto" w:fill="FFFFFF"/>
      <w:spacing w:line="185" w:lineRule="exact"/>
      <w:ind w:hanging="1040"/>
      <w:jc w:val="center"/>
    </w:pPr>
    <w:rPr>
      <w:rFonts w:ascii="Arial" w:eastAsia="Calibri" w:hAnsi="Arial" w:cs="Arial"/>
      <w:b/>
      <w:bCs/>
      <w:sz w:val="15"/>
      <w:szCs w:val="15"/>
      <w:lang w:val="en-US"/>
    </w:rPr>
  </w:style>
  <w:style w:type="paragraph" w:styleId="Header">
    <w:name w:val="header"/>
    <w:basedOn w:val="Normal"/>
    <w:link w:val="HeaderChar"/>
    <w:uiPriority w:val="99"/>
    <w:unhideWhenUsed/>
    <w:rsid w:val="00F37043"/>
    <w:pPr>
      <w:tabs>
        <w:tab w:val="center" w:pos="4680"/>
        <w:tab w:val="right" w:pos="9360"/>
      </w:tabs>
    </w:pPr>
    <w:rPr>
      <w:rFonts w:eastAsia="Times New Roman"/>
      <w:sz w:val="20"/>
      <w:szCs w:val="20"/>
    </w:rPr>
  </w:style>
  <w:style w:type="character" w:customStyle="1" w:styleId="HeaderChar">
    <w:name w:val="Header Char"/>
    <w:link w:val="Header"/>
    <w:uiPriority w:val="99"/>
    <w:rsid w:val="00F3704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37043"/>
    <w:pPr>
      <w:tabs>
        <w:tab w:val="center" w:pos="4680"/>
        <w:tab w:val="right" w:pos="9360"/>
      </w:tabs>
    </w:pPr>
    <w:rPr>
      <w:rFonts w:eastAsia="Times New Roman"/>
      <w:sz w:val="20"/>
      <w:szCs w:val="20"/>
    </w:rPr>
  </w:style>
  <w:style w:type="character" w:customStyle="1" w:styleId="FooterChar">
    <w:name w:val="Footer Char"/>
    <w:link w:val="Footer"/>
    <w:uiPriority w:val="99"/>
    <w:rsid w:val="00F37043"/>
    <w:rPr>
      <w:rFonts w:ascii="Times New Roman" w:eastAsia="Times New Roman" w:hAnsi="Times New Roman" w:cs="Times New Roman"/>
      <w:sz w:val="20"/>
      <w:szCs w:val="20"/>
    </w:rPr>
  </w:style>
  <w:style w:type="paragraph" w:customStyle="1" w:styleId="Bodytext21">
    <w:name w:val="Body text (2)1"/>
    <w:basedOn w:val="Normal"/>
    <w:uiPriority w:val="99"/>
    <w:rsid w:val="00F37043"/>
    <w:pPr>
      <w:widowControl w:val="0"/>
      <w:shd w:val="clear" w:color="auto" w:fill="FFFFFF"/>
      <w:spacing w:after="120" w:line="195" w:lineRule="exact"/>
      <w:ind w:hanging="280"/>
    </w:pPr>
    <w:rPr>
      <w:rFonts w:ascii="Arial" w:eastAsia="Calibri" w:hAnsi="Arial"/>
      <w:sz w:val="15"/>
      <w:szCs w:val="15"/>
    </w:rPr>
  </w:style>
  <w:style w:type="character" w:customStyle="1" w:styleId="Bodytext5Bold">
    <w:name w:val="Body text (5) + Bold"/>
    <w:uiPriority w:val="99"/>
    <w:rsid w:val="00F37043"/>
    <w:rPr>
      <w:b/>
      <w:bCs/>
      <w:sz w:val="17"/>
      <w:szCs w:val="17"/>
      <w:shd w:val="clear" w:color="auto" w:fill="FFFFFF"/>
    </w:rPr>
  </w:style>
  <w:style w:type="character" w:customStyle="1" w:styleId="Bodytext45">
    <w:name w:val="Body text (45)_"/>
    <w:link w:val="Bodytext451"/>
    <w:uiPriority w:val="99"/>
    <w:locked/>
    <w:rsid w:val="00F37043"/>
    <w:rPr>
      <w:b/>
      <w:bCs/>
      <w:sz w:val="19"/>
      <w:szCs w:val="19"/>
      <w:shd w:val="clear" w:color="auto" w:fill="FFFFFF"/>
    </w:rPr>
  </w:style>
  <w:style w:type="paragraph" w:customStyle="1" w:styleId="Bodytext451">
    <w:name w:val="Body text (45)1"/>
    <w:basedOn w:val="Normal"/>
    <w:link w:val="Bodytext45"/>
    <w:uiPriority w:val="99"/>
    <w:rsid w:val="00F37043"/>
    <w:pPr>
      <w:widowControl w:val="0"/>
      <w:shd w:val="clear" w:color="auto" w:fill="FFFFFF"/>
      <w:spacing w:before="360" w:after="240" w:line="240" w:lineRule="atLeast"/>
      <w:jc w:val="center"/>
    </w:pPr>
    <w:rPr>
      <w:rFonts w:ascii="Calibri" w:eastAsia="Calibri" w:hAnsi="Calibri"/>
      <w:b/>
      <w:bCs/>
      <w:sz w:val="19"/>
      <w:szCs w:val="19"/>
      <w:lang w:val="en-US"/>
    </w:rPr>
  </w:style>
  <w:style w:type="paragraph" w:styleId="NormalWeb">
    <w:name w:val="Normal (Web)"/>
    <w:basedOn w:val="Normal"/>
    <w:uiPriority w:val="99"/>
    <w:unhideWhenUsed/>
    <w:rsid w:val="00F37043"/>
    <w:pPr>
      <w:spacing w:before="100" w:beforeAutospacing="1" w:after="100" w:afterAutospacing="1"/>
    </w:pPr>
    <w:rPr>
      <w:rFonts w:eastAsia="Times New Roman"/>
      <w:lang w:val="en-US"/>
    </w:rPr>
  </w:style>
  <w:style w:type="paragraph" w:styleId="BodyText">
    <w:name w:val="Body Text"/>
    <w:basedOn w:val="Normal"/>
    <w:link w:val="BodyTextChar"/>
    <w:uiPriority w:val="99"/>
    <w:unhideWhenUsed/>
    <w:rsid w:val="00F37043"/>
    <w:pPr>
      <w:jc w:val="both"/>
    </w:pPr>
    <w:rPr>
      <w:rFonts w:eastAsia="Times New Roman"/>
      <w:b/>
    </w:rPr>
  </w:style>
  <w:style w:type="character" w:customStyle="1" w:styleId="BodyTextChar">
    <w:name w:val="Body Text Char"/>
    <w:link w:val="BodyText"/>
    <w:uiPriority w:val="99"/>
    <w:rsid w:val="00F37043"/>
    <w:rPr>
      <w:rFonts w:ascii="Times New Roman" w:eastAsia="Times New Roman" w:hAnsi="Times New Roman" w:cs="Times New Roman"/>
      <w:b/>
      <w:sz w:val="24"/>
      <w:szCs w:val="24"/>
      <w:lang w:val="sq-AL"/>
    </w:rPr>
  </w:style>
  <w:style w:type="paragraph" w:styleId="BodyTextIndent">
    <w:name w:val="Body Text Indent"/>
    <w:basedOn w:val="Normal"/>
    <w:link w:val="BodyTextIndentChar"/>
    <w:uiPriority w:val="99"/>
    <w:unhideWhenUsed/>
    <w:rsid w:val="00F37043"/>
    <w:pPr>
      <w:ind w:left="721"/>
      <w:jc w:val="both"/>
    </w:pPr>
    <w:rPr>
      <w:rFonts w:eastAsia="Times New Roman"/>
      <w:i/>
    </w:rPr>
  </w:style>
  <w:style w:type="character" w:customStyle="1" w:styleId="BodyTextIndentChar">
    <w:name w:val="Body Text Indent Char"/>
    <w:link w:val="BodyTextIndent"/>
    <w:uiPriority w:val="99"/>
    <w:rsid w:val="00F37043"/>
    <w:rPr>
      <w:rFonts w:ascii="Times New Roman" w:eastAsia="Times New Roman" w:hAnsi="Times New Roman" w:cs="Times New Roman"/>
      <w:i/>
      <w:sz w:val="24"/>
      <w:szCs w:val="24"/>
      <w:lang w:val="sq-AL"/>
    </w:rPr>
  </w:style>
  <w:style w:type="paragraph" w:styleId="BodyText22">
    <w:name w:val="Body Text 2"/>
    <w:basedOn w:val="Normal"/>
    <w:link w:val="BodyText2Char"/>
    <w:uiPriority w:val="99"/>
    <w:unhideWhenUsed/>
    <w:rsid w:val="00F37043"/>
    <w:pPr>
      <w:jc w:val="both"/>
    </w:pPr>
    <w:rPr>
      <w:rFonts w:eastAsia="Times New Roman"/>
      <w:i/>
      <w:sz w:val="20"/>
      <w:szCs w:val="20"/>
    </w:rPr>
  </w:style>
  <w:style w:type="character" w:customStyle="1" w:styleId="BodyText2Char">
    <w:name w:val="Body Text 2 Char"/>
    <w:link w:val="BodyText22"/>
    <w:uiPriority w:val="99"/>
    <w:rsid w:val="00F37043"/>
    <w:rPr>
      <w:rFonts w:ascii="Times New Roman" w:eastAsia="Times New Roman" w:hAnsi="Times New Roman" w:cs="Times New Roman"/>
      <w:i/>
      <w:sz w:val="20"/>
      <w:szCs w:val="20"/>
    </w:rPr>
  </w:style>
  <w:style w:type="paragraph" w:styleId="BodyTextIndent2">
    <w:name w:val="Body Text Indent 2"/>
    <w:basedOn w:val="Normal"/>
    <w:link w:val="BodyTextIndent2Char"/>
    <w:uiPriority w:val="99"/>
    <w:unhideWhenUsed/>
    <w:rsid w:val="00F37043"/>
    <w:pPr>
      <w:ind w:left="720"/>
      <w:jc w:val="both"/>
    </w:pPr>
    <w:rPr>
      <w:rFonts w:eastAsia="Times New Roman"/>
      <w:b/>
    </w:rPr>
  </w:style>
  <w:style w:type="character" w:customStyle="1" w:styleId="BodyTextIndent2Char">
    <w:name w:val="Body Text Indent 2 Char"/>
    <w:link w:val="BodyTextIndent2"/>
    <w:uiPriority w:val="99"/>
    <w:rsid w:val="00F37043"/>
    <w:rPr>
      <w:rFonts w:ascii="Times New Roman" w:eastAsia="Times New Roman" w:hAnsi="Times New Roman" w:cs="Times New Roman"/>
      <w:b/>
      <w:sz w:val="24"/>
      <w:szCs w:val="24"/>
    </w:rPr>
  </w:style>
  <w:style w:type="paragraph" w:styleId="BodyTextIndent3">
    <w:name w:val="Body Text Indent 3"/>
    <w:basedOn w:val="Normal"/>
    <w:link w:val="BodyTextIndent3Char"/>
    <w:uiPriority w:val="99"/>
    <w:unhideWhenUsed/>
    <w:rsid w:val="00F37043"/>
    <w:pPr>
      <w:ind w:left="720"/>
      <w:jc w:val="both"/>
    </w:pPr>
    <w:rPr>
      <w:rFonts w:eastAsia="Times New Roman"/>
      <w:i/>
    </w:rPr>
  </w:style>
  <w:style w:type="character" w:customStyle="1" w:styleId="BodyTextIndent3Char">
    <w:name w:val="Body Text Indent 3 Char"/>
    <w:link w:val="BodyTextIndent3"/>
    <w:uiPriority w:val="99"/>
    <w:rsid w:val="00F37043"/>
    <w:rPr>
      <w:rFonts w:ascii="Times New Roman" w:eastAsia="Times New Roman" w:hAnsi="Times New Roman" w:cs="Times New Roman"/>
      <w:i/>
      <w:sz w:val="24"/>
      <w:szCs w:val="24"/>
    </w:rPr>
  </w:style>
  <w:style w:type="paragraph" w:customStyle="1" w:styleId="NENIII">
    <w:name w:val="NENIII"/>
    <w:basedOn w:val="Normal"/>
    <w:qFormat/>
    <w:rsid w:val="00F37043"/>
    <w:pPr>
      <w:jc w:val="center"/>
    </w:pPr>
    <w:rPr>
      <w:rFonts w:ascii="Garamond" w:eastAsia="Calibri" w:hAnsi="Garamond"/>
    </w:rPr>
  </w:style>
  <w:style w:type="character" w:styleId="Hyperlink">
    <w:name w:val="Hyperlink"/>
    <w:rsid w:val="00F37043"/>
    <w:rPr>
      <w:color w:val="0000FF"/>
      <w:u w:val="single"/>
    </w:rPr>
  </w:style>
  <w:style w:type="character" w:styleId="CommentReference">
    <w:name w:val="annotation reference"/>
    <w:uiPriority w:val="99"/>
    <w:semiHidden/>
    <w:unhideWhenUsed/>
    <w:rsid w:val="00F37043"/>
    <w:rPr>
      <w:sz w:val="16"/>
      <w:szCs w:val="16"/>
    </w:rPr>
  </w:style>
  <w:style w:type="paragraph" w:styleId="CommentText">
    <w:name w:val="annotation text"/>
    <w:basedOn w:val="Normal"/>
    <w:link w:val="CommentTextChar"/>
    <w:uiPriority w:val="99"/>
    <w:semiHidden/>
    <w:unhideWhenUsed/>
    <w:rsid w:val="00F37043"/>
    <w:rPr>
      <w:sz w:val="20"/>
      <w:szCs w:val="20"/>
    </w:rPr>
  </w:style>
  <w:style w:type="character" w:customStyle="1" w:styleId="CommentTextChar">
    <w:name w:val="Comment Text Char"/>
    <w:link w:val="CommentText"/>
    <w:uiPriority w:val="99"/>
    <w:semiHidden/>
    <w:rsid w:val="00F37043"/>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37043"/>
    <w:rPr>
      <w:b/>
      <w:bCs/>
    </w:rPr>
  </w:style>
  <w:style w:type="character" w:customStyle="1" w:styleId="CommentSubjectChar">
    <w:name w:val="Comment Subject Char"/>
    <w:link w:val="CommentSubject"/>
    <w:uiPriority w:val="99"/>
    <w:semiHidden/>
    <w:rsid w:val="00F37043"/>
    <w:rPr>
      <w:rFonts w:ascii="Times New Roman" w:eastAsia="MS Mincho" w:hAnsi="Times New Roman" w:cs="Times New Roman"/>
      <w:b/>
      <w:bCs/>
      <w:sz w:val="20"/>
      <w:szCs w:val="20"/>
      <w:lang w:val="sq-AL"/>
    </w:rPr>
  </w:style>
  <w:style w:type="paragraph" w:styleId="HTMLPreformatted">
    <w:name w:val="HTML Preformatted"/>
    <w:basedOn w:val="Normal"/>
    <w:link w:val="HTMLPreformattedChar"/>
    <w:uiPriority w:val="99"/>
    <w:semiHidden/>
    <w:unhideWhenUsed/>
    <w:rsid w:val="00F37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semiHidden/>
    <w:rsid w:val="00F37043"/>
    <w:rPr>
      <w:rFonts w:ascii="Courier New" w:eastAsia="Times New Roman" w:hAnsi="Courier New" w:cs="Courier New"/>
      <w:sz w:val="20"/>
      <w:szCs w:val="20"/>
    </w:rPr>
  </w:style>
  <w:style w:type="paragraph" w:styleId="Revision">
    <w:name w:val="Revision"/>
    <w:hidden/>
    <w:uiPriority w:val="99"/>
    <w:semiHidden/>
    <w:rsid w:val="0095006E"/>
    <w:rPr>
      <w:rFonts w:ascii="Times New Roman" w:eastAsia="MS Mincho" w:hAnsi="Times New Roman"/>
      <w:sz w:val="24"/>
      <w:szCs w:val="24"/>
      <w:lang w:val="sq-AL"/>
    </w:rPr>
  </w:style>
  <w:style w:type="character" w:styleId="Strong">
    <w:name w:val="Strong"/>
    <w:uiPriority w:val="22"/>
    <w:qFormat/>
    <w:rsid w:val="003C442D"/>
    <w:rPr>
      <w:b/>
      <w:bCs/>
    </w:rPr>
  </w:style>
  <w:style w:type="character" w:styleId="Emphasis">
    <w:name w:val="Emphasis"/>
    <w:uiPriority w:val="20"/>
    <w:qFormat/>
    <w:rsid w:val="00C02FFB"/>
    <w:rPr>
      <w:i/>
      <w:iCs/>
    </w:rPr>
  </w:style>
  <w:style w:type="table" w:styleId="TableGrid">
    <w:name w:val="Table Grid"/>
    <w:basedOn w:val="TableNormal"/>
    <w:uiPriority w:val="39"/>
    <w:rsid w:val="00615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5757">
      <w:bodyDiv w:val="1"/>
      <w:marLeft w:val="0"/>
      <w:marRight w:val="0"/>
      <w:marTop w:val="0"/>
      <w:marBottom w:val="0"/>
      <w:divBdr>
        <w:top w:val="none" w:sz="0" w:space="0" w:color="auto"/>
        <w:left w:val="none" w:sz="0" w:space="0" w:color="auto"/>
        <w:bottom w:val="none" w:sz="0" w:space="0" w:color="auto"/>
        <w:right w:val="none" w:sz="0" w:space="0" w:color="auto"/>
      </w:divBdr>
    </w:div>
    <w:div w:id="101416857">
      <w:bodyDiv w:val="1"/>
      <w:marLeft w:val="0"/>
      <w:marRight w:val="0"/>
      <w:marTop w:val="0"/>
      <w:marBottom w:val="0"/>
      <w:divBdr>
        <w:top w:val="none" w:sz="0" w:space="0" w:color="auto"/>
        <w:left w:val="none" w:sz="0" w:space="0" w:color="auto"/>
        <w:bottom w:val="none" w:sz="0" w:space="0" w:color="auto"/>
        <w:right w:val="none" w:sz="0" w:space="0" w:color="auto"/>
      </w:divBdr>
    </w:div>
    <w:div w:id="127860846">
      <w:bodyDiv w:val="1"/>
      <w:marLeft w:val="0"/>
      <w:marRight w:val="0"/>
      <w:marTop w:val="0"/>
      <w:marBottom w:val="0"/>
      <w:divBdr>
        <w:top w:val="none" w:sz="0" w:space="0" w:color="auto"/>
        <w:left w:val="none" w:sz="0" w:space="0" w:color="auto"/>
        <w:bottom w:val="none" w:sz="0" w:space="0" w:color="auto"/>
        <w:right w:val="none" w:sz="0" w:space="0" w:color="auto"/>
      </w:divBdr>
    </w:div>
    <w:div w:id="179513595">
      <w:bodyDiv w:val="1"/>
      <w:marLeft w:val="0"/>
      <w:marRight w:val="0"/>
      <w:marTop w:val="0"/>
      <w:marBottom w:val="0"/>
      <w:divBdr>
        <w:top w:val="none" w:sz="0" w:space="0" w:color="auto"/>
        <w:left w:val="none" w:sz="0" w:space="0" w:color="auto"/>
        <w:bottom w:val="none" w:sz="0" w:space="0" w:color="auto"/>
        <w:right w:val="none" w:sz="0" w:space="0" w:color="auto"/>
      </w:divBdr>
    </w:div>
    <w:div w:id="212280423">
      <w:bodyDiv w:val="1"/>
      <w:marLeft w:val="0"/>
      <w:marRight w:val="0"/>
      <w:marTop w:val="0"/>
      <w:marBottom w:val="0"/>
      <w:divBdr>
        <w:top w:val="none" w:sz="0" w:space="0" w:color="auto"/>
        <w:left w:val="none" w:sz="0" w:space="0" w:color="auto"/>
        <w:bottom w:val="none" w:sz="0" w:space="0" w:color="auto"/>
        <w:right w:val="none" w:sz="0" w:space="0" w:color="auto"/>
      </w:divBdr>
      <w:divsChild>
        <w:div w:id="322659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03866">
      <w:bodyDiv w:val="1"/>
      <w:marLeft w:val="0"/>
      <w:marRight w:val="0"/>
      <w:marTop w:val="0"/>
      <w:marBottom w:val="0"/>
      <w:divBdr>
        <w:top w:val="none" w:sz="0" w:space="0" w:color="auto"/>
        <w:left w:val="none" w:sz="0" w:space="0" w:color="auto"/>
        <w:bottom w:val="none" w:sz="0" w:space="0" w:color="auto"/>
        <w:right w:val="none" w:sz="0" w:space="0" w:color="auto"/>
      </w:divBdr>
    </w:div>
    <w:div w:id="348220958">
      <w:bodyDiv w:val="1"/>
      <w:marLeft w:val="0"/>
      <w:marRight w:val="0"/>
      <w:marTop w:val="0"/>
      <w:marBottom w:val="0"/>
      <w:divBdr>
        <w:top w:val="none" w:sz="0" w:space="0" w:color="auto"/>
        <w:left w:val="none" w:sz="0" w:space="0" w:color="auto"/>
        <w:bottom w:val="none" w:sz="0" w:space="0" w:color="auto"/>
        <w:right w:val="none" w:sz="0" w:space="0" w:color="auto"/>
      </w:divBdr>
    </w:div>
    <w:div w:id="398601024">
      <w:bodyDiv w:val="1"/>
      <w:marLeft w:val="0"/>
      <w:marRight w:val="0"/>
      <w:marTop w:val="0"/>
      <w:marBottom w:val="0"/>
      <w:divBdr>
        <w:top w:val="none" w:sz="0" w:space="0" w:color="auto"/>
        <w:left w:val="none" w:sz="0" w:space="0" w:color="auto"/>
        <w:bottom w:val="none" w:sz="0" w:space="0" w:color="auto"/>
        <w:right w:val="none" w:sz="0" w:space="0" w:color="auto"/>
      </w:divBdr>
    </w:div>
    <w:div w:id="408582939">
      <w:bodyDiv w:val="1"/>
      <w:marLeft w:val="0"/>
      <w:marRight w:val="0"/>
      <w:marTop w:val="0"/>
      <w:marBottom w:val="0"/>
      <w:divBdr>
        <w:top w:val="none" w:sz="0" w:space="0" w:color="auto"/>
        <w:left w:val="none" w:sz="0" w:space="0" w:color="auto"/>
        <w:bottom w:val="none" w:sz="0" w:space="0" w:color="auto"/>
        <w:right w:val="none" w:sz="0" w:space="0" w:color="auto"/>
      </w:divBdr>
    </w:div>
    <w:div w:id="445392265">
      <w:bodyDiv w:val="1"/>
      <w:marLeft w:val="0"/>
      <w:marRight w:val="0"/>
      <w:marTop w:val="0"/>
      <w:marBottom w:val="0"/>
      <w:divBdr>
        <w:top w:val="none" w:sz="0" w:space="0" w:color="auto"/>
        <w:left w:val="none" w:sz="0" w:space="0" w:color="auto"/>
        <w:bottom w:val="none" w:sz="0" w:space="0" w:color="auto"/>
        <w:right w:val="none" w:sz="0" w:space="0" w:color="auto"/>
      </w:divBdr>
    </w:div>
    <w:div w:id="486553909">
      <w:bodyDiv w:val="1"/>
      <w:marLeft w:val="0"/>
      <w:marRight w:val="0"/>
      <w:marTop w:val="0"/>
      <w:marBottom w:val="0"/>
      <w:divBdr>
        <w:top w:val="none" w:sz="0" w:space="0" w:color="auto"/>
        <w:left w:val="none" w:sz="0" w:space="0" w:color="auto"/>
        <w:bottom w:val="none" w:sz="0" w:space="0" w:color="auto"/>
        <w:right w:val="none" w:sz="0" w:space="0" w:color="auto"/>
      </w:divBdr>
    </w:div>
    <w:div w:id="525410486">
      <w:bodyDiv w:val="1"/>
      <w:marLeft w:val="0"/>
      <w:marRight w:val="0"/>
      <w:marTop w:val="0"/>
      <w:marBottom w:val="0"/>
      <w:divBdr>
        <w:top w:val="none" w:sz="0" w:space="0" w:color="auto"/>
        <w:left w:val="none" w:sz="0" w:space="0" w:color="auto"/>
        <w:bottom w:val="none" w:sz="0" w:space="0" w:color="auto"/>
        <w:right w:val="none" w:sz="0" w:space="0" w:color="auto"/>
      </w:divBdr>
    </w:div>
    <w:div w:id="535194623">
      <w:bodyDiv w:val="1"/>
      <w:marLeft w:val="0"/>
      <w:marRight w:val="0"/>
      <w:marTop w:val="0"/>
      <w:marBottom w:val="0"/>
      <w:divBdr>
        <w:top w:val="none" w:sz="0" w:space="0" w:color="auto"/>
        <w:left w:val="none" w:sz="0" w:space="0" w:color="auto"/>
        <w:bottom w:val="none" w:sz="0" w:space="0" w:color="auto"/>
        <w:right w:val="none" w:sz="0" w:space="0" w:color="auto"/>
      </w:divBdr>
    </w:div>
    <w:div w:id="647442147">
      <w:bodyDiv w:val="1"/>
      <w:marLeft w:val="0"/>
      <w:marRight w:val="0"/>
      <w:marTop w:val="0"/>
      <w:marBottom w:val="0"/>
      <w:divBdr>
        <w:top w:val="none" w:sz="0" w:space="0" w:color="auto"/>
        <w:left w:val="none" w:sz="0" w:space="0" w:color="auto"/>
        <w:bottom w:val="none" w:sz="0" w:space="0" w:color="auto"/>
        <w:right w:val="none" w:sz="0" w:space="0" w:color="auto"/>
      </w:divBdr>
    </w:div>
    <w:div w:id="679745087">
      <w:bodyDiv w:val="1"/>
      <w:marLeft w:val="0"/>
      <w:marRight w:val="0"/>
      <w:marTop w:val="0"/>
      <w:marBottom w:val="0"/>
      <w:divBdr>
        <w:top w:val="none" w:sz="0" w:space="0" w:color="auto"/>
        <w:left w:val="none" w:sz="0" w:space="0" w:color="auto"/>
        <w:bottom w:val="none" w:sz="0" w:space="0" w:color="auto"/>
        <w:right w:val="none" w:sz="0" w:space="0" w:color="auto"/>
      </w:divBdr>
    </w:div>
    <w:div w:id="689378919">
      <w:bodyDiv w:val="1"/>
      <w:marLeft w:val="0"/>
      <w:marRight w:val="0"/>
      <w:marTop w:val="0"/>
      <w:marBottom w:val="0"/>
      <w:divBdr>
        <w:top w:val="none" w:sz="0" w:space="0" w:color="auto"/>
        <w:left w:val="none" w:sz="0" w:space="0" w:color="auto"/>
        <w:bottom w:val="none" w:sz="0" w:space="0" w:color="auto"/>
        <w:right w:val="none" w:sz="0" w:space="0" w:color="auto"/>
      </w:divBdr>
    </w:div>
    <w:div w:id="739328403">
      <w:bodyDiv w:val="1"/>
      <w:marLeft w:val="0"/>
      <w:marRight w:val="0"/>
      <w:marTop w:val="0"/>
      <w:marBottom w:val="0"/>
      <w:divBdr>
        <w:top w:val="none" w:sz="0" w:space="0" w:color="auto"/>
        <w:left w:val="none" w:sz="0" w:space="0" w:color="auto"/>
        <w:bottom w:val="none" w:sz="0" w:space="0" w:color="auto"/>
        <w:right w:val="none" w:sz="0" w:space="0" w:color="auto"/>
      </w:divBdr>
    </w:div>
    <w:div w:id="739644609">
      <w:bodyDiv w:val="1"/>
      <w:marLeft w:val="0"/>
      <w:marRight w:val="0"/>
      <w:marTop w:val="0"/>
      <w:marBottom w:val="0"/>
      <w:divBdr>
        <w:top w:val="none" w:sz="0" w:space="0" w:color="auto"/>
        <w:left w:val="none" w:sz="0" w:space="0" w:color="auto"/>
        <w:bottom w:val="none" w:sz="0" w:space="0" w:color="auto"/>
        <w:right w:val="none" w:sz="0" w:space="0" w:color="auto"/>
      </w:divBdr>
    </w:div>
    <w:div w:id="781192941">
      <w:bodyDiv w:val="1"/>
      <w:marLeft w:val="0"/>
      <w:marRight w:val="0"/>
      <w:marTop w:val="0"/>
      <w:marBottom w:val="0"/>
      <w:divBdr>
        <w:top w:val="none" w:sz="0" w:space="0" w:color="auto"/>
        <w:left w:val="none" w:sz="0" w:space="0" w:color="auto"/>
        <w:bottom w:val="none" w:sz="0" w:space="0" w:color="auto"/>
        <w:right w:val="none" w:sz="0" w:space="0" w:color="auto"/>
      </w:divBdr>
    </w:div>
    <w:div w:id="790125637">
      <w:bodyDiv w:val="1"/>
      <w:marLeft w:val="0"/>
      <w:marRight w:val="0"/>
      <w:marTop w:val="0"/>
      <w:marBottom w:val="0"/>
      <w:divBdr>
        <w:top w:val="none" w:sz="0" w:space="0" w:color="auto"/>
        <w:left w:val="none" w:sz="0" w:space="0" w:color="auto"/>
        <w:bottom w:val="none" w:sz="0" w:space="0" w:color="auto"/>
        <w:right w:val="none" w:sz="0" w:space="0" w:color="auto"/>
      </w:divBdr>
    </w:div>
    <w:div w:id="834104518">
      <w:bodyDiv w:val="1"/>
      <w:marLeft w:val="0"/>
      <w:marRight w:val="0"/>
      <w:marTop w:val="0"/>
      <w:marBottom w:val="0"/>
      <w:divBdr>
        <w:top w:val="none" w:sz="0" w:space="0" w:color="auto"/>
        <w:left w:val="none" w:sz="0" w:space="0" w:color="auto"/>
        <w:bottom w:val="none" w:sz="0" w:space="0" w:color="auto"/>
        <w:right w:val="none" w:sz="0" w:space="0" w:color="auto"/>
      </w:divBdr>
    </w:div>
    <w:div w:id="837841449">
      <w:bodyDiv w:val="1"/>
      <w:marLeft w:val="0"/>
      <w:marRight w:val="0"/>
      <w:marTop w:val="0"/>
      <w:marBottom w:val="0"/>
      <w:divBdr>
        <w:top w:val="none" w:sz="0" w:space="0" w:color="auto"/>
        <w:left w:val="none" w:sz="0" w:space="0" w:color="auto"/>
        <w:bottom w:val="none" w:sz="0" w:space="0" w:color="auto"/>
        <w:right w:val="none" w:sz="0" w:space="0" w:color="auto"/>
      </w:divBdr>
    </w:div>
    <w:div w:id="858086174">
      <w:bodyDiv w:val="1"/>
      <w:marLeft w:val="0"/>
      <w:marRight w:val="0"/>
      <w:marTop w:val="0"/>
      <w:marBottom w:val="0"/>
      <w:divBdr>
        <w:top w:val="none" w:sz="0" w:space="0" w:color="auto"/>
        <w:left w:val="none" w:sz="0" w:space="0" w:color="auto"/>
        <w:bottom w:val="none" w:sz="0" w:space="0" w:color="auto"/>
        <w:right w:val="none" w:sz="0" w:space="0" w:color="auto"/>
      </w:divBdr>
    </w:div>
    <w:div w:id="863399304">
      <w:bodyDiv w:val="1"/>
      <w:marLeft w:val="0"/>
      <w:marRight w:val="0"/>
      <w:marTop w:val="0"/>
      <w:marBottom w:val="0"/>
      <w:divBdr>
        <w:top w:val="none" w:sz="0" w:space="0" w:color="auto"/>
        <w:left w:val="none" w:sz="0" w:space="0" w:color="auto"/>
        <w:bottom w:val="none" w:sz="0" w:space="0" w:color="auto"/>
        <w:right w:val="none" w:sz="0" w:space="0" w:color="auto"/>
      </w:divBdr>
    </w:div>
    <w:div w:id="870607611">
      <w:bodyDiv w:val="1"/>
      <w:marLeft w:val="0"/>
      <w:marRight w:val="0"/>
      <w:marTop w:val="0"/>
      <w:marBottom w:val="0"/>
      <w:divBdr>
        <w:top w:val="none" w:sz="0" w:space="0" w:color="auto"/>
        <w:left w:val="none" w:sz="0" w:space="0" w:color="auto"/>
        <w:bottom w:val="none" w:sz="0" w:space="0" w:color="auto"/>
        <w:right w:val="none" w:sz="0" w:space="0" w:color="auto"/>
      </w:divBdr>
    </w:div>
    <w:div w:id="872233533">
      <w:bodyDiv w:val="1"/>
      <w:marLeft w:val="0"/>
      <w:marRight w:val="0"/>
      <w:marTop w:val="0"/>
      <w:marBottom w:val="0"/>
      <w:divBdr>
        <w:top w:val="none" w:sz="0" w:space="0" w:color="auto"/>
        <w:left w:val="none" w:sz="0" w:space="0" w:color="auto"/>
        <w:bottom w:val="none" w:sz="0" w:space="0" w:color="auto"/>
        <w:right w:val="none" w:sz="0" w:space="0" w:color="auto"/>
      </w:divBdr>
    </w:div>
    <w:div w:id="903418137">
      <w:bodyDiv w:val="1"/>
      <w:marLeft w:val="0"/>
      <w:marRight w:val="0"/>
      <w:marTop w:val="0"/>
      <w:marBottom w:val="0"/>
      <w:divBdr>
        <w:top w:val="none" w:sz="0" w:space="0" w:color="auto"/>
        <w:left w:val="none" w:sz="0" w:space="0" w:color="auto"/>
        <w:bottom w:val="none" w:sz="0" w:space="0" w:color="auto"/>
        <w:right w:val="none" w:sz="0" w:space="0" w:color="auto"/>
      </w:divBdr>
    </w:div>
    <w:div w:id="908921429">
      <w:bodyDiv w:val="1"/>
      <w:marLeft w:val="0"/>
      <w:marRight w:val="0"/>
      <w:marTop w:val="0"/>
      <w:marBottom w:val="0"/>
      <w:divBdr>
        <w:top w:val="none" w:sz="0" w:space="0" w:color="auto"/>
        <w:left w:val="none" w:sz="0" w:space="0" w:color="auto"/>
        <w:bottom w:val="none" w:sz="0" w:space="0" w:color="auto"/>
        <w:right w:val="none" w:sz="0" w:space="0" w:color="auto"/>
      </w:divBdr>
    </w:div>
    <w:div w:id="937761253">
      <w:bodyDiv w:val="1"/>
      <w:marLeft w:val="0"/>
      <w:marRight w:val="0"/>
      <w:marTop w:val="0"/>
      <w:marBottom w:val="0"/>
      <w:divBdr>
        <w:top w:val="none" w:sz="0" w:space="0" w:color="auto"/>
        <w:left w:val="none" w:sz="0" w:space="0" w:color="auto"/>
        <w:bottom w:val="none" w:sz="0" w:space="0" w:color="auto"/>
        <w:right w:val="none" w:sz="0" w:space="0" w:color="auto"/>
      </w:divBdr>
    </w:div>
    <w:div w:id="1021012978">
      <w:bodyDiv w:val="1"/>
      <w:marLeft w:val="0"/>
      <w:marRight w:val="0"/>
      <w:marTop w:val="0"/>
      <w:marBottom w:val="0"/>
      <w:divBdr>
        <w:top w:val="none" w:sz="0" w:space="0" w:color="auto"/>
        <w:left w:val="none" w:sz="0" w:space="0" w:color="auto"/>
        <w:bottom w:val="none" w:sz="0" w:space="0" w:color="auto"/>
        <w:right w:val="none" w:sz="0" w:space="0" w:color="auto"/>
      </w:divBdr>
    </w:div>
    <w:div w:id="1024861890">
      <w:bodyDiv w:val="1"/>
      <w:marLeft w:val="0"/>
      <w:marRight w:val="0"/>
      <w:marTop w:val="0"/>
      <w:marBottom w:val="0"/>
      <w:divBdr>
        <w:top w:val="none" w:sz="0" w:space="0" w:color="auto"/>
        <w:left w:val="none" w:sz="0" w:space="0" w:color="auto"/>
        <w:bottom w:val="none" w:sz="0" w:space="0" w:color="auto"/>
        <w:right w:val="none" w:sz="0" w:space="0" w:color="auto"/>
      </w:divBdr>
    </w:div>
    <w:div w:id="1101147174">
      <w:bodyDiv w:val="1"/>
      <w:marLeft w:val="0"/>
      <w:marRight w:val="0"/>
      <w:marTop w:val="0"/>
      <w:marBottom w:val="0"/>
      <w:divBdr>
        <w:top w:val="none" w:sz="0" w:space="0" w:color="auto"/>
        <w:left w:val="none" w:sz="0" w:space="0" w:color="auto"/>
        <w:bottom w:val="none" w:sz="0" w:space="0" w:color="auto"/>
        <w:right w:val="none" w:sz="0" w:space="0" w:color="auto"/>
      </w:divBdr>
      <w:divsChild>
        <w:div w:id="1876695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588091">
      <w:bodyDiv w:val="1"/>
      <w:marLeft w:val="0"/>
      <w:marRight w:val="0"/>
      <w:marTop w:val="0"/>
      <w:marBottom w:val="0"/>
      <w:divBdr>
        <w:top w:val="none" w:sz="0" w:space="0" w:color="auto"/>
        <w:left w:val="none" w:sz="0" w:space="0" w:color="auto"/>
        <w:bottom w:val="none" w:sz="0" w:space="0" w:color="auto"/>
        <w:right w:val="none" w:sz="0" w:space="0" w:color="auto"/>
      </w:divBdr>
    </w:div>
    <w:div w:id="1118989668">
      <w:bodyDiv w:val="1"/>
      <w:marLeft w:val="0"/>
      <w:marRight w:val="0"/>
      <w:marTop w:val="0"/>
      <w:marBottom w:val="0"/>
      <w:divBdr>
        <w:top w:val="none" w:sz="0" w:space="0" w:color="auto"/>
        <w:left w:val="none" w:sz="0" w:space="0" w:color="auto"/>
        <w:bottom w:val="none" w:sz="0" w:space="0" w:color="auto"/>
        <w:right w:val="none" w:sz="0" w:space="0" w:color="auto"/>
      </w:divBdr>
    </w:div>
    <w:div w:id="1159922762">
      <w:bodyDiv w:val="1"/>
      <w:marLeft w:val="0"/>
      <w:marRight w:val="0"/>
      <w:marTop w:val="0"/>
      <w:marBottom w:val="0"/>
      <w:divBdr>
        <w:top w:val="none" w:sz="0" w:space="0" w:color="auto"/>
        <w:left w:val="none" w:sz="0" w:space="0" w:color="auto"/>
        <w:bottom w:val="none" w:sz="0" w:space="0" w:color="auto"/>
        <w:right w:val="none" w:sz="0" w:space="0" w:color="auto"/>
      </w:divBdr>
    </w:div>
    <w:div w:id="1175807361">
      <w:bodyDiv w:val="1"/>
      <w:marLeft w:val="0"/>
      <w:marRight w:val="0"/>
      <w:marTop w:val="0"/>
      <w:marBottom w:val="0"/>
      <w:divBdr>
        <w:top w:val="none" w:sz="0" w:space="0" w:color="auto"/>
        <w:left w:val="none" w:sz="0" w:space="0" w:color="auto"/>
        <w:bottom w:val="none" w:sz="0" w:space="0" w:color="auto"/>
        <w:right w:val="none" w:sz="0" w:space="0" w:color="auto"/>
      </w:divBdr>
    </w:div>
    <w:div w:id="1189834396">
      <w:bodyDiv w:val="1"/>
      <w:marLeft w:val="0"/>
      <w:marRight w:val="0"/>
      <w:marTop w:val="0"/>
      <w:marBottom w:val="0"/>
      <w:divBdr>
        <w:top w:val="none" w:sz="0" w:space="0" w:color="auto"/>
        <w:left w:val="none" w:sz="0" w:space="0" w:color="auto"/>
        <w:bottom w:val="none" w:sz="0" w:space="0" w:color="auto"/>
        <w:right w:val="none" w:sz="0" w:space="0" w:color="auto"/>
      </w:divBdr>
    </w:div>
    <w:div w:id="1202789026">
      <w:bodyDiv w:val="1"/>
      <w:marLeft w:val="0"/>
      <w:marRight w:val="0"/>
      <w:marTop w:val="0"/>
      <w:marBottom w:val="0"/>
      <w:divBdr>
        <w:top w:val="none" w:sz="0" w:space="0" w:color="auto"/>
        <w:left w:val="none" w:sz="0" w:space="0" w:color="auto"/>
        <w:bottom w:val="none" w:sz="0" w:space="0" w:color="auto"/>
        <w:right w:val="none" w:sz="0" w:space="0" w:color="auto"/>
      </w:divBdr>
    </w:div>
    <w:div w:id="1215315818">
      <w:bodyDiv w:val="1"/>
      <w:marLeft w:val="0"/>
      <w:marRight w:val="0"/>
      <w:marTop w:val="0"/>
      <w:marBottom w:val="0"/>
      <w:divBdr>
        <w:top w:val="none" w:sz="0" w:space="0" w:color="auto"/>
        <w:left w:val="none" w:sz="0" w:space="0" w:color="auto"/>
        <w:bottom w:val="none" w:sz="0" w:space="0" w:color="auto"/>
        <w:right w:val="none" w:sz="0" w:space="0" w:color="auto"/>
      </w:divBdr>
    </w:div>
    <w:div w:id="1244099557">
      <w:bodyDiv w:val="1"/>
      <w:marLeft w:val="0"/>
      <w:marRight w:val="0"/>
      <w:marTop w:val="0"/>
      <w:marBottom w:val="0"/>
      <w:divBdr>
        <w:top w:val="none" w:sz="0" w:space="0" w:color="auto"/>
        <w:left w:val="none" w:sz="0" w:space="0" w:color="auto"/>
        <w:bottom w:val="none" w:sz="0" w:space="0" w:color="auto"/>
        <w:right w:val="none" w:sz="0" w:space="0" w:color="auto"/>
      </w:divBdr>
    </w:div>
    <w:div w:id="1280800038">
      <w:bodyDiv w:val="1"/>
      <w:marLeft w:val="0"/>
      <w:marRight w:val="0"/>
      <w:marTop w:val="0"/>
      <w:marBottom w:val="0"/>
      <w:divBdr>
        <w:top w:val="none" w:sz="0" w:space="0" w:color="auto"/>
        <w:left w:val="none" w:sz="0" w:space="0" w:color="auto"/>
        <w:bottom w:val="none" w:sz="0" w:space="0" w:color="auto"/>
        <w:right w:val="none" w:sz="0" w:space="0" w:color="auto"/>
      </w:divBdr>
    </w:div>
    <w:div w:id="1334065839">
      <w:bodyDiv w:val="1"/>
      <w:marLeft w:val="0"/>
      <w:marRight w:val="0"/>
      <w:marTop w:val="0"/>
      <w:marBottom w:val="0"/>
      <w:divBdr>
        <w:top w:val="none" w:sz="0" w:space="0" w:color="auto"/>
        <w:left w:val="none" w:sz="0" w:space="0" w:color="auto"/>
        <w:bottom w:val="none" w:sz="0" w:space="0" w:color="auto"/>
        <w:right w:val="none" w:sz="0" w:space="0" w:color="auto"/>
      </w:divBdr>
    </w:div>
    <w:div w:id="1503085346">
      <w:bodyDiv w:val="1"/>
      <w:marLeft w:val="0"/>
      <w:marRight w:val="0"/>
      <w:marTop w:val="0"/>
      <w:marBottom w:val="0"/>
      <w:divBdr>
        <w:top w:val="none" w:sz="0" w:space="0" w:color="auto"/>
        <w:left w:val="none" w:sz="0" w:space="0" w:color="auto"/>
        <w:bottom w:val="none" w:sz="0" w:space="0" w:color="auto"/>
        <w:right w:val="none" w:sz="0" w:space="0" w:color="auto"/>
      </w:divBdr>
    </w:div>
    <w:div w:id="1503856926">
      <w:bodyDiv w:val="1"/>
      <w:marLeft w:val="0"/>
      <w:marRight w:val="0"/>
      <w:marTop w:val="0"/>
      <w:marBottom w:val="0"/>
      <w:divBdr>
        <w:top w:val="none" w:sz="0" w:space="0" w:color="auto"/>
        <w:left w:val="none" w:sz="0" w:space="0" w:color="auto"/>
        <w:bottom w:val="none" w:sz="0" w:space="0" w:color="auto"/>
        <w:right w:val="none" w:sz="0" w:space="0" w:color="auto"/>
      </w:divBdr>
    </w:div>
    <w:div w:id="1595087926">
      <w:bodyDiv w:val="1"/>
      <w:marLeft w:val="0"/>
      <w:marRight w:val="0"/>
      <w:marTop w:val="0"/>
      <w:marBottom w:val="0"/>
      <w:divBdr>
        <w:top w:val="none" w:sz="0" w:space="0" w:color="auto"/>
        <w:left w:val="none" w:sz="0" w:space="0" w:color="auto"/>
        <w:bottom w:val="none" w:sz="0" w:space="0" w:color="auto"/>
        <w:right w:val="none" w:sz="0" w:space="0" w:color="auto"/>
      </w:divBdr>
    </w:div>
    <w:div w:id="1602294815">
      <w:bodyDiv w:val="1"/>
      <w:marLeft w:val="0"/>
      <w:marRight w:val="0"/>
      <w:marTop w:val="0"/>
      <w:marBottom w:val="0"/>
      <w:divBdr>
        <w:top w:val="none" w:sz="0" w:space="0" w:color="auto"/>
        <w:left w:val="none" w:sz="0" w:space="0" w:color="auto"/>
        <w:bottom w:val="none" w:sz="0" w:space="0" w:color="auto"/>
        <w:right w:val="none" w:sz="0" w:space="0" w:color="auto"/>
      </w:divBdr>
    </w:div>
    <w:div w:id="1629120125">
      <w:bodyDiv w:val="1"/>
      <w:marLeft w:val="0"/>
      <w:marRight w:val="0"/>
      <w:marTop w:val="0"/>
      <w:marBottom w:val="0"/>
      <w:divBdr>
        <w:top w:val="none" w:sz="0" w:space="0" w:color="auto"/>
        <w:left w:val="none" w:sz="0" w:space="0" w:color="auto"/>
        <w:bottom w:val="none" w:sz="0" w:space="0" w:color="auto"/>
        <w:right w:val="none" w:sz="0" w:space="0" w:color="auto"/>
      </w:divBdr>
      <w:divsChild>
        <w:div w:id="158078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6829781">
      <w:bodyDiv w:val="1"/>
      <w:marLeft w:val="0"/>
      <w:marRight w:val="0"/>
      <w:marTop w:val="0"/>
      <w:marBottom w:val="0"/>
      <w:divBdr>
        <w:top w:val="none" w:sz="0" w:space="0" w:color="auto"/>
        <w:left w:val="none" w:sz="0" w:space="0" w:color="auto"/>
        <w:bottom w:val="none" w:sz="0" w:space="0" w:color="auto"/>
        <w:right w:val="none" w:sz="0" w:space="0" w:color="auto"/>
      </w:divBdr>
    </w:div>
    <w:div w:id="1642495852">
      <w:bodyDiv w:val="1"/>
      <w:marLeft w:val="0"/>
      <w:marRight w:val="0"/>
      <w:marTop w:val="0"/>
      <w:marBottom w:val="0"/>
      <w:divBdr>
        <w:top w:val="none" w:sz="0" w:space="0" w:color="auto"/>
        <w:left w:val="none" w:sz="0" w:space="0" w:color="auto"/>
        <w:bottom w:val="none" w:sz="0" w:space="0" w:color="auto"/>
        <w:right w:val="none" w:sz="0" w:space="0" w:color="auto"/>
      </w:divBdr>
    </w:div>
    <w:div w:id="1677339036">
      <w:bodyDiv w:val="1"/>
      <w:marLeft w:val="0"/>
      <w:marRight w:val="0"/>
      <w:marTop w:val="0"/>
      <w:marBottom w:val="0"/>
      <w:divBdr>
        <w:top w:val="none" w:sz="0" w:space="0" w:color="auto"/>
        <w:left w:val="none" w:sz="0" w:space="0" w:color="auto"/>
        <w:bottom w:val="none" w:sz="0" w:space="0" w:color="auto"/>
        <w:right w:val="none" w:sz="0" w:space="0" w:color="auto"/>
      </w:divBdr>
    </w:div>
    <w:div w:id="1702704985">
      <w:bodyDiv w:val="1"/>
      <w:marLeft w:val="0"/>
      <w:marRight w:val="0"/>
      <w:marTop w:val="0"/>
      <w:marBottom w:val="0"/>
      <w:divBdr>
        <w:top w:val="none" w:sz="0" w:space="0" w:color="auto"/>
        <w:left w:val="none" w:sz="0" w:space="0" w:color="auto"/>
        <w:bottom w:val="none" w:sz="0" w:space="0" w:color="auto"/>
        <w:right w:val="none" w:sz="0" w:space="0" w:color="auto"/>
      </w:divBdr>
    </w:div>
    <w:div w:id="1765105613">
      <w:bodyDiv w:val="1"/>
      <w:marLeft w:val="0"/>
      <w:marRight w:val="0"/>
      <w:marTop w:val="0"/>
      <w:marBottom w:val="0"/>
      <w:divBdr>
        <w:top w:val="none" w:sz="0" w:space="0" w:color="auto"/>
        <w:left w:val="none" w:sz="0" w:space="0" w:color="auto"/>
        <w:bottom w:val="none" w:sz="0" w:space="0" w:color="auto"/>
        <w:right w:val="none" w:sz="0" w:space="0" w:color="auto"/>
      </w:divBdr>
    </w:div>
    <w:div w:id="1789079135">
      <w:bodyDiv w:val="1"/>
      <w:marLeft w:val="0"/>
      <w:marRight w:val="0"/>
      <w:marTop w:val="0"/>
      <w:marBottom w:val="0"/>
      <w:divBdr>
        <w:top w:val="none" w:sz="0" w:space="0" w:color="auto"/>
        <w:left w:val="none" w:sz="0" w:space="0" w:color="auto"/>
        <w:bottom w:val="none" w:sz="0" w:space="0" w:color="auto"/>
        <w:right w:val="none" w:sz="0" w:space="0" w:color="auto"/>
      </w:divBdr>
    </w:div>
    <w:div w:id="1795057084">
      <w:bodyDiv w:val="1"/>
      <w:marLeft w:val="0"/>
      <w:marRight w:val="0"/>
      <w:marTop w:val="0"/>
      <w:marBottom w:val="0"/>
      <w:divBdr>
        <w:top w:val="none" w:sz="0" w:space="0" w:color="auto"/>
        <w:left w:val="none" w:sz="0" w:space="0" w:color="auto"/>
        <w:bottom w:val="none" w:sz="0" w:space="0" w:color="auto"/>
        <w:right w:val="none" w:sz="0" w:space="0" w:color="auto"/>
      </w:divBdr>
    </w:div>
    <w:div w:id="1831366658">
      <w:bodyDiv w:val="1"/>
      <w:marLeft w:val="0"/>
      <w:marRight w:val="0"/>
      <w:marTop w:val="0"/>
      <w:marBottom w:val="0"/>
      <w:divBdr>
        <w:top w:val="none" w:sz="0" w:space="0" w:color="auto"/>
        <w:left w:val="none" w:sz="0" w:space="0" w:color="auto"/>
        <w:bottom w:val="none" w:sz="0" w:space="0" w:color="auto"/>
        <w:right w:val="none" w:sz="0" w:space="0" w:color="auto"/>
      </w:divBdr>
    </w:div>
    <w:div w:id="1885628866">
      <w:bodyDiv w:val="1"/>
      <w:marLeft w:val="0"/>
      <w:marRight w:val="0"/>
      <w:marTop w:val="0"/>
      <w:marBottom w:val="0"/>
      <w:divBdr>
        <w:top w:val="none" w:sz="0" w:space="0" w:color="auto"/>
        <w:left w:val="none" w:sz="0" w:space="0" w:color="auto"/>
        <w:bottom w:val="none" w:sz="0" w:space="0" w:color="auto"/>
        <w:right w:val="none" w:sz="0" w:space="0" w:color="auto"/>
      </w:divBdr>
    </w:div>
    <w:div w:id="1891383766">
      <w:bodyDiv w:val="1"/>
      <w:marLeft w:val="0"/>
      <w:marRight w:val="0"/>
      <w:marTop w:val="0"/>
      <w:marBottom w:val="0"/>
      <w:divBdr>
        <w:top w:val="none" w:sz="0" w:space="0" w:color="auto"/>
        <w:left w:val="none" w:sz="0" w:space="0" w:color="auto"/>
        <w:bottom w:val="none" w:sz="0" w:space="0" w:color="auto"/>
        <w:right w:val="none" w:sz="0" w:space="0" w:color="auto"/>
      </w:divBdr>
    </w:div>
    <w:div w:id="1908756999">
      <w:bodyDiv w:val="1"/>
      <w:marLeft w:val="0"/>
      <w:marRight w:val="0"/>
      <w:marTop w:val="0"/>
      <w:marBottom w:val="0"/>
      <w:divBdr>
        <w:top w:val="none" w:sz="0" w:space="0" w:color="auto"/>
        <w:left w:val="none" w:sz="0" w:space="0" w:color="auto"/>
        <w:bottom w:val="none" w:sz="0" w:space="0" w:color="auto"/>
        <w:right w:val="none" w:sz="0" w:space="0" w:color="auto"/>
      </w:divBdr>
    </w:div>
    <w:div w:id="1947885517">
      <w:bodyDiv w:val="1"/>
      <w:marLeft w:val="0"/>
      <w:marRight w:val="0"/>
      <w:marTop w:val="0"/>
      <w:marBottom w:val="0"/>
      <w:divBdr>
        <w:top w:val="none" w:sz="0" w:space="0" w:color="auto"/>
        <w:left w:val="none" w:sz="0" w:space="0" w:color="auto"/>
        <w:bottom w:val="none" w:sz="0" w:space="0" w:color="auto"/>
        <w:right w:val="none" w:sz="0" w:space="0" w:color="auto"/>
      </w:divBdr>
    </w:div>
    <w:div w:id="1960604326">
      <w:bodyDiv w:val="1"/>
      <w:marLeft w:val="0"/>
      <w:marRight w:val="0"/>
      <w:marTop w:val="0"/>
      <w:marBottom w:val="0"/>
      <w:divBdr>
        <w:top w:val="none" w:sz="0" w:space="0" w:color="auto"/>
        <w:left w:val="none" w:sz="0" w:space="0" w:color="auto"/>
        <w:bottom w:val="none" w:sz="0" w:space="0" w:color="auto"/>
        <w:right w:val="none" w:sz="0" w:space="0" w:color="auto"/>
      </w:divBdr>
    </w:div>
    <w:div w:id="1985500473">
      <w:bodyDiv w:val="1"/>
      <w:marLeft w:val="0"/>
      <w:marRight w:val="0"/>
      <w:marTop w:val="0"/>
      <w:marBottom w:val="0"/>
      <w:divBdr>
        <w:top w:val="none" w:sz="0" w:space="0" w:color="auto"/>
        <w:left w:val="none" w:sz="0" w:space="0" w:color="auto"/>
        <w:bottom w:val="none" w:sz="0" w:space="0" w:color="auto"/>
        <w:right w:val="none" w:sz="0" w:space="0" w:color="auto"/>
      </w:divBdr>
    </w:div>
    <w:div w:id="1990017781">
      <w:bodyDiv w:val="1"/>
      <w:marLeft w:val="0"/>
      <w:marRight w:val="0"/>
      <w:marTop w:val="0"/>
      <w:marBottom w:val="0"/>
      <w:divBdr>
        <w:top w:val="none" w:sz="0" w:space="0" w:color="auto"/>
        <w:left w:val="none" w:sz="0" w:space="0" w:color="auto"/>
        <w:bottom w:val="none" w:sz="0" w:space="0" w:color="auto"/>
        <w:right w:val="none" w:sz="0" w:space="0" w:color="auto"/>
      </w:divBdr>
    </w:div>
    <w:div w:id="1997301761">
      <w:bodyDiv w:val="1"/>
      <w:marLeft w:val="0"/>
      <w:marRight w:val="0"/>
      <w:marTop w:val="0"/>
      <w:marBottom w:val="0"/>
      <w:divBdr>
        <w:top w:val="none" w:sz="0" w:space="0" w:color="auto"/>
        <w:left w:val="none" w:sz="0" w:space="0" w:color="auto"/>
        <w:bottom w:val="none" w:sz="0" w:space="0" w:color="auto"/>
        <w:right w:val="none" w:sz="0" w:space="0" w:color="auto"/>
      </w:divBdr>
    </w:div>
    <w:div w:id="2079278322">
      <w:bodyDiv w:val="1"/>
      <w:marLeft w:val="0"/>
      <w:marRight w:val="0"/>
      <w:marTop w:val="0"/>
      <w:marBottom w:val="0"/>
      <w:divBdr>
        <w:top w:val="none" w:sz="0" w:space="0" w:color="auto"/>
        <w:left w:val="none" w:sz="0" w:space="0" w:color="auto"/>
        <w:bottom w:val="none" w:sz="0" w:space="0" w:color="auto"/>
        <w:right w:val="none" w:sz="0" w:space="0" w:color="auto"/>
      </w:divBdr>
    </w:div>
    <w:div w:id="208144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jykataelarte.gov.al/sq/vendime-te-ndermjetme-per-njesiminndryshimin-e-praktikes-gjyqes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D624600ABFB453B96108D691C064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2025-11-25T13:56:44Z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2025-11-25T00:00:00Z</Date_x0020_protokolli>
    <Titulli xmlns="0e656187-b300-4fb0-8bf4-3a50f872073c">Me objekt detyrimin e familjes bujqësore me përfaqësues Nazmi Beqiri, të paguajë vlerën monetare për pasurinë e shitur prej 2600 m2, në shumën 1.164.800 lekë</Titulli>
    <Modifikuesi xmlns="0e656187-b300-4fb0-8bf4-3a50f872073c">alma.lisaku</Modifikuesi>
    <Nr_x002e__x0020_prot_x0020_QBZ xmlns="0e656187-b300-4fb0-8bf4-3a50f872073c">1956/1</Nr_x002e__x0020_prot_x0020_QBZ>
    <Data_x0020_e_x0020_Modifikimit xmlns="0e656187-b300-4fb0-8bf4-3a50f872073c">2025-11-26T10:50:40Z</Data_x0020_e_x0020_Modifikimit>
    <Dekretuar xmlns="0e656187-b300-4fb0-8bf4-3a50f872073c">false</Dekretuar>
    <Data xmlns="0e656187-b300-4fb0-8bf4-3a50f872073c">2025-02-18T00:00:00Z</Data>
    <Nr_x002e__x0020_protokolli_x0020_i_x0020_aktit xmlns="0e656187-b300-4fb0-8bf4-3a50f872073c">5783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624600ABFB453B96108D691C064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3D624600ABFB453B96108D691C064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3D624600ABFB453B96108D691C064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3D624600ABFB453B96108D691C064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222C0-9E8C-4C4C-953F-F1E10D6D0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907E25-AD60-41AD-B747-94EA40AF5C5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72756435-9CE7-41E0-9F21-63A06DF48B84}">
  <ds:schemaRefs>
    <ds:schemaRef ds:uri="http://schemas.microsoft.com/sharepoint/v3/contenttype/forms"/>
  </ds:schemaRefs>
</ds:datastoreItem>
</file>

<file path=customXml/itemProps4.xml><?xml version="1.0" encoding="utf-8"?>
<ds:datastoreItem xmlns:ds="http://schemas.openxmlformats.org/officeDocument/2006/customXml" ds:itemID="{0F9FDF7E-E08D-4DF6-B6A8-CDBB0FC81BB6}">
  <ds:schemaRefs>
    <ds:schemaRef ds:uri="http://schemas.microsoft.com/sharepoint/v3/contenttype/forms"/>
  </ds:schemaRefs>
</ds:datastoreItem>
</file>

<file path=customXml/itemProps5.xml><?xml version="1.0" encoding="utf-8"?>
<ds:datastoreItem xmlns:ds="http://schemas.openxmlformats.org/officeDocument/2006/customXml" ds:itemID="{8B1F3B97-69B4-4EFA-BDD3-710A56CB9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85B391-2F2E-4901-9292-EF895AB7220F}">
  <ds:schemaRefs>
    <ds:schemaRef ds:uri="http://schemas.microsoft.com/sharepoint/v3/contenttype/forms"/>
  </ds:schemaRefs>
</ds:datastoreItem>
</file>

<file path=customXml/itemProps7.xml><?xml version="1.0" encoding="utf-8"?>
<ds:datastoreItem xmlns:ds="http://schemas.openxmlformats.org/officeDocument/2006/customXml" ds:itemID="{2DE54AED-14B2-4D42-83B8-9845499F9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29A10B27-5630-40D8-A7AF-DF37FCCC8F88}">
  <ds:schemaRefs>
    <ds:schemaRef ds:uri="http://schemas.microsoft.com/sharepoint/v3/contenttype/forms"/>
  </ds:schemaRefs>
</ds:datastoreItem>
</file>

<file path=customXml/itemProps9.xml><?xml version="1.0" encoding="utf-8"?>
<ds:datastoreItem xmlns:ds="http://schemas.openxmlformats.org/officeDocument/2006/customXml" ds:itemID="{97E765D0-1D46-4627-8E75-D508EEB07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661CD49D-846D-45D5-AD28-8F241E277417}">
  <ds:schemaRefs>
    <ds:schemaRef ds:uri="http://schemas.microsoft.com/sharepoint/v3/contenttype/forms"/>
  </ds:schemaRefs>
</ds:datastoreItem>
</file>

<file path=customXml/itemProps11.xml><?xml version="1.0" encoding="utf-8"?>
<ds:datastoreItem xmlns:ds="http://schemas.openxmlformats.org/officeDocument/2006/customXml" ds:itemID="{2B559E39-AD9F-4B9E-B23C-FB746DBC1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9437659B-4C0C-4E07-84F1-FCE62D15A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6485</Words>
  <Characters>36966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Me objekt detyrimin e familjes bujqësore me përfaqësues Nazmi Beqiri, të paguajë vlerën monetare për pasurinë e shitur prej 2600 m2, në shumën 1.164.800 lekë</vt:lpstr>
    </vt:vector>
  </TitlesOfParts>
  <Company>Deftones</Company>
  <LinksUpToDate>false</LinksUpToDate>
  <CharactersWithSpaces>43365</CharactersWithSpaces>
  <SharedDoc>false</SharedDoc>
  <HLinks>
    <vt:vector size="6" baseType="variant">
      <vt:variant>
        <vt:i4>6357103</vt:i4>
      </vt:variant>
      <vt:variant>
        <vt:i4>0</vt:i4>
      </vt:variant>
      <vt:variant>
        <vt:i4>0</vt:i4>
      </vt:variant>
      <vt:variant>
        <vt:i4>5</vt:i4>
      </vt:variant>
      <vt:variant>
        <vt:lpwstr>https://gjykataelarte.gov.al/sq/vendime-te-ndermjetme-per-njesiminndryshimin-e-praktikes-gjyqesore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detyrimin e familjes bujqësore me përfaqësues Nazmi Beqiri, të paguajë vlerën monetare për pasurinë e shitur prej 2600 m2, në shumën 1.164.800 lekë</dc:title>
  <dc:creator>Arbena Ahmeti</dc:creator>
  <cp:lastModifiedBy>Alma Lisaku</cp:lastModifiedBy>
  <cp:revision>89</cp:revision>
  <cp:lastPrinted>2025-11-18T13:52:00Z</cp:lastPrinted>
  <dcterms:created xsi:type="dcterms:W3CDTF">2025-11-25T12:55:00Z</dcterms:created>
  <dcterms:modified xsi:type="dcterms:W3CDTF">2025-11-26T10:06:00Z</dcterms:modified>
</cp:coreProperties>
</file>