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1BD53" w14:textId="77777777" w:rsidR="00BC232E" w:rsidRPr="00BC232E" w:rsidRDefault="00BC232E" w:rsidP="00BC232E">
      <w:pPr>
        <w:autoSpaceDE w:val="0"/>
        <w:autoSpaceDN w:val="0"/>
        <w:adjustRightInd w:val="0"/>
        <w:ind w:firstLine="284"/>
        <w:jc w:val="center"/>
        <w:rPr>
          <w:rFonts w:ascii="Garamond" w:eastAsiaTheme="minorHAnsi" w:hAnsi="Garamond"/>
          <w:b/>
          <w:bCs/>
          <w:color w:val="171717"/>
          <w14:ligatures w14:val="standardContextual"/>
        </w:rPr>
      </w:pPr>
      <w:r w:rsidRPr="00BC232E">
        <w:rPr>
          <w:rFonts w:ascii="Garamond" w:eastAsiaTheme="minorHAnsi" w:hAnsi="Garamond"/>
          <w:b/>
          <w:bCs/>
          <w:color w:val="171717"/>
          <w14:ligatures w14:val="standardContextual"/>
        </w:rPr>
        <w:t>VENDIM</w:t>
      </w:r>
    </w:p>
    <w:p w14:paraId="583913BC" w14:textId="377FB76F" w:rsidR="00BC232E" w:rsidRPr="00BC232E" w:rsidRDefault="00BC232E" w:rsidP="00BC232E">
      <w:pPr>
        <w:autoSpaceDE w:val="0"/>
        <w:autoSpaceDN w:val="0"/>
        <w:adjustRightInd w:val="0"/>
        <w:ind w:firstLine="284"/>
        <w:jc w:val="center"/>
        <w:rPr>
          <w:rFonts w:ascii="Garamond" w:eastAsiaTheme="minorHAnsi" w:hAnsi="Garamond"/>
          <w:b/>
          <w:bCs/>
          <w:color w:val="171717"/>
          <w14:ligatures w14:val="standardContextual"/>
        </w:rPr>
      </w:pPr>
      <w:r w:rsidRPr="00BC232E">
        <w:rPr>
          <w:rFonts w:ascii="Garamond" w:eastAsiaTheme="minorHAnsi" w:hAnsi="Garamond"/>
          <w:b/>
          <w:bCs/>
          <w:color w:val="171717"/>
          <w14:ligatures w14:val="standardContextual"/>
        </w:rPr>
        <w:t>Nr. 00-2026-2675</w:t>
      </w:r>
      <w:r w:rsidR="00315FCD">
        <w:rPr>
          <w:rFonts w:ascii="Garamond" w:eastAsiaTheme="minorHAnsi" w:hAnsi="Garamond"/>
          <w:b/>
          <w:bCs/>
          <w:color w:val="171717"/>
          <w14:ligatures w14:val="standardContextual"/>
        </w:rPr>
        <w:t xml:space="preserve"> </w:t>
      </w:r>
      <w:r w:rsidRPr="00BC232E">
        <w:rPr>
          <w:rFonts w:ascii="Garamond" w:eastAsiaTheme="minorHAnsi" w:hAnsi="Garamond"/>
          <w:b/>
          <w:bCs/>
          <w:color w:val="171717"/>
          <w14:ligatures w14:val="standardContextual"/>
        </w:rPr>
        <w:t>(221), datë 16.4.2026</w:t>
      </w:r>
    </w:p>
    <w:p w14:paraId="20B6F36F" w14:textId="77777777" w:rsidR="00BC232E" w:rsidRPr="00BC232E" w:rsidRDefault="00BC232E" w:rsidP="00BC232E">
      <w:pPr>
        <w:autoSpaceDE w:val="0"/>
        <w:autoSpaceDN w:val="0"/>
        <w:adjustRightInd w:val="0"/>
        <w:ind w:firstLine="284"/>
        <w:jc w:val="center"/>
        <w:outlineLvl w:val="4"/>
        <w:rPr>
          <w:rFonts w:ascii="Garamond" w:eastAsiaTheme="minorHAnsi" w:hAnsi="Garamond"/>
          <w:b/>
          <w:bCs/>
          <w:color w:val="171717"/>
          <w14:ligatures w14:val="standardContextual"/>
        </w:rPr>
      </w:pPr>
    </w:p>
    <w:p w14:paraId="25A59E86" w14:textId="77777777" w:rsidR="00BC232E" w:rsidRPr="00BC232E" w:rsidRDefault="00BC232E" w:rsidP="00BC232E">
      <w:pPr>
        <w:autoSpaceDE w:val="0"/>
        <w:autoSpaceDN w:val="0"/>
        <w:adjustRightInd w:val="0"/>
        <w:ind w:firstLine="284"/>
        <w:jc w:val="center"/>
        <w:outlineLvl w:val="4"/>
        <w:rPr>
          <w:rFonts w:ascii="Garamond" w:eastAsiaTheme="minorHAnsi" w:hAnsi="Garamond"/>
          <w:b/>
          <w:bCs/>
          <w:i/>
          <w:iCs/>
          <w:color w:val="171717"/>
          <w14:ligatures w14:val="standardContextual"/>
        </w:rPr>
      </w:pPr>
      <w:r w:rsidRPr="00BC232E">
        <w:rPr>
          <w:rFonts w:ascii="Garamond" w:eastAsiaTheme="minorHAnsi" w:hAnsi="Garamond"/>
          <w:b/>
          <w:bCs/>
          <w:color w:val="171717"/>
          <w14:ligatures w14:val="standardContextual"/>
        </w:rPr>
        <w:t>NË EMËR TË REPUBLIKËS</w:t>
      </w:r>
    </w:p>
    <w:p w14:paraId="5DBF532B" w14:textId="77777777" w:rsidR="00BC232E" w:rsidRPr="00BC232E" w:rsidRDefault="00BC232E" w:rsidP="00BC232E">
      <w:pPr>
        <w:autoSpaceDE w:val="0"/>
        <w:autoSpaceDN w:val="0"/>
        <w:adjustRightInd w:val="0"/>
        <w:ind w:firstLine="284"/>
        <w:jc w:val="center"/>
        <w:rPr>
          <w:rFonts w:ascii="Garamond" w:eastAsiaTheme="minorHAnsi" w:hAnsi="Garamond"/>
          <w:b/>
          <w:bCs/>
          <w:color w:val="171717"/>
          <w14:ligatures w14:val="standardContextual"/>
        </w:rPr>
      </w:pPr>
    </w:p>
    <w:p w14:paraId="0FE68652" w14:textId="77777777" w:rsidR="00BC232E" w:rsidRPr="00BC232E" w:rsidRDefault="00BC232E" w:rsidP="00BC232E">
      <w:pPr>
        <w:autoSpaceDE w:val="0"/>
        <w:autoSpaceDN w:val="0"/>
        <w:adjustRightInd w:val="0"/>
        <w:ind w:firstLine="284"/>
        <w:jc w:val="both"/>
        <w:rPr>
          <w:rFonts w:ascii="Garamond" w:eastAsiaTheme="minorHAnsi" w:hAnsi="Garamond"/>
          <w:color w:val="171717"/>
          <w14:ligatures w14:val="standardContextual"/>
        </w:rPr>
      </w:pPr>
      <w:r w:rsidRPr="00BC232E">
        <w:rPr>
          <w:rFonts w:ascii="Garamond" w:eastAsiaTheme="minorHAnsi" w:hAnsi="Garamond"/>
          <w:color w:val="171717"/>
          <w14:ligatures w14:val="standardContextual"/>
        </w:rPr>
        <w:t>Kolegji Administrativ i Gjykatës së Lartë, me trup gjykues të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275"/>
      </w:tblGrid>
      <w:tr w:rsidR="00BC232E" w:rsidRPr="00275D6E" w14:paraId="05A0D8EF" w14:textId="77777777" w:rsidTr="00315FCD">
        <w:tc>
          <w:tcPr>
            <w:tcW w:w="2689" w:type="dxa"/>
          </w:tcPr>
          <w:p w14:paraId="39B55AD7" w14:textId="6D496F43" w:rsidR="00BC232E" w:rsidRPr="00275D6E" w:rsidRDefault="00BC232E" w:rsidP="00315FCD">
            <w:pPr>
              <w:autoSpaceDE w:val="0"/>
              <w:autoSpaceDN w:val="0"/>
              <w:adjustRightInd w:val="0"/>
              <w:rPr>
                <w:rFonts w:ascii="Garamond" w:eastAsiaTheme="minorHAnsi" w:hAnsi="Garamond"/>
                <w:bCs/>
                <w:color w:val="000000"/>
                <w14:ligatures w14:val="standardContextual"/>
              </w:rPr>
            </w:pPr>
            <w:r w:rsidRPr="00275D6E">
              <w:rPr>
                <w:rFonts w:ascii="Garamond" w:eastAsiaTheme="minorHAnsi" w:hAnsi="Garamond"/>
                <w:bCs/>
                <w:color w:val="000000"/>
                <w14:ligatures w14:val="standardContextual"/>
              </w:rPr>
              <w:t xml:space="preserve">Sokol </w:t>
            </w:r>
            <w:proofErr w:type="spellStart"/>
            <w:r w:rsidRPr="00275D6E">
              <w:rPr>
                <w:rFonts w:ascii="Garamond" w:eastAsiaTheme="minorHAnsi" w:hAnsi="Garamond"/>
                <w:bCs/>
                <w:color w:val="000000"/>
                <w14:ligatures w14:val="standardContextual"/>
              </w:rPr>
              <w:t>Sadushi</w:t>
            </w:r>
            <w:proofErr w:type="spellEnd"/>
          </w:p>
        </w:tc>
        <w:tc>
          <w:tcPr>
            <w:tcW w:w="1275" w:type="dxa"/>
          </w:tcPr>
          <w:p w14:paraId="7D6ACF55" w14:textId="72570A74" w:rsidR="00BC232E" w:rsidRPr="00275D6E" w:rsidRDefault="00BC232E" w:rsidP="00315FCD">
            <w:pPr>
              <w:autoSpaceDE w:val="0"/>
              <w:autoSpaceDN w:val="0"/>
              <w:adjustRightInd w:val="0"/>
              <w:rPr>
                <w:rFonts w:ascii="Garamond" w:eastAsiaTheme="minorHAnsi" w:hAnsi="Garamond"/>
                <w:b/>
                <w:bCs/>
                <w:color w:val="000000"/>
                <w14:ligatures w14:val="standardContextual"/>
              </w:rPr>
            </w:pPr>
            <w:r w:rsidRPr="00275D6E">
              <w:rPr>
                <w:rFonts w:ascii="Garamond" w:eastAsiaTheme="minorHAnsi" w:hAnsi="Garamond"/>
                <w:bCs/>
                <w:color w:val="000000"/>
                <w14:ligatures w14:val="standardContextual"/>
              </w:rPr>
              <w:t>kryesues</w:t>
            </w:r>
            <w:r w:rsidR="00315FCD">
              <w:rPr>
                <w:rFonts w:ascii="Garamond" w:eastAsiaTheme="minorHAnsi" w:hAnsi="Garamond"/>
                <w:bCs/>
                <w:color w:val="000000"/>
                <w14:ligatures w14:val="standardContextual"/>
              </w:rPr>
              <w:t>;</w:t>
            </w:r>
          </w:p>
        </w:tc>
      </w:tr>
      <w:tr w:rsidR="00BC232E" w:rsidRPr="00275D6E" w14:paraId="6CA15922" w14:textId="77777777" w:rsidTr="00315FCD">
        <w:tc>
          <w:tcPr>
            <w:tcW w:w="2689" w:type="dxa"/>
          </w:tcPr>
          <w:p w14:paraId="06AEEF6B" w14:textId="05D3BD62" w:rsidR="00BC232E" w:rsidRPr="00275D6E" w:rsidRDefault="00BC232E" w:rsidP="00315FCD">
            <w:pPr>
              <w:autoSpaceDE w:val="0"/>
              <w:autoSpaceDN w:val="0"/>
              <w:adjustRightInd w:val="0"/>
              <w:rPr>
                <w:rFonts w:ascii="Garamond" w:eastAsiaTheme="minorHAnsi" w:hAnsi="Garamond"/>
                <w:bCs/>
                <w:color w:val="000000"/>
                <w14:ligatures w14:val="standardContextual"/>
              </w:rPr>
            </w:pPr>
            <w:r w:rsidRPr="00275D6E">
              <w:rPr>
                <w:rFonts w:ascii="Garamond" w:eastAsiaTheme="minorHAnsi" w:hAnsi="Garamond"/>
                <w:bCs/>
                <w:color w:val="000000"/>
                <w14:ligatures w14:val="standardContextual"/>
              </w:rPr>
              <w:t xml:space="preserve">Arbena </w:t>
            </w:r>
            <w:proofErr w:type="spellStart"/>
            <w:r w:rsidRPr="00275D6E">
              <w:rPr>
                <w:rFonts w:ascii="Garamond" w:eastAsiaTheme="minorHAnsi" w:hAnsi="Garamond"/>
                <w:bCs/>
                <w:color w:val="000000"/>
                <w14:ligatures w14:val="standardContextual"/>
              </w:rPr>
              <w:t>Ahmeti</w:t>
            </w:r>
            <w:proofErr w:type="spellEnd"/>
            <w:r w:rsidRPr="00275D6E">
              <w:rPr>
                <w:rFonts w:ascii="Garamond" w:eastAsiaTheme="minorHAnsi" w:hAnsi="Garamond"/>
                <w:bCs/>
                <w:color w:val="000000"/>
                <w14:ligatures w14:val="standardContextual"/>
              </w:rPr>
              <w:t xml:space="preserve"> </w:t>
            </w:r>
          </w:p>
        </w:tc>
        <w:tc>
          <w:tcPr>
            <w:tcW w:w="1275" w:type="dxa"/>
          </w:tcPr>
          <w:p w14:paraId="00237DE5" w14:textId="1038FB0E" w:rsidR="00BC232E" w:rsidRPr="00275D6E" w:rsidRDefault="00BC232E" w:rsidP="00315FCD">
            <w:pPr>
              <w:autoSpaceDE w:val="0"/>
              <w:autoSpaceDN w:val="0"/>
              <w:adjustRightInd w:val="0"/>
              <w:rPr>
                <w:rFonts w:ascii="Garamond" w:eastAsiaTheme="minorHAnsi" w:hAnsi="Garamond"/>
                <w:b/>
                <w:bCs/>
                <w:color w:val="000000"/>
                <w14:ligatures w14:val="standardContextual"/>
              </w:rPr>
            </w:pPr>
            <w:r w:rsidRPr="00275D6E">
              <w:rPr>
                <w:rFonts w:ascii="Garamond" w:eastAsiaTheme="minorHAnsi" w:hAnsi="Garamond"/>
                <w:bCs/>
                <w:color w:val="000000"/>
                <w14:ligatures w14:val="standardContextual"/>
              </w:rPr>
              <w:t>anëtare</w:t>
            </w:r>
            <w:r w:rsidR="00315FCD">
              <w:rPr>
                <w:rFonts w:ascii="Garamond" w:eastAsiaTheme="minorHAnsi" w:hAnsi="Garamond"/>
                <w:bCs/>
                <w:color w:val="000000"/>
                <w14:ligatures w14:val="standardContextual"/>
              </w:rPr>
              <w:t>;</w:t>
            </w:r>
          </w:p>
        </w:tc>
      </w:tr>
      <w:tr w:rsidR="00BC232E" w:rsidRPr="00275D6E" w14:paraId="756D078C" w14:textId="77777777" w:rsidTr="00315FCD">
        <w:tc>
          <w:tcPr>
            <w:tcW w:w="2689" w:type="dxa"/>
          </w:tcPr>
          <w:p w14:paraId="04E56E3C" w14:textId="3424746B" w:rsidR="00BC232E" w:rsidRPr="00275D6E" w:rsidRDefault="00BC232E" w:rsidP="00315FCD">
            <w:pPr>
              <w:autoSpaceDE w:val="0"/>
              <w:autoSpaceDN w:val="0"/>
              <w:adjustRightInd w:val="0"/>
              <w:rPr>
                <w:rFonts w:ascii="Garamond" w:eastAsiaTheme="minorHAnsi" w:hAnsi="Garamond"/>
                <w:bCs/>
                <w:color w:val="000000"/>
                <w14:ligatures w14:val="standardContextual"/>
              </w:rPr>
            </w:pPr>
            <w:r w:rsidRPr="00275D6E">
              <w:rPr>
                <w:rFonts w:ascii="Garamond" w:eastAsiaTheme="minorHAnsi" w:hAnsi="Garamond"/>
                <w:bCs/>
                <w:color w:val="171717"/>
                <w14:ligatures w14:val="standardContextual"/>
              </w:rPr>
              <w:t xml:space="preserve">Enkelejda </w:t>
            </w:r>
            <w:proofErr w:type="spellStart"/>
            <w:r w:rsidRPr="00275D6E">
              <w:rPr>
                <w:rFonts w:ascii="Garamond" w:eastAsiaTheme="minorHAnsi" w:hAnsi="Garamond"/>
                <w:bCs/>
                <w:color w:val="171717"/>
                <w14:ligatures w14:val="standardContextual"/>
              </w:rPr>
              <w:t>Metaliaj</w:t>
            </w:r>
            <w:proofErr w:type="spellEnd"/>
            <w:r w:rsidRPr="00275D6E">
              <w:rPr>
                <w:rFonts w:ascii="Garamond" w:eastAsiaTheme="minorHAnsi" w:hAnsi="Garamond"/>
                <w:bCs/>
                <w:color w:val="171717"/>
                <w14:ligatures w14:val="standardContextual"/>
              </w:rPr>
              <w:t xml:space="preserve"> (Softa) </w:t>
            </w:r>
          </w:p>
        </w:tc>
        <w:tc>
          <w:tcPr>
            <w:tcW w:w="1275" w:type="dxa"/>
          </w:tcPr>
          <w:p w14:paraId="70C29F7A" w14:textId="750405C0" w:rsidR="00BC232E" w:rsidRPr="00275D6E" w:rsidRDefault="00BC232E" w:rsidP="00315FCD">
            <w:pPr>
              <w:autoSpaceDE w:val="0"/>
              <w:autoSpaceDN w:val="0"/>
              <w:adjustRightInd w:val="0"/>
              <w:rPr>
                <w:rFonts w:ascii="Garamond" w:eastAsiaTheme="minorHAnsi" w:hAnsi="Garamond"/>
                <w:b/>
                <w:bCs/>
                <w:color w:val="000000"/>
                <w14:ligatures w14:val="standardContextual"/>
              </w:rPr>
            </w:pPr>
            <w:r w:rsidRPr="00275D6E">
              <w:rPr>
                <w:rFonts w:ascii="Garamond" w:eastAsiaTheme="minorHAnsi" w:hAnsi="Garamond"/>
                <w:bCs/>
                <w:color w:val="000000"/>
                <w14:ligatures w14:val="standardContextual"/>
              </w:rPr>
              <w:t>anëtare</w:t>
            </w:r>
            <w:r w:rsidR="00315FCD">
              <w:rPr>
                <w:rFonts w:ascii="Garamond" w:eastAsiaTheme="minorHAnsi" w:hAnsi="Garamond"/>
                <w:bCs/>
                <w:color w:val="000000"/>
                <w14:ligatures w14:val="standardContextual"/>
              </w:rPr>
              <w:t>;</w:t>
            </w:r>
          </w:p>
        </w:tc>
      </w:tr>
      <w:tr w:rsidR="00BC232E" w:rsidRPr="00275D6E" w14:paraId="47843E33" w14:textId="77777777" w:rsidTr="00315FCD">
        <w:tc>
          <w:tcPr>
            <w:tcW w:w="2689" w:type="dxa"/>
          </w:tcPr>
          <w:p w14:paraId="72C78C5A" w14:textId="21648919" w:rsidR="00BC232E" w:rsidRPr="00275D6E" w:rsidRDefault="00BC232E" w:rsidP="00315FCD">
            <w:pPr>
              <w:autoSpaceDE w:val="0"/>
              <w:autoSpaceDN w:val="0"/>
              <w:adjustRightInd w:val="0"/>
              <w:rPr>
                <w:rFonts w:ascii="Garamond" w:eastAsiaTheme="minorHAnsi" w:hAnsi="Garamond"/>
                <w:bCs/>
                <w:color w:val="000000"/>
                <w14:ligatures w14:val="standardContextual"/>
              </w:rPr>
            </w:pPr>
            <w:r w:rsidRPr="00275D6E">
              <w:rPr>
                <w:rFonts w:ascii="Garamond" w:eastAsiaTheme="minorHAnsi" w:hAnsi="Garamond"/>
                <w:bCs/>
                <w:color w:val="000000"/>
                <w14:ligatures w14:val="standardContextual"/>
              </w:rPr>
              <w:t xml:space="preserve">Gentian </w:t>
            </w:r>
            <w:proofErr w:type="spellStart"/>
            <w:r w:rsidRPr="00275D6E">
              <w:rPr>
                <w:rFonts w:ascii="Garamond" w:eastAsiaTheme="minorHAnsi" w:hAnsi="Garamond"/>
                <w:bCs/>
                <w:color w:val="000000"/>
                <w14:ligatures w14:val="standardContextual"/>
              </w:rPr>
              <w:t>Medja</w:t>
            </w:r>
            <w:proofErr w:type="spellEnd"/>
            <w:r w:rsidRPr="00275D6E">
              <w:rPr>
                <w:rFonts w:ascii="Garamond" w:eastAsiaTheme="minorHAnsi" w:hAnsi="Garamond"/>
                <w:bCs/>
                <w:color w:val="000000"/>
                <w14:ligatures w14:val="standardContextual"/>
              </w:rPr>
              <w:t xml:space="preserve"> </w:t>
            </w:r>
          </w:p>
        </w:tc>
        <w:tc>
          <w:tcPr>
            <w:tcW w:w="1275" w:type="dxa"/>
          </w:tcPr>
          <w:p w14:paraId="6C605AB2" w14:textId="365D8366" w:rsidR="00BC232E" w:rsidRPr="00275D6E" w:rsidRDefault="00BC232E" w:rsidP="00315FCD">
            <w:pPr>
              <w:autoSpaceDE w:val="0"/>
              <w:autoSpaceDN w:val="0"/>
              <w:adjustRightInd w:val="0"/>
              <w:rPr>
                <w:rFonts w:ascii="Garamond" w:eastAsiaTheme="minorHAnsi" w:hAnsi="Garamond"/>
                <w:b/>
                <w:bCs/>
                <w:color w:val="000000"/>
                <w14:ligatures w14:val="standardContextual"/>
              </w:rPr>
            </w:pPr>
            <w:r w:rsidRPr="00275D6E">
              <w:rPr>
                <w:rFonts w:ascii="Garamond" w:eastAsiaTheme="minorHAnsi" w:hAnsi="Garamond"/>
                <w:bCs/>
                <w:color w:val="000000"/>
                <w14:ligatures w14:val="standardContextual"/>
              </w:rPr>
              <w:t>anëtar</w:t>
            </w:r>
            <w:r w:rsidR="00315FCD">
              <w:rPr>
                <w:rFonts w:ascii="Garamond" w:eastAsiaTheme="minorHAnsi" w:hAnsi="Garamond"/>
                <w:bCs/>
                <w:color w:val="000000"/>
                <w14:ligatures w14:val="standardContextual"/>
              </w:rPr>
              <w:t>;</w:t>
            </w:r>
          </w:p>
        </w:tc>
      </w:tr>
      <w:tr w:rsidR="00BC232E" w:rsidRPr="00275D6E" w14:paraId="0F28576D" w14:textId="77777777" w:rsidTr="00315FCD">
        <w:tc>
          <w:tcPr>
            <w:tcW w:w="2689" w:type="dxa"/>
          </w:tcPr>
          <w:p w14:paraId="3752F4C8" w14:textId="0AEDE5AD" w:rsidR="00BC232E" w:rsidRPr="00275D6E" w:rsidRDefault="00BC232E" w:rsidP="00315FCD">
            <w:pPr>
              <w:autoSpaceDE w:val="0"/>
              <w:autoSpaceDN w:val="0"/>
              <w:adjustRightInd w:val="0"/>
              <w:rPr>
                <w:rFonts w:ascii="Garamond" w:eastAsiaTheme="minorHAnsi" w:hAnsi="Garamond"/>
                <w:bCs/>
                <w:color w:val="000000"/>
                <w14:ligatures w14:val="standardContextual"/>
              </w:rPr>
            </w:pPr>
            <w:r w:rsidRPr="00275D6E">
              <w:rPr>
                <w:rFonts w:ascii="Garamond" w:eastAsiaTheme="minorHAnsi" w:hAnsi="Garamond"/>
                <w:bCs/>
                <w:color w:val="000000"/>
                <w14:ligatures w14:val="standardContextual"/>
              </w:rPr>
              <w:t xml:space="preserve">Sokol </w:t>
            </w:r>
            <w:proofErr w:type="spellStart"/>
            <w:r w:rsidRPr="00275D6E">
              <w:rPr>
                <w:rFonts w:ascii="Garamond" w:eastAsiaTheme="minorHAnsi" w:hAnsi="Garamond"/>
                <w:bCs/>
                <w:color w:val="000000"/>
                <w14:ligatures w14:val="standardContextual"/>
              </w:rPr>
              <w:t>Ngresi</w:t>
            </w:r>
            <w:proofErr w:type="spellEnd"/>
            <w:r w:rsidRPr="00275D6E">
              <w:rPr>
                <w:rFonts w:ascii="Garamond" w:eastAsiaTheme="minorHAnsi" w:hAnsi="Garamond"/>
                <w:bCs/>
                <w:color w:val="000000"/>
                <w14:ligatures w14:val="standardContextual"/>
              </w:rPr>
              <w:t xml:space="preserve"> </w:t>
            </w:r>
          </w:p>
        </w:tc>
        <w:tc>
          <w:tcPr>
            <w:tcW w:w="1275" w:type="dxa"/>
          </w:tcPr>
          <w:p w14:paraId="048576B9" w14:textId="3C86A238" w:rsidR="00BC232E" w:rsidRPr="00275D6E" w:rsidRDefault="00BC232E" w:rsidP="00315FCD">
            <w:pPr>
              <w:autoSpaceDE w:val="0"/>
              <w:autoSpaceDN w:val="0"/>
              <w:adjustRightInd w:val="0"/>
              <w:rPr>
                <w:rFonts w:ascii="Garamond" w:eastAsiaTheme="minorHAnsi" w:hAnsi="Garamond"/>
                <w:b/>
                <w:bCs/>
                <w:color w:val="000000"/>
                <w14:ligatures w14:val="standardContextual"/>
              </w:rPr>
            </w:pPr>
            <w:r w:rsidRPr="00275D6E">
              <w:rPr>
                <w:rFonts w:ascii="Garamond" w:eastAsiaTheme="minorHAnsi" w:hAnsi="Garamond"/>
                <w:bCs/>
                <w:color w:val="000000"/>
                <w14:ligatures w14:val="standardContextual"/>
              </w:rPr>
              <w:t>anëtar</w:t>
            </w:r>
            <w:r w:rsidR="00315FCD">
              <w:rPr>
                <w:rFonts w:ascii="Garamond" w:eastAsiaTheme="minorHAnsi" w:hAnsi="Garamond"/>
                <w:bCs/>
                <w:color w:val="000000"/>
                <w14:ligatures w14:val="standardContextual"/>
              </w:rPr>
              <w:t>,</w:t>
            </w:r>
          </w:p>
        </w:tc>
      </w:tr>
    </w:tbl>
    <w:p w14:paraId="2BBC3110" w14:textId="4DD95D96" w:rsidR="00BC232E" w:rsidRPr="00BC232E" w:rsidRDefault="00BC232E" w:rsidP="00BC232E">
      <w:pPr>
        <w:autoSpaceDE w:val="0"/>
        <w:autoSpaceDN w:val="0"/>
        <w:adjustRightInd w:val="0"/>
        <w:ind w:firstLine="284"/>
        <w:jc w:val="both"/>
        <w:rPr>
          <w:rFonts w:ascii="Garamond" w:eastAsiaTheme="minorHAnsi" w:hAnsi="Garamond"/>
          <w:color w:val="171717"/>
          <w14:ligatures w14:val="standardContextual"/>
        </w:rPr>
      </w:pPr>
      <w:r w:rsidRPr="00BC232E">
        <w:rPr>
          <w:rFonts w:ascii="Garamond" w:eastAsiaTheme="minorHAnsi" w:hAnsi="Garamond"/>
          <w:color w:val="171717"/>
          <w14:ligatures w14:val="standardContextual"/>
        </w:rPr>
        <w:t xml:space="preserve">dhe sekretare gjyqësore </w:t>
      </w:r>
      <w:proofErr w:type="spellStart"/>
      <w:r w:rsidRPr="00BC232E">
        <w:rPr>
          <w:rFonts w:ascii="Garamond" w:eastAsiaTheme="minorHAnsi" w:hAnsi="Garamond"/>
          <w:color w:val="171717"/>
          <w14:ligatures w14:val="standardContextual"/>
        </w:rPr>
        <w:t>Rexhina</w:t>
      </w:r>
      <w:proofErr w:type="spellEnd"/>
      <w:r w:rsidRPr="00BC232E">
        <w:rPr>
          <w:rFonts w:ascii="Garamond" w:eastAsiaTheme="minorHAnsi" w:hAnsi="Garamond"/>
          <w:color w:val="171717"/>
          <w14:ligatures w14:val="standardContextual"/>
        </w:rPr>
        <w:t xml:space="preserve"> Kaci, në seancë gjyqësore datë 16.4.2026, mori në shqyrtim çështjen administrative nr.</w:t>
      </w:r>
      <w:r w:rsidR="009A1452">
        <w:rPr>
          <w:rFonts w:ascii="Garamond" w:eastAsiaTheme="minorHAnsi" w:hAnsi="Garamond"/>
          <w:color w:val="171717"/>
          <w14:ligatures w14:val="standardContextual"/>
        </w:rPr>
        <w:t xml:space="preserve"> </w:t>
      </w:r>
      <w:r w:rsidRPr="00BC232E">
        <w:rPr>
          <w:rFonts w:ascii="Garamond" w:eastAsiaTheme="minorHAnsi" w:hAnsi="Garamond"/>
          <w:color w:val="171717"/>
          <w14:ligatures w14:val="standardContextual"/>
        </w:rPr>
        <w:t>35008-00053-00-2026 akti, që u përket:</w:t>
      </w:r>
    </w:p>
    <w:p w14:paraId="050561DE" w14:textId="380C408A" w:rsidR="00BC232E" w:rsidRPr="00BC232E" w:rsidRDefault="00BC232E" w:rsidP="00BC232E">
      <w:pPr>
        <w:tabs>
          <w:tab w:val="left" w:pos="720"/>
          <w:tab w:val="left" w:pos="1440"/>
          <w:tab w:val="left" w:pos="2160"/>
          <w:tab w:val="left" w:pos="282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KËRKUES:</w:t>
      </w:r>
      <w:r w:rsidR="00315FCD">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Gjykata Administrative e Apelit</w:t>
      </w:r>
    </w:p>
    <w:p w14:paraId="154B6B3B" w14:textId="3BAA7FC1" w:rsidR="00BC232E" w:rsidRPr="00BC232E" w:rsidRDefault="00BC232E" w:rsidP="00BC232E">
      <w:pPr>
        <w:tabs>
          <w:tab w:val="left" w:pos="720"/>
          <w:tab w:val="left" w:pos="1440"/>
          <w:tab w:val="left" w:pos="2160"/>
          <w:tab w:val="left" w:pos="282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OBJEKTI:</w:t>
      </w:r>
      <w:r w:rsidR="00315FCD">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Zgjidhje e mosmarrëveshjes së kompetencës lëndore.</w:t>
      </w:r>
    </w:p>
    <w:p w14:paraId="63E7F0F2" w14:textId="58173FA0" w:rsidR="00BC232E" w:rsidRPr="00BC232E" w:rsidRDefault="00BC232E" w:rsidP="00BC232E">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BAZA LIGJORE:</w:t>
      </w:r>
      <w:r w:rsidR="00315FCD">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Neni 13 i ligjit nr. 49/2012</w:t>
      </w:r>
      <w:r w:rsidR="009A1452">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gjykatat administrative dhe gjykimin e mosmarrëveshjeve administrative”, </w:t>
      </w:r>
      <w:r w:rsidR="009A1452">
        <w:rPr>
          <w:rFonts w:ascii="Garamond" w:eastAsiaTheme="minorHAnsi" w:hAnsi="Garamond"/>
          <w:color w:val="000000"/>
          <w14:ligatures w14:val="standardContextual"/>
        </w:rPr>
        <w:t>të</w:t>
      </w:r>
      <w:r w:rsidRPr="00BC232E">
        <w:rPr>
          <w:rFonts w:ascii="Garamond" w:eastAsiaTheme="minorHAnsi" w:hAnsi="Garamond"/>
          <w:color w:val="000000"/>
          <w14:ligatures w14:val="standardContextual"/>
        </w:rPr>
        <w:t xml:space="preserve"> ndryshuar.</w:t>
      </w:r>
    </w:p>
    <w:p w14:paraId="084680FD" w14:textId="77777777" w:rsidR="00BC232E" w:rsidRPr="00BC232E" w:rsidRDefault="00BC232E" w:rsidP="00BC232E">
      <w:pPr>
        <w:tabs>
          <w:tab w:val="left" w:pos="720"/>
          <w:tab w:val="left" w:pos="1440"/>
          <w:tab w:val="left" w:pos="2160"/>
          <w:tab w:val="left" w:pos="282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Në çështjen administrative me:</w:t>
      </w:r>
    </w:p>
    <w:p w14:paraId="0D61DCB9" w14:textId="332C4FFF" w:rsidR="00BC232E" w:rsidRPr="00BC232E" w:rsidRDefault="00BC232E" w:rsidP="00BC232E">
      <w:pPr>
        <w:tabs>
          <w:tab w:val="left" w:pos="206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KËRKUES:</w:t>
      </w:r>
      <w:r w:rsidR="00315FCD">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 xml:space="preserve">Fatbardha </w:t>
      </w:r>
      <w:proofErr w:type="spellStart"/>
      <w:r w:rsidRPr="00BC232E">
        <w:rPr>
          <w:rFonts w:ascii="Garamond" w:eastAsiaTheme="minorHAnsi" w:hAnsi="Garamond"/>
          <w:color w:val="000000"/>
          <w14:ligatures w14:val="standardContextual"/>
        </w:rPr>
        <w:t>Braho</w:t>
      </w:r>
      <w:proofErr w:type="spellEnd"/>
    </w:p>
    <w:p w14:paraId="60AF65C2" w14:textId="08480103"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PERSON I TRETË:</w:t>
      </w:r>
      <w:r w:rsidRPr="00275D6E">
        <w:rPr>
          <w:rFonts w:ascii="Garamond" w:eastAsiaTheme="minorHAnsi" w:hAnsi="Garamond"/>
          <w:bCs/>
          <w:color w:val="000000"/>
          <w14:ligatures w14:val="standardContextual"/>
        </w:rPr>
        <w:t xml:space="preserve"> </w:t>
      </w:r>
      <w:r w:rsidRPr="00BC232E">
        <w:rPr>
          <w:rFonts w:ascii="Garamond" w:eastAsiaTheme="minorHAnsi" w:hAnsi="Garamond"/>
          <w:color w:val="000000"/>
          <w14:ligatures w14:val="standardContextual"/>
        </w:rPr>
        <w:t>Ndërmarrja e Shërbimeve Mbështetëse të Arsimit dhe Çerdhes, Bashkia Korçë</w:t>
      </w:r>
    </w:p>
    <w:p w14:paraId="43DFB07F" w14:textId="25C5B3C6"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proofErr w:type="spellStart"/>
      <w:r w:rsidRPr="00BC232E">
        <w:rPr>
          <w:rFonts w:ascii="Garamond" w:eastAsiaTheme="minorHAnsi" w:hAnsi="Garamond"/>
          <w:color w:val="000000"/>
          <w14:ligatures w14:val="standardContextual"/>
        </w:rPr>
        <w:t>Komisionieri</w:t>
      </w:r>
      <w:proofErr w:type="spellEnd"/>
      <w:r w:rsidRPr="00BC232E">
        <w:rPr>
          <w:rFonts w:ascii="Garamond" w:eastAsiaTheme="minorHAnsi" w:hAnsi="Garamond"/>
          <w:color w:val="000000"/>
          <w14:ligatures w14:val="standardContextual"/>
        </w:rPr>
        <w:t xml:space="preserve"> për Mbrojtjen nga Diskriminimi</w:t>
      </w:r>
    </w:p>
    <w:p w14:paraId="7782DCFD"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i/>
          <w:iCs/>
          <w:color w:val="000000"/>
          <w14:ligatures w14:val="standardContextual"/>
        </w:rPr>
        <w:t>Me pjesëmarrjen e Avokaturës së Shtetit</w:t>
      </w:r>
    </w:p>
    <w:p w14:paraId="1E85CA2B" w14:textId="48DCE003"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OBJEKTI:</w:t>
      </w:r>
      <w:r w:rsidRPr="00275D6E">
        <w:rPr>
          <w:rFonts w:ascii="Garamond" w:eastAsiaTheme="minorHAnsi" w:hAnsi="Garamond"/>
          <w:bCs/>
          <w:color w:val="000000"/>
          <w14:ligatures w14:val="standardContextual"/>
        </w:rPr>
        <w:t xml:space="preserve"> </w:t>
      </w:r>
      <w:r w:rsidRPr="00BC232E">
        <w:rPr>
          <w:rFonts w:ascii="Garamond" w:eastAsiaTheme="minorHAnsi" w:hAnsi="Garamond"/>
          <w:color w:val="000000"/>
          <w14:ligatures w14:val="standardContextual"/>
        </w:rPr>
        <w:t>Ndihmë juridike dytësore</w:t>
      </w:r>
    </w:p>
    <w:p w14:paraId="3D8246CE" w14:textId="0EF0C98D" w:rsidR="00BC232E" w:rsidRPr="00BC232E" w:rsidRDefault="00BC232E" w:rsidP="00BC232E">
      <w:pPr>
        <w:tabs>
          <w:tab w:val="left" w:pos="440"/>
          <w:tab w:val="left" w:pos="5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BAZA LIGJORE:</w:t>
      </w:r>
      <w:r w:rsidR="00315FCD">
        <w:rPr>
          <w:rFonts w:ascii="Garamond" w:eastAsiaTheme="minorHAnsi" w:hAnsi="Garamond"/>
          <w:bCs/>
          <w:color w:val="000000"/>
          <w14:ligatures w14:val="standardContextual"/>
        </w:rPr>
        <w:t xml:space="preserve"> </w:t>
      </w:r>
      <w:r w:rsidRPr="00BC232E">
        <w:rPr>
          <w:rFonts w:ascii="Garamond" w:eastAsiaTheme="minorHAnsi" w:hAnsi="Garamond"/>
          <w:color w:val="000000"/>
          <w14:ligatures w14:val="standardContextual"/>
        </w:rPr>
        <w:t>Ligji nr. 111/2017</w:t>
      </w:r>
      <w:r w:rsidR="009A1452">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ndihmën juridike të garantuar nga shteti”.</w:t>
      </w:r>
    </w:p>
    <w:p w14:paraId="49E316CA"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p>
    <w:p w14:paraId="79231E43" w14:textId="53E62D6B" w:rsidR="00BC232E" w:rsidRPr="00BC232E" w:rsidRDefault="00BC232E" w:rsidP="00BC232E">
      <w:pPr>
        <w:autoSpaceDE w:val="0"/>
        <w:autoSpaceDN w:val="0"/>
        <w:adjustRightInd w:val="0"/>
        <w:ind w:firstLine="284"/>
        <w:jc w:val="center"/>
        <w:rPr>
          <w:rFonts w:ascii="Garamond" w:eastAsiaTheme="minorHAnsi" w:hAnsi="Garamond"/>
          <w:bCs/>
          <w:color w:val="171717"/>
          <w14:ligatures w14:val="standardContextual"/>
        </w:rPr>
      </w:pPr>
      <w:r w:rsidRPr="00BC232E">
        <w:rPr>
          <w:rFonts w:ascii="Garamond" w:eastAsiaTheme="minorHAnsi" w:hAnsi="Garamond"/>
          <w:bCs/>
          <w:color w:val="171717"/>
          <w14:ligatures w14:val="standardContextual"/>
        </w:rPr>
        <w:t>KOLEGJI ADMINISTRATIV I GJYKATËS SË LARTË</w:t>
      </w:r>
    </w:p>
    <w:p w14:paraId="534CF2CA" w14:textId="77777777" w:rsidR="00BC232E" w:rsidRPr="00BC232E" w:rsidRDefault="00BC232E" w:rsidP="00BC232E">
      <w:pPr>
        <w:autoSpaceDE w:val="0"/>
        <w:autoSpaceDN w:val="0"/>
        <w:adjustRightInd w:val="0"/>
        <w:ind w:firstLine="284"/>
        <w:jc w:val="center"/>
        <w:rPr>
          <w:rFonts w:ascii="Garamond" w:eastAsiaTheme="minorHAnsi" w:hAnsi="Garamond"/>
          <w:b/>
          <w:bCs/>
          <w:color w:val="171717"/>
          <w14:ligatures w14:val="standardContextual"/>
        </w:rPr>
      </w:pPr>
    </w:p>
    <w:p w14:paraId="4A0B125D" w14:textId="287104AC" w:rsidR="00BC232E" w:rsidRPr="00BC232E" w:rsidRDefault="00BC232E" w:rsidP="00BC232E">
      <w:pPr>
        <w:autoSpaceDE w:val="0"/>
        <w:autoSpaceDN w:val="0"/>
        <w:adjustRightInd w:val="0"/>
        <w:ind w:firstLine="284"/>
        <w:jc w:val="both"/>
        <w:rPr>
          <w:rFonts w:ascii="Garamond" w:eastAsiaTheme="minorHAnsi" w:hAnsi="Garamond"/>
          <w:color w:val="171717"/>
          <w14:ligatures w14:val="standardContextual"/>
        </w:rPr>
      </w:pPr>
      <w:r w:rsidRPr="00BC232E">
        <w:rPr>
          <w:rFonts w:ascii="Garamond" w:eastAsiaTheme="minorHAnsi" w:hAnsi="Garamond"/>
          <w:color w:val="171717"/>
          <w14:ligatures w14:val="standardContextual"/>
        </w:rPr>
        <w:t>pasi zhvilloi seancat gjyqësore më datë 31.3.2026 dhe më datë 16.4.2026</w:t>
      </w:r>
      <w:r w:rsidR="009A1452">
        <w:rPr>
          <w:rFonts w:ascii="Garamond" w:eastAsiaTheme="minorHAnsi" w:hAnsi="Garamond"/>
          <w:color w:val="171717"/>
          <w14:ligatures w14:val="standardContextual"/>
        </w:rPr>
        <w:t>,</w:t>
      </w:r>
      <w:r w:rsidRPr="00BC232E">
        <w:rPr>
          <w:rFonts w:ascii="Garamond" w:eastAsiaTheme="minorHAnsi" w:hAnsi="Garamond"/>
          <w:color w:val="171717"/>
          <w14:ligatures w14:val="standardContextual"/>
        </w:rPr>
        <w:t xml:space="preserve"> me qëllim njësimin e praktikës gjyqësore</w:t>
      </w:r>
      <w:r w:rsidR="00C03EFE" w:rsidRPr="00275D6E">
        <w:rPr>
          <w:rStyle w:val="FootnoteReference"/>
          <w:rFonts w:ascii="Garamond" w:eastAsiaTheme="minorHAnsi" w:hAnsi="Garamond"/>
          <w:color w:val="171717"/>
          <w14:ligatures w14:val="standardContextual"/>
        </w:rPr>
        <w:footnoteReference w:id="2"/>
      </w:r>
      <w:r w:rsidRPr="00BC232E">
        <w:rPr>
          <w:rFonts w:ascii="Garamond" w:eastAsiaTheme="minorHAnsi" w:hAnsi="Garamond"/>
          <w:color w:val="171717"/>
          <w14:ligatures w14:val="standardContextual"/>
        </w:rPr>
        <w:t>;</w:t>
      </w:r>
      <w:r w:rsidR="009A1452">
        <w:rPr>
          <w:rFonts w:ascii="Garamond" w:eastAsiaTheme="minorHAnsi" w:hAnsi="Garamond"/>
          <w:color w:val="171717"/>
          <w14:ligatures w14:val="standardContextual"/>
        </w:rPr>
        <w:t xml:space="preserve"> </w:t>
      </w:r>
      <w:r w:rsidRPr="00BC232E">
        <w:rPr>
          <w:rFonts w:ascii="Garamond" w:eastAsiaTheme="minorHAnsi" w:hAnsi="Garamond"/>
          <w:color w:val="171717"/>
          <w14:ligatures w14:val="standardContextual"/>
        </w:rPr>
        <w:t>pasi zhvilloi seancat gjyqësore më datë 31.3.2026 dhe më datë 16.4.2026</w:t>
      </w:r>
      <w:r w:rsidR="009A1452">
        <w:rPr>
          <w:rFonts w:ascii="Garamond" w:eastAsiaTheme="minorHAnsi" w:hAnsi="Garamond"/>
          <w:color w:val="171717"/>
          <w14:ligatures w14:val="standardContextual"/>
        </w:rPr>
        <w:t>,</w:t>
      </w:r>
      <w:r w:rsidRPr="00BC232E">
        <w:rPr>
          <w:rFonts w:ascii="Garamond" w:eastAsiaTheme="minorHAnsi" w:hAnsi="Garamond"/>
          <w:color w:val="171717"/>
          <w14:ligatures w14:val="standardContextual"/>
        </w:rPr>
        <w:t xml:space="preserve"> me qëllim njësimin e praktikës gjyqësore</w:t>
      </w:r>
      <w:r w:rsidR="00C03EFE" w:rsidRPr="00275D6E">
        <w:rPr>
          <w:rStyle w:val="FootnoteReference"/>
          <w:rFonts w:ascii="Garamond" w:eastAsiaTheme="minorHAnsi" w:hAnsi="Garamond"/>
          <w:color w:val="171717"/>
          <w14:ligatures w14:val="standardContextual"/>
        </w:rPr>
        <w:footnoteReference w:id="3"/>
      </w:r>
      <w:r w:rsidRPr="00BC232E">
        <w:rPr>
          <w:rFonts w:ascii="Garamond" w:eastAsiaTheme="minorHAnsi" w:hAnsi="Garamond"/>
          <w:color w:val="171717"/>
          <w14:ligatures w14:val="standardContextual"/>
        </w:rPr>
        <w:t>;</w:t>
      </w:r>
      <w:r w:rsidRPr="00BC232E">
        <w:rPr>
          <w:rFonts w:ascii="Garamond" w:eastAsiaTheme="minorHAnsi" w:hAnsi="Garamond"/>
          <w:b/>
          <w:bCs/>
          <w:color w:val="171717"/>
          <w14:ligatures w14:val="standardContextual"/>
        </w:rPr>
        <w:t xml:space="preserve"> </w:t>
      </w:r>
      <w:r w:rsidRPr="00BC232E">
        <w:rPr>
          <w:rFonts w:ascii="Garamond" w:eastAsiaTheme="minorHAnsi" w:hAnsi="Garamond"/>
          <w:color w:val="171717"/>
          <w14:ligatures w14:val="standardContextual"/>
        </w:rPr>
        <w:t xml:space="preserve">pasi u </w:t>
      </w:r>
      <w:proofErr w:type="spellStart"/>
      <w:r w:rsidRPr="00BC232E">
        <w:rPr>
          <w:rFonts w:ascii="Garamond" w:eastAsiaTheme="minorHAnsi" w:hAnsi="Garamond"/>
          <w:color w:val="171717"/>
          <w14:ligatures w14:val="standardContextual"/>
        </w:rPr>
        <w:t>relatua</w:t>
      </w:r>
      <w:proofErr w:type="spellEnd"/>
      <w:r w:rsidRPr="00BC232E">
        <w:rPr>
          <w:rFonts w:ascii="Garamond" w:eastAsiaTheme="minorHAnsi" w:hAnsi="Garamond"/>
          <w:color w:val="171717"/>
          <w14:ligatures w14:val="standardContextual"/>
        </w:rPr>
        <w:t xml:space="preserve"> çështja administrative prej </w:t>
      </w:r>
      <w:r w:rsidRPr="00BC232E">
        <w:rPr>
          <w:rFonts w:ascii="Garamond" w:eastAsiaTheme="minorHAnsi" w:hAnsi="Garamond"/>
          <w:color w:val="000000"/>
          <w14:ligatures w14:val="standardContextual"/>
        </w:rPr>
        <w:t xml:space="preserve">gjyqtarit relator Sokol </w:t>
      </w:r>
      <w:proofErr w:type="spellStart"/>
      <w:r w:rsidRPr="00BC232E">
        <w:rPr>
          <w:rFonts w:ascii="Garamond" w:eastAsiaTheme="minorHAnsi" w:hAnsi="Garamond"/>
          <w:color w:val="000000"/>
          <w14:ligatures w14:val="standardContextual"/>
        </w:rPr>
        <w:t>Sadushi</w:t>
      </w:r>
      <w:proofErr w:type="spellEnd"/>
      <w:r w:rsidRPr="00BC232E">
        <w:rPr>
          <w:rFonts w:ascii="Garamond" w:eastAsiaTheme="minorHAnsi" w:hAnsi="Garamond"/>
          <w:color w:val="000000"/>
          <w14:ligatures w14:val="standardContextual"/>
        </w:rPr>
        <w:t>; pasi dëgjoi palën kërkuese</w:t>
      </w:r>
      <w:r w:rsidRPr="00BC232E">
        <w:rPr>
          <w:rFonts w:ascii="Garamond" w:eastAsiaTheme="minorHAnsi" w:hAnsi="Garamond"/>
          <w:color w:val="171717"/>
          <w14:ligatures w14:val="standardContextual"/>
        </w:rPr>
        <w:t xml:space="preserve">, </w:t>
      </w:r>
      <w:r w:rsidRPr="00BC232E">
        <w:rPr>
          <w:rFonts w:ascii="Garamond" w:eastAsiaTheme="minorHAnsi" w:hAnsi="Garamond"/>
          <w:color w:val="000000"/>
          <w14:ligatures w14:val="standardContextual"/>
        </w:rPr>
        <w:t xml:space="preserve">Fatbardha </w:t>
      </w:r>
      <w:proofErr w:type="spellStart"/>
      <w:r w:rsidRPr="00BC232E">
        <w:rPr>
          <w:rFonts w:ascii="Garamond" w:eastAsiaTheme="minorHAnsi" w:hAnsi="Garamond"/>
          <w:color w:val="000000"/>
          <w14:ligatures w14:val="standardContextual"/>
        </w:rPr>
        <w:t>Braho</w:t>
      </w:r>
      <w:proofErr w:type="spellEnd"/>
      <w:r w:rsidRPr="00BC232E">
        <w:rPr>
          <w:rFonts w:ascii="Garamond" w:eastAsiaTheme="minorHAnsi" w:hAnsi="Garamond"/>
          <w:color w:val="000000"/>
          <w14:ligatures w14:val="standardContextual"/>
        </w:rPr>
        <w:t xml:space="preserve">, të pranishme në seancë, si dhe përfaqësuesin e saj caktuar nga Dhoma Kombëtare e Avokatisë, avokat Dritan </w:t>
      </w:r>
      <w:proofErr w:type="spellStart"/>
      <w:r w:rsidRPr="00BC232E">
        <w:rPr>
          <w:rFonts w:ascii="Garamond" w:eastAsiaTheme="minorHAnsi" w:hAnsi="Garamond"/>
          <w:color w:val="000000"/>
          <w14:ligatures w14:val="standardContextual"/>
        </w:rPr>
        <w:t>Jahaj</w:t>
      </w:r>
      <w:proofErr w:type="spellEnd"/>
      <w:r w:rsidRPr="00BC232E">
        <w:rPr>
          <w:rFonts w:ascii="Garamond" w:eastAsiaTheme="minorHAnsi" w:hAnsi="Garamond"/>
          <w:color w:val="000000"/>
          <w14:ligatures w14:val="standardContextual"/>
        </w:rPr>
        <w:t>, i cili kërkoi që kompetente për shqyrtimin e kërkesës për ndihmë juridike dytësore, në zbatim të ligjit nr. 111/2017</w:t>
      </w:r>
      <w:r w:rsidR="009A1452">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ndihmën juridike të garantuar nga shteti”, të jetë gjykata në të cilën ndodhen aktet për zgjidhjen e çështjes në themel; pasi konstatoi se personi i tretë, </w:t>
      </w:r>
      <w:proofErr w:type="spellStart"/>
      <w:r w:rsidRPr="00BC232E">
        <w:rPr>
          <w:rFonts w:ascii="Garamond" w:eastAsiaTheme="minorHAnsi" w:hAnsi="Garamond"/>
          <w:color w:val="000000"/>
          <w14:ligatures w14:val="standardContextual"/>
        </w:rPr>
        <w:t>Komisionieri</w:t>
      </w:r>
      <w:proofErr w:type="spellEnd"/>
      <w:r w:rsidRPr="00BC232E">
        <w:rPr>
          <w:rFonts w:ascii="Garamond" w:eastAsiaTheme="minorHAnsi" w:hAnsi="Garamond"/>
          <w:color w:val="000000"/>
          <w14:ligatures w14:val="standardContextual"/>
        </w:rPr>
        <w:t xml:space="preserve"> për Mbrojtjen nga Diskriminimi, megjithëse në mungesë, ka paraqitur mendim me shkrim pranë sekretarisë së Gjykatës së Lartë</w:t>
      </w:r>
      <w:r w:rsidR="009A1452">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më datë 24.3.2026, duke kërkuar që kompetente për shqyrtimin e kërkesës juridike dytësore të jetë gjykata administrative e shkallës së parë; në mungesë të palëve të tjera dhe pasi e diskutoi çështjen në tërësi, </w:t>
      </w:r>
    </w:p>
    <w:p w14:paraId="25CC519A"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p>
    <w:p w14:paraId="302787C2" w14:textId="77777777" w:rsidR="008003AD" w:rsidRDefault="008003AD" w:rsidP="00BC232E">
      <w:pPr>
        <w:autoSpaceDE w:val="0"/>
        <w:autoSpaceDN w:val="0"/>
        <w:adjustRightInd w:val="0"/>
        <w:ind w:firstLine="284"/>
        <w:jc w:val="center"/>
        <w:outlineLvl w:val="2"/>
        <w:rPr>
          <w:rFonts w:ascii="Garamond" w:eastAsiaTheme="minorHAnsi" w:hAnsi="Garamond"/>
          <w:bCs/>
          <w:color w:val="171717"/>
          <w14:ligatures w14:val="standardContextual"/>
        </w:rPr>
      </w:pPr>
    </w:p>
    <w:p w14:paraId="66B12B62" w14:textId="77777777" w:rsidR="008003AD" w:rsidRDefault="008003AD" w:rsidP="00BC232E">
      <w:pPr>
        <w:autoSpaceDE w:val="0"/>
        <w:autoSpaceDN w:val="0"/>
        <w:adjustRightInd w:val="0"/>
        <w:ind w:firstLine="284"/>
        <w:jc w:val="center"/>
        <w:outlineLvl w:val="2"/>
        <w:rPr>
          <w:rFonts w:ascii="Garamond" w:eastAsiaTheme="minorHAnsi" w:hAnsi="Garamond"/>
          <w:bCs/>
          <w:color w:val="171717"/>
          <w14:ligatures w14:val="standardContextual"/>
        </w:rPr>
      </w:pPr>
    </w:p>
    <w:p w14:paraId="11141D46" w14:textId="77777777" w:rsidR="008003AD" w:rsidRDefault="008003AD" w:rsidP="00BC232E">
      <w:pPr>
        <w:autoSpaceDE w:val="0"/>
        <w:autoSpaceDN w:val="0"/>
        <w:adjustRightInd w:val="0"/>
        <w:ind w:firstLine="284"/>
        <w:jc w:val="center"/>
        <w:outlineLvl w:val="2"/>
        <w:rPr>
          <w:rFonts w:ascii="Garamond" w:eastAsiaTheme="minorHAnsi" w:hAnsi="Garamond"/>
          <w:bCs/>
          <w:color w:val="171717"/>
          <w14:ligatures w14:val="standardContextual"/>
        </w:rPr>
      </w:pPr>
    </w:p>
    <w:p w14:paraId="3FF22A74" w14:textId="35DA419E" w:rsidR="00BC232E" w:rsidRPr="00BC232E" w:rsidRDefault="00BC232E" w:rsidP="00BC232E">
      <w:pPr>
        <w:autoSpaceDE w:val="0"/>
        <w:autoSpaceDN w:val="0"/>
        <w:adjustRightInd w:val="0"/>
        <w:ind w:firstLine="284"/>
        <w:jc w:val="center"/>
        <w:outlineLvl w:val="2"/>
        <w:rPr>
          <w:rFonts w:ascii="Garamond" w:eastAsiaTheme="minorHAnsi" w:hAnsi="Garamond"/>
          <w:bCs/>
          <w:color w:val="171717"/>
          <w14:ligatures w14:val="standardContextual"/>
        </w:rPr>
      </w:pPr>
      <w:r w:rsidRPr="00BC232E">
        <w:rPr>
          <w:rFonts w:ascii="Garamond" w:eastAsiaTheme="minorHAnsi" w:hAnsi="Garamond"/>
          <w:bCs/>
          <w:color w:val="171717"/>
          <w14:ligatures w14:val="standardContextual"/>
        </w:rPr>
        <w:lastRenderedPageBreak/>
        <w:t>VËREN</w:t>
      </w:r>
      <w:r w:rsidR="009A1452">
        <w:rPr>
          <w:rFonts w:ascii="Garamond" w:eastAsiaTheme="minorHAnsi" w:hAnsi="Garamond"/>
          <w:bCs/>
          <w:color w:val="171717"/>
          <w14:ligatures w14:val="standardContextual"/>
        </w:rPr>
        <w:t>:</w:t>
      </w:r>
    </w:p>
    <w:p w14:paraId="48536840" w14:textId="5B3C2341" w:rsidR="00BC232E" w:rsidRPr="00BC232E" w:rsidRDefault="00BC232E" w:rsidP="00BC232E">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firstLine="284"/>
        <w:jc w:val="both"/>
        <w:rPr>
          <w:rFonts w:ascii="Garamond" w:eastAsiaTheme="minorHAnsi" w:hAnsi="Garamond"/>
          <w:b/>
          <w:bCs/>
          <w:color w:val="171717"/>
          <w14:ligatures w14:val="standardContextual"/>
        </w:rPr>
      </w:pPr>
      <w:r w:rsidRPr="00BC232E">
        <w:rPr>
          <w:rFonts w:ascii="Garamond" w:eastAsiaTheme="minorHAnsi" w:hAnsi="Garamond"/>
          <w:b/>
          <w:bCs/>
          <w:color w:val="171717"/>
          <w14:ligatures w14:val="standardContextual"/>
        </w:rPr>
        <w:t>I.</w:t>
      </w:r>
      <w:r w:rsidRPr="00275D6E">
        <w:rPr>
          <w:rFonts w:ascii="Garamond" w:eastAsiaTheme="minorHAnsi" w:hAnsi="Garamond"/>
          <w:b/>
          <w:bCs/>
          <w:color w:val="171717"/>
          <w14:ligatures w14:val="standardContextual"/>
        </w:rPr>
        <w:t xml:space="preserve"> </w:t>
      </w:r>
      <w:r w:rsidRPr="00BC232E">
        <w:rPr>
          <w:rFonts w:ascii="Garamond" w:eastAsiaTheme="minorHAnsi" w:hAnsi="Garamond"/>
          <w:b/>
          <w:bCs/>
          <w:color w:val="171717"/>
          <w14:ligatures w14:val="standardContextual"/>
        </w:rPr>
        <w:t>Rrethanat e çështjes</w:t>
      </w:r>
    </w:p>
    <w:p w14:paraId="3CE5D1A8" w14:textId="197A5DF8"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1.</w:t>
      </w:r>
      <w:r w:rsidRPr="00275D6E">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Nga dosja gjyqësore rezulton</w:t>
      </w:r>
      <w:r w:rsidR="006A641F">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se pala kërkuese Fatbardha </w:t>
      </w:r>
      <w:proofErr w:type="spellStart"/>
      <w:r w:rsidRPr="00BC232E">
        <w:rPr>
          <w:rFonts w:ascii="Garamond" w:eastAsiaTheme="minorHAnsi" w:hAnsi="Garamond"/>
          <w:color w:val="000000"/>
          <w14:ligatures w14:val="standardContextual"/>
        </w:rPr>
        <w:t>Braho</w:t>
      </w:r>
      <w:proofErr w:type="spellEnd"/>
      <w:r w:rsidRPr="00BC232E">
        <w:rPr>
          <w:rFonts w:ascii="Garamond" w:eastAsiaTheme="minorHAnsi" w:hAnsi="Garamond"/>
          <w:color w:val="000000"/>
          <w14:ligatures w14:val="standardContextual"/>
        </w:rPr>
        <w:t xml:space="preserve"> ka depozituar ankesën nr. 53, datë 19.3.2024</w:t>
      </w:r>
      <w:r w:rsidR="0079767C">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pranë </w:t>
      </w:r>
      <w:proofErr w:type="spellStart"/>
      <w:r w:rsidRPr="00BC232E">
        <w:rPr>
          <w:rFonts w:ascii="Garamond" w:eastAsiaTheme="minorHAnsi" w:hAnsi="Garamond"/>
          <w:color w:val="000000"/>
          <w14:ligatures w14:val="standardContextual"/>
        </w:rPr>
        <w:t>Komisionerit</w:t>
      </w:r>
      <w:proofErr w:type="spellEnd"/>
      <w:r w:rsidRPr="00BC232E">
        <w:rPr>
          <w:rFonts w:ascii="Garamond" w:eastAsiaTheme="minorHAnsi" w:hAnsi="Garamond"/>
          <w:color w:val="000000"/>
          <w14:ligatures w14:val="standardContextual"/>
        </w:rPr>
        <w:t xml:space="preserve"> për Mbrojtjen nga Diskriminimi (në vijim “KMD”), për shkak të </w:t>
      </w:r>
      <w:proofErr w:type="spellStart"/>
      <w:r w:rsidRPr="00BC232E">
        <w:rPr>
          <w:rFonts w:ascii="Garamond" w:eastAsiaTheme="minorHAnsi" w:hAnsi="Garamond"/>
          <w:color w:val="000000"/>
          <w14:ligatures w14:val="standardContextual"/>
        </w:rPr>
        <w:t>mospërfshirjes</w:t>
      </w:r>
      <w:proofErr w:type="spellEnd"/>
      <w:r w:rsidRPr="00BC232E">
        <w:rPr>
          <w:rFonts w:ascii="Garamond" w:eastAsiaTheme="minorHAnsi" w:hAnsi="Garamond"/>
          <w:color w:val="000000"/>
          <w14:ligatures w14:val="standardContextual"/>
        </w:rPr>
        <w:t xml:space="preserve"> së fëmijëve të saj </w:t>
      </w:r>
      <w:proofErr w:type="spellStart"/>
      <w:r w:rsidRPr="00BC232E">
        <w:rPr>
          <w:rFonts w:ascii="Garamond" w:eastAsiaTheme="minorHAnsi" w:hAnsi="Garamond"/>
          <w:color w:val="000000"/>
          <w14:ligatures w14:val="standardContextual"/>
        </w:rPr>
        <w:t>Gj.B</w:t>
      </w:r>
      <w:proofErr w:type="spellEnd"/>
      <w:r w:rsidRPr="00BC232E">
        <w:rPr>
          <w:rFonts w:ascii="Garamond" w:eastAsiaTheme="minorHAnsi" w:hAnsi="Garamond"/>
          <w:color w:val="000000"/>
          <w14:ligatures w14:val="standardContextual"/>
        </w:rPr>
        <w:t>. dhe N.B., në listën e përfituesve të bursës shkollore.</w:t>
      </w:r>
    </w:p>
    <w:p w14:paraId="57A8EEB3" w14:textId="24257FDB"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2.</w:t>
      </w:r>
      <w:r w:rsidRPr="00275D6E">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Pas mbajtjes së korrespondencës me Bashkinë Korçë dhe Ministrinë e Arsimit dhe Sportit, KMD</w:t>
      </w:r>
      <w:r w:rsidR="00D13309">
        <w:rPr>
          <w:rFonts w:ascii="Garamond" w:eastAsiaTheme="minorHAnsi" w:hAnsi="Garamond"/>
          <w:color w:val="000000"/>
          <w14:ligatures w14:val="standardContextual"/>
        </w:rPr>
        <w:t>-ja</w:t>
      </w:r>
      <w:r w:rsidRPr="00BC232E">
        <w:rPr>
          <w:rFonts w:ascii="Garamond" w:eastAsiaTheme="minorHAnsi" w:hAnsi="Garamond"/>
          <w:color w:val="000000"/>
          <w14:ligatures w14:val="standardContextual"/>
        </w:rPr>
        <w:t xml:space="preserve"> ka marrë vendimin nr. 173, datë 31.5.2024, me të cilin ka konstatuar diskriminimin e fëmijëve të palës kërkuese, në kushtet kur familja e tyre trajtohej me ndihmë ekonomike dhe fëmijët ndiqnin arsimin </w:t>
      </w:r>
      <w:proofErr w:type="spellStart"/>
      <w:r w:rsidRPr="00BC232E">
        <w:rPr>
          <w:rFonts w:ascii="Garamond" w:eastAsiaTheme="minorHAnsi" w:hAnsi="Garamond"/>
          <w:color w:val="000000"/>
          <w14:ligatures w14:val="standardContextual"/>
        </w:rPr>
        <w:t>parauniversitar</w:t>
      </w:r>
      <w:proofErr w:type="spellEnd"/>
      <w:r w:rsidRPr="00BC232E">
        <w:rPr>
          <w:rFonts w:ascii="Garamond" w:eastAsiaTheme="minorHAnsi" w:hAnsi="Garamond"/>
          <w:color w:val="000000"/>
          <w14:ligatures w14:val="standardContextual"/>
        </w:rPr>
        <w:t>. Me këtë vendim</w:t>
      </w:r>
      <w:r w:rsidR="00BE4086">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KMD</w:t>
      </w:r>
      <w:r w:rsidR="00BE4086">
        <w:rPr>
          <w:rFonts w:ascii="Garamond" w:eastAsiaTheme="minorHAnsi" w:hAnsi="Garamond"/>
          <w:color w:val="000000"/>
          <w14:ligatures w14:val="standardContextual"/>
        </w:rPr>
        <w:t>-ja</w:t>
      </w:r>
      <w:r w:rsidRPr="00BC232E">
        <w:rPr>
          <w:rFonts w:ascii="Garamond" w:eastAsiaTheme="minorHAnsi" w:hAnsi="Garamond"/>
          <w:color w:val="000000"/>
          <w14:ligatures w14:val="standardContextual"/>
        </w:rPr>
        <w:t xml:space="preserve"> ka përcaktuar edhe detyrime konkrete për Bashkinë Korçë, me qëllim ndalimin dhe shmangien e pasojave të diskriminimit të konstatuar. </w:t>
      </w:r>
    </w:p>
    <w:p w14:paraId="06DA2C9C" w14:textId="4DA6B153"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3.</w:t>
      </w:r>
      <w:r w:rsidRPr="00275D6E">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Kundër këtij vendimi, Ndërmarrja e Shërbimeve Mbështetëse të Arsimit dhe Çerdhes pranë Bashkisë Korçë ka paraqitur padi në Gjykatën Administrative të Shkallës së Parë Tiranë, duke kërkuar shfuqizimin e vendimit nr.</w:t>
      </w:r>
      <w:r w:rsidR="00315FCD">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173, datë 31.5.2024 të KMD-së. Gjykata Administrative e Shkallës së Parë Tiranë, me vendimin nr.</w:t>
      </w:r>
      <w:r w:rsidR="00315FCD">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 xml:space="preserve">3442, datë 7.10.2024, ka vendosur: </w:t>
      </w:r>
      <w:r w:rsidRPr="00BC232E">
        <w:rPr>
          <w:rFonts w:ascii="Garamond" w:eastAsiaTheme="minorHAnsi" w:hAnsi="Garamond"/>
          <w:i/>
          <w:iCs/>
          <w:color w:val="000000"/>
          <w14:ligatures w14:val="standardContextual"/>
        </w:rPr>
        <w:t>“Mospranimin e padisë”.</w:t>
      </w:r>
    </w:p>
    <w:p w14:paraId="7AEE1F81" w14:textId="0EEDA2E9"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4.</w:t>
      </w:r>
      <w:r w:rsidRPr="00275D6E">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Kundër vendimit nr. 3442, datë 7.10.2024</w:t>
      </w:r>
      <w:r w:rsidR="00BE4086">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të Gjykatës Administrative e Shkallës së Parë Tiranë, ka ushtruar ankim Ndërmarrja e Shërbimeve Mbështetëse të Arsimit dhe Çerdhes pranë Bashkisë Korçë, duke kërkuar ndryshimin e vendimit dhe pranimin e padisë, ose, në alternativë, prishjen e vendimit dhe kthimin e çështjes për rigjykim në gjykatën e shkallës së parë. </w:t>
      </w:r>
    </w:p>
    <w:p w14:paraId="1C3B98F8" w14:textId="4D8F6B62"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5.</w:t>
      </w:r>
      <w:r w:rsidRPr="00275D6E">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 xml:space="preserve">Pala kërkuese Fatbardha </w:t>
      </w:r>
      <w:proofErr w:type="spellStart"/>
      <w:r w:rsidRPr="00BC232E">
        <w:rPr>
          <w:rFonts w:ascii="Garamond" w:eastAsiaTheme="minorHAnsi" w:hAnsi="Garamond"/>
          <w:color w:val="000000"/>
          <w14:ligatures w14:val="standardContextual"/>
        </w:rPr>
        <w:t>Braho</w:t>
      </w:r>
      <w:proofErr w:type="spellEnd"/>
      <w:r w:rsidRPr="00BC232E">
        <w:rPr>
          <w:rFonts w:ascii="Garamond" w:eastAsiaTheme="minorHAnsi" w:hAnsi="Garamond"/>
          <w:color w:val="000000"/>
          <w14:ligatures w14:val="standardContextual"/>
        </w:rPr>
        <w:t xml:space="preserve">, më datë 7.7.2025, ka paraqitur pranë Gjykatës së Apelit të Juridiksionit të Përgjithshëm formularin e aplikimit për përfitimin e ndihmës juridike dytësore, formularin e </w:t>
      </w:r>
      <w:proofErr w:type="spellStart"/>
      <w:r w:rsidRPr="00BC232E">
        <w:rPr>
          <w:rFonts w:ascii="Garamond" w:eastAsiaTheme="minorHAnsi" w:hAnsi="Garamond"/>
          <w:color w:val="000000"/>
          <w14:ligatures w14:val="standardContextual"/>
        </w:rPr>
        <w:t>vetëdeklarimit</w:t>
      </w:r>
      <w:proofErr w:type="spellEnd"/>
      <w:r w:rsidRPr="00BC232E">
        <w:rPr>
          <w:rFonts w:ascii="Garamond" w:eastAsiaTheme="minorHAnsi" w:hAnsi="Garamond"/>
          <w:color w:val="000000"/>
          <w14:ligatures w14:val="standardContextual"/>
        </w:rPr>
        <w:t xml:space="preserve"> për kategoritë e veçanta të përfituesve, si dhe formularin e aplikimit për përjashtimin nga pagimi i tarifave dhe i shpenzimeve gjyqësore.</w:t>
      </w:r>
    </w:p>
    <w:p w14:paraId="3568145F" w14:textId="3E978874" w:rsidR="00BC232E" w:rsidRPr="00BC232E" w:rsidRDefault="00BC232E" w:rsidP="00BC232E">
      <w:pPr>
        <w:autoSpaceDE w:val="0"/>
        <w:autoSpaceDN w:val="0"/>
        <w:adjustRightInd w:val="0"/>
        <w:ind w:firstLine="284"/>
        <w:jc w:val="both"/>
        <w:rPr>
          <w:rFonts w:ascii="Garamond" w:eastAsiaTheme="minorHAnsi" w:hAnsi="Garamond"/>
          <w:i/>
          <w:iCs/>
          <w:color w:val="000000"/>
          <w14:ligatures w14:val="standardContextual"/>
        </w:rPr>
      </w:pPr>
      <w:r w:rsidRPr="00BC232E">
        <w:rPr>
          <w:rFonts w:ascii="Garamond" w:eastAsiaTheme="minorHAnsi" w:hAnsi="Garamond"/>
          <w:b/>
          <w:bCs/>
          <w:color w:val="000000"/>
          <w14:ligatures w14:val="standardContextual"/>
        </w:rPr>
        <w:t>6.</w:t>
      </w:r>
      <w:r w:rsidRPr="00275D6E">
        <w:rPr>
          <w:rFonts w:ascii="Garamond" w:eastAsiaTheme="minorHAnsi" w:hAnsi="Garamond"/>
          <w:b/>
          <w:bCs/>
          <w:color w:val="000000"/>
          <w14:ligatures w14:val="standardContextual"/>
        </w:rPr>
        <w:t xml:space="preserve"> </w:t>
      </w:r>
      <w:r w:rsidRPr="00BC232E">
        <w:rPr>
          <w:rFonts w:ascii="Garamond" w:eastAsiaTheme="minorHAnsi" w:hAnsi="Garamond"/>
          <w:b/>
          <w:bCs/>
          <w:color w:val="000000"/>
          <w14:ligatures w14:val="standardContextual"/>
        </w:rPr>
        <w:t>Gjykata e Apelit të Juridiksionit të Përgjithshëm</w:t>
      </w:r>
      <w:r w:rsidRPr="00BC232E">
        <w:rPr>
          <w:rFonts w:ascii="Garamond" w:eastAsiaTheme="minorHAnsi" w:hAnsi="Garamond"/>
          <w:color w:val="000000"/>
          <w14:ligatures w14:val="standardContextual"/>
        </w:rPr>
        <w:t xml:space="preserve">, me vendimin nr. 30-2025-9731 (1580), datë 19.11.2025, ka vendosur: </w:t>
      </w:r>
      <w:r w:rsidRPr="00BC232E">
        <w:rPr>
          <w:rFonts w:ascii="Garamond" w:eastAsiaTheme="minorHAnsi" w:hAnsi="Garamond"/>
          <w:i/>
          <w:iCs/>
          <w:color w:val="000000"/>
          <w14:ligatures w14:val="standardContextual"/>
        </w:rPr>
        <w:t xml:space="preserve">“Deklarimin e </w:t>
      </w:r>
      <w:proofErr w:type="spellStart"/>
      <w:r w:rsidRPr="00BC232E">
        <w:rPr>
          <w:rFonts w:ascii="Garamond" w:eastAsiaTheme="minorHAnsi" w:hAnsi="Garamond"/>
          <w:i/>
          <w:iCs/>
          <w:color w:val="000000"/>
          <w14:ligatures w14:val="standardContextual"/>
        </w:rPr>
        <w:t>moskompetencës</w:t>
      </w:r>
      <w:proofErr w:type="spellEnd"/>
      <w:r w:rsidRPr="00BC232E">
        <w:rPr>
          <w:rFonts w:ascii="Garamond" w:eastAsiaTheme="minorHAnsi" w:hAnsi="Garamond"/>
          <w:i/>
          <w:iCs/>
          <w:color w:val="000000"/>
          <w14:ligatures w14:val="standardContextual"/>
        </w:rPr>
        <w:t xml:space="preserve"> lëndore të Gjykatës së Apelit të Juridiksionit të Përgjithshëm për shqyrtimin e kërkesës së kërkueses Fatbardha </w:t>
      </w:r>
      <w:proofErr w:type="spellStart"/>
      <w:r w:rsidRPr="00BC232E">
        <w:rPr>
          <w:rFonts w:ascii="Garamond" w:eastAsiaTheme="minorHAnsi" w:hAnsi="Garamond"/>
          <w:i/>
          <w:iCs/>
          <w:color w:val="000000"/>
          <w14:ligatures w14:val="standardContextual"/>
        </w:rPr>
        <w:t>Braho</w:t>
      </w:r>
      <w:proofErr w:type="spellEnd"/>
      <w:r w:rsidRPr="00BC232E">
        <w:rPr>
          <w:rFonts w:ascii="Garamond" w:eastAsiaTheme="minorHAnsi" w:hAnsi="Garamond"/>
          <w:i/>
          <w:iCs/>
          <w:color w:val="000000"/>
          <w14:ligatures w14:val="standardContextual"/>
        </w:rPr>
        <w:t xml:space="preserve"> me objekt: “Dhënie e ndihmës juridike dytësore” dhe dërgimin e akteve gjykatës kompetente, Gjykatës Administrative të Apelit. Kundër këtij vendimi lejohet rekurs s</w:t>
      </w:r>
      <w:r w:rsidR="006A641F">
        <w:rPr>
          <w:rFonts w:ascii="Garamond" w:eastAsiaTheme="minorHAnsi" w:hAnsi="Garamond"/>
          <w:i/>
          <w:iCs/>
          <w:color w:val="000000"/>
          <w14:ligatures w14:val="standardContextual"/>
        </w:rPr>
        <w:t>ë</w:t>
      </w:r>
      <w:r w:rsidRPr="00BC232E">
        <w:rPr>
          <w:rFonts w:ascii="Garamond" w:eastAsiaTheme="minorHAnsi" w:hAnsi="Garamond"/>
          <w:i/>
          <w:iCs/>
          <w:color w:val="000000"/>
          <w14:ligatures w14:val="standardContextual"/>
        </w:rPr>
        <w:t xml:space="preserve"> bashku me vendimin përfundimtar”.</w:t>
      </w:r>
    </w:p>
    <w:p w14:paraId="74E255C7"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6.1. Në arsyetimin e saj, Gjykata e Apelit e Juridiksionit të Përgjithshëm ka vlerësuar se nga të dhënat e pasqyruara në kërkesë nuk rezultonte ndonjë çështje civile e regjistruar pranë saj me palët e përmendura nga kërkuesja. Për këtë arsye, ajo ka kërkuar informacion pranë Gjykatës Administrative të Apelit, nëse pranë kësaj gjykate ishte regjistruar ndonjë çështje me të njëjtat palë.</w:t>
      </w:r>
    </w:p>
    <w:p w14:paraId="2A01A842" w14:textId="259E12D0"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6.2. Me shkresën nr. 7859/1 </w:t>
      </w:r>
      <w:proofErr w:type="spellStart"/>
      <w:r w:rsidRPr="00BC232E">
        <w:rPr>
          <w:rFonts w:ascii="Garamond" w:eastAsiaTheme="minorHAnsi" w:hAnsi="Garamond"/>
          <w:color w:val="000000"/>
          <w14:ligatures w14:val="standardContextual"/>
        </w:rPr>
        <w:t>prot</w:t>
      </w:r>
      <w:proofErr w:type="spellEnd"/>
      <w:r w:rsidRPr="00BC232E">
        <w:rPr>
          <w:rFonts w:ascii="Garamond" w:eastAsiaTheme="minorHAnsi" w:hAnsi="Garamond"/>
          <w:color w:val="000000"/>
          <w14:ligatures w14:val="standardContextual"/>
        </w:rPr>
        <w:t>., datë 11.11.2025, Gjykata Administrative e Apelit ka bërë me dije se pranë saj ishte regjistruar çështja nr.</w:t>
      </w:r>
      <w:r w:rsidR="00315FCD">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 xml:space="preserve">18891 (31155-00221-86-2025) akti, datë 29.1.2025, me palë paditëse Ndërmarrjen e Shërbimeve Mbështetëse të Arsimit dhe Çerdhes pranë Bashkisë Korçë, të paditur </w:t>
      </w:r>
      <w:proofErr w:type="spellStart"/>
      <w:r w:rsidRPr="00BC232E">
        <w:rPr>
          <w:rFonts w:ascii="Garamond" w:eastAsiaTheme="minorHAnsi" w:hAnsi="Garamond"/>
          <w:color w:val="000000"/>
          <w14:ligatures w14:val="standardContextual"/>
        </w:rPr>
        <w:t>Komisionerin</w:t>
      </w:r>
      <w:proofErr w:type="spellEnd"/>
      <w:r w:rsidRPr="00BC232E">
        <w:rPr>
          <w:rFonts w:ascii="Garamond" w:eastAsiaTheme="minorHAnsi" w:hAnsi="Garamond"/>
          <w:color w:val="000000"/>
          <w14:ligatures w14:val="standardContextual"/>
        </w:rPr>
        <w:t xml:space="preserve"> për Mbrojtjen nga Diskriminimi dhe person të tretë Fatbardha </w:t>
      </w:r>
      <w:proofErr w:type="spellStart"/>
      <w:r w:rsidRPr="00BC232E">
        <w:rPr>
          <w:rFonts w:ascii="Garamond" w:eastAsiaTheme="minorHAnsi" w:hAnsi="Garamond"/>
          <w:color w:val="000000"/>
          <w14:ligatures w14:val="standardContextual"/>
        </w:rPr>
        <w:t>Braho</w:t>
      </w:r>
      <w:proofErr w:type="spellEnd"/>
      <w:r w:rsidRPr="00BC232E">
        <w:rPr>
          <w:rFonts w:ascii="Garamond" w:eastAsiaTheme="minorHAnsi" w:hAnsi="Garamond"/>
          <w:color w:val="000000"/>
          <w14:ligatures w14:val="standardContextual"/>
        </w:rPr>
        <w:t>, me objekt shfuqizimin e vendimit nr.</w:t>
      </w:r>
      <w:r w:rsidR="00315FCD">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173, datë 31.5.2024, të KMD</w:t>
      </w:r>
      <w:r w:rsidR="009E2DEE">
        <w:rPr>
          <w:rFonts w:ascii="Garamond" w:eastAsiaTheme="minorHAnsi" w:hAnsi="Garamond"/>
          <w:color w:val="000000"/>
          <w14:ligatures w14:val="standardContextual"/>
        </w:rPr>
        <w:t>-së</w:t>
      </w:r>
      <w:r w:rsidRPr="00BC232E">
        <w:rPr>
          <w:rFonts w:ascii="Garamond" w:eastAsiaTheme="minorHAnsi" w:hAnsi="Garamond"/>
          <w:color w:val="000000"/>
          <w14:ligatures w14:val="standardContextual"/>
        </w:rPr>
        <w:t>, duke sqaruar</w:t>
      </w:r>
      <w:r w:rsidR="009E2DEE">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gjithashtu</w:t>
      </w:r>
      <w:r w:rsidR="009E2DEE">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se çështja nuk kishte ende datë të planifikuar për shqyrtim.</w:t>
      </w:r>
    </w:p>
    <w:p w14:paraId="1CA0B449" w14:textId="3C448A75"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6.3. Duke iu referuar neneve 55 dhe 61 të Kodit të Procedurës Civile, si dhe neneve 19 dhe 20 të ligjit nr. 111/2017</w:t>
      </w:r>
      <w:r w:rsidR="009E2DEE">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ndihmën juridike të garantuar nga shteti”, Gjykata e Apelit e Juridiksionit të Përgjithshëm ka vlerësuar se kërkesa për ndihmë juridike dytësore lidhej drejtpërdrejt me çështjen administrative të themelit, e cila ndodhej për shqyrtim pranë Gjykatës Administrative të Apelit.</w:t>
      </w:r>
    </w:p>
    <w:p w14:paraId="5C3112DC"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6.4. Sipas kësaj gjykate, për sa kohë çështja e themelit ndodhej e regjistruar në Gjykatën Administrative të Apelit, kjo e fundit ishte gjykata kompetente për shqyrtimin e kërkesës për ndihmë juridike dytësore, përfshirë kërkimin për përfaqësim me avokat dhe përjashtimin nga pagimi i tarifave dhe shpenzimeve gjyqësore. Për këtë arsye, Gjykata e Apelit e Juridiksionit të Përgjithshëm ka deklaruar </w:t>
      </w:r>
      <w:proofErr w:type="spellStart"/>
      <w:r w:rsidRPr="00BC232E">
        <w:rPr>
          <w:rFonts w:ascii="Garamond" w:eastAsiaTheme="minorHAnsi" w:hAnsi="Garamond"/>
          <w:color w:val="000000"/>
          <w14:ligatures w14:val="standardContextual"/>
        </w:rPr>
        <w:t>moskompetencën</w:t>
      </w:r>
      <w:proofErr w:type="spellEnd"/>
      <w:r w:rsidRPr="00BC232E">
        <w:rPr>
          <w:rFonts w:ascii="Garamond" w:eastAsiaTheme="minorHAnsi" w:hAnsi="Garamond"/>
          <w:color w:val="000000"/>
          <w14:ligatures w14:val="standardContextual"/>
        </w:rPr>
        <w:t xml:space="preserve"> e saj dhe ka urdhëruar dërgimin e akteve pranë Gjykatës Administrative të Apelit.</w:t>
      </w:r>
    </w:p>
    <w:p w14:paraId="61AD608E" w14:textId="1C322F1D" w:rsidR="00BC232E" w:rsidRPr="00BC232E" w:rsidRDefault="00BC232E" w:rsidP="00BC232E">
      <w:pPr>
        <w:autoSpaceDE w:val="0"/>
        <w:autoSpaceDN w:val="0"/>
        <w:adjustRightInd w:val="0"/>
        <w:ind w:firstLine="284"/>
        <w:jc w:val="both"/>
        <w:rPr>
          <w:rFonts w:ascii="Garamond" w:eastAsiaTheme="minorHAnsi" w:hAnsi="Garamond"/>
          <w:i/>
          <w:iCs/>
          <w:color w:val="000000"/>
          <w14:ligatures w14:val="standardContextual"/>
        </w:rPr>
      </w:pPr>
      <w:r w:rsidRPr="00BC232E">
        <w:rPr>
          <w:rFonts w:ascii="Garamond" w:eastAsiaTheme="minorHAnsi" w:hAnsi="Garamond"/>
          <w:color w:val="000000"/>
          <w14:ligatures w14:val="standardContextual"/>
        </w:rPr>
        <w:t xml:space="preserve">7. </w:t>
      </w:r>
      <w:r w:rsidRPr="00BC232E">
        <w:rPr>
          <w:rFonts w:ascii="Garamond" w:eastAsiaTheme="minorHAnsi" w:hAnsi="Garamond"/>
          <w:b/>
          <w:bCs/>
          <w:color w:val="000000"/>
          <w14:ligatures w14:val="standardContextual"/>
        </w:rPr>
        <w:t xml:space="preserve">Gjykata Administrative e Apelit, </w:t>
      </w:r>
      <w:r w:rsidRPr="00BC232E">
        <w:rPr>
          <w:rFonts w:ascii="Garamond" w:eastAsiaTheme="minorHAnsi" w:hAnsi="Garamond"/>
          <w:color w:val="000000"/>
          <w14:ligatures w14:val="standardContextual"/>
        </w:rPr>
        <w:t xml:space="preserve">me vendimin nr. </w:t>
      </w:r>
      <w:r w:rsidRPr="00BC232E">
        <w:rPr>
          <w:rFonts w:ascii="Garamond" w:eastAsiaTheme="minorHAnsi" w:hAnsi="Garamond"/>
          <w:i/>
          <w:iCs/>
          <w:color w:val="000000"/>
          <w14:ligatures w14:val="standardContextual"/>
        </w:rPr>
        <w:t>s</w:t>
      </w:r>
      <w:r w:rsidR="00315FCD">
        <w:rPr>
          <w:rFonts w:ascii="Garamond" w:eastAsiaTheme="minorHAnsi" w:hAnsi="Garamond"/>
          <w:i/>
          <w:iCs/>
          <w:color w:val="000000"/>
          <w14:ligatures w14:val="standardContextual"/>
        </w:rPr>
        <w:t>’</w:t>
      </w:r>
      <w:r w:rsidRPr="00BC232E">
        <w:rPr>
          <w:rFonts w:ascii="Garamond" w:eastAsiaTheme="minorHAnsi" w:hAnsi="Garamond"/>
          <w:i/>
          <w:iCs/>
          <w:color w:val="000000"/>
          <w14:ligatures w14:val="standardContextual"/>
        </w:rPr>
        <w:t>ka</w:t>
      </w:r>
      <w:r w:rsidRPr="00BC232E">
        <w:rPr>
          <w:rFonts w:ascii="Garamond" w:eastAsiaTheme="minorHAnsi" w:hAnsi="Garamond"/>
          <w:color w:val="000000"/>
          <w14:ligatures w14:val="standardContextual"/>
        </w:rPr>
        <w:t>, datë 26.1.2026, ka vendosur:</w:t>
      </w:r>
      <w:r w:rsidRPr="00BC232E">
        <w:rPr>
          <w:rFonts w:ascii="Garamond" w:eastAsiaTheme="minorHAnsi" w:hAnsi="Garamond"/>
          <w:i/>
          <w:iCs/>
          <w:color w:val="000000"/>
          <w14:ligatures w14:val="standardContextual"/>
        </w:rPr>
        <w:t xml:space="preserve"> “Të ngrejë çështjen e mosmarrëveshjes për kompetencë para Gjykatës së Lartë për gjykimin e çështjes me nr.</w:t>
      </w:r>
      <w:r w:rsidR="00315FCD">
        <w:rPr>
          <w:rFonts w:ascii="Garamond" w:eastAsiaTheme="minorHAnsi" w:hAnsi="Garamond"/>
          <w:i/>
          <w:iCs/>
          <w:color w:val="000000"/>
          <w14:ligatures w14:val="standardContextual"/>
        </w:rPr>
        <w:t xml:space="preserve"> </w:t>
      </w:r>
      <w:r w:rsidRPr="00BC232E">
        <w:rPr>
          <w:rFonts w:ascii="Garamond" w:eastAsiaTheme="minorHAnsi" w:hAnsi="Garamond"/>
          <w:i/>
          <w:iCs/>
          <w:color w:val="000000"/>
          <w14:ligatures w14:val="standardContextual"/>
        </w:rPr>
        <w:t>regjistri themeltar 22 (30013-00026-86-2026) datë regjistrimi 19.1.2026.”.</w:t>
      </w:r>
    </w:p>
    <w:p w14:paraId="535E113C" w14:textId="700BC74B"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7.1. Gjykata Administrative e Apelit ka arsyetuar se, në zbatim të nenit 13 të ligjit nr. 49/2012</w:t>
      </w:r>
      <w:r w:rsidR="00C47CE7">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gjykatat administrative dhe gjykimin e mosmarrëveshjeve administrative”, </w:t>
      </w:r>
      <w:r w:rsidR="00C47CE7">
        <w:rPr>
          <w:rFonts w:ascii="Garamond" w:eastAsiaTheme="minorHAnsi" w:hAnsi="Garamond"/>
          <w:color w:val="000000"/>
          <w14:ligatures w14:val="standardContextual"/>
        </w:rPr>
        <w:t>të</w:t>
      </w:r>
      <w:r w:rsidRPr="00BC232E">
        <w:rPr>
          <w:rFonts w:ascii="Garamond" w:eastAsiaTheme="minorHAnsi" w:hAnsi="Garamond"/>
          <w:color w:val="000000"/>
          <w14:ligatures w14:val="standardContextual"/>
        </w:rPr>
        <w:t xml:space="preserve"> ndryshuar, ajo nuk është </w:t>
      </w:r>
      <w:r w:rsidRPr="00BC232E">
        <w:rPr>
          <w:rFonts w:ascii="Garamond" w:eastAsiaTheme="minorHAnsi" w:hAnsi="Garamond"/>
          <w:color w:val="000000"/>
          <w14:ligatures w14:val="standardContextual"/>
        </w:rPr>
        <w:lastRenderedPageBreak/>
        <w:t xml:space="preserve">gjykata </w:t>
      </w:r>
      <w:proofErr w:type="spellStart"/>
      <w:r w:rsidRPr="00BC232E">
        <w:rPr>
          <w:rFonts w:ascii="Garamond" w:eastAsiaTheme="minorHAnsi" w:hAnsi="Garamond"/>
          <w:color w:val="000000"/>
          <w14:ligatures w14:val="standardContextual"/>
        </w:rPr>
        <w:t>funksionalisht</w:t>
      </w:r>
      <w:proofErr w:type="spellEnd"/>
      <w:r w:rsidRPr="00BC232E">
        <w:rPr>
          <w:rFonts w:ascii="Garamond" w:eastAsiaTheme="minorHAnsi" w:hAnsi="Garamond"/>
          <w:color w:val="000000"/>
          <w14:ligatures w14:val="standardContextual"/>
        </w:rPr>
        <w:t xml:space="preserve"> kompetente për shqyrtimin e kërkesës për ndihmë juridike dytësore të dërguar nga Gjykata e Apelit të Juridiksionit të Përgjithshëm. Për këtë arsye, në zbatim të pikës 5 të kësaj dispozite, ka vlerësuar se duhet të ngrejë kryesisht mosmarrëveshjen për kompetencë përpara Gjykatës së Lartë.</w:t>
      </w:r>
    </w:p>
    <w:p w14:paraId="5AC808FB"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7.2. Sipas Gjykatës Administrative të Apelit, çështja që shtrohej për zgjidhje lidhej me përcaktimin e gjykatës kompetente për shqyrtimin e kërkesës për ndihmë juridike dytësore, kur çështja për të cilën kërkohet kjo ndihmë është gjykuar në shkallë të parë dhe ndodhet në pritje të shqyrtimit të ankimit në gjykatën e apelit.</w:t>
      </w:r>
    </w:p>
    <w:p w14:paraId="470D6B63"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7.3. Gjykata Administrative e Apelit ka vlerësuar se ligji nr. 111/2017 ka parashikuar një regjim të posaçëm për dhënien e ndihmës juridike dytësore, duke përcaktuar kategoritë e përfituesve, kriteret ligjore dhe procedurën që duhet ndjekur. Në këtë kuadër, ajo i është referuar neneve 19 dhe 20 të këtij ligji, duke çmuar se kërkesa për ndihmë juridike dytësore mund të paraqitet në çdo fazë të procesit gjyqësor, por se togfjalëshi “gjykata kompetente për shqyrtimin e çështjes në themel” duhet kuptuar si gjykata e shkallës së parë që ka kompetencën lëndore dhe tokësore për shqyrtimin e çështjes.</w:t>
      </w:r>
    </w:p>
    <w:p w14:paraId="68DD8583" w14:textId="0EE98BE6"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7.4. Në këtë drejtim, Gjykata Administrative e Apelit ka arsyetuar se kompetenca për shqyrtimin e kërkesës për ndihmë juridike dytësore nuk përcaktohet nga fakti se ku ndodhet aktualisht çështja</w:t>
      </w:r>
      <w:r w:rsidR="00C47CE7">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shkak të ushtrimit të ankimit, por nga gjykata që, sipas ligjit, është kompetente për shqyrtimin fillestar të çështjes në themel. Sipas saj, kjo zgjidhje është më e pajtueshme me natyrën e procedurës së ndihmës juridike dytësore, me nevojën për administrimin dhe vlerësimin e dokumentacionit justifikues, si dhe me garantimin e shqyrtimit të kërkesës në dy shkallë gjykimi, në rast se kërkesa rrëzohet.</w:t>
      </w:r>
    </w:p>
    <w:p w14:paraId="1557D68C"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7.5. Gjykata Administrative e Apelit ka mbështetur qëndrimin e saj edhe në praktikën e mëparshme të Gjykatës së Lartë, veçanërisht në vendime ku është vlerësuar se kërkesa për ndihmë juridike dytësore lidhet me provueshmërinë e kushteve ligjore dhe me administrimin e dokumentacionit përkatës, çka, sipas kësaj gjykate, justifikon shqyrtimin e saj nga gjykata e shkallës së parë. Po ashtu, ajo ka vlerësuar se shqyrtimi i kërkesës për herë të parë nga gjykata e apelit mund të cenojë të drejtën e ankimit, pasi ligji nr. 111/2017 parashikon ankim të veçantë kundër vendimit që rrëzon kërkesën për ndihmë juridike dytësore, por nuk parashikon rekurs kundër vendimit të gjykatës së apelit.</w:t>
      </w:r>
    </w:p>
    <w:p w14:paraId="65CE782C" w14:textId="30A8AF94" w:rsidR="00BC232E" w:rsidRPr="00BC232E" w:rsidRDefault="00BC232E" w:rsidP="00BC232E">
      <w:pPr>
        <w:autoSpaceDE w:val="0"/>
        <w:autoSpaceDN w:val="0"/>
        <w:adjustRightInd w:val="0"/>
        <w:ind w:firstLine="284"/>
        <w:jc w:val="both"/>
        <w:rPr>
          <w:rFonts w:ascii="Garamond" w:eastAsiaTheme="minorHAnsi" w:hAnsi="Garamond"/>
          <w:color w:val="171717"/>
          <w14:ligatures w14:val="standardContextual"/>
        </w:rPr>
      </w:pPr>
      <w:r w:rsidRPr="00BC232E">
        <w:rPr>
          <w:rFonts w:ascii="Garamond" w:eastAsiaTheme="minorHAnsi" w:hAnsi="Garamond"/>
          <w:color w:val="000000"/>
          <w14:ligatures w14:val="standardContextual"/>
        </w:rPr>
        <w:t xml:space="preserve">8. </w:t>
      </w:r>
      <w:r w:rsidRPr="00BC232E">
        <w:rPr>
          <w:rFonts w:ascii="Garamond" w:eastAsiaTheme="minorHAnsi" w:hAnsi="Garamond"/>
          <w:color w:val="171717"/>
          <w14:ligatures w14:val="standardContextual"/>
        </w:rPr>
        <w:t xml:space="preserve">Fashikulli gjyqësor dhe aktet procedurale janë regjistruar në Gjykatën e Lartë </w:t>
      </w:r>
      <w:r w:rsidRPr="00BC232E">
        <w:rPr>
          <w:rFonts w:ascii="Garamond" w:eastAsiaTheme="minorHAnsi" w:hAnsi="Garamond"/>
          <w:color w:val="000000"/>
          <w14:ligatures w14:val="standardContextual"/>
        </w:rPr>
        <w:t>më datë 28.1.2026, për zgjidhjen e mosmarrëveshjes së kompetencës ndërmjet Gjykatës së Apelit të Juridiksionit të Përgjithshëm dhe Gjykatës Administrative të Apelit.</w:t>
      </w:r>
    </w:p>
    <w:p w14:paraId="3C82751F" w14:textId="5D10D50C" w:rsidR="00BC232E" w:rsidRPr="00BC232E" w:rsidRDefault="00BC232E" w:rsidP="00BC232E">
      <w:pPr>
        <w:tabs>
          <w:tab w:val="left" w:pos="720"/>
          <w:tab w:val="left" w:pos="1260"/>
        </w:tabs>
        <w:autoSpaceDE w:val="0"/>
        <w:autoSpaceDN w:val="0"/>
        <w:adjustRightInd w:val="0"/>
        <w:ind w:firstLine="284"/>
        <w:jc w:val="both"/>
        <w:rPr>
          <w:rFonts w:ascii="Garamond" w:eastAsiaTheme="minorHAnsi" w:hAnsi="Garamond"/>
          <w:b/>
          <w:bCs/>
          <w:color w:val="171717"/>
          <w14:ligatures w14:val="standardContextual"/>
        </w:rPr>
      </w:pPr>
      <w:r w:rsidRPr="00BC232E">
        <w:rPr>
          <w:rFonts w:ascii="Garamond" w:eastAsiaTheme="minorHAnsi" w:hAnsi="Garamond"/>
          <w:b/>
          <w:bCs/>
          <w:color w:val="171717"/>
          <w14:ligatures w14:val="standardContextual"/>
        </w:rPr>
        <w:t>II.</w:t>
      </w:r>
      <w:r w:rsidRPr="00275D6E">
        <w:rPr>
          <w:rFonts w:ascii="Garamond" w:eastAsiaTheme="minorHAnsi" w:hAnsi="Garamond"/>
          <w:b/>
          <w:bCs/>
          <w:color w:val="171717"/>
          <w14:ligatures w14:val="standardContextual"/>
        </w:rPr>
        <w:t xml:space="preserve"> </w:t>
      </w:r>
      <w:r w:rsidRPr="00BC232E">
        <w:rPr>
          <w:rFonts w:ascii="Garamond" w:eastAsiaTheme="minorHAnsi" w:hAnsi="Garamond"/>
          <w:b/>
          <w:bCs/>
          <w:color w:val="171717"/>
          <w14:ligatures w14:val="standardContextual"/>
        </w:rPr>
        <w:t>Vlerësimi i Kolegjit Administrativ</w:t>
      </w:r>
    </w:p>
    <w:p w14:paraId="28764736" w14:textId="07F5D085" w:rsidR="00BC232E" w:rsidRPr="00BC232E" w:rsidRDefault="00BC232E" w:rsidP="00BC232E">
      <w:pPr>
        <w:tabs>
          <w:tab w:val="left" w:pos="720"/>
          <w:tab w:val="left" w:pos="1260"/>
        </w:tabs>
        <w:autoSpaceDE w:val="0"/>
        <w:autoSpaceDN w:val="0"/>
        <w:adjustRightInd w:val="0"/>
        <w:ind w:firstLine="284"/>
        <w:jc w:val="both"/>
        <w:rPr>
          <w:rFonts w:ascii="Garamond" w:eastAsiaTheme="minorHAnsi" w:hAnsi="Garamond"/>
          <w:b/>
          <w:bCs/>
          <w:i/>
          <w:iCs/>
          <w:color w:val="171717"/>
          <w14:ligatures w14:val="standardContextual"/>
        </w:rPr>
      </w:pPr>
      <w:r w:rsidRPr="00BC232E">
        <w:rPr>
          <w:rFonts w:ascii="Garamond" w:eastAsiaTheme="minorHAnsi" w:hAnsi="Garamond"/>
          <w:b/>
          <w:bCs/>
          <w:i/>
          <w:iCs/>
          <w:color w:val="171717"/>
          <w14:ligatures w14:val="standardContextual"/>
        </w:rPr>
        <w:t>A.</w:t>
      </w:r>
      <w:r w:rsidRPr="00275D6E">
        <w:rPr>
          <w:rFonts w:ascii="Garamond" w:eastAsiaTheme="minorHAnsi" w:hAnsi="Garamond"/>
          <w:b/>
          <w:bCs/>
          <w:i/>
          <w:iCs/>
          <w:color w:val="171717"/>
          <w14:ligatures w14:val="standardContextual"/>
        </w:rPr>
        <w:t xml:space="preserve"> </w:t>
      </w:r>
      <w:r w:rsidRPr="00BC232E">
        <w:rPr>
          <w:rFonts w:ascii="Garamond" w:eastAsiaTheme="minorHAnsi" w:hAnsi="Garamond"/>
          <w:b/>
          <w:bCs/>
          <w:i/>
          <w:iCs/>
          <w:color w:val="171717"/>
          <w14:ligatures w14:val="standardContextual"/>
        </w:rPr>
        <w:t>Procedura në Gjykatën e Lartë dhe shkaqet e njësimit të praktikës gjyqësore</w:t>
      </w:r>
    </w:p>
    <w:p w14:paraId="1C80F4EC" w14:textId="52647D02" w:rsidR="00BC232E" w:rsidRPr="00BC232E" w:rsidRDefault="00BC232E" w:rsidP="00BC232E">
      <w:pPr>
        <w:tabs>
          <w:tab w:val="left" w:pos="360"/>
          <w:tab w:val="left" w:pos="4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9. Kolegji Administrativ i Gjykatës së Lartë (në vijim </w:t>
      </w:r>
      <w:r w:rsidR="00315FCD">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Kolegji</w:t>
      </w:r>
      <w:r w:rsidR="00315FCD">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vëren se çështja e paraqitur për zgjidhje lidhet me interpretimin e ligjit nr. 111/2017</w:t>
      </w:r>
      <w:r w:rsidR="00C47CE7">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ndihmën juridike të garantuar nga shteti”, për të përcaktuar gjykatën kompetente për shqyrtimin e kërkesës për ndihmë juridike dytësore, </w:t>
      </w:r>
      <w:r w:rsidRPr="00BC232E">
        <w:rPr>
          <w:rFonts w:ascii="Garamond" w:eastAsiaTheme="minorHAnsi" w:hAnsi="Garamond"/>
          <w:b/>
          <w:bCs/>
          <w:color w:val="000000"/>
          <w14:ligatures w14:val="standardContextual"/>
        </w:rPr>
        <w:t>në rastet kur kjo kërkesë paraqitet pasi çështja kryesore ka kaluar nga gjykata e shkallës së parë dhe ndodhet për shqyrtim në Gjykatën Administrative të Apelit ose në Gjykatën e Lartë</w:t>
      </w:r>
      <w:r w:rsidRPr="00BC232E">
        <w:rPr>
          <w:rFonts w:ascii="Garamond" w:eastAsiaTheme="minorHAnsi" w:hAnsi="Garamond"/>
          <w:color w:val="000000"/>
          <w14:ligatures w14:val="standardContextual"/>
        </w:rPr>
        <w:t>.</w:t>
      </w:r>
    </w:p>
    <w:p w14:paraId="1A40BE34" w14:textId="741C9110"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9.1. Kolegji konstaton se për këtë çështje janë mbajtur qëndrime të ndryshme në praktikën gjyqësore të Gjykatës së Lartë, veçanërisht në vendimet nr. 00-2024-3517, datë 19.9.2024 dhe nr. 00-2024-5317, datë 27.12.2024, të Kolegjit Administrativ të Gjykatës së Lartë. </w:t>
      </w:r>
      <w:r w:rsidRPr="00BC232E">
        <w:rPr>
          <w:rFonts w:ascii="Garamond" w:eastAsiaTheme="minorHAnsi" w:hAnsi="Garamond"/>
          <w:b/>
          <w:bCs/>
          <w:color w:val="000000"/>
          <w14:ligatures w14:val="standardContextual"/>
        </w:rPr>
        <w:t>Kjo mospërputhje ka krijuar nevojën për përcaktimin e një rregulli të qartë njësues, me qëllim garantimin e zbatimit të njëtrajtshëm të ligjit dhe shmangien e pasigurisë procedurale për personat që kërkojnë ndihmë juridike dytësore.</w:t>
      </w:r>
    </w:p>
    <w:p w14:paraId="40CD9AC5"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9.2. Sipas njërit qëndrim, kërkesa për ndihmë juridike dytësore duhet të shqyrtohet nga gjykata e shkallës së parë, si gjykata që ka kompetencën fillestare lëndore dhe tokësore për shqyrtimin e çështjes në themel. Ky qëndrim është mbështetur kryesisht në leximin sistematik të neneve 19, 20 dhe 22 të ligjit nr. 111/2017, si dhe në argumentin se vendimi për rrëzimin e kërkesës i nënshtrohet ankimit të veçantë në gjykatën e apelit, pa mundësi rekursi në Gjykatën e Lartë.</w:t>
      </w:r>
    </w:p>
    <w:p w14:paraId="2AB75527" w14:textId="77777777" w:rsidR="00BC232E" w:rsidRPr="00BC232E" w:rsidRDefault="00BC232E" w:rsidP="00BC232E">
      <w:pPr>
        <w:autoSpaceDE w:val="0"/>
        <w:autoSpaceDN w:val="0"/>
        <w:adjustRightInd w:val="0"/>
        <w:ind w:firstLine="284"/>
        <w:jc w:val="both"/>
        <w:rPr>
          <w:rFonts w:ascii="Garamond" w:eastAsiaTheme="minorHAnsi" w:hAnsi="Garamond"/>
          <w:color w:val="FF0000"/>
          <w14:ligatures w14:val="standardContextual"/>
        </w:rPr>
      </w:pPr>
      <w:r w:rsidRPr="00BC232E">
        <w:rPr>
          <w:rFonts w:ascii="Garamond" w:eastAsiaTheme="minorHAnsi" w:hAnsi="Garamond"/>
          <w:color w:val="000000"/>
          <w14:ligatures w14:val="standardContextual"/>
        </w:rPr>
        <w:t xml:space="preserve">9.3. Sipas këtij qëndrimi, shqyrtimi fillestar i kërkesës nga gjykata e apelit, kur çështja ndodhet në këtë shkallë gjykimi do të kufizonte të drejtën e ankimit ndaj vendimit që rrëzon kërkesën për ndihmë juridike dytësore. Po ashtu, kjo qasje e lidh shqyrtimin e kërkesës me nevojën për administrimin dhe vlerësimin e dokumentacionit provues, si dhe me zhvillimin e një hetimi të kufizuar gjyqësor mbi plotësimin e kritereve </w:t>
      </w:r>
      <w:r w:rsidRPr="00BC232E">
        <w:rPr>
          <w:rFonts w:ascii="Garamond" w:eastAsiaTheme="minorHAnsi" w:hAnsi="Garamond"/>
          <w:color w:val="000000"/>
          <w14:ligatures w14:val="standardContextual"/>
        </w:rPr>
        <w:lastRenderedPageBreak/>
        <w:t>ligjore për përfitimin e ndihmës juridike.</w:t>
      </w:r>
      <w:r w:rsidRPr="00BC232E">
        <w:rPr>
          <w:rFonts w:ascii="Garamond" w:eastAsiaTheme="minorHAnsi" w:hAnsi="Garamond"/>
          <w:color w:val="FF0000"/>
          <w14:ligatures w14:val="standardContextual"/>
        </w:rPr>
        <w:t xml:space="preserve"> </w:t>
      </w:r>
      <w:r w:rsidRPr="00BC232E">
        <w:rPr>
          <w:rFonts w:ascii="Garamond" w:eastAsiaTheme="minorHAnsi" w:hAnsi="Garamond"/>
          <w:b/>
          <w:bCs/>
          <w:color w:val="000000"/>
          <w14:ligatures w14:val="standardContextual"/>
        </w:rPr>
        <w:t>Në thelb, ky interpretim i jep përparësi ruajtjes së skemës klasike të kontrollit gjyqësor dhe sigurisë procedurale që lidhet me ankimin e veçantë.</w:t>
      </w:r>
    </w:p>
    <w:p w14:paraId="564A8DFC"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9.4. Në linjën tjetër të interpretimit është vlerësuar se gjykata kompetente për shqyrtimin e kërkesës për ndihmë juridike dytësore është gjykata pranë së cilës ndodhet aktualisht çështja për shqyrtim, pavarësisht shkallës së gjykimit. Ky qëndrim mbështetet në natyrën funksionale të ndihmës juridike dytësore, e cila nuk është një procedurë e pavarur nga procesi kryesor, por mjet për ta bërë efektive mbrojtjen në fazën ku ajo kërkohet. Për këtë arsye, ndihma juridike dytësore duhet të lidhet me fazën konkrete të procesit ku pala ka nevojë reale për mbrojtje profesionale dhe për ushtrim efektiv të </w:t>
      </w:r>
      <w:proofErr w:type="spellStart"/>
      <w:r w:rsidRPr="00BC232E">
        <w:rPr>
          <w:rFonts w:ascii="Garamond" w:eastAsiaTheme="minorHAnsi" w:hAnsi="Garamond"/>
          <w:color w:val="000000"/>
          <w14:ligatures w14:val="standardContextual"/>
        </w:rPr>
        <w:t>të</w:t>
      </w:r>
      <w:proofErr w:type="spellEnd"/>
      <w:r w:rsidRPr="00BC232E">
        <w:rPr>
          <w:rFonts w:ascii="Garamond" w:eastAsiaTheme="minorHAnsi" w:hAnsi="Garamond"/>
          <w:color w:val="000000"/>
          <w14:ligatures w14:val="standardContextual"/>
        </w:rPr>
        <w:t xml:space="preserve"> drejtave të saj procedurale.</w:t>
      </w:r>
    </w:p>
    <w:p w14:paraId="0535EE11"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9.5. Sipas këtij qëndrimi, kur çështja ndodhet për gjykim në apel, kërkesa duhet të shqyrtohet nga gjykata e apelit, sepse pikërisht ajo është gjykata që do të shqyrtojë çështjen në atë fazë. Në të njëjtën logjikë, kur nevoja për ndihmë juridike lind për ushtrimin, nënshkrimin ose depozitimin e rekursit, kompetenca duhet të lidhet me gjykatën pranë së cilës ky mjet procedural paraqitet dhe ku verifikohet rregullsia formale e tij. </w:t>
      </w:r>
    </w:p>
    <w:p w14:paraId="00FABCC6" w14:textId="201BBB94"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10. Në këto rrethana, për shkak të qëndrimeve të ndryshme në praktikën gjyqësore dhe të rëndësisë që ka çështja për garantimin e </w:t>
      </w:r>
      <w:proofErr w:type="spellStart"/>
      <w:r w:rsidRPr="00BC232E">
        <w:rPr>
          <w:rFonts w:ascii="Garamond" w:eastAsiaTheme="minorHAnsi" w:hAnsi="Garamond"/>
          <w:color w:val="000000"/>
          <w14:ligatures w14:val="standardContextual"/>
        </w:rPr>
        <w:t>aksesit</w:t>
      </w:r>
      <w:proofErr w:type="spellEnd"/>
      <w:r w:rsidRPr="00BC232E">
        <w:rPr>
          <w:rFonts w:ascii="Garamond" w:eastAsiaTheme="minorHAnsi" w:hAnsi="Garamond"/>
          <w:color w:val="000000"/>
          <w14:ligatures w14:val="standardContextual"/>
        </w:rPr>
        <w:t xml:space="preserve"> efektiv në drejtësi, </w:t>
      </w:r>
      <w:r w:rsidRPr="00BC232E">
        <w:rPr>
          <w:rFonts w:ascii="Garamond" w:eastAsiaTheme="minorHAnsi" w:hAnsi="Garamond"/>
          <w:color w:val="171717"/>
          <w14:ligatures w14:val="standardContextual"/>
        </w:rPr>
        <w:t xml:space="preserve">Kolegji Administrativ i Gjykatës së Lartë, me trup gjykues të përbërë nga tre gjyqtarë, </w:t>
      </w:r>
      <w:r w:rsidRPr="00BC232E">
        <w:rPr>
          <w:rFonts w:ascii="Garamond" w:eastAsiaTheme="minorHAnsi" w:hAnsi="Garamond"/>
          <w:color w:val="000000"/>
          <w14:ligatures w14:val="standardContextual"/>
        </w:rPr>
        <w:t>me vendimin e ndërmjetëm datë 4.2.2026, në zbatim të nenit 62/a, pika 2, të ligjit nr. 49/2012</w:t>
      </w:r>
      <w:r w:rsidR="00631D26">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gjykatat administrative dhe gjykimin e mosmarrëveshjeve administrative”, i ndryshuar, vendosi nisjen e procedurës për njësimin e praktikës gjyqësore dhe kalimin e çështjes për shqyrtim në seancë gjyqësore</w:t>
      </w:r>
      <w:r w:rsidR="00275D6E" w:rsidRPr="00275D6E">
        <w:rPr>
          <w:rStyle w:val="FootnoteReference"/>
          <w:rFonts w:ascii="Garamond" w:eastAsiaTheme="minorHAnsi" w:hAnsi="Garamond"/>
          <w:color w:val="000000"/>
          <w14:ligatures w14:val="standardContextual"/>
        </w:rPr>
        <w:footnoteReference w:id="4"/>
      </w:r>
      <w:r w:rsidRPr="00BC232E">
        <w:rPr>
          <w:rFonts w:ascii="Garamond" w:eastAsiaTheme="minorHAnsi" w:hAnsi="Garamond"/>
          <w:color w:val="000000"/>
          <w14:ligatures w14:val="standardContextual"/>
        </w:rPr>
        <w:t xml:space="preserve">. </w:t>
      </w:r>
    </w:p>
    <w:p w14:paraId="2E28AD0E" w14:textId="77777777" w:rsidR="00BC232E" w:rsidRPr="00BC232E" w:rsidRDefault="00BC232E" w:rsidP="00BC232E">
      <w:pPr>
        <w:autoSpaceDE w:val="0"/>
        <w:autoSpaceDN w:val="0"/>
        <w:adjustRightInd w:val="0"/>
        <w:ind w:firstLine="284"/>
        <w:rPr>
          <w:rFonts w:ascii="Garamond" w:eastAsiaTheme="minorHAnsi" w:hAnsi="Garamond"/>
          <w:color w:val="171717"/>
          <w14:ligatures w14:val="standardContextual"/>
        </w:rPr>
      </w:pPr>
      <w:r w:rsidRPr="00BC232E">
        <w:rPr>
          <w:rFonts w:ascii="Garamond" w:eastAsiaTheme="minorHAnsi" w:hAnsi="Garamond"/>
          <w:color w:val="000000"/>
          <w14:ligatures w14:val="standardContextual"/>
        </w:rPr>
        <w:t>10.1. Për njësim të praktikës gjyqësore, Kolegji shtroi pyetjen:</w:t>
      </w:r>
    </w:p>
    <w:p w14:paraId="6983C39B" w14:textId="62F7DAE1" w:rsidR="00BC232E" w:rsidRPr="00BC232E" w:rsidRDefault="00BC232E" w:rsidP="00BC232E">
      <w:pPr>
        <w:autoSpaceDE w:val="0"/>
        <w:autoSpaceDN w:val="0"/>
        <w:adjustRightInd w:val="0"/>
        <w:ind w:firstLine="284"/>
        <w:jc w:val="both"/>
        <w:rPr>
          <w:rFonts w:ascii="Garamond" w:eastAsiaTheme="minorHAnsi" w:hAnsi="Garamond"/>
          <w:color w:val="171717"/>
          <w14:ligatures w14:val="standardContextual"/>
        </w:rPr>
      </w:pPr>
      <w:r w:rsidRPr="00BC232E">
        <w:rPr>
          <w:rFonts w:ascii="Garamond" w:eastAsiaTheme="minorHAnsi" w:hAnsi="Garamond"/>
          <w:color w:val="171717"/>
          <w14:ligatures w14:val="standardContextual"/>
        </w:rPr>
        <w:t>“</w:t>
      </w:r>
      <w:r w:rsidRPr="00BC232E">
        <w:rPr>
          <w:rFonts w:ascii="Garamond" w:eastAsiaTheme="minorHAnsi" w:hAnsi="Garamond"/>
          <w:b/>
          <w:bCs/>
          <w:color w:val="000000"/>
          <w14:ligatures w14:val="standardContextual"/>
        </w:rPr>
        <w:t>Cila është gjykata kompetente për shqyrtimin e kërkesës për dhënien e ndihmës juridike dytësore, sipas ligjit nr.</w:t>
      </w:r>
      <w:r w:rsidR="00315FCD">
        <w:rPr>
          <w:rFonts w:ascii="Garamond" w:eastAsiaTheme="minorHAnsi" w:hAnsi="Garamond"/>
          <w:b/>
          <w:bCs/>
          <w:color w:val="000000"/>
          <w14:ligatures w14:val="standardContextual"/>
        </w:rPr>
        <w:t xml:space="preserve"> </w:t>
      </w:r>
      <w:r w:rsidRPr="00BC232E">
        <w:rPr>
          <w:rFonts w:ascii="Garamond" w:eastAsiaTheme="minorHAnsi" w:hAnsi="Garamond"/>
          <w:b/>
          <w:bCs/>
          <w:color w:val="000000"/>
          <w14:ligatures w14:val="standardContextual"/>
        </w:rPr>
        <w:t>111/2017</w:t>
      </w:r>
      <w:r w:rsidR="00315FCD">
        <w:rPr>
          <w:rFonts w:ascii="Garamond" w:eastAsiaTheme="minorHAnsi" w:hAnsi="Garamond"/>
          <w:b/>
          <w:bCs/>
          <w:color w:val="000000"/>
          <w14:ligatures w14:val="standardContextual"/>
        </w:rPr>
        <w:t>,</w:t>
      </w:r>
      <w:r w:rsidRPr="00BC232E">
        <w:rPr>
          <w:rFonts w:ascii="Garamond" w:eastAsiaTheme="minorHAnsi" w:hAnsi="Garamond"/>
          <w:b/>
          <w:bCs/>
          <w:color w:val="000000"/>
          <w14:ligatures w14:val="standardContextual"/>
        </w:rPr>
        <w:t xml:space="preserve"> “Për ndihmën juridike të garantuar nga shteti”, kur çështja në themel ndodhet për gjykim në Gjykatën Administrative të Apelit ose në Gjykatën e Lartë?</w:t>
      </w:r>
      <w:r w:rsidRPr="00BC232E">
        <w:rPr>
          <w:rFonts w:ascii="Garamond" w:eastAsiaTheme="minorHAnsi" w:hAnsi="Garamond"/>
          <w14:ligatures w14:val="standardContextual"/>
        </w:rPr>
        <w:t>”</w:t>
      </w:r>
    </w:p>
    <w:p w14:paraId="7EF40E9F"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10.2. </w:t>
      </w:r>
      <w:r w:rsidRPr="00BC232E">
        <w:rPr>
          <w:rFonts w:ascii="Garamond" w:eastAsiaTheme="minorHAnsi" w:hAnsi="Garamond"/>
          <w:color w:val="171717"/>
          <w14:ligatures w14:val="standardContextual"/>
        </w:rPr>
        <w:t xml:space="preserve">Kolegji, me trup gjykues të përbërë nga pesë gjyqtarë, </w:t>
      </w:r>
      <w:r w:rsidRPr="00BC232E">
        <w:rPr>
          <w:rFonts w:ascii="Garamond" w:eastAsiaTheme="minorHAnsi" w:hAnsi="Garamond"/>
          <w:color w:val="000000"/>
          <w14:ligatures w14:val="standardContextual"/>
        </w:rPr>
        <w:t>mori në shqyrtim çështjen në seancë gjyqësore, me qëllim përcaktimin e rregullit njësues dhe zgjidhjen e mosmarrëveshjes konkrete të kompetencës ndërmjet gjykatave.</w:t>
      </w:r>
    </w:p>
    <w:p w14:paraId="73E1F546"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10.3. Kolegji çmon të nevojshme të theksojë se çështja e shtruar për njësim nuk lidhet me vlerësimin nëse kërkuesi i plotëson kushtet ligjore për përfitimin e ndihmës juridike dytësore, por vetëm me përcaktimin e gjykatës që duhet të shqyrtojë kërkesën, kur nevoja për mbrojtje profesionale lind në një fazë të mëvonshme të procesit. Për rrjedhojë, rregulli njësues orienton gjykatat vetëm për kompetencën, pa paragjykuar vlerësimin konkret të kritereve ligjore nga gjykata kompetente.</w:t>
      </w:r>
    </w:p>
    <w:p w14:paraId="09C7D01E" w14:textId="393CA1C1" w:rsidR="00BC232E" w:rsidRPr="00BC232E" w:rsidRDefault="00BC232E" w:rsidP="00BC232E">
      <w:pPr>
        <w:tabs>
          <w:tab w:val="left" w:pos="360"/>
          <w:tab w:val="left" w:pos="440"/>
        </w:tabs>
        <w:autoSpaceDE w:val="0"/>
        <w:autoSpaceDN w:val="0"/>
        <w:adjustRightInd w:val="0"/>
        <w:ind w:firstLine="284"/>
        <w:jc w:val="both"/>
        <w:rPr>
          <w:rFonts w:ascii="Garamond" w:eastAsiaTheme="minorHAnsi" w:hAnsi="Garamond"/>
          <w:b/>
          <w:bCs/>
          <w:i/>
          <w:iCs/>
          <w:color w:val="000000"/>
          <w14:ligatures w14:val="standardContextual"/>
        </w:rPr>
      </w:pPr>
      <w:r w:rsidRPr="00BC232E">
        <w:rPr>
          <w:rFonts w:ascii="Garamond" w:eastAsiaTheme="minorHAnsi" w:hAnsi="Garamond"/>
          <w:b/>
          <w:bCs/>
          <w:i/>
          <w:iCs/>
          <w:color w:val="000000"/>
          <w14:ligatures w14:val="standardContextual"/>
        </w:rPr>
        <w:t>B.</w:t>
      </w:r>
      <w:r w:rsidRPr="00275D6E">
        <w:rPr>
          <w:rFonts w:ascii="Garamond" w:eastAsiaTheme="minorHAnsi" w:hAnsi="Garamond"/>
          <w:b/>
          <w:bCs/>
          <w:i/>
          <w:iCs/>
          <w:color w:val="000000"/>
          <w14:ligatures w14:val="standardContextual"/>
        </w:rPr>
        <w:t xml:space="preserve"> </w:t>
      </w:r>
      <w:r w:rsidRPr="00BC232E">
        <w:rPr>
          <w:rFonts w:ascii="Garamond" w:eastAsiaTheme="minorHAnsi" w:hAnsi="Garamond"/>
          <w:b/>
          <w:bCs/>
          <w:i/>
          <w:iCs/>
          <w:color w:val="000000"/>
          <w14:ligatures w14:val="standardContextual"/>
        </w:rPr>
        <w:t>Legjislacioni kombëtar, standardet gjyqësore kombëtare dhe ato ndërkombëtare</w:t>
      </w:r>
    </w:p>
    <w:p w14:paraId="6104C55D" w14:textId="7DE2AA04" w:rsidR="00BC232E" w:rsidRPr="00BC232E" w:rsidRDefault="00BC232E" w:rsidP="00BC232E">
      <w:pPr>
        <w:tabs>
          <w:tab w:val="left" w:pos="360"/>
          <w:tab w:val="left" w:pos="440"/>
        </w:tabs>
        <w:autoSpaceDE w:val="0"/>
        <w:autoSpaceDN w:val="0"/>
        <w:adjustRightInd w:val="0"/>
        <w:ind w:firstLine="284"/>
        <w:jc w:val="both"/>
        <w:rPr>
          <w:rFonts w:ascii="Garamond" w:eastAsiaTheme="minorHAnsi" w:hAnsi="Garamond"/>
          <w:b/>
          <w:bCs/>
          <w:color w:val="000000"/>
          <w14:ligatures w14:val="standardContextual"/>
        </w:rPr>
      </w:pPr>
      <w:r w:rsidRPr="00BC232E">
        <w:rPr>
          <w:rFonts w:ascii="Garamond" w:eastAsiaTheme="minorHAnsi" w:hAnsi="Garamond"/>
          <w:b/>
          <w:bCs/>
          <w:color w:val="000000"/>
          <w14:ligatures w14:val="standardContextual"/>
        </w:rPr>
        <w:t>i.</w:t>
      </w:r>
      <w:r w:rsidRPr="00275D6E">
        <w:rPr>
          <w:rFonts w:ascii="Garamond" w:eastAsiaTheme="minorHAnsi" w:hAnsi="Garamond"/>
          <w:b/>
          <w:bCs/>
          <w:color w:val="000000"/>
          <w14:ligatures w14:val="standardContextual"/>
        </w:rPr>
        <w:t xml:space="preserve"> </w:t>
      </w:r>
      <w:r w:rsidRPr="00BC232E">
        <w:rPr>
          <w:rFonts w:ascii="Garamond" w:eastAsiaTheme="minorHAnsi" w:hAnsi="Garamond"/>
          <w:b/>
          <w:bCs/>
          <w:color w:val="000000"/>
          <w14:ligatures w14:val="standardContextual"/>
        </w:rPr>
        <w:t>Ligji i zbatueshëm</w:t>
      </w:r>
    </w:p>
    <w:p w14:paraId="1CF945E0" w14:textId="77777777" w:rsidR="00BC232E" w:rsidRPr="00BC232E" w:rsidRDefault="00BC232E" w:rsidP="00BC232E">
      <w:pPr>
        <w:autoSpaceDE w:val="0"/>
        <w:autoSpaceDN w:val="0"/>
        <w:adjustRightInd w:val="0"/>
        <w:ind w:firstLine="284"/>
        <w:jc w:val="both"/>
        <w:rPr>
          <w:rFonts w:ascii="Garamond" w:eastAsiaTheme="minorHAnsi" w:hAnsi="Garamond"/>
          <w:i/>
          <w:iCs/>
          <w:color w:val="000000"/>
          <w14:ligatures w14:val="standardContextual"/>
        </w:rPr>
      </w:pPr>
      <w:r w:rsidRPr="00BC232E">
        <w:rPr>
          <w:rFonts w:ascii="Garamond" w:eastAsiaTheme="minorHAnsi" w:hAnsi="Garamond"/>
          <w:color w:val="171717"/>
          <w14:ligatures w14:val="standardContextual"/>
        </w:rPr>
        <w:t xml:space="preserve">11. </w:t>
      </w:r>
      <w:r w:rsidRPr="00BC232E">
        <w:rPr>
          <w:rFonts w:ascii="Garamond" w:eastAsiaTheme="minorHAnsi" w:hAnsi="Garamond"/>
          <w:color w:val="000000"/>
          <w14:ligatures w14:val="standardContextual"/>
        </w:rPr>
        <w:t>Neni 42 i Kushtetutës së Republikës së Shqipërisë parashikon: “</w:t>
      </w:r>
      <w:r w:rsidRPr="00BC232E">
        <w:rPr>
          <w:rFonts w:ascii="Garamond" w:eastAsiaTheme="minorHAnsi" w:hAnsi="Garamond"/>
          <w:i/>
          <w:iCs/>
          <w:color w:val="000000"/>
          <w14:ligatures w14:val="standardContextual"/>
        </w:rPr>
        <w:t>1. Liria, prona dhe të drejtat e njohura me Kushtetutë dhe me ligj nuk mund të cenohen pa një proces të rregullt ligjor. 2. Kushdo, për mbrojtjen e të drejtave, të lirive dhe të interesave të tij kushtetues dhe ligjorë, ose në rastin e akuzave të ngritura kundër tij, ka të drejtën e një gjykimi të drejtë dhe publik brenda një afati të arsyeshëm nga një gjykatë e pavarur dhe e paanshme e caktuar me ligj”.</w:t>
      </w:r>
    </w:p>
    <w:p w14:paraId="21FA5A46" w14:textId="77777777" w:rsidR="00BC232E" w:rsidRPr="00BC232E" w:rsidRDefault="00BC232E" w:rsidP="00BC232E">
      <w:pPr>
        <w:autoSpaceDE w:val="0"/>
        <w:autoSpaceDN w:val="0"/>
        <w:adjustRightInd w:val="0"/>
        <w:ind w:firstLine="284"/>
        <w:jc w:val="both"/>
        <w:rPr>
          <w:rFonts w:ascii="Garamond" w:eastAsiaTheme="minorHAnsi" w:hAnsi="Garamond"/>
          <w:i/>
          <w:iCs/>
          <w:color w:val="000000"/>
          <w14:ligatures w14:val="standardContextual"/>
        </w:rPr>
      </w:pPr>
      <w:r w:rsidRPr="00BC232E">
        <w:rPr>
          <w:rFonts w:ascii="Garamond" w:eastAsiaTheme="minorHAnsi" w:hAnsi="Garamond"/>
          <w:color w:val="000000"/>
          <w14:ligatures w14:val="standardContextual"/>
        </w:rPr>
        <w:t>12. Neni 135 i Kushtetutës së Republikës së Shqipërisë parashikon: “</w:t>
      </w:r>
      <w:r w:rsidRPr="00BC232E">
        <w:rPr>
          <w:rFonts w:ascii="Garamond" w:eastAsiaTheme="minorHAnsi" w:hAnsi="Garamond"/>
          <w:i/>
          <w:iCs/>
          <w:color w:val="000000"/>
          <w14:ligatures w14:val="standardContextual"/>
        </w:rPr>
        <w:t>1. Pushteti gjyqësor ushtrohet nga Gjykata e Lartë, si dhe nga gjykatat e apelit e gjykatat e shkallës së parë, të cilat krijohen me ligj. [...]”.</w:t>
      </w:r>
    </w:p>
    <w:p w14:paraId="1C65F63D" w14:textId="643DED23"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13. Neni 13 i ligjit nr. 49/2012</w:t>
      </w:r>
      <w:r w:rsidR="00224565">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gjykatat administrative dhe gjykimin e mosmarrëveshjeve administrative”, </w:t>
      </w:r>
      <w:r w:rsidR="00224565">
        <w:rPr>
          <w:rFonts w:ascii="Garamond" w:eastAsiaTheme="minorHAnsi" w:hAnsi="Garamond"/>
          <w:color w:val="000000"/>
          <w14:ligatures w14:val="standardContextual"/>
        </w:rPr>
        <w:t>të</w:t>
      </w:r>
      <w:r w:rsidRPr="00BC232E">
        <w:rPr>
          <w:rFonts w:ascii="Garamond" w:eastAsiaTheme="minorHAnsi" w:hAnsi="Garamond"/>
          <w:color w:val="000000"/>
          <w14:ligatures w14:val="standardContextual"/>
        </w:rPr>
        <w:t xml:space="preserve"> ndryshuar, parashikon se </w:t>
      </w:r>
      <w:proofErr w:type="spellStart"/>
      <w:r w:rsidRPr="00BC232E">
        <w:rPr>
          <w:rFonts w:ascii="Garamond" w:eastAsiaTheme="minorHAnsi" w:hAnsi="Garamond"/>
          <w:color w:val="000000"/>
          <w14:ligatures w14:val="standardContextual"/>
        </w:rPr>
        <w:t>moskompetenca</w:t>
      </w:r>
      <w:proofErr w:type="spellEnd"/>
      <w:r w:rsidRPr="00BC232E">
        <w:rPr>
          <w:rFonts w:ascii="Garamond" w:eastAsiaTheme="minorHAnsi" w:hAnsi="Garamond"/>
          <w:color w:val="000000"/>
          <w14:ligatures w14:val="standardContextual"/>
        </w:rPr>
        <w:t xml:space="preserve"> lëndore dhe funksionale ngrihet edhe kryesisht në çdo gjendje dhe shkallë të shqyrtimit. Sipas kësaj dispozite, ka mosmarrëveshje për kompetencën kur dy ose më shumë gjykata, në të njëjtën kohë, marrin ose nuk pranojnë të marrin për shqyrtim të njëjtën çështje administrative, ndërsa mosmarrëveshjet zgjidhen nga Kolegji Administrativ i Gjykatës së Lartë. </w:t>
      </w:r>
    </w:p>
    <w:p w14:paraId="0EA44E97" w14:textId="623E4AD7" w:rsidR="00BC232E" w:rsidRPr="00BC232E" w:rsidRDefault="00BC232E" w:rsidP="00BC232E">
      <w:pPr>
        <w:autoSpaceDE w:val="0"/>
        <w:autoSpaceDN w:val="0"/>
        <w:adjustRightInd w:val="0"/>
        <w:ind w:firstLine="284"/>
        <w:jc w:val="both"/>
        <w:rPr>
          <w:rFonts w:ascii="Garamond" w:eastAsiaTheme="minorHAnsi" w:hAnsi="Garamond"/>
          <w:i/>
          <w:iCs/>
          <w:color w:val="000000"/>
          <w14:ligatures w14:val="standardContextual"/>
        </w:rPr>
      </w:pPr>
      <w:r w:rsidRPr="00BC232E">
        <w:rPr>
          <w:rFonts w:ascii="Garamond" w:eastAsiaTheme="minorHAnsi" w:hAnsi="Garamond"/>
          <w:color w:val="000000"/>
          <w14:ligatures w14:val="standardContextual"/>
        </w:rPr>
        <w:t>14. Neni 2 i ligjit nr. 111/2017</w:t>
      </w:r>
      <w:r w:rsidR="00224565">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ndihmën juridike të garantuar nga shteti”, parashikon</w:t>
      </w:r>
      <w:r w:rsidR="00224565">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se: “</w:t>
      </w:r>
      <w:r w:rsidRPr="00BC232E">
        <w:rPr>
          <w:rFonts w:ascii="Garamond" w:eastAsiaTheme="minorHAnsi" w:hAnsi="Garamond"/>
          <w:i/>
          <w:iCs/>
          <w:color w:val="000000"/>
          <w14:ligatures w14:val="standardContextual"/>
        </w:rPr>
        <w:t xml:space="preserve">Ky ligj ka si qëllim: a) të krijojë një sistem për organizimin dhe ofrimin e ndihmës juridike falas për të siguruar </w:t>
      </w:r>
      <w:proofErr w:type="spellStart"/>
      <w:r w:rsidRPr="00BC232E">
        <w:rPr>
          <w:rFonts w:ascii="Garamond" w:eastAsiaTheme="minorHAnsi" w:hAnsi="Garamond"/>
          <w:i/>
          <w:iCs/>
          <w:color w:val="000000"/>
          <w14:ligatures w14:val="standardContextual"/>
        </w:rPr>
        <w:t>akses</w:t>
      </w:r>
      <w:proofErr w:type="spellEnd"/>
      <w:r w:rsidRPr="00BC232E">
        <w:rPr>
          <w:rFonts w:ascii="Garamond" w:eastAsiaTheme="minorHAnsi" w:hAnsi="Garamond"/>
          <w:i/>
          <w:iCs/>
          <w:color w:val="000000"/>
          <w14:ligatures w14:val="standardContextual"/>
        </w:rPr>
        <w:t xml:space="preserve"> të barabartë të </w:t>
      </w:r>
      <w:proofErr w:type="spellStart"/>
      <w:r w:rsidRPr="00BC232E">
        <w:rPr>
          <w:rFonts w:ascii="Garamond" w:eastAsiaTheme="minorHAnsi" w:hAnsi="Garamond"/>
          <w:i/>
          <w:iCs/>
          <w:color w:val="000000"/>
          <w14:ligatures w14:val="standardContextual"/>
        </w:rPr>
        <w:t>të</w:t>
      </w:r>
      <w:proofErr w:type="spellEnd"/>
      <w:r w:rsidRPr="00BC232E">
        <w:rPr>
          <w:rFonts w:ascii="Garamond" w:eastAsiaTheme="minorHAnsi" w:hAnsi="Garamond"/>
          <w:i/>
          <w:iCs/>
          <w:color w:val="000000"/>
          <w14:ligatures w14:val="standardContextual"/>
        </w:rPr>
        <w:t xml:space="preserve"> gjithë individëve në sistemin e drejtësisë; b) të sigurojë </w:t>
      </w:r>
      <w:proofErr w:type="spellStart"/>
      <w:r w:rsidRPr="00BC232E">
        <w:rPr>
          <w:rFonts w:ascii="Garamond" w:eastAsiaTheme="minorHAnsi" w:hAnsi="Garamond"/>
          <w:i/>
          <w:iCs/>
          <w:color w:val="000000"/>
          <w14:ligatures w14:val="standardContextual"/>
        </w:rPr>
        <w:t>mirorganizimin</w:t>
      </w:r>
      <w:proofErr w:type="spellEnd"/>
      <w:r w:rsidRPr="00BC232E">
        <w:rPr>
          <w:rFonts w:ascii="Garamond" w:eastAsiaTheme="minorHAnsi" w:hAnsi="Garamond"/>
          <w:i/>
          <w:iCs/>
          <w:color w:val="000000"/>
          <w14:ligatures w14:val="standardContextual"/>
        </w:rPr>
        <w:t xml:space="preserve">, miradministrimin dhe mirëfunksionimin e </w:t>
      </w:r>
      <w:r w:rsidRPr="00BC232E">
        <w:rPr>
          <w:rFonts w:ascii="Garamond" w:eastAsiaTheme="minorHAnsi" w:hAnsi="Garamond"/>
          <w:i/>
          <w:iCs/>
          <w:color w:val="000000"/>
          <w14:ligatures w14:val="standardContextual"/>
        </w:rPr>
        <w:lastRenderedPageBreak/>
        <w:t xml:space="preserve">institucioneve shtetërore përgjegjëse për administrimin e ndihmës juridike; c) të sigurojë ofrimin e shërbimeve të ndihmës juridike në mënyrë profesionale, cilësore, </w:t>
      </w:r>
      <w:proofErr w:type="spellStart"/>
      <w:r w:rsidRPr="00BC232E">
        <w:rPr>
          <w:rFonts w:ascii="Garamond" w:eastAsiaTheme="minorHAnsi" w:hAnsi="Garamond"/>
          <w:i/>
          <w:iCs/>
          <w:color w:val="000000"/>
          <w14:ligatures w14:val="standardContextual"/>
        </w:rPr>
        <w:t>efi</w:t>
      </w:r>
      <w:r w:rsidR="00315FCD">
        <w:rPr>
          <w:rFonts w:ascii="Garamond" w:eastAsiaTheme="minorHAnsi" w:hAnsi="Garamond"/>
          <w:i/>
          <w:iCs/>
          <w:color w:val="000000"/>
          <w14:ligatures w14:val="standardContextual"/>
        </w:rPr>
        <w:t>ci</w:t>
      </w:r>
      <w:r w:rsidRPr="00BC232E">
        <w:rPr>
          <w:rFonts w:ascii="Garamond" w:eastAsiaTheme="minorHAnsi" w:hAnsi="Garamond"/>
          <w:i/>
          <w:iCs/>
          <w:color w:val="000000"/>
          <w14:ligatures w14:val="standardContextual"/>
        </w:rPr>
        <w:t>ente</w:t>
      </w:r>
      <w:proofErr w:type="spellEnd"/>
      <w:r w:rsidRPr="00BC232E">
        <w:rPr>
          <w:rFonts w:ascii="Garamond" w:eastAsiaTheme="minorHAnsi" w:hAnsi="Garamond"/>
          <w:i/>
          <w:iCs/>
          <w:color w:val="000000"/>
          <w14:ligatures w14:val="standardContextual"/>
        </w:rPr>
        <w:t xml:space="preserve"> dhe efektive”.</w:t>
      </w:r>
      <w:r w:rsidR="00315FCD">
        <w:rPr>
          <w:rFonts w:ascii="Garamond" w:eastAsiaTheme="minorHAnsi" w:hAnsi="Garamond"/>
          <w:i/>
          <w:iCs/>
          <w:color w:val="000000"/>
          <w14:ligatures w14:val="standardContextual"/>
        </w:rPr>
        <w:t xml:space="preserve"> </w:t>
      </w:r>
    </w:p>
    <w:p w14:paraId="5067B4D2" w14:textId="30B978B5" w:rsidR="00BC232E" w:rsidRPr="00BC232E" w:rsidRDefault="00BC232E" w:rsidP="00BC232E">
      <w:pPr>
        <w:autoSpaceDE w:val="0"/>
        <w:autoSpaceDN w:val="0"/>
        <w:adjustRightInd w:val="0"/>
        <w:ind w:firstLine="284"/>
        <w:jc w:val="both"/>
        <w:rPr>
          <w:rFonts w:ascii="Garamond" w:eastAsiaTheme="minorHAnsi" w:hAnsi="Garamond"/>
          <w:i/>
          <w:iCs/>
          <w:color w:val="000000"/>
          <w14:ligatures w14:val="standardContextual"/>
        </w:rPr>
      </w:pPr>
      <w:r w:rsidRPr="00BC232E">
        <w:rPr>
          <w:rFonts w:ascii="Garamond" w:eastAsiaTheme="minorHAnsi" w:hAnsi="Garamond"/>
          <w:color w:val="000000"/>
          <w14:ligatures w14:val="standardContextual"/>
        </w:rPr>
        <w:t>15. Neni 4 i ligjit nr. 111/2017</w:t>
      </w:r>
      <w:r w:rsidRPr="00BC232E">
        <w:rPr>
          <w:rFonts w:ascii="Garamond" w:eastAsiaTheme="minorHAnsi" w:hAnsi="Garamond"/>
          <w:i/>
          <w:iCs/>
          <w:color w:val="000000"/>
          <w14:ligatures w14:val="standardContextual"/>
        </w:rPr>
        <w:t xml:space="preserve">, </w:t>
      </w:r>
      <w:r w:rsidRPr="00BC232E">
        <w:rPr>
          <w:rFonts w:ascii="Garamond" w:eastAsiaTheme="minorHAnsi" w:hAnsi="Garamond"/>
          <w:color w:val="000000"/>
          <w14:ligatures w14:val="standardContextual"/>
        </w:rPr>
        <w:t>parashikon: “</w:t>
      </w:r>
      <w:r w:rsidRPr="00BC232E">
        <w:rPr>
          <w:rFonts w:ascii="Garamond" w:eastAsiaTheme="minorHAnsi" w:hAnsi="Garamond"/>
          <w:i/>
          <w:iCs/>
          <w:color w:val="000000"/>
          <w14:ligatures w14:val="standardContextual"/>
        </w:rPr>
        <w:t xml:space="preserve">Dhënia e ndihmës juridike bazohet në parimet e mëposhtme: a) </w:t>
      </w:r>
      <w:proofErr w:type="spellStart"/>
      <w:r w:rsidRPr="00BC232E">
        <w:rPr>
          <w:rFonts w:ascii="Garamond" w:eastAsiaTheme="minorHAnsi" w:hAnsi="Garamond"/>
          <w:i/>
          <w:iCs/>
          <w:color w:val="000000"/>
          <w14:ligatures w14:val="standardContextual"/>
        </w:rPr>
        <w:t>aksesit</w:t>
      </w:r>
      <w:proofErr w:type="spellEnd"/>
      <w:r w:rsidRPr="00BC232E">
        <w:rPr>
          <w:rFonts w:ascii="Garamond" w:eastAsiaTheme="minorHAnsi" w:hAnsi="Garamond"/>
          <w:i/>
          <w:iCs/>
          <w:color w:val="000000"/>
          <w14:ligatures w14:val="standardContextual"/>
        </w:rPr>
        <w:t xml:space="preserve"> të barabartë të individëve në ndihmën juridike; b) barazisë dhe </w:t>
      </w:r>
      <w:proofErr w:type="spellStart"/>
      <w:r w:rsidRPr="00BC232E">
        <w:rPr>
          <w:rFonts w:ascii="Garamond" w:eastAsiaTheme="minorHAnsi" w:hAnsi="Garamond"/>
          <w:i/>
          <w:iCs/>
          <w:color w:val="000000"/>
          <w14:ligatures w14:val="standardContextual"/>
        </w:rPr>
        <w:t>mosdiskriminimit</w:t>
      </w:r>
      <w:proofErr w:type="spellEnd"/>
      <w:r w:rsidRPr="00BC232E">
        <w:rPr>
          <w:rFonts w:ascii="Garamond" w:eastAsiaTheme="minorHAnsi" w:hAnsi="Garamond"/>
          <w:i/>
          <w:iCs/>
          <w:color w:val="000000"/>
          <w14:ligatures w14:val="standardContextual"/>
        </w:rPr>
        <w:t xml:space="preserve"> të individëve që gëzojnë të drejtën për ndihmë juridike; c) profesionalizmit në dhënien e shërbimit të ndihmës juridike;</w:t>
      </w:r>
      <w:r w:rsidR="00315FCD">
        <w:rPr>
          <w:rFonts w:ascii="Garamond" w:eastAsiaTheme="minorHAnsi" w:hAnsi="Garamond"/>
          <w:i/>
          <w:iCs/>
          <w:color w:val="000000"/>
          <w14:ligatures w14:val="standardContextual"/>
        </w:rPr>
        <w:t xml:space="preserve"> </w:t>
      </w:r>
      <w:r w:rsidRPr="00BC232E">
        <w:rPr>
          <w:rFonts w:ascii="Garamond" w:eastAsiaTheme="minorHAnsi" w:hAnsi="Garamond"/>
          <w:i/>
          <w:iCs/>
          <w:color w:val="000000"/>
          <w14:ligatures w14:val="standardContextual"/>
        </w:rPr>
        <w:t xml:space="preserve">ç) cilësisë, </w:t>
      </w:r>
      <w:proofErr w:type="spellStart"/>
      <w:r w:rsidRPr="00BC232E">
        <w:rPr>
          <w:rFonts w:ascii="Garamond" w:eastAsiaTheme="minorHAnsi" w:hAnsi="Garamond"/>
          <w:i/>
          <w:iCs/>
          <w:color w:val="000000"/>
          <w14:ligatures w14:val="standardContextual"/>
        </w:rPr>
        <w:t>efi</w:t>
      </w:r>
      <w:r w:rsidR="00453172">
        <w:rPr>
          <w:rFonts w:ascii="Garamond" w:eastAsiaTheme="minorHAnsi" w:hAnsi="Garamond"/>
          <w:i/>
          <w:iCs/>
          <w:color w:val="000000"/>
          <w14:ligatures w14:val="standardContextual"/>
        </w:rPr>
        <w:t>ci</w:t>
      </w:r>
      <w:r w:rsidRPr="00BC232E">
        <w:rPr>
          <w:rFonts w:ascii="Garamond" w:eastAsiaTheme="minorHAnsi" w:hAnsi="Garamond"/>
          <w:i/>
          <w:iCs/>
          <w:color w:val="000000"/>
          <w14:ligatures w14:val="standardContextual"/>
        </w:rPr>
        <w:t>encës</w:t>
      </w:r>
      <w:proofErr w:type="spellEnd"/>
      <w:r w:rsidRPr="00BC232E">
        <w:rPr>
          <w:rFonts w:ascii="Garamond" w:eastAsiaTheme="minorHAnsi" w:hAnsi="Garamond"/>
          <w:i/>
          <w:iCs/>
          <w:color w:val="000000"/>
          <w14:ligatures w14:val="standardContextual"/>
        </w:rPr>
        <w:t xml:space="preserve"> dhe efikasitetit në kosto për</w:t>
      </w:r>
      <w:r w:rsidR="00315FCD">
        <w:rPr>
          <w:rFonts w:ascii="Garamond" w:eastAsiaTheme="minorHAnsi" w:hAnsi="Garamond"/>
          <w:i/>
          <w:iCs/>
          <w:color w:val="000000"/>
          <w14:ligatures w14:val="standardContextual"/>
        </w:rPr>
        <w:t xml:space="preserve"> </w:t>
      </w:r>
      <w:r w:rsidRPr="00BC232E">
        <w:rPr>
          <w:rFonts w:ascii="Garamond" w:eastAsiaTheme="minorHAnsi" w:hAnsi="Garamond"/>
          <w:i/>
          <w:iCs/>
          <w:color w:val="000000"/>
          <w14:ligatures w14:val="standardContextual"/>
        </w:rPr>
        <w:t xml:space="preserve">shërbimet e ofruara të ndihmës juridike; d) ruajtjes së </w:t>
      </w:r>
      <w:proofErr w:type="spellStart"/>
      <w:r w:rsidRPr="00BC232E">
        <w:rPr>
          <w:rFonts w:ascii="Garamond" w:eastAsiaTheme="minorHAnsi" w:hAnsi="Garamond"/>
          <w:i/>
          <w:iCs/>
          <w:color w:val="000000"/>
          <w14:ligatures w14:val="standardContextual"/>
        </w:rPr>
        <w:t>konfidencialitetit</w:t>
      </w:r>
      <w:proofErr w:type="spellEnd"/>
      <w:r w:rsidRPr="00BC232E">
        <w:rPr>
          <w:rFonts w:ascii="Garamond" w:eastAsiaTheme="minorHAnsi" w:hAnsi="Garamond"/>
          <w:i/>
          <w:iCs/>
          <w:color w:val="000000"/>
          <w14:ligatures w14:val="standardContextual"/>
        </w:rPr>
        <w:t xml:space="preserve">; dh) shmangies dhe parandalimit të konfliktit të interesit; e) mbrojtjes së të drejtave të personave </w:t>
      </w:r>
      <w:proofErr w:type="spellStart"/>
      <w:r w:rsidRPr="00BC232E">
        <w:rPr>
          <w:rFonts w:ascii="Garamond" w:eastAsiaTheme="minorHAnsi" w:hAnsi="Garamond"/>
          <w:i/>
          <w:iCs/>
          <w:color w:val="000000"/>
          <w14:ligatures w14:val="standardContextual"/>
        </w:rPr>
        <w:t>vulnerabël</w:t>
      </w:r>
      <w:proofErr w:type="spellEnd"/>
      <w:r w:rsidRPr="00BC232E">
        <w:rPr>
          <w:rFonts w:ascii="Garamond" w:eastAsiaTheme="minorHAnsi" w:hAnsi="Garamond"/>
          <w:i/>
          <w:iCs/>
          <w:color w:val="000000"/>
          <w14:ligatures w14:val="standardContextual"/>
        </w:rPr>
        <w:t xml:space="preserve">”. </w:t>
      </w:r>
    </w:p>
    <w:p w14:paraId="3590BE72" w14:textId="72CA6EF5" w:rsidR="00BC232E" w:rsidRPr="00BC232E" w:rsidRDefault="00BC232E" w:rsidP="00BC232E">
      <w:pPr>
        <w:autoSpaceDE w:val="0"/>
        <w:autoSpaceDN w:val="0"/>
        <w:adjustRightInd w:val="0"/>
        <w:ind w:firstLine="284"/>
        <w:jc w:val="both"/>
        <w:rPr>
          <w:rFonts w:ascii="Garamond" w:eastAsiaTheme="minorHAnsi" w:hAnsi="Garamond"/>
          <w:i/>
          <w:iCs/>
          <w:color w:val="000000"/>
          <w14:ligatures w14:val="standardContextual"/>
        </w:rPr>
      </w:pPr>
      <w:r w:rsidRPr="00BC232E">
        <w:rPr>
          <w:rFonts w:ascii="Garamond" w:eastAsiaTheme="minorHAnsi" w:hAnsi="Garamond"/>
          <w:color w:val="000000"/>
          <w14:ligatures w14:val="standardContextual"/>
        </w:rPr>
        <w:t>16. Neni 19 i ligjit nr. 111/2017</w:t>
      </w:r>
      <w:r w:rsidRPr="00BC232E">
        <w:rPr>
          <w:rFonts w:ascii="Garamond" w:eastAsiaTheme="minorHAnsi" w:hAnsi="Garamond"/>
          <w:i/>
          <w:iCs/>
          <w:color w:val="000000"/>
          <w14:ligatures w14:val="standardContextual"/>
        </w:rPr>
        <w:t xml:space="preserve">, </w:t>
      </w:r>
      <w:r w:rsidRPr="00BC232E">
        <w:rPr>
          <w:rFonts w:ascii="Garamond" w:eastAsiaTheme="minorHAnsi" w:hAnsi="Garamond"/>
          <w:color w:val="000000"/>
          <w14:ligatures w14:val="standardContextual"/>
        </w:rPr>
        <w:t>parashikon: “1. Kërkesa për dhënien e ndihmës juridike dytësore paraqitet nga personi i interesuar personalisht ose me anë të shërbimit postar pranë gjykatës ose organit procedues që fillon hetimet, përpara fillimit të një procesi gjyqësor, në fillim të një procesi gjyqësor dhe/ose në çdo fazë të procesit gjyqësor, derisa nuk është deklaruar i mbyllur hetimi gjyqësor, sipas rregullave të parashikuara në legjislacionin procedural.</w:t>
      </w:r>
      <w:r w:rsidR="00315FCD">
        <w:rPr>
          <w:rFonts w:ascii="Garamond" w:eastAsiaTheme="minorHAnsi" w:hAnsi="Garamond"/>
          <w:b/>
          <w:bCs/>
          <w:i/>
          <w:iCs/>
          <w:color w:val="000000"/>
          <w14:ligatures w14:val="standardContextual"/>
        </w:rPr>
        <w:t xml:space="preserve"> </w:t>
      </w:r>
      <w:r w:rsidRPr="00BC232E">
        <w:rPr>
          <w:rFonts w:ascii="Garamond" w:eastAsiaTheme="minorHAnsi" w:hAnsi="Garamond"/>
          <w:i/>
          <w:iCs/>
          <w:color w:val="000000"/>
          <w14:ligatures w14:val="standardContextual"/>
        </w:rPr>
        <w:t>2. Personi që gëzon të drejtën për ndihmë juridike dytësore, mund ta paraqesë</w:t>
      </w:r>
      <w:r w:rsidR="00315FCD">
        <w:rPr>
          <w:rFonts w:ascii="Garamond" w:eastAsiaTheme="minorHAnsi" w:hAnsi="Garamond"/>
          <w:i/>
          <w:iCs/>
          <w:color w:val="000000"/>
          <w14:ligatures w14:val="standardContextual"/>
        </w:rPr>
        <w:t xml:space="preserve"> </w:t>
      </w:r>
      <w:r w:rsidRPr="00BC232E">
        <w:rPr>
          <w:rFonts w:ascii="Garamond" w:eastAsiaTheme="minorHAnsi" w:hAnsi="Garamond"/>
          <w:i/>
          <w:iCs/>
          <w:color w:val="000000"/>
          <w14:ligatures w14:val="standardContextual"/>
        </w:rPr>
        <w:t>kërkesën e parashikuar në pikën 1, të këtij neni, nëpërmjet një përfaqësuesi ligjor apo të pajisur me prokurë, ose nëpërmjet bashkëshortit/</w:t>
      </w:r>
      <w:proofErr w:type="spellStart"/>
      <w:r w:rsidRPr="00BC232E">
        <w:rPr>
          <w:rFonts w:ascii="Garamond" w:eastAsiaTheme="minorHAnsi" w:hAnsi="Garamond"/>
          <w:i/>
          <w:iCs/>
          <w:color w:val="000000"/>
          <w14:ligatures w14:val="standardContextual"/>
        </w:rPr>
        <w:t>es</w:t>
      </w:r>
      <w:proofErr w:type="spellEnd"/>
      <w:r w:rsidRPr="00BC232E">
        <w:rPr>
          <w:rFonts w:ascii="Garamond" w:eastAsiaTheme="minorHAnsi" w:hAnsi="Garamond"/>
          <w:i/>
          <w:iCs/>
          <w:color w:val="000000"/>
          <w14:ligatures w14:val="standardContextual"/>
        </w:rPr>
        <w:t>, bashkëjetuesit/</w:t>
      </w:r>
      <w:proofErr w:type="spellStart"/>
      <w:r w:rsidRPr="00BC232E">
        <w:rPr>
          <w:rFonts w:ascii="Garamond" w:eastAsiaTheme="minorHAnsi" w:hAnsi="Garamond"/>
          <w:i/>
          <w:iCs/>
          <w:color w:val="000000"/>
          <w14:ligatures w14:val="standardContextual"/>
        </w:rPr>
        <w:t>es</w:t>
      </w:r>
      <w:proofErr w:type="spellEnd"/>
      <w:r w:rsidRPr="00BC232E">
        <w:rPr>
          <w:rFonts w:ascii="Garamond" w:eastAsiaTheme="minorHAnsi" w:hAnsi="Garamond"/>
          <w:i/>
          <w:iCs/>
          <w:color w:val="000000"/>
          <w14:ligatures w14:val="standardContextual"/>
        </w:rPr>
        <w:t xml:space="preserve"> ose një të afërmi të shkallës së parë. 3. Kërkesa për ndihmë juridike dytësore përjashtohet nga tarifat dhe shpenzimet gjyqësore. 4. Personi, i cili kërkon të përfitojë ndihmë juridike dytësore, nënshkruan një </w:t>
      </w:r>
      <w:proofErr w:type="spellStart"/>
      <w:r w:rsidRPr="00BC232E">
        <w:rPr>
          <w:rFonts w:ascii="Garamond" w:eastAsiaTheme="minorHAnsi" w:hAnsi="Garamond"/>
          <w:i/>
          <w:iCs/>
          <w:color w:val="000000"/>
          <w14:ligatures w14:val="standardContextual"/>
        </w:rPr>
        <w:t>vetëdeklarim</w:t>
      </w:r>
      <w:proofErr w:type="spellEnd"/>
      <w:r w:rsidRPr="00BC232E">
        <w:rPr>
          <w:rFonts w:ascii="Garamond" w:eastAsiaTheme="minorHAnsi" w:hAnsi="Garamond"/>
          <w:i/>
          <w:iCs/>
          <w:color w:val="000000"/>
          <w14:ligatures w14:val="standardContextual"/>
        </w:rPr>
        <w:t xml:space="preserve"> se përmbush kriteret e përfitimit, të përcaktuara në këtë ligj, sipas formularit të </w:t>
      </w:r>
      <w:proofErr w:type="spellStart"/>
      <w:r w:rsidRPr="00BC232E">
        <w:rPr>
          <w:rFonts w:ascii="Garamond" w:eastAsiaTheme="minorHAnsi" w:hAnsi="Garamond"/>
          <w:i/>
          <w:iCs/>
          <w:color w:val="000000"/>
          <w14:ligatures w14:val="standardContextual"/>
        </w:rPr>
        <w:t>vetëdeklarimit</w:t>
      </w:r>
      <w:proofErr w:type="spellEnd"/>
      <w:r w:rsidRPr="00BC232E">
        <w:rPr>
          <w:rFonts w:ascii="Garamond" w:eastAsiaTheme="minorHAnsi" w:hAnsi="Garamond"/>
          <w:i/>
          <w:iCs/>
          <w:color w:val="000000"/>
          <w14:ligatures w14:val="standardContextual"/>
        </w:rPr>
        <w:t xml:space="preserve"> të miratuar nga </w:t>
      </w:r>
      <w:r w:rsidR="00212CE5" w:rsidRPr="00BC232E">
        <w:rPr>
          <w:rFonts w:ascii="Garamond" w:eastAsiaTheme="minorHAnsi" w:hAnsi="Garamond"/>
          <w:i/>
          <w:iCs/>
          <w:color w:val="000000"/>
          <w14:ligatures w14:val="standardContextual"/>
        </w:rPr>
        <w:t xml:space="preserve">ministri </w:t>
      </w:r>
      <w:r w:rsidRPr="00BC232E">
        <w:rPr>
          <w:rFonts w:ascii="Garamond" w:eastAsiaTheme="minorHAnsi" w:hAnsi="Garamond"/>
          <w:i/>
          <w:iCs/>
          <w:color w:val="000000"/>
          <w14:ligatures w14:val="standardContextual"/>
        </w:rPr>
        <w:t xml:space="preserve">i Drejtësisë, të shoqëruar me dokumentacionin justifikues. Lista e dokumenteve që shërbejnë për vërtetimin e përmbushjes së kritereve përcaktohet me urdhër të </w:t>
      </w:r>
      <w:r w:rsidR="00212CE5" w:rsidRPr="00BC232E">
        <w:rPr>
          <w:rFonts w:ascii="Garamond" w:eastAsiaTheme="minorHAnsi" w:hAnsi="Garamond"/>
          <w:i/>
          <w:iCs/>
          <w:color w:val="000000"/>
          <w14:ligatures w14:val="standardContextual"/>
        </w:rPr>
        <w:t xml:space="preserve">ministrit </w:t>
      </w:r>
      <w:r w:rsidRPr="00BC232E">
        <w:rPr>
          <w:rFonts w:ascii="Garamond" w:eastAsiaTheme="minorHAnsi" w:hAnsi="Garamond"/>
          <w:i/>
          <w:iCs/>
          <w:color w:val="000000"/>
          <w14:ligatures w14:val="standardContextual"/>
        </w:rPr>
        <w:t>të Drejtësisë”.</w:t>
      </w:r>
    </w:p>
    <w:p w14:paraId="0CE6F34F" w14:textId="77777777" w:rsidR="00BC232E" w:rsidRPr="00BC232E" w:rsidRDefault="00BC232E" w:rsidP="00BC232E">
      <w:pPr>
        <w:autoSpaceDE w:val="0"/>
        <w:autoSpaceDN w:val="0"/>
        <w:adjustRightInd w:val="0"/>
        <w:ind w:firstLine="284"/>
        <w:jc w:val="both"/>
        <w:rPr>
          <w:rFonts w:ascii="Garamond" w:eastAsiaTheme="minorHAnsi" w:hAnsi="Garamond"/>
          <w:i/>
          <w:iCs/>
          <w:color w:val="000000"/>
          <w14:ligatures w14:val="standardContextual"/>
        </w:rPr>
      </w:pPr>
      <w:r w:rsidRPr="00BC232E">
        <w:rPr>
          <w:rFonts w:ascii="Garamond" w:eastAsiaTheme="minorHAnsi" w:hAnsi="Garamond"/>
          <w:color w:val="000000"/>
          <w14:ligatures w14:val="standardContextual"/>
        </w:rPr>
        <w:t>17. Neni 20 i ligjit nr. 111/2017</w:t>
      </w:r>
      <w:r w:rsidRPr="00BC232E">
        <w:rPr>
          <w:rFonts w:ascii="Garamond" w:eastAsiaTheme="minorHAnsi" w:hAnsi="Garamond"/>
          <w:i/>
          <w:iCs/>
          <w:color w:val="000000"/>
          <w14:ligatures w14:val="standardContextual"/>
        </w:rPr>
        <w:t xml:space="preserve">, </w:t>
      </w:r>
      <w:r w:rsidRPr="00BC232E">
        <w:rPr>
          <w:rFonts w:ascii="Garamond" w:eastAsiaTheme="minorHAnsi" w:hAnsi="Garamond"/>
          <w:color w:val="000000"/>
          <w14:ligatures w14:val="standardContextual"/>
        </w:rPr>
        <w:t>parashikon: “</w:t>
      </w:r>
      <w:r w:rsidRPr="00BC232E">
        <w:rPr>
          <w:rFonts w:ascii="Garamond" w:eastAsiaTheme="minorHAnsi" w:hAnsi="Garamond"/>
          <w:i/>
          <w:iCs/>
          <w:color w:val="000000"/>
          <w14:ligatures w14:val="standardContextual"/>
        </w:rPr>
        <w:t>1. Kërkesa për ndihmë juridike dytësore paraqitet në gjykatën kompetente për shqyrtimin e çështjes në themel, përveçse kur parashikohet ndryshe në këtë ligj. 2. Kërkesa për ndihmë juridike dytësore e të pandehurit pa mjete të mjaftueshme financiare paraqitet pranë organit procedues që fillon hetimet, sipas nenit 21 të këtij ligji”.</w:t>
      </w:r>
    </w:p>
    <w:p w14:paraId="1310D3A7" w14:textId="24C08845" w:rsidR="00BC232E" w:rsidRPr="00BC232E" w:rsidRDefault="00BC232E" w:rsidP="00BC232E">
      <w:pPr>
        <w:autoSpaceDE w:val="0"/>
        <w:autoSpaceDN w:val="0"/>
        <w:adjustRightInd w:val="0"/>
        <w:ind w:firstLine="284"/>
        <w:jc w:val="both"/>
        <w:rPr>
          <w:rFonts w:ascii="Garamond" w:eastAsiaTheme="minorHAnsi" w:hAnsi="Garamond"/>
          <w:i/>
          <w:iCs/>
          <w:color w:val="000000"/>
          <w14:ligatures w14:val="standardContextual"/>
        </w:rPr>
      </w:pPr>
      <w:r w:rsidRPr="00BC232E">
        <w:rPr>
          <w:rFonts w:ascii="Garamond" w:eastAsiaTheme="minorHAnsi" w:hAnsi="Garamond"/>
          <w:color w:val="000000"/>
          <w14:ligatures w14:val="standardContextual"/>
        </w:rPr>
        <w:t>18. Neni 22 i ligjit nr. 111/2017</w:t>
      </w:r>
      <w:r w:rsidRPr="00BC232E">
        <w:rPr>
          <w:rFonts w:ascii="Garamond" w:eastAsiaTheme="minorHAnsi" w:hAnsi="Garamond"/>
          <w:i/>
          <w:iCs/>
          <w:color w:val="000000"/>
          <w14:ligatures w14:val="standardContextual"/>
        </w:rPr>
        <w:t xml:space="preserve">, </w:t>
      </w:r>
      <w:r w:rsidRPr="00BC232E">
        <w:rPr>
          <w:rFonts w:ascii="Garamond" w:eastAsiaTheme="minorHAnsi" w:hAnsi="Garamond"/>
          <w:color w:val="000000"/>
          <w14:ligatures w14:val="standardContextual"/>
        </w:rPr>
        <w:t xml:space="preserve">parashikon: </w:t>
      </w:r>
      <w:r w:rsidRPr="00BC232E">
        <w:rPr>
          <w:rFonts w:ascii="Garamond" w:eastAsiaTheme="minorHAnsi" w:hAnsi="Garamond"/>
          <w:i/>
          <w:iCs/>
          <w:color w:val="000000"/>
          <w14:ligatures w14:val="standardContextual"/>
        </w:rPr>
        <w:t>“1. Gjykata shqyrton kërkesën për ndihmën juridike dytësore në përputhje me parashikimet në legjislacionin procedural dhe, për aq sa është e mundur, me dispozitat e këtij ligji. 2. Vendimi në lidhje me kërkesën për ndihmë juridike dytësore merret nga gjykata kompetente: a) brenda 5 ditëve nga data e regjistrimit të kërkesës, kur kërkesa paraqitet përpara fillimit të procesit gjyqësor; b) gjatë veprimeve paraprake ose në seancën përgatitore përpara se të caktohet seanca gjyqësore, kur kërkesa për ndihmë juridike është paraqitur bashkë me kërkesëpadinë; c) sipas parashikimeve të legjislacionit procedural dhe dispozitave të këtij ligji, kur kërkesa paraqitet gjatë shqyrtimit gjyqësor. 3. Në rastet kur kërkuesi deklaron pamundësinë për sigurimin e dokumentacionit, si dhe në çdo rast tjetër kur gjykata çmon se korrigjimi ose plotësimi i kërkesës mund të bëhet shkak për vonesa, të cilat cenojnë thelbin e të drejtave të kërkuesit, gjykata mund të urdhërojë dorëzimin e dokumentacionit të nevojshëm nga organet e administratës shtetërore që e disponojnë atë. Në këto raste kërkesa për ndihmë juridike dytësore quhet e paraqitur në përfundimin e afatit të vendosur nga gjykata për paraqitjen e dokumentacionit plotësues nga organet e administratës shtetërore. 4. Gjykata, në përputhje me parashikimet e këtij ligji dhe parashikimet në legjislacionin procedural, pas shqyrtimit të kërkesës vendos: a) pranimin e kërkesës për dhënien e ndihmës juridike dytësore; b) rrëzimin e kërkesës për dhënien e ndihmës juridike dytësore. 5.</w:t>
      </w:r>
      <w:r w:rsidR="00315FCD">
        <w:rPr>
          <w:rFonts w:ascii="Garamond" w:eastAsiaTheme="minorHAnsi" w:hAnsi="Garamond"/>
          <w:i/>
          <w:iCs/>
          <w:color w:val="000000"/>
          <w14:ligatures w14:val="standardContextual"/>
        </w:rPr>
        <w:t xml:space="preserve"> </w:t>
      </w:r>
      <w:r w:rsidRPr="00BC232E">
        <w:rPr>
          <w:rFonts w:ascii="Garamond" w:eastAsiaTheme="minorHAnsi" w:hAnsi="Garamond"/>
          <w:i/>
          <w:iCs/>
          <w:color w:val="000000"/>
          <w14:ligatures w14:val="standardContextual"/>
        </w:rPr>
        <w:t>Kërkesa për ndihmë juridike dytësore rrëzohet vetëm në rastet kur: a) nuk përmbushen kushtet e parashikuara në nenet 11 ose 12 të këtij ligji; b) është dukshëm abuzive ose haptazi e pabazuar. 6. Vendimi për pranimin ose rrëzimin e</w:t>
      </w:r>
      <w:r w:rsidR="00315FCD">
        <w:rPr>
          <w:rFonts w:ascii="Garamond" w:eastAsiaTheme="minorHAnsi" w:hAnsi="Garamond"/>
          <w:i/>
          <w:iCs/>
          <w:color w:val="000000"/>
          <w14:ligatures w14:val="standardContextual"/>
        </w:rPr>
        <w:t xml:space="preserve"> </w:t>
      </w:r>
      <w:r w:rsidRPr="00BC232E">
        <w:rPr>
          <w:rFonts w:ascii="Garamond" w:eastAsiaTheme="minorHAnsi" w:hAnsi="Garamond"/>
          <w:i/>
          <w:iCs/>
          <w:color w:val="000000"/>
          <w14:ligatures w14:val="standardContextual"/>
        </w:rPr>
        <w:t xml:space="preserve">kërkesës për ndihmë juridike dytësore jepet i arsyetuar. 7. Kundër vendimit të gjykatës për rrëzimin e kërkesës për ndihmën juridike dytësore mund të bëhet ankim i veçantë. Ankimi i vendimit nuk pengon vazhdimin e shqyrtimit të çështjes. Ankimi bëhet sipas formularit tip të miratuar nga </w:t>
      </w:r>
      <w:r w:rsidR="004839A7" w:rsidRPr="00BC232E">
        <w:rPr>
          <w:rFonts w:ascii="Garamond" w:eastAsiaTheme="minorHAnsi" w:hAnsi="Garamond"/>
          <w:i/>
          <w:iCs/>
          <w:color w:val="000000"/>
          <w14:ligatures w14:val="standardContextual"/>
        </w:rPr>
        <w:t xml:space="preserve">ministri </w:t>
      </w:r>
      <w:r w:rsidRPr="00BC232E">
        <w:rPr>
          <w:rFonts w:ascii="Garamond" w:eastAsiaTheme="minorHAnsi" w:hAnsi="Garamond"/>
          <w:i/>
          <w:iCs/>
          <w:color w:val="000000"/>
          <w14:ligatures w14:val="standardContextual"/>
        </w:rPr>
        <w:t xml:space="preserve">i Drejtësisë, i cili i jepet kërkuesit së bashku me vendimin për rrëzimin e kërkesës. 8. Gjykata e apelit shqyrton çështjen në dhomë këshillimi dhe merr vendim brenda 15 ditëve nga regjistrimi i çështjes. Kundër këtij vendimi nuk lejohet rekurs në Gjykatë të Lartë. 9. Drejtoria e Ndihmës Juridike Falas mund të </w:t>
      </w:r>
      <w:proofErr w:type="spellStart"/>
      <w:r w:rsidRPr="00BC232E">
        <w:rPr>
          <w:rFonts w:ascii="Garamond" w:eastAsiaTheme="minorHAnsi" w:hAnsi="Garamond"/>
          <w:i/>
          <w:iCs/>
          <w:color w:val="000000"/>
          <w14:ligatures w14:val="standardContextual"/>
        </w:rPr>
        <w:t>ankimojë</w:t>
      </w:r>
      <w:proofErr w:type="spellEnd"/>
      <w:r w:rsidRPr="00BC232E">
        <w:rPr>
          <w:rFonts w:ascii="Garamond" w:eastAsiaTheme="minorHAnsi" w:hAnsi="Garamond"/>
          <w:i/>
          <w:iCs/>
          <w:color w:val="000000"/>
          <w14:ligatures w14:val="standardContextual"/>
        </w:rPr>
        <w:t xml:space="preserve"> vendimin e gjykatës për pranimin e kërkesës për ndihmë juridike dytësore, nëse pretendon se kjo kërkesë është dukshëm abuzive ose haptazi e pabazuar. Në këtë rast zbatohen afatet dhe rregullat për ankimin e vendimeve përfundimtare, sipas dispozitave të legjislacionit procedural. Kundër vendimit të gjykatës së apelit nuk lejohet rekurs në Gjykatë të Lartë”.</w:t>
      </w:r>
    </w:p>
    <w:p w14:paraId="079458C1"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19. Nga këto dispozita rezulton se ligji nr. 111/2017 nuk e trajton kërkesën për ndihmë juridike dytësore si procedurë të shkëputur nga procesi për të cilin kërkohet ndihma. Përkundrazi, ai e vendos atë në varësi të fazës ku ndodhet çështja dhe të nevojës që vendimmarrja mbi kërkesën të prodhojë efekt praktik brenda atij procesi. Kjo lidhje ndërmjet kërkesës ndihmëse dhe procesit kryesor është thelbësore për kuptimin e nenit 20/1 të ligjit.</w:t>
      </w:r>
    </w:p>
    <w:p w14:paraId="4413F29D" w14:textId="7A6DF4F2" w:rsidR="00BC232E" w:rsidRPr="00BC232E" w:rsidRDefault="00BC232E" w:rsidP="00BC232E">
      <w:pPr>
        <w:autoSpaceDE w:val="0"/>
        <w:autoSpaceDN w:val="0"/>
        <w:adjustRightInd w:val="0"/>
        <w:ind w:firstLine="284"/>
        <w:jc w:val="both"/>
        <w:rPr>
          <w:rFonts w:ascii="Garamond" w:eastAsiaTheme="minorHAnsi" w:hAnsi="Garamond"/>
          <w:b/>
          <w:bCs/>
          <w:color w:val="171717"/>
          <w14:ligatures w14:val="standardContextual"/>
        </w:rPr>
      </w:pPr>
      <w:proofErr w:type="spellStart"/>
      <w:r w:rsidRPr="00BC232E">
        <w:rPr>
          <w:rFonts w:ascii="Garamond" w:eastAsiaTheme="minorHAnsi" w:hAnsi="Garamond"/>
          <w:b/>
          <w:bCs/>
          <w:color w:val="171717"/>
          <w14:ligatures w14:val="standardContextual"/>
        </w:rPr>
        <w:t>ii</w:t>
      </w:r>
      <w:proofErr w:type="spellEnd"/>
      <w:r w:rsidRPr="00BC232E">
        <w:rPr>
          <w:rFonts w:ascii="Garamond" w:eastAsiaTheme="minorHAnsi" w:hAnsi="Garamond"/>
          <w:b/>
          <w:bCs/>
          <w:color w:val="171717"/>
          <w14:ligatures w14:val="standardContextual"/>
        </w:rPr>
        <w:t>.</w:t>
      </w:r>
      <w:r w:rsidRPr="00275D6E">
        <w:rPr>
          <w:rFonts w:ascii="Garamond" w:eastAsiaTheme="minorHAnsi" w:hAnsi="Garamond"/>
          <w:b/>
          <w:bCs/>
          <w:color w:val="171717"/>
          <w14:ligatures w14:val="standardContextual"/>
        </w:rPr>
        <w:t xml:space="preserve"> </w:t>
      </w:r>
      <w:r w:rsidRPr="00BC232E">
        <w:rPr>
          <w:rFonts w:ascii="Garamond" w:eastAsiaTheme="minorHAnsi" w:hAnsi="Garamond"/>
          <w:b/>
          <w:bCs/>
          <w:color w:val="171717"/>
          <w14:ligatures w14:val="standardContextual"/>
        </w:rPr>
        <w:t xml:space="preserve">Standardet gjyqësore kushtetuese dhe </w:t>
      </w:r>
      <w:proofErr w:type="spellStart"/>
      <w:r w:rsidRPr="00BC232E">
        <w:rPr>
          <w:rFonts w:ascii="Garamond" w:eastAsiaTheme="minorHAnsi" w:hAnsi="Garamond"/>
          <w:b/>
          <w:bCs/>
          <w:color w:val="171717"/>
          <w14:ligatures w14:val="standardContextual"/>
        </w:rPr>
        <w:t>konventore</w:t>
      </w:r>
      <w:proofErr w:type="spellEnd"/>
    </w:p>
    <w:p w14:paraId="1879CABD" w14:textId="45C59B90" w:rsidR="00BC232E" w:rsidRPr="00BC232E" w:rsidRDefault="00BC232E" w:rsidP="00BC232E">
      <w:pPr>
        <w:autoSpaceDE w:val="0"/>
        <w:autoSpaceDN w:val="0"/>
        <w:adjustRightInd w:val="0"/>
        <w:ind w:firstLine="284"/>
        <w:jc w:val="both"/>
        <w:rPr>
          <w:rFonts w:ascii="Garamond" w:eastAsiaTheme="minorHAnsi" w:hAnsi="Garamond"/>
          <w:color w:val="00B0F0"/>
          <w14:ligatures w14:val="standardContextual"/>
        </w:rPr>
      </w:pPr>
      <w:r w:rsidRPr="00BC232E">
        <w:rPr>
          <w:rFonts w:ascii="Garamond" w:eastAsiaTheme="minorHAnsi" w:hAnsi="Garamond"/>
          <w:color w:val="000000"/>
          <w14:ligatures w14:val="standardContextual"/>
        </w:rPr>
        <w:lastRenderedPageBreak/>
        <w:t xml:space="preserve">20. Jurisprudenca kushtetuese ka theksuar se ndihma juridike e garantuar nga shteti nuk është mekanizëm formal, por instrument në funksion të </w:t>
      </w:r>
      <w:proofErr w:type="spellStart"/>
      <w:r w:rsidRPr="00BC232E">
        <w:rPr>
          <w:rFonts w:ascii="Garamond" w:eastAsiaTheme="minorHAnsi" w:hAnsi="Garamond"/>
          <w:color w:val="000000"/>
          <w14:ligatures w14:val="standardContextual"/>
        </w:rPr>
        <w:t>aksesit</w:t>
      </w:r>
      <w:proofErr w:type="spellEnd"/>
      <w:r w:rsidRPr="00BC232E">
        <w:rPr>
          <w:rFonts w:ascii="Garamond" w:eastAsiaTheme="minorHAnsi" w:hAnsi="Garamond"/>
          <w:color w:val="000000"/>
          <w14:ligatures w14:val="standardContextual"/>
        </w:rPr>
        <w:t xml:space="preserve"> efektiv në drejtësi dhe të procesit të rregullt ligjor. Në vendimin nr. 34, datë 17.11.2022, Gjykata Kushtetuese ka vlerësuar</w:t>
      </w:r>
      <w:r w:rsidR="004839A7">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se</w:t>
      </w:r>
      <w:r w:rsidR="004839A7">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w:t>
      </w:r>
      <w:r w:rsidRPr="00BC232E">
        <w:rPr>
          <w:rFonts w:ascii="Garamond" w:eastAsiaTheme="minorHAnsi" w:hAnsi="Garamond"/>
          <w:i/>
          <w:iCs/>
          <w:color w:val="000000"/>
          <w14:ligatures w14:val="standardContextual"/>
        </w:rPr>
        <w:t xml:space="preserve">“... skemat e ndihmës juridike që ofrohen nga shteti synojnë të sigurojnë </w:t>
      </w:r>
      <w:proofErr w:type="spellStart"/>
      <w:r w:rsidRPr="00BC232E">
        <w:rPr>
          <w:rFonts w:ascii="Garamond" w:eastAsiaTheme="minorHAnsi" w:hAnsi="Garamond"/>
          <w:i/>
          <w:iCs/>
          <w:color w:val="000000"/>
          <w14:ligatures w14:val="standardContextual"/>
        </w:rPr>
        <w:t>aksesin</w:t>
      </w:r>
      <w:proofErr w:type="spellEnd"/>
      <w:r w:rsidRPr="00BC232E">
        <w:rPr>
          <w:rFonts w:ascii="Garamond" w:eastAsiaTheme="minorHAnsi" w:hAnsi="Garamond"/>
          <w:i/>
          <w:iCs/>
          <w:color w:val="000000"/>
          <w14:ligatures w14:val="standardContextual"/>
        </w:rPr>
        <w:t xml:space="preserve"> në drejtësi, </w:t>
      </w:r>
      <w:proofErr w:type="spellStart"/>
      <w:r w:rsidRPr="00BC232E">
        <w:rPr>
          <w:rFonts w:ascii="Garamond" w:eastAsiaTheme="minorHAnsi" w:hAnsi="Garamond"/>
          <w:i/>
          <w:iCs/>
          <w:color w:val="000000"/>
          <w14:ligatures w14:val="standardContextual"/>
        </w:rPr>
        <w:t>mosdiskriminimin</w:t>
      </w:r>
      <w:proofErr w:type="spellEnd"/>
      <w:r w:rsidRPr="00BC232E">
        <w:rPr>
          <w:rFonts w:ascii="Garamond" w:eastAsiaTheme="minorHAnsi" w:hAnsi="Garamond"/>
          <w:i/>
          <w:iCs/>
          <w:color w:val="000000"/>
          <w14:ligatures w14:val="standardContextual"/>
        </w:rPr>
        <w:t xml:space="preserve"> dhe cilësinë e shërbimit të mbrojtjes në funksion të procesit të rregullt, ndërsa veprimtaria e avokatit duhet të garantojë mbrojtje profesionale, të drejtë dhe efektive, në interesin më të mirë të klientit”. </w:t>
      </w:r>
      <w:r w:rsidRPr="00BC232E">
        <w:rPr>
          <w:rFonts w:ascii="Garamond" w:eastAsiaTheme="minorHAnsi" w:hAnsi="Garamond"/>
          <w:color w:val="000000"/>
          <w14:ligatures w14:val="standardContextual"/>
        </w:rPr>
        <w:t xml:space="preserve">Ky standard e lidh ndihmën juridike jo vetëm me ekzistencën formale të një procedure, por me aftësinë reale të saj për t’i mundësuar individit mbrojtje profesionale në procesin ku ajo kërkohet. </w:t>
      </w:r>
    </w:p>
    <w:p w14:paraId="13638390" w14:textId="48EDC10C" w:rsidR="00BC232E" w:rsidRPr="00BC232E" w:rsidRDefault="00BC232E" w:rsidP="00BC232E">
      <w:pPr>
        <w:autoSpaceDE w:val="0"/>
        <w:autoSpaceDN w:val="0"/>
        <w:adjustRightInd w:val="0"/>
        <w:ind w:firstLine="284"/>
        <w:jc w:val="both"/>
        <w:rPr>
          <w:rFonts w:ascii="Garamond" w:eastAsiaTheme="minorHAnsi" w:hAnsi="Garamond"/>
          <w:color w:val="00B0F0"/>
          <w14:ligatures w14:val="standardContextual"/>
        </w:rPr>
      </w:pPr>
      <w:r w:rsidRPr="00BC232E">
        <w:rPr>
          <w:rFonts w:ascii="Garamond" w:eastAsiaTheme="minorHAnsi" w:hAnsi="Garamond"/>
          <w:color w:val="000000"/>
          <w14:ligatures w14:val="standardContextual"/>
        </w:rPr>
        <w:t xml:space="preserve">20.1 Në vendimin nr. 45, datë 3.10.2023, Gjykata Kushtetuese ka vlerësuar se, ndonëse kërkuesi kishte kërkuar caktimin e një mbrojtësi për nënshkrimin e rekursit dhe i ishte caktuar avokat për ofrimin e ndihmës juridike, atij nuk iu sigurua realisht mbrojtja e nevojshme për ushtrimin efektiv të së drejtës së rekursit. Për këtë arsye, Gjykata Kushtetuese arriti në përfundimin se ishte cenuar e drejta e </w:t>
      </w:r>
      <w:proofErr w:type="spellStart"/>
      <w:r w:rsidRPr="00BC232E">
        <w:rPr>
          <w:rFonts w:ascii="Garamond" w:eastAsiaTheme="minorHAnsi" w:hAnsi="Garamond"/>
          <w:color w:val="000000"/>
          <w14:ligatures w14:val="standardContextual"/>
        </w:rPr>
        <w:t>aksesit</w:t>
      </w:r>
      <w:proofErr w:type="spellEnd"/>
      <w:r w:rsidRPr="00BC232E">
        <w:rPr>
          <w:rFonts w:ascii="Garamond" w:eastAsiaTheme="minorHAnsi" w:hAnsi="Garamond"/>
          <w:color w:val="000000"/>
          <w14:ligatures w14:val="standardContextual"/>
        </w:rPr>
        <w:t xml:space="preserve"> në gjykatë. Ky qëndrim ka rëndësi të posaçme për çështjen në shqyrtim, sepse tregon se ndihma juridike duhet të jetë efektive pikërisht në fazën procedurale ku lind nevoja për të ushtruar ose për të mbrojtur një të drejtë </w:t>
      </w:r>
      <w:proofErr w:type="spellStart"/>
      <w:r w:rsidRPr="00BC232E">
        <w:rPr>
          <w:rFonts w:ascii="Garamond" w:eastAsiaTheme="minorHAnsi" w:hAnsi="Garamond"/>
          <w:color w:val="000000"/>
          <w14:ligatures w14:val="standardContextual"/>
        </w:rPr>
        <w:t>procesuale</w:t>
      </w:r>
      <w:proofErr w:type="spellEnd"/>
      <w:r w:rsidRPr="00BC232E">
        <w:rPr>
          <w:rFonts w:ascii="Garamond" w:eastAsiaTheme="minorHAnsi" w:hAnsi="Garamond"/>
          <w:color w:val="000000"/>
          <w14:ligatures w14:val="standardContextual"/>
        </w:rPr>
        <w:t>.</w:t>
      </w:r>
    </w:p>
    <w:p w14:paraId="6BBAE90D"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21. Edhe standardet e zhvilluara nga Gjykata Evropiane e të Drejtave të Njeriut kërkojnë që e drejta e </w:t>
      </w:r>
      <w:proofErr w:type="spellStart"/>
      <w:r w:rsidRPr="00BC232E">
        <w:rPr>
          <w:rFonts w:ascii="Garamond" w:eastAsiaTheme="minorHAnsi" w:hAnsi="Garamond"/>
          <w:color w:val="000000"/>
          <w14:ligatures w14:val="standardContextual"/>
        </w:rPr>
        <w:t>aksesit</w:t>
      </w:r>
      <w:proofErr w:type="spellEnd"/>
      <w:r w:rsidRPr="00BC232E">
        <w:rPr>
          <w:rFonts w:ascii="Garamond" w:eastAsiaTheme="minorHAnsi" w:hAnsi="Garamond"/>
          <w:color w:val="000000"/>
          <w14:ligatures w14:val="standardContextual"/>
        </w:rPr>
        <w:t xml:space="preserve"> në gjykatë nuk duhet të jetë teorike ose </w:t>
      </w:r>
      <w:proofErr w:type="spellStart"/>
      <w:r w:rsidRPr="00BC232E">
        <w:rPr>
          <w:rFonts w:ascii="Garamond" w:eastAsiaTheme="minorHAnsi" w:hAnsi="Garamond"/>
          <w:color w:val="000000"/>
          <w14:ligatures w14:val="standardContextual"/>
        </w:rPr>
        <w:t>iluzore</w:t>
      </w:r>
      <w:proofErr w:type="spellEnd"/>
      <w:r w:rsidRPr="00BC232E">
        <w:rPr>
          <w:rFonts w:ascii="Garamond" w:eastAsiaTheme="minorHAnsi" w:hAnsi="Garamond"/>
          <w:color w:val="000000"/>
          <w14:ligatures w14:val="standardContextual"/>
        </w:rPr>
        <w:t>, por reale, praktike dhe efektive. Ky standard nuk përcakton vetë rregullat e kompetencës sipas së drejtës së brendshme, por shërben si kriter orientues për interpretimin e tyre, veçanërisht kur bëhet fjalë për mekanizma që kushtëzojnë mbrojtjen efektive.</w:t>
      </w:r>
    </w:p>
    <w:p w14:paraId="7C8B8B55" w14:textId="1747F928"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22. Në çështjen </w:t>
      </w:r>
      <w:r w:rsidRPr="00BC232E">
        <w:rPr>
          <w:rFonts w:ascii="Garamond" w:eastAsiaTheme="minorHAnsi" w:hAnsi="Garamond"/>
          <w:i/>
          <w:iCs/>
          <w:color w:val="000000"/>
          <w14:ligatures w14:val="standardContextual"/>
        </w:rPr>
        <w:t>“</w:t>
      </w:r>
      <w:proofErr w:type="spellStart"/>
      <w:r w:rsidRPr="00BC232E">
        <w:rPr>
          <w:rFonts w:ascii="Garamond" w:eastAsiaTheme="minorHAnsi" w:hAnsi="Garamond"/>
          <w:i/>
          <w:iCs/>
          <w:color w:val="000000"/>
          <w14:ligatures w14:val="standardContextual"/>
        </w:rPr>
        <w:t>Bakan</w:t>
      </w:r>
      <w:proofErr w:type="spellEnd"/>
      <w:r w:rsidRPr="00BC232E">
        <w:rPr>
          <w:rFonts w:ascii="Garamond" w:eastAsiaTheme="minorHAnsi" w:hAnsi="Garamond"/>
          <w:i/>
          <w:iCs/>
          <w:color w:val="000000"/>
          <w14:ligatures w14:val="standardContextual"/>
        </w:rPr>
        <w:t xml:space="preserve"> kundër Turqisë”</w:t>
      </w:r>
      <w:r w:rsidRPr="00BC232E">
        <w:rPr>
          <w:rFonts w:ascii="Garamond" w:eastAsiaTheme="minorHAnsi" w:hAnsi="Garamond"/>
          <w:color w:val="000000"/>
          <w14:ligatures w14:val="standardContextual"/>
        </w:rPr>
        <w:t>, GJEDNJ</w:t>
      </w:r>
      <w:r w:rsidR="004839A7">
        <w:rPr>
          <w:rFonts w:ascii="Garamond" w:eastAsiaTheme="minorHAnsi" w:hAnsi="Garamond"/>
          <w:color w:val="000000"/>
          <w14:ligatures w14:val="standardContextual"/>
        </w:rPr>
        <w:t>-ja</w:t>
      </w:r>
      <w:r w:rsidRPr="00BC232E">
        <w:rPr>
          <w:rFonts w:ascii="Garamond" w:eastAsiaTheme="minorHAnsi" w:hAnsi="Garamond"/>
          <w:color w:val="000000"/>
          <w14:ligatures w14:val="standardContextual"/>
        </w:rPr>
        <w:t xml:space="preserve"> ka vlerësuar se mungesa e një sistemi që ofron garanci reale kundër arbitraritetit dhe mundësi efektive kundërshtimi ndaj refuzimit të ndihmës juridike mund të cenojë nenin 6 të KEDNJ</w:t>
      </w:r>
      <w:r w:rsidR="0033447E">
        <w:rPr>
          <w:rFonts w:ascii="Garamond" w:eastAsiaTheme="minorHAnsi" w:hAnsi="Garamond"/>
          <w:color w:val="000000"/>
          <w14:ligatures w14:val="standardContextual"/>
        </w:rPr>
        <w:t>-së</w:t>
      </w:r>
      <w:r w:rsidRPr="00BC232E">
        <w:rPr>
          <w:rFonts w:ascii="Garamond" w:eastAsiaTheme="minorHAnsi" w:hAnsi="Garamond"/>
          <w:color w:val="000000"/>
          <w14:ligatures w14:val="standardContextual"/>
        </w:rPr>
        <w:t xml:space="preserve">. Thelbi i këtij standardi qëndron në faktin se procedura për dhënien ose refuzimin e ndihmës juridike duhet të shoqërohet me garanci të mjaftueshme procedurale, në mënyrë që kërkuesi të mos mbetet përballë një vendimmarrjeje të pakontrollueshme ose arbitrare. Megjithatë, garancitë procedurale nuk duhet të kuptohen të shkëputura nga efektiviteti i vetë ndihmës juridike. Ato duhet të shërbejnë për ta bërë mbrojtjen reale dhe jo për ta vonuar apo </w:t>
      </w:r>
      <w:proofErr w:type="spellStart"/>
      <w:r w:rsidRPr="00BC232E">
        <w:rPr>
          <w:rFonts w:ascii="Garamond" w:eastAsiaTheme="minorHAnsi" w:hAnsi="Garamond"/>
          <w:color w:val="000000"/>
          <w14:ligatures w14:val="standardContextual"/>
        </w:rPr>
        <w:t>formalizuar</w:t>
      </w:r>
      <w:proofErr w:type="spellEnd"/>
      <w:r w:rsidRPr="00BC232E">
        <w:rPr>
          <w:rFonts w:ascii="Garamond" w:eastAsiaTheme="minorHAnsi" w:hAnsi="Garamond"/>
          <w:color w:val="000000"/>
          <w14:ligatures w14:val="standardContextual"/>
        </w:rPr>
        <w:t xml:space="preserve"> atë.</w:t>
      </w:r>
    </w:p>
    <w:p w14:paraId="106D4693" w14:textId="6FA48BEC"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23. Në çështjet </w:t>
      </w:r>
      <w:r w:rsidRPr="00BC232E">
        <w:rPr>
          <w:rFonts w:ascii="Garamond" w:eastAsiaTheme="minorHAnsi" w:hAnsi="Garamond"/>
          <w:i/>
          <w:iCs/>
          <w:color w:val="000000"/>
          <w14:ligatures w14:val="standardContextual"/>
        </w:rPr>
        <w:t>“</w:t>
      </w:r>
      <w:proofErr w:type="spellStart"/>
      <w:r w:rsidRPr="00BC232E">
        <w:rPr>
          <w:rFonts w:ascii="Garamond" w:eastAsiaTheme="minorHAnsi" w:hAnsi="Garamond"/>
          <w:i/>
          <w:iCs/>
          <w:color w:val="000000"/>
          <w14:ligatures w14:val="standardContextual"/>
        </w:rPr>
        <w:t>Kreuz</w:t>
      </w:r>
      <w:proofErr w:type="spellEnd"/>
      <w:r w:rsidRPr="00BC232E">
        <w:rPr>
          <w:rFonts w:ascii="Garamond" w:eastAsiaTheme="minorHAnsi" w:hAnsi="Garamond"/>
          <w:i/>
          <w:iCs/>
          <w:color w:val="000000"/>
          <w14:ligatures w14:val="standardContextual"/>
        </w:rPr>
        <w:t xml:space="preserve"> kundër Polonisë” </w:t>
      </w:r>
      <w:r w:rsidRPr="00BC232E">
        <w:rPr>
          <w:rFonts w:ascii="Garamond" w:eastAsiaTheme="minorHAnsi" w:hAnsi="Garamond"/>
          <w:color w:val="000000"/>
          <w14:ligatures w14:val="standardContextual"/>
        </w:rPr>
        <w:t>dhe</w:t>
      </w:r>
      <w:r w:rsidRPr="00BC232E">
        <w:rPr>
          <w:rFonts w:ascii="Garamond" w:eastAsiaTheme="minorHAnsi" w:hAnsi="Garamond"/>
          <w:i/>
          <w:iCs/>
          <w:color w:val="000000"/>
          <w14:ligatures w14:val="standardContextual"/>
        </w:rPr>
        <w:t xml:space="preserve"> “</w:t>
      </w:r>
      <w:proofErr w:type="spellStart"/>
      <w:r w:rsidRPr="00BC232E">
        <w:rPr>
          <w:rFonts w:ascii="Garamond" w:eastAsiaTheme="minorHAnsi" w:hAnsi="Garamond"/>
          <w:i/>
          <w:iCs/>
          <w:color w:val="000000"/>
          <w14:ligatures w14:val="standardContextual"/>
        </w:rPr>
        <w:t>Weissman</w:t>
      </w:r>
      <w:proofErr w:type="spellEnd"/>
      <w:r w:rsidRPr="00BC232E">
        <w:rPr>
          <w:rFonts w:ascii="Garamond" w:eastAsiaTheme="minorHAnsi" w:hAnsi="Garamond"/>
          <w:i/>
          <w:iCs/>
          <w:color w:val="000000"/>
          <w14:ligatures w14:val="standardContextual"/>
        </w:rPr>
        <w:t xml:space="preserve"> dhe të tjerët kundër Rumanisë”,</w:t>
      </w:r>
      <w:r w:rsidRPr="00BC232E">
        <w:rPr>
          <w:rFonts w:ascii="Garamond" w:eastAsiaTheme="minorHAnsi" w:hAnsi="Garamond"/>
          <w:color w:val="000000"/>
          <w14:ligatures w14:val="standardContextual"/>
        </w:rPr>
        <w:t xml:space="preserve"> GJEDNJ</w:t>
      </w:r>
      <w:r w:rsidR="0033447E">
        <w:rPr>
          <w:rFonts w:ascii="Garamond" w:eastAsiaTheme="minorHAnsi" w:hAnsi="Garamond"/>
          <w:color w:val="000000"/>
          <w14:ligatures w14:val="standardContextual"/>
        </w:rPr>
        <w:t>-ja</w:t>
      </w:r>
      <w:r w:rsidRPr="00BC232E">
        <w:rPr>
          <w:rFonts w:ascii="Garamond" w:eastAsiaTheme="minorHAnsi" w:hAnsi="Garamond"/>
          <w:color w:val="000000"/>
          <w14:ligatures w14:val="standardContextual"/>
        </w:rPr>
        <w:t xml:space="preserve"> ka trajtuar pengesat financiare ndaj </w:t>
      </w:r>
      <w:proofErr w:type="spellStart"/>
      <w:r w:rsidRPr="00BC232E">
        <w:rPr>
          <w:rFonts w:ascii="Garamond" w:eastAsiaTheme="minorHAnsi" w:hAnsi="Garamond"/>
          <w:color w:val="000000"/>
          <w14:ligatures w14:val="standardContextual"/>
        </w:rPr>
        <w:t>aksesit</w:t>
      </w:r>
      <w:proofErr w:type="spellEnd"/>
      <w:r w:rsidRPr="00BC232E">
        <w:rPr>
          <w:rFonts w:ascii="Garamond" w:eastAsiaTheme="minorHAnsi" w:hAnsi="Garamond"/>
          <w:color w:val="000000"/>
          <w14:ligatures w14:val="standardContextual"/>
        </w:rPr>
        <w:t xml:space="preserve"> në gjykatë, duke vlerësuar se tarifa gjyqësore ose detyrime të ngjashme, kur janë të tepruara dhe e detyrojnë palën të heqë dorë nga ndjekja e çështjes mund të cenojnë vetë thelbin e së drejtës për </w:t>
      </w:r>
      <w:proofErr w:type="spellStart"/>
      <w:r w:rsidRPr="00BC232E">
        <w:rPr>
          <w:rFonts w:ascii="Garamond" w:eastAsiaTheme="minorHAnsi" w:hAnsi="Garamond"/>
          <w:color w:val="000000"/>
          <w14:ligatures w14:val="standardContextual"/>
        </w:rPr>
        <w:t>akses</w:t>
      </w:r>
      <w:proofErr w:type="spellEnd"/>
      <w:r w:rsidRPr="00BC232E">
        <w:rPr>
          <w:rFonts w:ascii="Garamond" w:eastAsiaTheme="minorHAnsi" w:hAnsi="Garamond"/>
          <w:color w:val="000000"/>
          <w14:ligatures w14:val="standardContextual"/>
        </w:rPr>
        <w:t xml:space="preserve"> në gjykatë. Gjykata ka theksuar</w:t>
      </w:r>
      <w:r w:rsidR="00501A40">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gjithashtu</w:t>
      </w:r>
      <w:r w:rsidR="00501A40">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se ekzistenca formale e një mjeti për përjashtimin nga pagesa nuk është e mjaftueshme, nëse nuk provohet se ai është realisht i </w:t>
      </w:r>
      <w:proofErr w:type="spellStart"/>
      <w:r w:rsidRPr="00BC232E">
        <w:rPr>
          <w:rFonts w:ascii="Garamond" w:eastAsiaTheme="minorHAnsi" w:hAnsi="Garamond"/>
          <w:color w:val="000000"/>
          <w14:ligatures w14:val="standardContextual"/>
        </w:rPr>
        <w:t>disponueshëm</w:t>
      </w:r>
      <w:proofErr w:type="spellEnd"/>
      <w:r w:rsidRPr="00BC232E">
        <w:rPr>
          <w:rFonts w:ascii="Garamond" w:eastAsiaTheme="minorHAnsi" w:hAnsi="Garamond"/>
          <w:color w:val="000000"/>
          <w14:ligatures w14:val="standardContextual"/>
        </w:rPr>
        <w:t xml:space="preserve"> dhe efektiv në praktikë. Ky standard ka rëndësi edhe për ndihmën juridike dytësore, pasi tregon se mekanizmat që lehtësojnë </w:t>
      </w:r>
      <w:proofErr w:type="spellStart"/>
      <w:r w:rsidRPr="00BC232E">
        <w:rPr>
          <w:rFonts w:ascii="Garamond" w:eastAsiaTheme="minorHAnsi" w:hAnsi="Garamond"/>
          <w:color w:val="000000"/>
          <w14:ligatures w14:val="standardContextual"/>
        </w:rPr>
        <w:t>aksesin</w:t>
      </w:r>
      <w:proofErr w:type="spellEnd"/>
      <w:r w:rsidRPr="00BC232E">
        <w:rPr>
          <w:rFonts w:ascii="Garamond" w:eastAsiaTheme="minorHAnsi" w:hAnsi="Garamond"/>
          <w:color w:val="000000"/>
          <w14:ligatures w14:val="standardContextual"/>
        </w:rPr>
        <w:t xml:space="preserve"> në drejtësi duhet të funksionojnë në kohë dhe në mënyrë të dobishme për palën, jo vetëm të ekzistojnë si mundësi abstrakte në ligj. </w:t>
      </w:r>
    </w:p>
    <w:p w14:paraId="4B393145" w14:textId="4E9ECB6B"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24. Në çështjen </w:t>
      </w:r>
      <w:r w:rsidRPr="00BC232E">
        <w:rPr>
          <w:rFonts w:ascii="Garamond" w:eastAsiaTheme="minorHAnsi" w:hAnsi="Garamond"/>
          <w:i/>
          <w:iCs/>
          <w:color w:val="000000"/>
          <w14:ligatures w14:val="standardContextual"/>
        </w:rPr>
        <w:t>“</w:t>
      </w:r>
      <w:proofErr w:type="spellStart"/>
      <w:r w:rsidRPr="00BC232E">
        <w:rPr>
          <w:rFonts w:ascii="Garamond" w:eastAsiaTheme="minorHAnsi" w:hAnsi="Garamond"/>
          <w:i/>
          <w:iCs/>
          <w:color w:val="000000"/>
          <w14:ligatures w14:val="standardContextual"/>
        </w:rPr>
        <w:t>Airey</w:t>
      </w:r>
      <w:proofErr w:type="spellEnd"/>
      <w:r w:rsidRPr="00BC232E">
        <w:rPr>
          <w:rFonts w:ascii="Garamond" w:eastAsiaTheme="minorHAnsi" w:hAnsi="Garamond"/>
          <w:i/>
          <w:iCs/>
          <w:color w:val="000000"/>
          <w14:ligatures w14:val="standardContextual"/>
        </w:rPr>
        <w:t xml:space="preserve"> kundër Irlandës”</w:t>
      </w:r>
      <w:r w:rsidRPr="00BC232E">
        <w:rPr>
          <w:rFonts w:ascii="Garamond" w:eastAsiaTheme="minorHAnsi" w:hAnsi="Garamond"/>
          <w:color w:val="000000"/>
          <w14:ligatures w14:val="standardContextual"/>
        </w:rPr>
        <w:t>, GJEDNJ</w:t>
      </w:r>
      <w:r w:rsidR="00501A40">
        <w:rPr>
          <w:rFonts w:ascii="Garamond" w:eastAsiaTheme="minorHAnsi" w:hAnsi="Garamond"/>
          <w:color w:val="000000"/>
          <w14:ligatures w14:val="standardContextual"/>
        </w:rPr>
        <w:t>-ja</w:t>
      </w:r>
      <w:r w:rsidRPr="00BC232E">
        <w:rPr>
          <w:rFonts w:ascii="Garamond" w:eastAsiaTheme="minorHAnsi" w:hAnsi="Garamond"/>
          <w:color w:val="000000"/>
          <w14:ligatures w14:val="standardContextual"/>
        </w:rPr>
        <w:t xml:space="preserve"> ka theksuar se Konventa synon të garantojë jo të drejta teorike apo </w:t>
      </w:r>
      <w:proofErr w:type="spellStart"/>
      <w:r w:rsidRPr="00BC232E">
        <w:rPr>
          <w:rFonts w:ascii="Garamond" w:eastAsiaTheme="minorHAnsi" w:hAnsi="Garamond"/>
          <w:color w:val="000000"/>
          <w14:ligatures w14:val="standardContextual"/>
        </w:rPr>
        <w:t>iluzore</w:t>
      </w:r>
      <w:proofErr w:type="spellEnd"/>
      <w:r w:rsidRPr="00BC232E">
        <w:rPr>
          <w:rFonts w:ascii="Garamond" w:eastAsiaTheme="minorHAnsi" w:hAnsi="Garamond"/>
          <w:color w:val="000000"/>
          <w14:ligatures w14:val="standardContextual"/>
        </w:rPr>
        <w:t>, por të drejta reale, praktike dhe efektive, duke pranuar se në rrethana të caktuara, neni 6 i KEDNJ</w:t>
      </w:r>
      <w:r w:rsidR="006C3F7E">
        <w:rPr>
          <w:rFonts w:ascii="Garamond" w:eastAsiaTheme="minorHAnsi" w:hAnsi="Garamond"/>
          <w:color w:val="000000"/>
          <w14:ligatures w14:val="standardContextual"/>
        </w:rPr>
        <w:t>-së</w:t>
      </w:r>
      <w:r w:rsidRPr="00BC232E">
        <w:rPr>
          <w:rFonts w:ascii="Garamond" w:eastAsiaTheme="minorHAnsi" w:hAnsi="Garamond"/>
          <w:color w:val="000000"/>
          <w14:ligatures w14:val="standardContextual"/>
        </w:rPr>
        <w:t xml:space="preserve"> mund të kërkojë që shteti të sigurojë asistencën e një avokati kur kjo është e domosdoshme për </w:t>
      </w:r>
      <w:proofErr w:type="spellStart"/>
      <w:r w:rsidRPr="00BC232E">
        <w:rPr>
          <w:rFonts w:ascii="Garamond" w:eastAsiaTheme="minorHAnsi" w:hAnsi="Garamond"/>
          <w:color w:val="000000"/>
          <w14:ligatures w14:val="standardContextual"/>
        </w:rPr>
        <w:t>akses</w:t>
      </w:r>
      <w:proofErr w:type="spellEnd"/>
      <w:r w:rsidRPr="00BC232E">
        <w:rPr>
          <w:rFonts w:ascii="Garamond" w:eastAsiaTheme="minorHAnsi" w:hAnsi="Garamond"/>
          <w:color w:val="000000"/>
          <w14:ligatures w14:val="standardContextual"/>
        </w:rPr>
        <w:t xml:space="preserve"> efektiv në gjykatë. Në çështjen </w:t>
      </w:r>
      <w:r w:rsidRPr="00BC232E">
        <w:rPr>
          <w:rFonts w:ascii="Garamond" w:eastAsiaTheme="minorHAnsi" w:hAnsi="Garamond"/>
          <w:i/>
          <w:iCs/>
          <w:color w:val="000000"/>
          <w14:ligatures w14:val="standardContextual"/>
        </w:rPr>
        <w:t>“</w:t>
      </w:r>
      <w:proofErr w:type="spellStart"/>
      <w:r w:rsidRPr="00BC232E">
        <w:rPr>
          <w:rFonts w:ascii="Garamond" w:eastAsiaTheme="minorHAnsi" w:hAnsi="Garamond"/>
          <w:i/>
          <w:iCs/>
          <w:color w:val="000000"/>
          <w14:ligatures w14:val="standardContextual"/>
        </w:rPr>
        <w:t>Steel</w:t>
      </w:r>
      <w:proofErr w:type="spellEnd"/>
      <w:r w:rsidRPr="00BC232E">
        <w:rPr>
          <w:rFonts w:ascii="Garamond" w:eastAsiaTheme="minorHAnsi" w:hAnsi="Garamond"/>
          <w:i/>
          <w:iCs/>
          <w:color w:val="000000"/>
          <w14:ligatures w14:val="standardContextual"/>
        </w:rPr>
        <w:t xml:space="preserve"> </w:t>
      </w:r>
      <w:proofErr w:type="spellStart"/>
      <w:r w:rsidRPr="00BC232E">
        <w:rPr>
          <w:rFonts w:ascii="Garamond" w:eastAsiaTheme="minorHAnsi" w:hAnsi="Garamond"/>
          <w:i/>
          <w:iCs/>
          <w:color w:val="000000"/>
          <w14:ligatures w14:val="standardContextual"/>
        </w:rPr>
        <w:t>and</w:t>
      </w:r>
      <w:proofErr w:type="spellEnd"/>
      <w:r w:rsidRPr="00BC232E">
        <w:rPr>
          <w:rFonts w:ascii="Garamond" w:eastAsiaTheme="minorHAnsi" w:hAnsi="Garamond"/>
          <w:i/>
          <w:iCs/>
          <w:color w:val="000000"/>
          <w14:ligatures w14:val="standardContextual"/>
        </w:rPr>
        <w:t xml:space="preserve"> Morris kundër Mbretërisë së Bashkuar”</w:t>
      </w:r>
      <w:r w:rsidRPr="00BC232E">
        <w:rPr>
          <w:rFonts w:ascii="Garamond" w:eastAsiaTheme="minorHAnsi" w:hAnsi="Garamond"/>
          <w:color w:val="000000"/>
          <w14:ligatures w14:val="standardContextual"/>
        </w:rPr>
        <w:t>, gjykata ka analizuar mungesën e ndihmës juridike në një proces civil kompleks në raport me barazinë e armëve dhe me mundësinë reale të palës për ta paraqitur çështjen e saj në mënyrë efektive përpara gjykatës. Edhe Gjykata e Drejtësisë së Bashkimit Evropian, në çështjen</w:t>
      </w:r>
      <w:r w:rsidRPr="00BC232E">
        <w:rPr>
          <w:rFonts w:ascii="Garamond" w:eastAsiaTheme="minorHAnsi" w:hAnsi="Garamond"/>
          <w:i/>
          <w:iCs/>
          <w:color w:val="000000"/>
          <w14:ligatures w14:val="standardContextual"/>
        </w:rPr>
        <w:t xml:space="preserve"> “DEB”</w:t>
      </w:r>
      <w:r w:rsidRPr="00BC232E">
        <w:rPr>
          <w:rFonts w:ascii="Garamond" w:eastAsiaTheme="minorHAnsi" w:hAnsi="Garamond"/>
          <w:color w:val="000000"/>
          <w14:ligatures w14:val="standardContextual"/>
        </w:rPr>
        <w:t xml:space="preserve">, theksoi se gjykata kombëtare duhet të verifikojë nëse kushtet për dhënien e ndihmës juridike cenojnë thelbin e </w:t>
      </w:r>
      <w:proofErr w:type="spellStart"/>
      <w:r w:rsidRPr="00BC232E">
        <w:rPr>
          <w:rFonts w:ascii="Garamond" w:eastAsiaTheme="minorHAnsi" w:hAnsi="Garamond"/>
          <w:color w:val="000000"/>
          <w14:ligatures w14:val="standardContextual"/>
        </w:rPr>
        <w:t>aksesit</w:t>
      </w:r>
      <w:proofErr w:type="spellEnd"/>
      <w:r w:rsidRPr="00BC232E">
        <w:rPr>
          <w:rFonts w:ascii="Garamond" w:eastAsiaTheme="minorHAnsi" w:hAnsi="Garamond"/>
          <w:color w:val="000000"/>
          <w14:ligatures w14:val="standardContextual"/>
        </w:rPr>
        <w:t xml:space="preserve"> në gjykatë, duke marrë parasysh rëndësinë e çështjes për kërkuesin, </w:t>
      </w:r>
      <w:proofErr w:type="spellStart"/>
      <w:r w:rsidRPr="00BC232E">
        <w:rPr>
          <w:rFonts w:ascii="Garamond" w:eastAsiaTheme="minorHAnsi" w:hAnsi="Garamond"/>
          <w:color w:val="000000"/>
          <w14:ligatures w14:val="standardContextual"/>
        </w:rPr>
        <w:t>kompleksitetin</w:t>
      </w:r>
      <w:proofErr w:type="spellEnd"/>
      <w:r w:rsidRPr="00BC232E">
        <w:rPr>
          <w:rFonts w:ascii="Garamond" w:eastAsiaTheme="minorHAnsi" w:hAnsi="Garamond"/>
          <w:color w:val="000000"/>
          <w14:ligatures w14:val="standardContextual"/>
        </w:rPr>
        <w:t xml:space="preserve"> e ligjit dhe procedurës, gjasat e suksesit dhe aftësinë reale të kërkuesit për t’u </w:t>
      </w:r>
      <w:proofErr w:type="spellStart"/>
      <w:r w:rsidRPr="00BC232E">
        <w:rPr>
          <w:rFonts w:ascii="Garamond" w:eastAsiaTheme="minorHAnsi" w:hAnsi="Garamond"/>
          <w:color w:val="000000"/>
          <w14:ligatures w14:val="standardContextual"/>
        </w:rPr>
        <w:t>vetëpërfaqësuar</w:t>
      </w:r>
      <w:proofErr w:type="spellEnd"/>
      <w:r w:rsidRPr="00BC232E">
        <w:rPr>
          <w:rFonts w:ascii="Garamond" w:eastAsiaTheme="minorHAnsi" w:hAnsi="Garamond"/>
          <w:color w:val="000000"/>
          <w14:ligatures w14:val="standardContextual"/>
        </w:rPr>
        <w:t>.</w:t>
      </w:r>
    </w:p>
    <w:p w14:paraId="6C2402EC" w14:textId="32810592"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25. Në të njëjtën linjë, në çështjen “</w:t>
      </w:r>
      <w:proofErr w:type="spellStart"/>
      <w:r w:rsidRPr="00BC232E">
        <w:rPr>
          <w:rFonts w:ascii="Garamond" w:eastAsiaTheme="minorHAnsi" w:hAnsi="Garamond"/>
          <w:color w:val="000000"/>
          <w14:ligatures w14:val="standardContextual"/>
        </w:rPr>
        <w:t>Aerts</w:t>
      </w:r>
      <w:proofErr w:type="spellEnd"/>
      <w:r w:rsidRPr="00BC232E">
        <w:rPr>
          <w:rFonts w:ascii="Garamond" w:eastAsiaTheme="minorHAnsi" w:hAnsi="Garamond"/>
          <w:color w:val="000000"/>
          <w14:ligatures w14:val="standardContextual"/>
        </w:rPr>
        <w:t xml:space="preserve"> kundër Belgjikës”, GJEDNJ</w:t>
      </w:r>
      <w:r w:rsidR="00F378E6">
        <w:rPr>
          <w:rFonts w:ascii="Garamond" w:eastAsiaTheme="minorHAnsi" w:hAnsi="Garamond"/>
          <w:color w:val="000000"/>
          <w14:ligatures w14:val="standardContextual"/>
        </w:rPr>
        <w:t>-ja</w:t>
      </w:r>
      <w:r w:rsidRPr="00BC232E">
        <w:rPr>
          <w:rFonts w:ascii="Garamond" w:eastAsiaTheme="minorHAnsi" w:hAnsi="Garamond"/>
          <w:color w:val="000000"/>
          <w14:ligatures w14:val="standardContextual"/>
        </w:rPr>
        <w:t xml:space="preserve"> ka vlerësuar se refuzimi i ndihmës juridike për ushtrimin e një mjeti para Gjykatës së </w:t>
      </w:r>
      <w:proofErr w:type="spellStart"/>
      <w:r w:rsidRPr="00BC232E">
        <w:rPr>
          <w:rFonts w:ascii="Garamond" w:eastAsiaTheme="minorHAnsi" w:hAnsi="Garamond"/>
          <w:color w:val="000000"/>
          <w14:ligatures w14:val="standardContextual"/>
        </w:rPr>
        <w:t>Kasacionit</w:t>
      </w:r>
      <w:proofErr w:type="spellEnd"/>
      <w:r w:rsidRPr="00BC232E">
        <w:rPr>
          <w:rFonts w:ascii="Garamond" w:eastAsiaTheme="minorHAnsi" w:hAnsi="Garamond"/>
          <w:color w:val="000000"/>
          <w14:ligatures w14:val="standardContextual"/>
        </w:rPr>
        <w:t xml:space="preserve">, duke u mbështetur në një vlerësim paraprak të </w:t>
      </w:r>
      <w:proofErr w:type="spellStart"/>
      <w:r w:rsidRPr="00BC232E">
        <w:rPr>
          <w:rFonts w:ascii="Garamond" w:eastAsiaTheme="minorHAnsi" w:hAnsi="Garamond"/>
          <w:color w:val="000000"/>
          <w14:ligatures w14:val="standardContextual"/>
        </w:rPr>
        <w:t>pabazueshmërisë</w:t>
      </w:r>
      <w:proofErr w:type="spellEnd"/>
      <w:r w:rsidRPr="00BC232E">
        <w:rPr>
          <w:rFonts w:ascii="Garamond" w:eastAsiaTheme="minorHAnsi" w:hAnsi="Garamond"/>
          <w:color w:val="000000"/>
          <w14:ligatures w14:val="standardContextual"/>
        </w:rPr>
        <w:t xml:space="preserve"> së mjetit, mund të cenojë </w:t>
      </w:r>
      <w:proofErr w:type="spellStart"/>
      <w:r w:rsidRPr="00BC232E">
        <w:rPr>
          <w:rFonts w:ascii="Garamond" w:eastAsiaTheme="minorHAnsi" w:hAnsi="Garamond"/>
          <w:color w:val="000000"/>
          <w14:ligatures w14:val="standardContextual"/>
        </w:rPr>
        <w:t>aksesin</w:t>
      </w:r>
      <w:proofErr w:type="spellEnd"/>
      <w:r w:rsidRPr="00BC232E">
        <w:rPr>
          <w:rFonts w:ascii="Garamond" w:eastAsiaTheme="minorHAnsi" w:hAnsi="Garamond"/>
          <w:color w:val="000000"/>
          <w14:ligatures w14:val="standardContextual"/>
        </w:rPr>
        <w:t xml:space="preserve"> në gjykatë kur pikërisht ai mjet procedural kërkon asistencë profesionale. Nga ana tjetër, në çështjet </w:t>
      </w:r>
      <w:r w:rsidRPr="00EE631D">
        <w:rPr>
          <w:rFonts w:ascii="Garamond" w:eastAsiaTheme="minorHAnsi" w:hAnsi="Garamond"/>
          <w:i/>
          <w:iCs/>
          <w:color w:val="000000"/>
          <w14:ligatures w14:val="standardContextual"/>
        </w:rPr>
        <w:t>“Del Sol kundër Francës”</w:t>
      </w:r>
      <w:r w:rsidRPr="00BC232E">
        <w:rPr>
          <w:rFonts w:ascii="Garamond" w:eastAsiaTheme="minorHAnsi" w:hAnsi="Garamond"/>
          <w:color w:val="000000"/>
          <w14:ligatures w14:val="standardContextual"/>
        </w:rPr>
        <w:t xml:space="preserve"> dhe </w:t>
      </w:r>
      <w:r w:rsidRPr="00EE631D">
        <w:rPr>
          <w:rFonts w:ascii="Garamond" w:eastAsiaTheme="minorHAnsi" w:hAnsi="Garamond"/>
          <w:i/>
          <w:iCs/>
          <w:color w:val="000000"/>
          <w14:ligatures w14:val="standardContextual"/>
        </w:rPr>
        <w:t>“</w:t>
      </w:r>
      <w:proofErr w:type="spellStart"/>
      <w:r w:rsidRPr="00EE631D">
        <w:rPr>
          <w:rFonts w:ascii="Garamond" w:eastAsiaTheme="minorHAnsi" w:hAnsi="Garamond"/>
          <w:i/>
          <w:iCs/>
          <w:color w:val="000000"/>
          <w14:ligatures w14:val="standardContextual"/>
        </w:rPr>
        <w:t>Essaadi</w:t>
      </w:r>
      <w:proofErr w:type="spellEnd"/>
      <w:r w:rsidRPr="00EE631D">
        <w:rPr>
          <w:rFonts w:ascii="Garamond" w:eastAsiaTheme="minorHAnsi" w:hAnsi="Garamond"/>
          <w:i/>
          <w:iCs/>
          <w:color w:val="000000"/>
          <w14:ligatures w14:val="standardContextual"/>
        </w:rPr>
        <w:t xml:space="preserve"> kundër Francës”,</w:t>
      </w:r>
      <w:r w:rsidRPr="00BC232E">
        <w:rPr>
          <w:rFonts w:ascii="Garamond" w:eastAsiaTheme="minorHAnsi" w:hAnsi="Garamond"/>
          <w:color w:val="000000"/>
          <w14:ligatures w14:val="standardContextual"/>
        </w:rPr>
        <w:t xml:space="preserve"> GJEDNJ</w:t>
      </w:r>
      <w:r w:rsidR="00EE631D">
        <w:rPr>
          <w:rFonts w:ascii="Garamond" w:eastAsiaTheme="minorHAnsi" w:hAnsi="Garamond"/>
          <w:color w:val="000000"/>
          <w14:ligatures w14:val="standardContextual"/>
        </w:rPr>
        <w:t>-ja</w:t>
      </w:r>
      <w:r w:rsidRPr="00BC232E">
        <w:rPr>
          <w:rFonts w:ascii="Garamond" w:eastAsiaTheme="minorHAnsi" w:hAnsi="Garamond"/>
          <w:color w:val="000000"/>
          <w14:ligatures w14:val="standardContextual"/>
        </w:rPr>
        <w:t xml:space="preserve"> ka pranuar se e drejta për ndihmë juridike në çështjet civile nuk është absolute dhe se shteti mund të vendosë kushte ligjore, përfshirë vlerësimin e gjasave të suksesit, për sa kohë këto kushte janë të parashikueshme, proporcionale dhe të shoqëruara me garanci kundër arbitraritetit. Ky standard </w:t>
      </w:r>
      <w:r w:rsidRPr="00BC232E">
        <w:rPr>
          <w:rFonts w:ascii="Garamond" w:eastAsiaTheme="minorHAnsi" w:hAnsi="Garamond"/>
          <w:color w:val="000000"/>
          <w14:ligatures w14:val="standardContextual"/>
        </w:rPr>
        <w:lastRenderedPageBreak/>
        <w:t xml:space="preserve">forcon përfundimin se procedura dhe kompetenca për shqyrtimin e kërkesës për ndihmë juridike dytësore duhet të organizohen në mënyrë që kontrolli i kritereve ligjore të mos e zbrazë nga përmbajtja nevojën reale dhe të menjëhershme të palës për mbrojtje në fazën konkrete të procesit. (GJEDNJ, </w:t>
      </w:r>
      <w:proofErr w:type="spellStart"/>
      <w:r w:rsidRPr="00BC232E">
        <w:rPr>
          <w:rFonts w:ascii="Garamond" w:eastAsiaTheme="minorHAnsi" w:hAnsi="Garamond"/>
          <w:i/>
          <w:iCs/>
          <w:color w:val="000000"/>
          <w14:ligatures w14:val="standardContextual"/>
        </w:rPr>
        <w:t>Aerts</w:t>
      </w:r>
      <w:proofErr w:type="spellEnd"/>
      <w:r w:rsidRPr="00BC232E">
        <w:rPr>
          <w:rFonts w:ascii="Garamond" w:eastAsiaTheme="minorHAnsi" w:hAnsi="Garamond"/>
          <w:i/>
          <w:iCs/>
          <w:color w:val="000000"/>
          <w14:ligatures w14:val="standardContextual"/>
        </w:rPr>
        <w:t xml:space="preserve"> kundër Belgjikës</w:t>
      </w:r>
      <w:r w:rsidRPr="00BC232E">
        <w:rPr>
          <w:rFonts w:ascii="Garamond" w:eastAsiaTheme="minorHAnsi" w:hAnsi="Garamond"/>
          <w:color w:val="000000"/>
          <w14:ligatures w14:val="standardContextual"/>
        </w:rPr>
        <w:t xml:space="preserve">, nr. 25357/94, vendim i datës 30 korrik 1998; </w:t>
      </w:r>
      <w:r w:rsidRPr="00BC232E">
        <w:rPr>
          <w:rFonts w:ascii="Garamond" w:eastAsiaTheme="minorHAnsi" w:hAnsi="Garamond"/>
          <w:i/>
          <w:iCs/>
          <w:color w:val="000000"/>
          <w14:ligatures w14:val="standardContextual"/>
        </w:rPr>
        <w:t>Del Sol kundër Francës</w:t>
      </w:r>
      <w:r w:rsidRPr="00BC232E">
        <w:rPr>
          <w:rFonts w:ascii="Garamond" w:eastAsiaTheme="minorHAnsi" w:hAnsi="Garamond"/>
          <w:color w:val="000000"/>
          <w14:ligatures w14:val="standardContextual"/>
        </w:rPr>
        <w:t xml:space="preserve">, nr. 46800/99, vendim i datës 26 shkurt 2002; </w:t>
      </w:r>
      <w:proofErr w:type="spellStart"/>
      <w:r w:rsidRPr="00BC232E">
        <w:rPr>
          <w:rFonts w:ascii="Garamond" w:eastAsiaTheme="minorHAnsi" w:hAnsi="Garamond"/>
          <w:i/>
          <w:iCs/>
          <w:color w:val="000000"/>
          <w14:ligatures w14:val="standardContextual"/>
        </w:rPr>
        <w:t>Essaadi</w:t>
      </w:r>
      <w:proofErr w:type="spellEnd"/>
      <w:r w:rsidRPr="00BC232E">
        <w:rPr>
          <w:rFonts w:ascii="Garamond" w:eastAsiaTheme="minorHAnsi" w:hAnsi="Garamond"/>
          <w:i/>
          <w:iCs/>
          <w:color w:val="000000"/>
          <w14:ligatures w14:val="standardContextual"/>
        </w:rPr>
        <w:t xml:space="preserve"> kundër Francës</w:t>
      </w:r>
      <w:r w:rsidRPr="00BC232E">
        <w:rPr>
          <w:rFonts w:ascii="Garamond" w:eastAsiaTheme="minorHAnsi" w:hAnsi="Garamond"/>
          <w:color w:val="000000"/>
          <w14:ligatures w14:val="standardContextual"/>
        </w:rPr>
        <w:t xml:space="preserve">, nr. 49384/99, vendim i datës 26 shkurt 2002. </w:t>
      </w:r>
    </w:p>
    <w:p w14:paraId="3C91164A"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26. Nga këto vendime rezulton një linjë e qëndrueshme </w:t>
      </w:r>
      <w:proofErr w:type="spellStart"/>
      <w:r w:rsidRPr="00BC232E">
        <w:rPr>
          <w:rFonts w:ascii="Garamond" w:eastAsiaTheme="minorHAnsi" w:hAnsi="Garamond"/>
          <w:color w:val="000000"/>
          <w14:ligatures w14:val="standardContextual"/>
        </w:rPr>
        <w:t>jurisprudenciale</w:t>
      </w:r>
      <w:proofErr w:type="spellEnd"/>
      <w:r w:rsidRPr="00BC232E">
        <w:rPr>
          <w:rFonts w:ascii="Garamond" w:eastAsiaTheme="minorHAnsi" w:hAnsi="Garamond"/>
          <w:color w:val="000000"/>
          <w14:ligatures w14:val="standardContextual"/>
        </w:rPr>
        <w:t xml:space="preserve">, se </w:t>
      </w:r>
      <w:proofErr w:type="spellStart"/>
      <w:r w:rsidRPr="00BC232E">
        <w:rPr>
          <w:rFonts w:ascii="Garamond" w:eastAsiaTheme="minorHAnsi" w:hAnsi="Garamond"/>
          <w:color w:val="000000"/>
          <w14:ligatures w14:val="standardContextual"/>
        </w:rPr>
        <w:t>aksesi</w:t>
      </w:r>
      <w:proofErr w:type="spellEnd"/>
      <w:r w:rsidRPr="00BC232E">
        <w:rPr>
          <w:rFonts w:ascii="Garamond" w:eastAsiaTheme="minorHAnsi" w:hAnsi="Garamond"/>
          <w:color w:val="000000"/>
          <w14:ligatures w14:val="standardContextual"/>
        </w:rPr>
        <w:t xml:space="preserve"> në gjykatë dhe ndihma juridike nuk vlerësohen vetëm nga ekzistenca e tyre formale në ligj, por nga mënyra se si ato funksionojnë në praktikë. Për këtë arsye, kur gjykata interpreton dispozitat e së drejtës së brendshme që rregullojnë ndihmën juridike dytësore, ajo duhet të mbajë parasysh jo vetëm tekstin e normës, por edhe qëllimin e saj, efektivitetin e mekanizmit dhe ndikimin që zgjidhja procedurale mund të ketë mbi mundësinë reale të palës për të ushtruar të drejtat e saj në proces. Në këtë kuptim, interpretimi i nenit 20/1 të ligjit nr. 111/2017 nuk mund të bëhet i shkëputur nga funksioni që ndihma juridike dytësore përmbush në fazën konkrete të gjykimit. Ai duhet të orientohet nga një lexim që ruan njëkohësisht rregullin e kompetencës dhe efektivitetin e mbrojtjes që ligji synon të garantojë.</w:t>
      </w:r>
    </w:p>
    <w:p w14:paraId="2510E6C8" w14:textId="77777777" w:rsidR="00BC232E" w:rsidRPr="00BC232E" w:rsidRDefault="00BC232E" w:rsidP="00BC232E">
      <w:pPr>
        <w:autoSpaceDE w:val="0"/>
        <w:autoSpaceDN w:val="0"/>
        <w:adjustRightInd w:val="0"/>
        <w:ind w:firstLine="284"/>
        <w:jc w:val="both"/>
        <w:rPr>
          <w:rFonts w:ascii="Garamond" w:eastAsiaTheme="minorHAnsi" w:hAnsi="Garamond"/>
          <w:color w:val="FF0000"/>
          <w14:ligatures w14:val="standardContextual"/>
        </w:rPr>
      </w:pPr>
      <w:r w:rsidRPr="00BC232E">
        <w:rPr>
          <w:rFonts w:ascii="Garamond" w:eastAsiaTheme="minorHAnsi" w:hAnsi="Garamond"/>
          <w:color w:val="000000"/>
          <w14:ligatures w14:val="standardContextual"/>
        </w:rPr>
        <w:t xml:space="preserve">27. Në të njëjtën linjë, Kolegji vlerëson se efektiviteti i ndihmës juridike dytësore nuk matet vetëm me faktin nëse kërkuesi ka mundësi të paraqesë formalisht një kërkesë, por edhe me faktin nëse vendimi mbi këtë kërkesë merret nga gjykata që mund ta bëjë ndihmën të dobishme në fazën konkrete të procesit. Një ndihmë juridike e dhënë me vonesë, ose nga një forum i shkëputur nga faza ku kërkohet mbrojtja, mund të mbetet formalisht </w:t>
      </w:r>
      <w:proofErr w:type="spellStart"/>
      <w:r w:rsidRPr="00BC232E">
        <w:rPr>
          <w:rFonts w:ascii="Garamond" w:eastAsiaTheme="minorHAnsi" w:hAnsi="Garamond"/>
          <w:color w:val="000000"/>
          <w14:ligatures w14:val="standardContextual"/>
        </w:rPr>
        <w:t>ekzistente</w:t>
      </w:r>
      <w:proofErr w:type="spellEnd"/>
      <w:r w:rsidRPr="00BC232E">
        <w:rPr>
          <w:rFonts w:ascii="Garamond" w:eastAsiaTheme="minorHAnsi" w:hAnsi="Garamond"/>
          <w:color w:val="000000"/>
          <w14:ligatures w14:val="standardContextual"/>
        </w:rPr>
        <w:t>, por praktikisht joefektive</w:t>
      </w:r>
      <w:r w:rsidRPr="00BC232E">
        <w:rPr>
          <w:rFonts w:ascii="Garamond" w:eastAsiaTheme="minorHAnsi" w:hAnsi="Garamond"/>
          <w:color w:val="FF0000"/>
          <w14:ligatures w14:val="standardContextual"/>
        </w:rPr>
        <w:t>.</w:t>
      </w:r>
    </w:p>
    <w:p w14:paraId="003DB8B9" w14:textId="22ECB6A7" w:rsidR="00BC232E" w:rsidRPr="00BC232E" w:rsidRDefault="00BC232E" w:rsidP="00BC232E">
      <w:pPr>
        <w:autoSpaceDE w:val="0"/>
        <w:autoSpaceDN w:val="0"/>
        <w:adjustRightInd w:val="0"/>
        <w:ind w:firstLine="284"/>
        <w:jc w:val="both"/>
        <w:rPr>
          <w:rFonts w:ascii="Garamond" w:eastAsiaTheme="minorHAnsi" w:hAnsi="Garamond"/>
          <w:b/>
          <w:bCs/>
          <w:i/>
          <w:iCs/>
          <w:color w:val="000000"/>
          <w14:ligatures w14:val="standardContextual"/>
        </w:rPr>
      </w:pPr>
      <w:r w:rsidRPr="00BC232E">
        <w:rPr>
          <w:rFonts w:ascii="Garamond" w:eastAsiaTheme="minorHAnsi" w:hAnsi="Garamond"/>
          <w:b/>
          <w:bCs/>
          <w:i/>
          <w:iCs/>
          <w:color w:val="000000"/>
          <w14:ligatures w14:val="standardContextual"/>
        </w:rPr>
        <w:t>C.</w:t>
      </w:r>
      <w:r w:rsidRPr="00275D6E">
        <w:rPr>
          <w:rFonts w:ascii="Garamond" w:eastAsiaTheme="minorHAnsi" w:hAnsi="Garamond"/>
          <w:b/>
          <w:bCs/>
          <w:i/>
          <w:iCs/>
          <w:color w:val="000000"/>
          <w14:ligatures w14:val="standardContextual"/>
        </w:rPr>
        <w:t xml:space="preserve"> </w:t>
      </w:r>
      <w:r w:rsidRPr="00BC232E">
        <w:rPr>
          <w:rFonts w:ascii="Garamond" w:eastAsiaTheme="minorHAnsi" w:hAnsi="Garamond"/>
          <w:b/>
          <w:bCs/>
          <w:i/>
          <w:iCs/>
          <w:color w:val="000000"/>
          <w14:ligatures w14:val="standardContextual"/>
        </w:rPr>
        <w:t>Arsyetimi i Kolegjit Administrativ për rregullin njësues</w:t>
      </w:r>
    </w:p>
    <w:p w14:paraId="003A75A0" w14:textId="7777777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28. Kompetenca e gjykatës për shqyrtimin e një mosmarrëveshjeje është parakusht themelor i procesit të rregullt ligjor. Nëse një gjykatë nuk ka juridiksion ose kompetencë për të shqyrtuar çështjen objekt gjykimi, ajo nuk mund të kryejë veprime procedurale të vlefshme. Në kuptimin procedural, kompetenca lëndore dhe funksionale përcakton kufirin brenda të cilit gjykata mund të marrë në shqyrtim pretendimet dhe prapësimet e palëve. Mungesa e këtij parakushti cenon vlefshmërinë e veprimtarisë procedurale të kryer nga gjykata </w:t>
      </w:r>
      <w:proofErr w:type="spellStart"/>
      <w:r w:rsidRPr="00BC232E">
        <w:rPr>
          <w:rFonts w:ascii="Garamond" w:eastAsiaTheme="minorHAnsi" w:hAnsi="Garamond"/>
          <w:color w:val="000000"/>
          <w14:ligatures w14:val="standardContextual"/>
        </w:rPr>
        <w:t>jokompetente</w:t>
      </w:r>
      <w:proofErr w:type="spellEnd"/>
      <w:r w:rsidRPr="00BC232E">
        <w:rPr>
          <w:rFonts w:ascii="Garamond" w:eastAsiaTheme="minorHAnsi" w:hAnsi="Garamond"/>
          <w:color w:val="000000"/>
          <w14:ligatures w14:val="standardContextual"/>
        </w:rPr>
        <w:t xml:space="preserve"> dhe përbën shkelje që duhet të merret parasysh në çdo gjendje dhe shkallë të gjykimit, pavarësisht nga mënyra se si është zgjidhur çështja në themel. Për këtë arsye, përcaktimi i gjykatës kompetente për shqyrtimin e kërkesës për ndihmë juridike dytësore nuk është çështje thjesht organizative, por lidhet drejtpërdrejt me vlefshmërinë e procedurës dhe me garantimin e së drejtës për </w:t>
      </w:r>
      <w:proofErr w:type="spellStart"/>
      <w:r w:rsidRPr="00BC232E">
        <w:rPr>
          <w:rFonts w:ascii="Garamond" w:eastAsiaTheme="minorHAnsi" w:hAnsi="Garamond"/>
          <w:color w:val="000000"/>
          <w14:ligatures w14:val="standardContextual"/>
        </w:rPr>
        <w:t>akses</w:t>
      </w:r>
      <w:proofErr w:type="spellEnd"/>
      <w:r w:rsidRPr="00BC232E">
        <w:rPr>
          <w:rFonts w:ascii="Garamond" w:eastAsiaTheme="minorHAnsi" w:hAnsi="Garamond"/>
          <w:color w:val="000000"/>
          <w14:ligatures w14:val="standardContextual"/>
        </w:rPr>
        <w:t xml:space="preserve"> efektiv në gjykatë. </w:t>
      </w:r>
    </w:p>
    <w:p w14:paraId="5DBF2C94" w14:textId="7777777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color w:val="000000"/>
          <w14:ligatures w14:val="standardContextual"/>
        </w:rPr>
        <w:t xml:space="preserve">29. Për qëllimin e njësimit të praktikës gjyqësore, Kolegji çmon se interpretimi i ligjit nr. 111/2017, në lidhje me gjykatën kompetente për shqyrtimin e kërkesës për dhënien e ndihmës juridike dytësore, duhet të bëhet duke mbajtur parasysh jo vetëm rregullin procedural të kompetencës, por edhe funksionin kushtetues që përmbush kjo ndihmë në garantimin e mbrojtjes efektive. Ndihma juridike dytësore nuk është një kërkesë procedurale e zakonshme. Ajo është mjeti përmes të cilit individi, që nuk ka mundësi financiare ose ndodhet në kushte të veçanta ligjore, bëhet realisht i aftë të marrë pjesë në proces dhe të ushtrojë të drejtat e tij. Prandaj, interpretimi i kompetencës nuk mund të shkëputet nga qëllimi i ligjit për të garantuar </w:t>
      </w:r>
      <w:proofErr w:type="spellStart"/>
      <w:r w:rsidRPr="00BC232E">
        <w:rPr>
          <w:rFonts w:ascii="Garamond" w:eastAsiaTheme="minorHAnsi" w:hAnsi="Garamond"/>
          <w:color w:val="000000"/>
          <w14:ligatures w14:val="standardContextual"/>
        </w:rPr>
        <w:t>akses</w:t>
      </w:r>
      <w:proofErr w:type="spellEnd"/>
      <w:r w:rsidRPr="00BC232E">
        <w:rPr>
          <w:rFonts w:ascii="Garamond" w:eastAsiaTheme="minorHAnsi" w:hAnsi="Garamond"/>
          <w:color w:val="000000"/>
          <w14:ligatures w14:val="standardContextual"/>
        </w:rPr>
        <w:t xml:space="preserve"> të barabartë, mbrojtje profesionale dhe efektivitet të procesit gjyqësor. </w:t>
      </w:r>
    </w:p>
    <w:p w14:paraId="0A1DFF1D"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14:ligatures w14:val="standardContextual"/>
        </w:rPr>
        <w:t xml:space="preserve">30. </w:t>
      </w:r>
      <w:r w:rsidRPr="00BC232E">
        <w:rPr>
          <w:rFonts w:ascii="Garamond" w:eastAsiaTheme="minorHAnsi" w:hAnsi="Garamond"/>
          <w:color w:val="000000"/>
          <w14:ligatures w14:val="standardContextual"/>
        </w:rPr>
        <w:t>Çështja e shtruar për njësim nuk është thjesht teknike. Ajo përcakton nëse kërkesa për ndihmë juridike do të shqyrtohet nga gjykata ku pala ka nevojë konkrete për mbrojtje, apo nga një gjykatë e shkëputur nga faza procedurale ku ndodhet çështja. Në rastin konkret, kërkesa është paraqitur kur çështja e themelit ishte regjistruar në Gjykatën Administrative të Apelit.</w:t>
      </w:r>
    </w:p>
    <w:p w14:paraId="3BD0B920" w14:textId="7777777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color w:val="000000"/>
          <w14:ligatures w14:val="standardContextual"/>
        </w:rPr>
        <w:t xml:space="preserve">31. Në planin kushtetues, pikënisja është neni 42 i Kushtetutës, i cili garanton procesin e rregullt ligjor dhe të drejtën e çdo personi për gjykim të drejtë brenda një afati të arsyeshëm nga një gjykatë e caktuar me ligj. Njëkohësisht, neni 141/2 i Kushtetutës i jep Gjykatës së Lartë funksionin e njësimit, zhvillimit ose ndryshimit të praktikës gjyqësore. Në ushtrimin e këtij funksioni, Gjykata e Lartë nuk krijon norma të reja, por zgjedh ndër interpretimet e mundshme të ligjit, atë që është më i pajtueshëm me Kushtetutën, me qëllimin e normës dhe me funksionin që ajo duhet të përmbushë në praktikë. Për këtë arsye, vetëm një interpretim që ruan njëkohësisht besnikërinë ndaj tekstit të ligjit dhe garantimin real të </w:t>
      </w:r>
      <w:proofErr w:type="spellStart"/>
      <w:r w:rsidRPr="00BC232E">
        <w:rPr>
          <w:rFonts w:ascii="Garamond" w:eastAsiaTheme="minorHAnsi" w:hAnsi="Garamond"/>
          <w:color w:val="000000"/>
          <w14:ligatures w14:val="standardContextual"/>
        </w:rPr>
        <w:t>aksesit</w:t>
      </w:r>
      <w:proofErr w:type="spellEnd"/>
      <w:r w:rsidRPr="00BC232E">
        <w:rPr>
          <w:rFonts w:ascii="Garamond" w:eastAsiaTheme="minorHAnsi" w:hAnsi="Garamond"/>
          <w:color w:val="000000"/>
          <w14:ligatures w14:val="standardContextual"/>
        </w:rPr>
        <w:t xml:space="preserve"> në drejtësi mund t’i shërbejë njësimit të praktikës gjyqësore. </w:t>
      </w:r>
    </w:p>
    <w:p w14:paraId="515AE64D" w14:textId="5E764DA2"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14:ligatures w14:val="standardContextual"/>
        </w:rPr>
        <w:lastRenderedPageBreak/>
        <w:t xml:space="preserve">32. Ligji nr. 111/2017 e paraqet ndihmën juridike të garantuar nga shteti si mjet për </w:t>
      </w:r>
      <w:proofErr w:type="spellStart"/>
      <w:r w:rsidRPr="00BC232E">
        <w:rPr>
          <w:rFonts w:ascii="Garamond" w:eastAsiaTheme="minorHAnsi" w:hAnsi="Garamond"/>
          <w14:ligatures w14:val="standardContextual"/>
        </w:rPr>
        <w:t>akses</w:t>
      </w:r>
      <w:proofErr w:type="spellEnd"/>
      <w:r w:rsidRPr="00BC232E">
        <w:rPr>
          <w:rFonts w:ascii="Garamond" w:eastAsiaTheme="minorHAnsi" w:hAnsi="Garamond"/>
          <w14:ligatures w14:val="standardContextual"/>
        </w:rPr>
        <w:t xml:space="preserve"> të barabartë në drejtësi dhe për ofrim profesional, cilësor, </w:t>
      </w:r>
      <w:proofErr w:type="spellStart"/>
      <w:r w:rsidRPr="00BC232E">
        <w:rPr>
          <w:rFonts w:ascii="Garamond" w:eastAsiaTheme="minorHAnsi" w:hAnsi="Garamond"/>
          <w14:ligatures w14:val="standardContextual"/>
        </w:rPr>
        <w:t>efi</w:t>
      </w:r>
      <w:r w:rsidR="00453172">
        <w:rPr>
          <w:rFonts w:ascii="Garamond" w:eastAsiaTheme="minorHAnsi" w:hAnsi="Garamond"/>
          <w14:ligatures w14:val="standardContextual"/>
        </w:rPr>
        <w:t>ci</w:t>
      </w:r>
      <w:r w:rsidRPr="00BC232E">
        <w:rPr>
          <w:rFonts w:ascii="Garamond" w:eastAsiaTheme="minorHAnsi" w:hAnsi="Garamond"/>
          <w14:ligatures w14:val="standardContextual"/>
        </w:rPr>
        <w:t>ent</w:t>
      </w:r>
      <w:proofErr w:type="spellEnd"/>
      <w:r w:rsidRPr="00BC232E">
        <w:rPr>
          <w:rFonts w:ascii="Garamond" w:eastAsiaTheme="minorHAnsi" w:hAnsi="Garamond"/>
          <w14:ligatures w14:val="standardContextual"/>
        </w:rPr>
        <w:t xml:space="preserve"> dhe efektiv të shërbimit. Ky ligj e ngre në nivel parimesh </w:t>
      </w:r>
      <w:proofErr w:type="spellStart"/>
      <w:r w:rsidRPr="00BC232E">
        <w:rPr>
          <w:rFonts w:ascii="Garamond" w:eastAsiaTheme="minorHAnsi" w:hAnsi="Garamond"/>
          <w14:ligatures w14:val="standardContextual"/>
        </w:rPr>
        <w:t>efi</w:t>
      </w:r>
      <w:r w:rsidR="00453172">
        <w:rPr>
          <w:rFonts w:ascii="Garamond" w:eastAsiaTheme="minorHAnsi" w:hAnsi="Garamond"/>
          <w14:ligatures w14:val="standardContextual"/>
        </w:rPr>
        <w:t>ci</w:t>
      </w:r>
      <w:r w:rsidRPr="00BC232E">
        <w:rPr>
          <w:rFonts w:ascii="Garamond" w:eastAsiaTheme="minorHAnsi" w:hAnsi="Garamond"/>
          <w14:ligatures w14:val="standardContextual"/>
        </w:rPr>
        <w:t>encën</w:t>
      </w:r>
      <w:proofErr w:type="spellEnd"/>
      <w:r w:rsidRPr="00BC232E">
        <w:rPr>
          <w:rFonts w:ascii="Garamond" w:eastAsiaTheme="minorHAnsi" w:hAnsi="Garamond"/>
          <w14:ligatures w14:val="standardContextual"/>
        </w:rPr>
        <w:t xml:space="preserve">, efikasitetin në kosto dhe shmangien e vonesave. Neni 19 lejon paraqitjen e kërkesës në çdo fazë të procesit gjyqësor; neni 20/1 parashikon se ajo paraqitet në gjykatën kompetente për shqyrtimin e çështjes në themel; neni 21, për fushën penale, e lidh kompetencën me organin procedues, ndërsa neni 22 i referohet legjislacionit procedural, parashikon afate të ndryshme sipas fazës së procesit dhe autorizon gjykatën të shmangë vonesa që cenojnë thelbin e të drejtave të kërkuesit. </w:t>
      </w:r>
      <w:r w:rsidRPr="00BC232E">
        <w:rPr>
          <w:rFonts w:ascii="Garamond" w:eastAsiaTheme="minorHAnsi" w:hAnsi="Garamond"/>
          <w:color w:val="000000"/>
          <w14:ligatures w14:val="standardContextual"/>
        </w:rPr>
        <w:t>Nga leximi i përbashkët i këtyre dispozitave rezulton se ligji ndërthur dy kërkesa: respektimin e rregullit të kompetencës dhe sigurimin e efektivitetit të ndihmës juridike në fazën ku ajo kërkohet.</w:t>
      </w:r>
      <w:r w:rsidR="00315FCD">
        <w:rPr>
          <w:rFonts w:ascii="Garamond" w:eastAsiaTheme="minorHAnsi" w:hAnsi="Garamond"/>
          <w:color w:val="000000"/>
          <w14:ligatures w14:val="standardContextual"/>
        </w:rPr>
        <w:t xml:space="preserve"> </w:t>
      </w:r>
    </w:p>
    <w:p w14:paraId="27420478" w14:textId="7777777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14:ligatures w14:val="standardContextual"/>
        </w:rPr>
        <w:t xml:space="preserve">33. </w:t>
      </w:r>
      <w:r w:rsidRPr="00BC232E">
        <w:rPr>
          <w:rFonts w:ascii="Garamond" w:eastAsiaTheme="minorHAnsi" w:hAnsi="Garamond"/>
          <w:color w:val="000000"/>
          <w14:ligatures w14:val="standardContextual"/>
        </w:rPr>
        <w:t xml:space="preserve">Përpara se të përcaktohet kuptimi i shprehjes </w:t>
      </w:r>
      <w:r w:rsidRPr="00BC232E">
        <w:rPr>
          <w:rFonts w:ascii="Garamond" w:eastAsiaTheme="minorHAnsi" w:hAnsi="Garamond"/>
          <w:i/>
          <w:iCs/>
          <w:color w:val="000000"/>
          <w14:ligatures w14:val="standardContextual"/>
        </w:rPr>
        <w:t>“gjykata kompetente për shqyrtimin e çështjes në themel”</w:t>
      </w:r>
      <w:r w:rsidRPr="00BC232E">
        <w:rPr>
          <w:rFonts w:ascii="Garamond" w:eastAsiaTheme="minorHAnsi" w:hAnsi="Garamond"/>
          <w:color w:val="000000"/>
          <w14:ligatures w14:val="standardContextual"/>
        </w:rPr>
        <w:t xml:space="preserve">, duhet vënë në dukje se ligji nr. 111/2017 nuk e koncepton ndihmën juridike të garantuar nga shteti si një mekanizëm që aktivizohet vetëm përpara gjykatës. Nga objekti, qëllimi dhe struktura e tij rezulton se ligjvënësi ka ngritur një sistem publik të organizuar, i cili synon të identifikojë, orientojë dhe trajtojë sa më shpejt nevojën e qytetarit për ndihmë juridike. Gjykata është një hallkë e rëndësishme e këtij sistemi, por jo </w:t>
      </w:r>
      <w:proofErr w:type="spellStart"/>
      <w:r w:rsidRPr="00BC232E">
        <w:rPr>
          <w:rFonts w:ascii="Garamond" w:eastAsiaTheme="minorHAnsi" w:hAnsi="Garamond"/>
          <w:color w:val="000000"/>
          <w14:ligatures w14:val="standardContextual"/>
        </w:rPr>
        <w:t>domosdoshmërisht</w:t>
      </w:r>
      <w:proofErr w:type="spellEnd"/>
      <w:r w:rsidRPr="00BC232E">
        <w:rPr>
          <w:rFonts w:ascii="Garamond" w:eastAsiaTheme="minorHAnsi" w:hAnsi="Garamond"/>
          <w:color w:val="000000"/>
          <w14:ligatures w14:val="standardContextual"/>
        </w:rPr>
        <w:t xml:space="preserve"> hallka e parë. Për këtë arsye, analiza e kompetencës gjyqësore duhet të bëhet duke mbajtur parasysh edhe funksionin paraprak, orientues dhe mbështetës të mekanizmit publik të ndihmës juridike. </w:t>
      </w:r>
    </w:p>
    <w:p w14:paraId="2AB24A09" w14:textId="014E99AB"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14:ligatures w14:val="standardContextual"/>
        </w:rPr>
        <w:t xml:space="preserve">34. Vetë neni 1 i ligjit përcakton format, kushtet, procedurën dhe rregullat për organizimin e ndihmës juridike të garantuar nga shteti. Neni 2 synon jo vetëm </w:t>
      </w:r>
      <w:proofErr w:type="spellStart"/>
      <w:r w:rsidRPr="00BC232E">
        <w:rPr>
          <w:rFonts w:ascii="Garamond" w:eastAsiaTheme="minorHAnsi" w:hAnsi="Garamond"/>
          <w14:ligatures w14:val="standardContextual"/>
        </w:rPr>
        <w:t>aksesin</w:t>
      </w:r>
      <w:proofErr w:type="spellEnd"/>
      <w:r w:rsidRPr="00BC232E">
        <w:rPr>
          <w:rFonts w:ascii="Garamond" w:eastAsiaTheme="minorHAnsi" w:hAnsi="Garamond"/>
          <w14:ligatures w14:val="standardContextual"/>
        </w:rPr>
        <w:t xml:space="preserve"> e barabartë në drejtësi, por edhe mirëfunksionimin e institucioneve shtetërore përgjegjëse dhe ofrimin e shërbimeve në mënyrë </w:t>
      </w:r>
      <w:proofErr w:type="spellStart"/>
      <w:r w:rsidRPr="00BC232E">
        <w:rPr>
          <w:rFonts w:ascii="Garamond" w:eastAsiaTheme="minorHAnsi" w:hAnsi="Garamond"/>
          <w14:ligatures w14:val="standardContextual"/>
        </w:rPr>
        <w:t>efi</w:t>
      </w:r>
      <w:r w:rsidR="00453172">
        <w:rPr>
          <w:rFonts w:ascii="Garamond" w:eastAsiaTheme="minorHAnsi" w:hAnsi="Garamond"/>
          <w14:ligatures w14:val="standardContextual"/>
        </w:rPr>
        <w:t>ci</w:t>
      </w:r>
      <w:r w:rsidRPr="00BC232E">
        <w:rPr>
          <w:rFonts w:ascii="Garamond" w:eastAsiaTheme="minorHAnsi" w:hAnsi="Garamond"/>
          <w14:ligatures w14:val="standardContextual"/>
        </w:rPr>
        <w:t>ente</w:t>
      </w:r>
      <w:proofErr w:type="spellEnd"/>
      <w:r w:rsidRPr="00BC232E">
        <w:rPr>
          <w:rFonts w:ascii="Garamond" w:eastAsiaTheme="minorHAnsi" w:hAnsi="Garamond"/>
          <w14:ligatures w14:val="standardContextual"/>
        </w:rPr>
        <w:t xml:space="preserve"> dhe efektive. Neni 6 identifikon si institucione përgjegjëse për zbatimin e tij </w:t>
      </w:r>
      <w:r w:rsidRPr="00BC232E">
        <w:rPr>
          <w:rFonts w:ascii="Garamond" w:eastAsiaTheme="minorHAnsi" w:hAnsi="Garamond"/>
          <w:color w:val="000000"/>
          <w14:ligatures w14:val="standardContextual"/>
        </w:rPr>
        <w:t xml:space="preserve">Ministrinë e Drejtësisë, Drejtorinë e Ndihmës Juridike Falas, Dhomën Kombëtare të Avokatisë dhe gjykatat kompetente. Kjo tregon se gjykata është një nga hallkat e sistemit, jo porta e vetme dhe as </w:t>
      </w:r>
      <w:proofErr w:type="spellStart"/>
      <w:r w:rsidRPr="00BC232E">
        <w:rPr>
          <w:rFonts w:ascii="Garamond" w:eastAsiaTheme="minorHAnsi" w:hAnsi="Garamond"/>
          <w:color w:val="000000"/>
          <w14:ligatures w14:val="standardContextual"/>
        </w:rPr>
        <w:t>domosdoshmërisht</w:t>
      </w:r>
      <w:proofErr w:type="spellEnd"/>
      <w:r w:rsidRPr="00BC232E">
        <w:rPr>
          <w:rFonts w:ascii="Garamond" w:eastAsiaTheme="minorHAnsi" w:hAnsi="Garamond"/>
          <w:color w:val="000000"/>
          <w14:ligatures w14:val="standardContextual"/>
        </w:rPr>
        <w:t xml:space="preserve"> porta e parë e aktivizimit të ndihmës juridike. Roli i </w:t>
      </w:r>
      <w:r w:rsidR="00B478AD" w:rsidRPr="00BC232E">
        <w:rPr>
          <w:rFonts w:ascii="Garamond" w:eastAsiaTheme="minorHAnsi" w:hAnsi="Garamond"/>
          <w:color w:val="000000"/>
          <w14:ligatures w14:val="standardContextual"/>
        </w:rPr>
        <w:t xml:space="preserve">ministrit </w:t>
      </w:r>
      <w:r w:rsidRPr="00BC232E">
        <w:rPr>
          <w:rFonts w:ascii="Garamond" w:eastAsiaTheme="minorHAnsi" w:hAnsi="Garamond"/>
          <w:color w:val="000000"/>
          <w14:ligatures w14:val="standardContextual"/>
        </w:rPr>
        <w:t>të Drejtësisë dhe i Drejtorisë së Ndihmës Juridike Falas në miratimin e formularëve, administrimin e regjistrave, menaxhimin e fondeve, lidhjen e kontratave me avokatët, kryerjen e pagesave dhe mbikëqyrjen e standardeve të ofrimit të shërbimit, dëshmon se ligji e ndërton ndihmën juridike si një mekanizëm publik të organizuar paraprakisht, i cili duhet të jetë funksional përpara se çështja të kërkojë zgjidhje gjyqësore.</w:t>
      </w:r>
    </w:p>
    <w:p w14:paraId="14CEF7F7" w14:textId="632A45D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14:ligatures w14:val="standardContextual"/>
        </w:rPr>
        <w:t>35. Kjo logjikë del qartë edhe nga rregullimi i ndihmës juridike parësore, e cila, sipas neneve 13</w:t>
      </w:r>
      <w:r w:rsidR="00146F85">
        <w:rPr>
          <w:rFonts w:ascii="Garamond" w:eastAsiaTheme="minorHAnsi" w:hAnsi="Garamond"/>
          <w14:ligatures w14:val="standardContextual"/>
        </w:rPr>
        <w:t>–</w:t>
      </w:r>
      <w:r w:rsidRPr="00BC232E">
        <w:rPr>
          <w:rFonts w:ascii="Garamond" w:eastAsiaTheme="minorHAnsi" w:hAnsi="Garamond"/>
          <w14:ligatures w14:val="standardContextual"/>
        </w:rPr>
        <w:t xml:space="preserve">17 të ligjit, ofrohet nga punonjësit me trajnim të posaçëm, organizatat jofitimprurëse të autorizuara dhe klinikat ligjore. Ajo jepet menjëherë me marrjen e kërkesës dhe, kur konstatohet nevoja për ndihmë juridike dytësore, personi informohet për kushtet e përfitimit dhe ndihmohet për plotësimin e kërkesës përkatëse. </w:t>
      </w:r>
      <w:r w:rsidRPr="00BC232E">
        <w:rPr>
          <w:rFonts w:ascii="Garamond" w:eastAsiaTheme="minorHAnsi" w:hAnsi="Garamond"/>
          <w:color w:val="000000"/>
          <w14:ligatures w14:val="standardContextual"/>
        </w:rPr>
        <w:t xml:space="preserve">Në këtë mënyrë, ligji krijon një hallkë paraprake orientimi dhe mbështetjeje, që synon ta afrojë qytetarin me mekanizmin e mbrojtjes juridike përpara se mungesa e ndihmës profesionale të ndikojë në ushtrimin e të drejtave të tij procedurale. </w:t>
      </w:r>
    </w:p>
    <w:p w14:paraId="630B7726" w14:textId="7777777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14:ligatures w14:val="standardContextual"/>
        </w:rPr>
        <w:t xml:space="preserve">36. </w:t>
      </w:r>
      <w:r w:rsidRPr="00BC232E">
        <w:rPr>
          <w:rFonts w:ascii="Garamond" w:eastAsiaTheme="minorHAnsi" w:hAnsi="Garamond"/>
          <w:color w:val="000000"/>
          <w14:ligatures w14:val="standardContextual"/>
        </w:rPr>
        <w:t xml:space="preserve">Edhe në fushën e ndihmës juridike dytësore, ligji ruan logjikën e ndërhyrjes së shpejtë, funksionale dhe të lidhur me fazën ku lind nevoja për mbrojtje. Ndonëse shqyrtimi i kërkesës, sipas nenit 20, i besohet gjykatës kompetente, neni 21 tregon se kur nevoja për mbrojtje kërkon reagim të menjëhershëm në procesin penal, organi procedues që fillon hetimet shqyrton kriteret ligjore dhe cakton avokatin. Ky rregullim nuk shtrihet mekanikisht në çështjet civile ose administrative, por ka rëndësi </w:t>
      </w:r>
      <w:proofErr w:type="spellStart"/>
      <w:r w:rsidRPr="00BC232E">
        <w:rPr>
          <w:rFonts w:ascii="Garamond" w:eastAsiaTheme="minorHAnsi" w:hAnsi="Garamond"/>
          <w:color w:val="000000"/>
          <w14:ligatures w14:val="standardContextual"/>
        </w:rPr>
        <w:t>interpretative</w:t>
      </w:r>
      <w:proofErr w:type="spellEnd"/>
      <w:r w:rsidRPr="00BC232E">
        <w:rPr>
          <w:rFonts w:ascii="Garamond" w:eastAsiaTheme="minorHAnsi" w:hAnsi="Garamond"/>
          <w:color w:val="000000"/>
          <w14:ligatures w14:val="standardContextual"/>
        </w:rPr>
        <w:t>, sepse tregon se ligji nuk e sheh ndihmën juridike si procedurë të shkëputur nga momenti ku mbrojtja bëhet e nevojshme. Përkundrazi, ai synon që ndihma juridike të aktivizohet sa më pranë fazës procedurale ku pala ka nevojë reale për të, në mënyrë që vonesat ose mangësitë në funksionimin e sistemit të mos cenojnë ushtrimin efektiv të së drejtës për mbrojtje. Për rrjedhojë, efektiviteti nuk është një kriter i shtuar nga interpretimi gjyqësor, por një element që del nga vetë ndërtimi i ligjit.</w:t>
      </w:r>
    </w:p>
    <w:p w14:paraId="49E6E464" w14:textId="7777777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14:ligatures w14:val="standardContextual"/>
        </w:rPr>
        <w:t xml:space="preserve">37. </w:t>
      </w:r>
      <w:r w:rsidRPr="00BC232E">
        <w:rPr>
          <w:rFonts w:ascii="Garamond" w:eastAsiaTheme="minorHAnsi" w:hAnsi="Garamond"/>
          <w:color w:val="000000"/>
          <w14:ligatures w14:val="standardContextual"/>
        </w:rPr>
        <w:t xml:space="preserve">Megjithatë, roli i mekanizmit publik të ndihmës juridike nuk nënkupton se në çështjet civile dhe administrative qytetari ka detyrimin formal që, përpara se t’i drejtohet gjykatës, të kalojë </w:t>
      </w:r>
      <w:proofErr w:type="spellStart"/>
      <w:r w:rsidRPr="00BC232E">
        <w:rPr>
          <w:rFonts w:ascii="Garamond" w:eastAsiaTheme="minorHAnsi" w:hAnsi="Garamond"/>
          <w:color w:val="000000"/>
          <w14:ligatures w14:val="standardContextual"/>
        </w:rPr>
        <w:t>domosdoshmërisht</w:t>
      </w:r>
      <w:proofErr w:type="spellEnd"/>
      <w:r w:rsidRPr="00BC232E">
        <w:rPr>
          <w:rFonts w:ascii="Garamond" w:eastAsiaTheme="minorHAnsi" w:hAnsi="Garamond"/>
          <w:color w:val="000000"/>
          <w14:ligatures w14:val="standardContextual"/>
        </w:rPr>
        <w:t xml:space="preserve"> pranë strukturave publike të ndihmës juridike. Ligji nuk parashikon një parakusht të tillë </w:t>
      </w:r>
      <w:proofErr w:type="spellStart"/>
      <w:r w:rsidRPr="00BC232E">
        <w:rPr>
          <w:rFonts w:ascii="Garamond" w:eastAsiaTheme="minorHAnsi" w:hAnsi="Garamond"/>
          <w:color w:val="000000"/>
          <w14:ligatures w14:val="standardContextual"/>
        </w:rPr>
        <w:t>pranueshmërie</w:t>
      </w:r>
      <w:proofErr w:type="spellEnd"/>
      <w:r w:rsidRPr="00BC232E">
        <w:rPr>
          <w:rFonts w:ascii="Garamond" w:eastAsiaTheme="minorHAnsi" w:hAnsi="Garamond"/>
          <w:color w:val="000000"/>
          <w14:ligatures w14:val="standardContextual"/>
        </w:rPr>
        <w:t xml:space="preserve">. Përkundrazi, neni 19 lejon paraqitjen e kërkesës pranë gjykatës, ndërsa neni 20/1 e lidh shqyrtimin e saj me gjykatën kompetente për çështjen në themel. Për këtë arsye, mekanizmi publik </w:t>
      </w:r>
      <w:r w:rsidRPr="00BC232E">
        <w:rPr>
          <w:rFonts w:ascii="Garamond" w:eastAsiaTheme="minorHAnsi" w:hAnsi="Garamond"/>
          <w:color w:val="000000"/>
          <w14:ligatures w14:val="standardContextual"/>
        </w:rPr>
        <w:lastRenderedPageBreak/>
        <w:t xml:space="preserve">duhet kuptuar si garanci orientuese, ndihmëse dhe organizuese për qytetarin, jo si filtër i detyrueshëm procedural që kushtëzon </w:t>
      </w:r>
      <w:proofErr w:type="spellStart"/>
      <w:r w:rsidRPr="00BC232E">
        <w:rPr>
          <w:rFonts w:ascii="Garamond" w:eastAsiaTheme="minorHAnsi" w:hAnsi="Garamond"/>
          <w:color w:val="000000"/>
          <w14:ligatures w14:val="standardContextual"/>
        </w:rPr>
        <w:t>aksesin</w:t>
      </w:r>
      <w:proofErr w:type="spellEnd"/>
      <w:r w:rsidRPr="00BC232E">
        <w:rPr>
          <w:rFonts w:ascii="Garamond" w:eastAsiaTheme="minorHAnsi" w:hAnsi="Garamond"/>
          <w:color w:val="000000"/>
          <w14:ligatures w14:val="standardContextual"/>
        </w:rPr>
        <w:t xml:space="preserve"> e tij në gjykatë. </w:t>
      </w:r>
    </w:p>
    <w:p w14:paraId="39D4A646" w14:textId="7777777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38. Për rrjedhojë, kur kërkesa për ndihmë juridike dytësore paraqitet drejtpërdrejt në gjykatë, çështja që shtrohet për zgjidhje nuk është nëse qytetari duhej t’i ishte drejtuar më parë mekanizmit publik, por cila është gjykata kompetente për shqyrtimin e saj. Pikërisht në këtë pikë merr rëndësi interpretimi i nenit 20/1 të ligjit nr. 111/2017 dhe përcaktimi nëse shprehja </w:t>
      </w:r>
      <w:r w:rsidRPr="00BC232E">
        <w:rPr>
          <w:rFonts w:ascii="Garamond" w:eastAsiaTheme="minorHAnsi" w:hAnsi="Garamond"/>
          <w:i/>
          <w:iCs/>
          <w:color w:val="000000"/>
          <w14:ligatures w14:val="standardContextual"/>
        </w:rPr>
        <w:t>“gjykata kompetente për shqyrtimin e çështjes në themel”</w:t>
      </w:r>
      <w:r w:rsidRPr="00BC232E">
        <w:rPr>
          <w:rFonts w:ascii="Garamond" w:eastAsiaTheme="minorHAnsi" w:hAnsi="Garamond"/>
          <w:color w:val="000000"/>
          <w14:ligatures w14:val="standardContextual"/>
        </w:rPr>
        <w:t xml:space="preserve"> i referohet gjykatës së shkallës së parë që ka kompetencën fillestare për mosmarrëveshjen, apo gjykatës ku çështja ndodhet realisht në fazën konkrete të procesit. </w:t>
      </w:r>
    </w:p>
    <w:p w14:paraId="2DFB8C05" w14:textId="7EB8ACBB"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39. Lidhur me këtë përcaktim, në praktikën gjyqësore</w:t>
      </w:r>
      <w:r w:rsidR="0004474B">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siç u përmend edhe më sipër, janë shfaqur dy linja të ndryshme interpretimi. Sipas qëndrimit të parë, kërkesa për ndihmë juridike dytësore duhet të shqyrtohet nga gjykata e shkallës së parë, si gjykata që ka kompetencën fillestare lëndore dhe tokësore për zgjidhjen në themel të mosmarrëveshjes. Ky interpretim mbështetet në leximin </w:t>
      </w:r>
      <w:proofErr w:type="spellStart"/>
      <w:r w:rsidRPr="00BC232E">
        <w:rPr>
          <w:rFonts w:ascii="Garamond" w:eastAsiaTheme="minorHAnsi" w:hAnsi="Garamond"/>
          <w:color w:val="000000"/>
          <w14:ligatures w14:val="standardContextual"/>
        </w:rPr>
        <w:t>literal</w:t>
      </w:r>
      <w:proofErr w:type="spellEnd"/>
      <w:r w:rsidRPr="00BC232E">
        <w:rPr>
          <w:rFonts w:ascii="Garamond" w:eastAsiaTheme="minorHAnsi" w:hAnsi="Garamond"/>
          <w:color w:val="000000"/>
          <w14:ligatures w14:val="standardContextual"/>
        </w:rPr>
        <w:t xml:space="preserve"> dhe sistematik të nenit 20/1, sipas të cilit togfjalëshi </w:t>
      </w:r>
      <w:r w:rsidRPr="00BC232E">
        <w:rPr>
          <w:rFonts w:ascii="Garamond" w:eastAsiaTheme="minorHAnsi" w:hAnsi="Garamond"/>
          <w:i/>
          <w:iCs/>
          <w:color w:val="000000"/>
          <w14:ligatures w14:val="standardContextual"/>
        </w:rPr>
        <w:t>“gjykata kompetente për shqyrtimin e çështjes në themel”</w:t>
      </w:r>
      <w:r w:rsidRPr="00BC232E">
        <w:rPr>
          <w:rFonts w:ascii="Garamond" w:eastAsiaTheme="minorHAnsi" w:hAnsi="Garamond"/>
          <w:color w:val="000000"/>
          <w14:ligatures w14:val="standardContextual"/>
        </w:rPr>
        <w:t xml:space="preserve"> lidhet me gjykatën që shqyrton fillimisht themelin e çështjes. Ai mbështetet</w:t>
      </w:r>
      <w:r w:rsidR="00706E4F">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gjithashtu</w:t>
      </w:r>
      <w:r w:rsidR="00706E4F">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në nenin 22, pikat 7 dhe 8, të ligjit nr. 111/2017, të cilat parashikojnë ankimin e veçantë kundër vendimit që rrëzon kërkesën për ndihmë juridike dytësore dhe shqyrtimin e këtij ankimi nga gjykata e apelit, pa pasur të drejtë për rekurs në Gjykatën e Lartë.</w:t>
      </w:r>
    </w:p>
    <w:p w14:paraId="26376553" w14:textId="0DC77C12"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40. Ky qëndrim ruan skemën klasike të kontrollit gjyqësor, siguron rrugën procedurale të ankimit të veçantë dhe në pamje të parë paraqitet si një lexim i kujdesshëm i nenit 20/1</w:t>
      </w:r>
      <w:r w:rsidR="00706E4F">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në lidhje me nenin 22 të ligjit nr. 111/2017. Për këtë arsye, ai nuk mund të refuzohet </w:t>
      </w:r>
      <w:r w:rsidRPr="00BC232E">
        <w:rPr>
          <w:rFonts w:ascii="Garamond" w:eastAsiaTheme="minorHAnsi" w:hAnsi="Garamond"/>
          <w:i/>
          <w:iCs/>
          <w:color w:val="000000"/>
          <w14:ligatures w14:val="standardContextual"/>
        </w:rPr>
        <w:t>apriori</w:t>
      </w:r>
      <w:r w:rsidRPr="00BC232E">
        <w:rPr>
          <w:rFonts w:ascii="Garamond" w:eastAsiaTheme="minorHAnsi" w:hAnsi="Garamond"/>
          <w:color w:val="000000"/>
          <w14:ligatures w14:val="standardContextual"/>
        </w:rPr>
        <w:t xml:space="preserve"> si formalist apo i pabazuar. Megjithatë, </w:t>
      </w:r>
      <w:proofErr w:type="spellStart"/>
      <w:r w:rsidRPr="00BC232E">
        <w:rPr>
          <w:rFonts w:ascii="Garamond" w:eastAsiaTheme="minorHAnsi" w:hAnsi="Garamond"/>
          <w:color w:val="000000"/>
          <w14:ligatures w14:val="standardContextual"/>
        </w:rPr>
        <w:t>pranueshmëria</w:t>
      </w:r>
      <w:proofErr w:type="spellEnd"/>
      <w:r w:rsidRPr="00BC232E">
        <w:rPr>
          <w:rFonts w:ascii="Garamond" w:eastAsiaTheme="minorHAnsi" w:hAnsi="Garamond"/>
          <w:color w:val="000000"/>
          <w14:ligatures w14:val="standardContextual"/>
        </w:rPr>
        <w:t xml:space="preserve"> teorike e këtij interpretimi nuk mjafton për ta bërë atë zgjidhjen më të përshtatshme, nëse zbatimi i tij në praktikë dobëson funksionin për të cilin është krijuar ndihma juridike dytësore.</w:t>
      </w:r>
    </w:p>
    <w:p w14:paraId="3636DBE6" w14:textId="5568CFF3"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color w:val="000000"/>
          <w14:ligatures w14:val="standardContextual"/>
        </w:rPr>
        <w:t>41. Kolegji vëren</w:t>
      </w:r>
      <w:r w:rsidR="00706E4F">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gjithashtu</w:t>
      </w:r>
      <w:r w:rsidR="00706E4F">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se kthimi i kërkesës për ndihmë juridike dytësore në gjykatën e shkallës së parë, kur çështja ndodhet tashmë në apel ose në fazën e rekursit, mund të krijojë një procedurë paralele, e cila nuk i shërben zhvillimit të procesit kryesor. Një qasje e tillë mund të shtojë shkëmbime aktesh ndërmjet gjykatave, të krijojë pasiguri për palën dhe të vonojë caktimin e mbrojtësit, ndërkohë që nevoja për mbrojtje lidhet me një veprim procedural që duhet kryer në kohë.</w:t>
      </w:r>
    </w:p>
    <w:p w14:paraId="719EC99D" w14:textId="7777777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14:ligatures w14:val="standardContextual"/>
        </w:rPr>
        <w:t xml:space="preserve">42. </w:t>
      </w:r>
      <w:r w:rsidRPr="00BC232E">
        <w:rPr>
          <w:rFonts w:ascii="Garamond" w:eastAsiaTheme="minorHAnsi" w:hAnsi="Garamond"/>
          <w:color w:val="000000"/>
          <w14:ligatures w14:val="standardContextual"/>
        </w:rPr>
        <w:t xml:space="preserve">Kolegji vlerëson se argumenti i mbështetur në nenin 22, pikat 7 dhe 8, të ligjit nr. 111/2017 nuk mund të jetë vendimtar në mënyrë të izoluar. Kjo dispozitë garanton ankimin e veçantë kundër vendimit që rrëzon kërkesën për ndihmë juridike dytësore, por kjo garanci duhet lexuar në harmoni me qëllimin e ligjit dhe me funksionin që ndihma juridike dytësore përmbush në proces. E drejta e ankimit është një garanci e rëndësishme procedurale, por ajo nuk mund të shndërrohet në arsye për ta zhvendosur kërkesën nga gjykata ku ndodhet realisht çështja dhe ku pala ka nevojë të menjëhershme për mbrojtje profesionale. Në të kundërt, mjeti i ankimit do të ruhej formalisht, ndërsa vetë ndihma juridike do të rrezikonte të humbiste dobishmërinë e saj praktike. </w:t>
      </w:r>
    </w:p>
    <w:p w14:paraId="73A97BAD" w14:textId="7777777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43. Në këtë kuptim, duhet dalluar garancia e kontrollit gjyqësor mbi vendimin për ndihmë juridike nga efektiviteti i vetë së drejtës për </w:t>
      </w:r>
      <w:proofErr w:type="spellStart"/>
      <w:r w:rsidRPr="00BC232E">
        <w:rPr>
          <w:rFonts w:ascii="Garamond" w:eastAsiaTheme="minorHAnsi" w:hAnsi="Garamond"/>
          <w:color w:val="000000"/>
          <w14:ligatures w14:val="standardContextual"/>
        </w:rPr>
        <w:t>akses</w:t>
      </w:r>
      <w:proofErr w:type="spellEnd"/>
      <w:r w:rsidRPr="00BC232E">
        <w:rPr>
          <w:rFonts w:ascii="Garamond" w:eastAsiaTheme="minorHAnsi" w:hAnsi="Garamond"/>
          <w:color w:val="000000"/>
          <w14:ligatures w14:val="standardContextual"/>
        </w:rPr>
        <w:t xml:space="preserve"> në gjykatë. Kur çështja ndodhet në apel, ose kur ndihma juridike kërkohet për ushtrimin, nënshkrimin apo depozitimin e rekursit, shqyrtimi i kërkesës nga gjykata e shkallës së parë vetëm për të ruajtur formalisht skemën e ankimit të veçantë, do ta shkëpuste këtë kërkesë nga faza procedurale ku ajo duhet të prodhojë efektin e saj. Një zgjidhje e tillë mund të ruajë formën e kontrollit, por rrezikon të dobësojë thelbin e së drejtës që ligji synon të garantojë: mbrojtjen reale, në kohën dhe në fazën ku ajo nevojitet. Për këtë arsye, shprehja </w:t>
      </w:r>
      <w:r w:rsidRPr="00BC232E">
        <w:rPr>
          <w:rFonts w:ascii="Garamond" w:eastAsiaTheme="minorHAnsi" w:hAnsi="Garamond"/>
          <w:i/>
          <w:iCs/>
          <w:color w:val="000000"/>
          <w14:ligatures w14:val="standardContextual"/>
        </w:rPr>
        <w:t>“gjykata kompetente për shqyrtimin e çështjes në themel”</w:t>
      </w:r>
      <w:r w:rsidRPr="00BC232E">
        <w:rPr>
          <w:rFonts w:ascii="Garamond" w:eastAsiaTheme="minorHAnsi" w:hAnsi="Garamond"/>
          <w:color w:val="000000"/>
          <w14:ligatures w14:val="standardContextual"/>
        </w:rPr>
        <w:t>, e parashikuar në nenin 20/1 të ligjit nr. 111/2017, nuk duhet kuptuar në mënyrë të ngurtë, si referim i pandryshueshëm vetëm te gjykata që ka shqyrtuar fillimisht çështjen, por në lidhje me gjykatën ose hallkën procedurale ku ndodhet realisht procesi dhe ku ndihma juridike bëhet e nevojshme për ushtrimin efektiv të së drejtës për mbrojtje.</w:t>
      </w:r>
    </w:p>
    <w:p w14:paraId="47FA8E90" w14:textId="30FE91A4"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44. Vetë neni 19 i ligjit nr. 111/2017 parashikon se kërkesa për ndihmë juridike dytësore mund të paraqitet </w:t>
      </w:r>
      <w:r w:rsidRPr="00BC232E">
        <w:rPr>
          <w:rFonts w:ascii="Garamond" w:eastAsiaTheme="minorHAnsi" w:hAnsi="Garamond"/>
          <w:i/>
          <w:iCs/>
          <w14:ligatures w14:val="standardContextual"/>
        </w:rPr>
        <w:t>“përpara fillimit të një procesi gjyqësor, në fillim të një procesi gjyqësor dhe/ose në çdo fazë të procesit gjyqësor, derisa nuk është deklaruar i mbyllur hetimi gjyqësor, sipas rregullave të parashikuara në legjislacionin procedural”.</w:t>
      </w:r>
      <w:r w:rsidRPr="00BC232E">
        <w:rPr>
          <w:rFonts w:ascii="Garamond" w:eastAsiaTheme="minorHAnsi" w:hAnsi="Garamond"/>
          <w14:ligatures w14:val="standardContextual"/>
        </w:rPr>
        <w:t xml:space="preserve"> </w:t>
      </w:r>
      <w:r w:rsidRPr="00BC232E">
        <w:rPr>
          <w:rFonts w:ascii="Garamond" w:eastAsiaTheme="minorHAnsi" w:hAnsi="Garamond"/>
          <w:color w:val="000000"/>
          <w14:ligatures w14:val="standardContextual"/>
        </w:rPr>
        <w:t xml:space="preserve">Ky formulim tregon se ligjvënësi nuk e ka lidhur të drejtën për të kërkuar ndihmë juridike vetëm me momentin fillestar të procesit, por e ka shtrirë atë edhe në fazat e mëvonshme të tij, aty ku nevoja për mbrojtje </w:t>
      </w:r>
      <w:r w:rsidRPr="00BC232E">
        <w:rPr>
          <w:rFonts w:ascii="Garamond" w:eastAsiaTheme="minorHAnsi" w:hAnsi="Garamond"/>
          <w:color w:val="000000"/>
          <w14:ligatures w14:val="standardContextual"/>
        </w:rPr>
        <w:lastRenderedPageBreak/>
        <w:t>profesionale mund të lindë ose të bëhet reale. Për këtë arsye, nëse çështja ndodhet në apel ose në fazën e rekursit, kërkesa për ndihmë juridike nuk mund të trajtohet sikur procesi të ishte ende në shkallë të parë. Ajo duhet të lidhet me fazën procedurale ku pala ka nevojë konkrete për mbrojtje. Në të kundërt, e drejta e njohur nga neni 19 do të rrezikonte të mbetej formale</w:t>
      </w:r>
      <w:r w:rsidR="00706E4F">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sepse kërkesa do të shqyrtohej nga një gjykatë e shkëputur nga procesi ku ndihma juridike duhet të prodhojë efektin e saj. </w:t>
      </w:r>
    </w:p>
    <w:p w14:paraId="723C07BF" w14:textId="1E51A6BA"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color w:val="000000"/>
          <w14:ligatures w14:val="standardContextual"/>
        </w:rPr>
        <w:t xml:space="preserve">45. Edhe jurisprudenca kushtetuese mbështet këtë qasje. Gjykata Kushtetuese ka theksuar se skemat e ndihmës juridike të ofruara nga shteti synojnë </w:t>
      </w:r>
      <w:proofErr w:type="spellStart"/>
      <w:r w:rsidRPr="00BC232E">
        <w:rPr>
          <w:rFonts w:ascii="Garamond" w:eastAsiaTheme="minorHAnsi" w:hAnsi="Garamond"/>
          <w:color w:val="000000"/>
          <w14:ligatures w14:val="standardContextual"/>
        </w:rPr>
        <w:t>aksesin</w:t>
      </w:r>
      <w:proofErr w:type="spellEnd"/>
      <w:r w:rsidRPr="00BC232E">
        <w:rPr>
          <w:rFonts w:ascii="Garamond" w:eastAsiaTheme="minorHAnsi" w:hAnsi="Garamond"/>
          <w:color w:val="000000"/>
          <w14:ligatures w14:val="standardContextual"/>
        </w:rPr>
        <w:t xml:space="preserve"> në drejtësi, </w:t>
      </w:r>
      <w:proofErr w:type="spellStart"/>
      <w:r w:rsidRPr="00BC232E">
        <w:rPr>
          <w:rFonts w:ascii="Garamond" w:eastAsiaTheme="minorHAnsi" w:hAnsi="Garamond"/>
          <w:color w:val="000000"/>
          <w14:ligatures w14:val="standardContextual"/>
        </w:rPr>
        <w:t>mosdiskriminimin</w:t>
      </w:r>
      <w:proofErr w:type="spellEnd"/>
      <w:r w:rsidRPr="00BC232E">
        <w:rPr>
          <w:rFonts w:ascii="Garamond" w:eastAsiaTheme="minorHAnsi" w:hAnsi="Garamond"/>
          <w:color w:val="000000"/>
          <w14:ligatures w14:val="standardContextual"/>
        </w:rPr>
        <w:t xml:space="preserve"> dhe cilësinë e mbrojtjes në funksion të procesit të rregullt ligjor, ndërsa mbrojtja e ofruar nga avokati duhet të jetë profesionale, e drejtë dhe efektive. Në vendimin nr. 45, datë 3.10.2023, ajo ka vlerësuar</w:t>
      </w:r>
      <w:r w:rsidR="00706E4F">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se </w:t>
      </w:r>
      <w:proofErr w:type="spellStart"/>
      <w:r w:rsidRPr="00BC232E">
        <w:rPr>
          <w:rFonts w:ascii="Garamond" w:eastAsiaTheme="minorHAnsi" w:hAnsi="Garamond"/>
          <w:color w:val="000000"/>
          <w14:ligatures w14:val="standardContextual"/>
        </w:rPr>
        <w:t>mosgarantimi</w:t>
      </w:r>
      <w:proofErr w:type="spellEnd"/>
      <w:r w:rsidRPr="00BC232E">
        <w:rPr>
          <w:rFonts w:ascii="Garamond" w:eastAsiaTheme="minorHAnsi" w:hAnsi="Garamond"/>
          <w:color w:val="000000"/>
          <w14:ligatures w14:val="standardContextual"/>
        </w:rPr>
        <w:t xml:space="preserve"> real i mbrojtjes për ushtrimin e rekursit cenon të drejtën e </w:t>
      </w:r>
      <w:proofErr w:type="spellStart"/>
      <w:r w:rsidRPr="00BC232E">
        <w:rPr>
          <w:rFonts w:ascii="Garamond" w:eastAsiaTheme="minorHAnsi" w:hAnsi="Garamond"/>
          <w:color w:val="000000"/>
          <w14:ligatures w14:val="standardContextual"/>
        </w:rPr>
        <w:t>aksesit</w:t>
      </w:r>
      <w:proofErr w:type="spellEnd"/>
      <w:r w:rsidRPr="00BC232E">
        <w:rPr>
          <w:rFonts w:ascii="Garamond" w:eastAsiaTheme="minorHAnsi" w:hAnsi="Garamond"/>
          <w:color w:val="000000"/>
          <w14:ligatures w14:val="standardContextual"/>
        </w:rPr>
        <w:t xml:space="preserve"> në gjykatë. Ky standard ka rëndësi të drejtpërdrejtë për interpretimin e nenit 20/1 të ligjit nr. 111/2017, sepse tregon se ndihma juridike duhet të jetë efektive pikërisht në fazën ku mungesa e saj pengon ushtrimin e një të drejte procedurale. Për rrjedhojë, debati mbi kompetencën nuk mund të mbetet te formaliteti i gjykatës që ka shqyrtuar fillimisht çështjen, por duhet të orientohet nga pyetja nëse zgjidhja e gjetur e bën realisht të mundur mbrojtjen e palës në proces. </w:t>
      </w:r>
    </w:p>
    <w:p w14:paraId="040217A3" w14:textId="3D75E6F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14:ligatures w14:val="standardContextual"/>
        </w:rPr>
        <w:t xml:space="preserve">46. </w:t>
      </w:r>
      <w:r w:rsidRPr="00BC232E">
        <w:rPr>
          <w:rFonts w:ascii="Garamond" w:eastAsiaTheme="minorHAnsi" w:hAnsi="Garamond"/>
          <w:color w:val="000000"/>
          <w14:ligatures w14:val="standardContextual"/>
        </w:rPr>
        <w:t>Në këtë kuptim</w:t>
      </w:r>
      <w:r w:rsidR="00706E4F">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merr përparësi qëndrimi që e lidh kompetencën me gjykatën ku ndodhet çështja për shqyrtim. Ky interpretim mbështetet në natyrën mbështetëse dhe funksionale të ndihmës juridike dytësore, e cila nuk qëndron e shkëputur nga procesi kryesor, por shërben për të garantuar ushtrimin efektiv të </w:t>
      </w:r>
      <w:proofErr w:type="spellStart"/>
      <w:r w:rsidRPr="00BC232E">
        <w:rPr>
          <w:rFonts w:ascii="Garamond" w:eastAsiaTheme="minorHAnsi" w:hAnsi="Garamond"/>
          <w:color w:val="000000"/>
          <w14:ligatures w14:val="standardContextual"/>
        </w:rPr>
        <w:t>të</w:t>
      </w:r>
      <w:proofErr w:type="spellEnd"/>
      <w:r w:rsidRPr="00BC232E">
        <w:rPr>
          <w:rFonts w:ascii="Garamond" w:eastAsiaTheme="minorHAnsi" w:hAnsi="Garamond"/>
          <w:color w:val="000000"/>
          <w14:ligatures w14:val="standardContextual"/>
        </w:rPr>
        <w:t xml:space="preserve"> drejtave procedurale të palës. Kërkesa për ndihmë juridike nuk ka vlerë të pavarur nga procesi për të cilin kërkohet. Ajo ka kuptim për aq sa i jep palës mundësi reale të përfaqësohet, të mbrohet ose të ushtrojë mjetin procedural në fazën ku ndodhet çështja. Prandaj, shprehja </w:t>
      </w:r>
      <w:r w:rsidRPr="00BC232E">
        <w:rPr>
          <w:rFonts w:ascii="Garamond" w:eastAsiaTheme="minorHAnsi" w:hAnsi="Garamond"/>
          <w:i/>
          <w:iCs/>
          <w:color w:val="000000"/>
          <w14:ligatures w14:val="standardContextual"/>
        </w:rPr>
        <w:t>“në çdo fazë të procesit”,</w:t>
      </w:r>
      <w:r w:rsidRPr="00BC232E">
        <w:rPr>
          <w:rFonts w:ascii="Garamond" w:eastAsiaTheme="minorHAnsi" w:hAnsi="Garamond"/>
          <w:color w:val="000000"/>
          <w14:ligatures w14:val="standardContextual"/>
        </w:rPr>
        <w:t xml:space="preserve"> e përdorur në nenin 19 të ligjit nr. 111/2017, merr kuptim të plotë vetëm nëse kompetenca për shqyrtimin e kërkesës lidhet me gjykatën ose hallkën procedurale ku ajo fazë zhvillohet realisht. Në të kundërt, ndihma juridike do të shkëputej nga funksioni i saj dhe do të kthehej në një procedurë paralele, më shumë formale sesa efektive.</w:t>
      </w:r>
    </w:p>
    <w:p w14:paraId="5F517565" w14:textId="7777777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14:ligatures w14:val="standardContextual"/>
        </w:rPr>
        <w:t xml:space="preserve">47. </w:t>
      </w:r>
      <w:r w:rsidRPr="00BC232E">
        <w:rPr>
          <w:rFonts w:ascii="Garamond" w:eastAsiaTheme="minorHAnsi" w:hAnsi="Garamond"/>
          <w:color w:val="000000"/>
          <w14:ligatures w14:val="standardContextual"/>
        </w:rPr>
        <w:t xml:space="preserve">Ky interpretim mbështetet edhe në formulimin e vetë nenit 20/1 të ligjit nr. 111/2017. Ligjvënësi nuk ka përdorur shprehjen </w:t>
      </w:r>
      <w:r w:rsidRPr="00BC232E">
        <w:rPr>
          <w:rFonts w:ascii="Garamond" w:eastAsiaTheme="minorHAnsi" w:hAnsi="Garamond"/>
          <w:i/>
          <w:iCs/>
          <w:color w:val="000000"/>
          <w14:ligatures w14:val="standardContextual"/>
        </w:rPr>
        <w:t>“gjykata e shkallës së parë”</w:t>
      </w:r>
      <w:r w:rsidRPr="00BC232E">
        <w:rPr>
          <w:rFonts w:ascii="Garamond" w:eastAsiaTheme="minorHAnsi" w:hAnsi="Garamond"/>
          <w:color w:val="000000"/>
          <w14:ligatures w14:val="standardContextual"/>
        </w:rPr>
        <w:t xml:space="preserve">, por formulimin më të gjerë </w:t>
      </w:r>
      <w:r w:rsidRPr="00BC232E">
        <w:rPr>
          <w:rFonts w:ascii="Garamond" w:eastAsiaTheme="minorHAnsi" w:hAnsi="Garamond"/>
          <w:i/>
          <w:iCs/>
          <w:color w:val="000000"/>
          <w14:ligatures w14:val="standardContextual"/>
        </w:rPr>
        <w:t>“gjykata kompetente për shqyrtimin e çështjes në themel”</w:t>
      </w:r>
      <w:r w:rsidRPr="00BC232E">
        <w:rPr>
          <w:rFonts w:ascii="Garamond" w:eastAsiaTheme="minorHAnsi" w:hAnsi="Garamond"/>
          <w:color w:val="000000"/>
          <w14:ligatures w14:val="standardContextual"/>
        </w:rPr>
        <w:t xml:space="preserve">. Kjo terminologji e zgjedhur nuk mund të konsiderohet e rastësishme. Ajo lejon që kompetenca të kuptohet në lidhje me çështjen konkrete dhe me fazën procedurale ku ajo ndodhet, jo vetëm me gjykatën që ka pasur kompetencën fillestare për shqyrtimin e saj. Për rrjedhojë, “gjykata kompetente” është ajo që, në momentin kur paraqitet kërkesa për ndihmë juridike ka kompetencën funksionale për të shqyrtuar çështjen ose për të kryer veprimin procedural nga i cili varet ushtrimi efektiv i së drejtës së palës. Ky nuk është krijim i një kompetence të re, por zgjedhje ndërmjet dy kuptimeve të mundshme të së njëjtës dispozitë, duke i dhënë përparësi atij kuptimi që shmang një rezultat formalist dhe i jep normës efekt praktik. </w:t>
      </w:r>
    </w:p>
    <w:p w14:paraId="531191D6" w14:textId="7777777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color w:val="000000"/>
          <w14:ligatures w14:val="standardContextual"/>
        </w:rPr>
        <w:t xml:space="preserve">48. Këtë lexim e mbështet edhe neni 21 i ligjit nr. 111/2017. Fakti që, në procesin penal, ligji e lidh kërkesën për ndihmë juridike dytësore me organin procedues që fillon hetimet tregon se ligjvënësi nuk e ka absolutizuar modelin sipas të cilit kërkesa duhet të shqyrtohet vetëm nga gjykata që shqyrton fillimisht themelin. Edhe pse ky rregull është i posaçëm për procesin penal dhe nuk mund të zbatohet mekanikisht në çështjet civile ose administrative, ai ka vlerë </w:t>
      </w:r>
      <w:proofErr w:type="spellStart"/>
      <w:r w:rsidRPr="00BC232E">
        <w:rPr>
          <w:rFonts w:ascii="Garamond" w:eastAsiaTheme="minorHAnsi" w:hAnsi="Garamond"/>
          <w:color w:val="000000"/>
          <w14:ligatures w14:val="standardContextual"/>
        </w:rPr>
        <w:t>interpretative</w:t>
      </w:r>
      <w:proofErr w:type="spellEnd"/>
      <w:r w:rsidRPr="00BC232E">
        <w:rPr>
          <w:rFonts w:ascii="Garamond" w:eastAsiaTheme="minorHAnsi" w:hAnsi="Garamond"/>
          <w:color w:val="000000"/>
          <w14:ligatures w14:val="standardContextual"/>
        </w:rPr>
        <w:t xml:space="preserve"> për logjikën e përgjithshme të ligjit. Ai tregon se, kur nevoja për mbrojtje lind në një hallkë të caktuar procedurale, kompetenca mund dhe duhet të lidhet me atë hallkë, në mënyrë që ndihma juridike të jetë e dobishme dhe në kohë. </w:t>
      </w:r>
    </w:p>
    <w:p w14:paraId="64149907" w14:textId="2E78C2B9"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14:ligatures w14:val="standardContextual"/>
        </w:rPr>
        <w:t xml:space="preserve">49. </w:t>
      </w:r>
      <w:r w:rsidRPr="00BC232E">
        <w:rPr>
          <w:rFonts w:ascii="Garamond" w:eastAsiaTheme="minorHAnsi" w:hAnsi="Garamond"/>
          <w:color w:val="000000"/>
          <w14:ligatures w14:val="standardContextual"/>
        </w:rPr>
        <w:t>Po ashtu, neni 22, pikat 2 dhe 3, të ligjit nr. 111/2017</w:t>
      </w:r>
      <w:r w:rsidR="00BC0E3F">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tregon se ligjvënësi e ka lidhur shqyrtimin e kërkesës për ndihmë juridike me ritmin dhe nevojat e fazës procedurale ku ajo paraqitet. Kur kërkesa paraqitet gjatë shqyrtimit gjyqësor, vendimi merret sipas legjislacionit procedural dhe dispozitave të ligjit, ndërsa kur plotësimi i dokumentacionit mund të shkaktojë vonesa që cenojnë thelbin e të drejtave të kërkuesit, gjykata mund të urdhërojë organet e administratës shtetërore të paraqesin dokumentet e nevojshme. Këto rregulla tregojnë se koha e dhënies së ndihmës juridike nuk është element dytësor, por pjesë e efektivitetit të saj. Për këtë arsye, interpretimi i nenit 20/1 duhet të jetë i tillë që të mos e neutralizojë këtë element kohor. Kur çështja ndodhet tashmë në apel ose në fazën e rekursit, ridërgimi i kërkesës në </w:t>
      </w:r>
      <w:r w:rsidRPr="00BC232E">
        <w:rPr>
          <w:rFonts w:ascii="Garamond" w:eastAsiaTheme="minorHAnsi" w:hAnsi="Garamond"/>
          <w:color w:val="000000"/>
          <w14:ligatures w14:val="standardContextual"/>
        </w:rPr>
        <w:lastRenderedPageBreak/>
        <w:t>gjykatën e shkallës së parë rrezikon të krijojë vonesë dhe ta shkëpusë ndihmën juridike nga momenti procedural ku ajo duhet të shërbejë realisht.</w:t>
      </w:r>
    </w:p>
    <w:p w14:paraId="053F9D07" w14:textId="7777777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50. Ky interpretim ka rëndësi të veçantë në gjykimin administrativ, ku çështja në apel ose në fazën e rekursit shpesh lidhet me kontrollin e ligjshmërisë së akteve administrative dhe me respektimin e afateve procedurale. Kur pala kërkon ndihmë juridike për të marrë pjesë në këtë fazë ose për të ushtruar një mjet procedural, gjykata që administron fazën përkatëse është në pozitën më të përshtatshme për të vlerësuar urgjencën, lidhjen e kërkesës me çështjen dhe nevojën për shmangien e vonesave që mund të cenojnë </w:t>
      </w:r>
      <w:proofErr w:type="spellStart"/>
      <w:r w:rsidRPr="00BC232E">
        <w:rPr>
          <w:rFonts w:ascii="Garamond" w:eastAsiaTheme="minorHAnsi" w:hAnsi="Garamond"/>
          <w:color w:val="000000"/>
          <w14:ligatures w14:val="standardContextual"/>
        </w:rPr>
        <w:t>aksesin</w:t>
      </w:r>
      <w:proofErr w:type="spellEnd"/>
      <w:r w:rsidRPr="00BC232E">
        <w:rPr>
          <w:rFonts w:ascii="Garamond" w:eastAsiaTheme="minorHAnsi" w:hAnsi="Garamond"/>
          <w:color w:val="000000"/>
          <w14:ligatures w14:val="standardContextual"/>
        </w:rPr>
        <w:t xml:space="preserve"> efektiv.</w:t>
      </w:r>
    </w:p>
    <w:p w14:paraId="7477D634" w14:textId="40E65700"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51. Në planin </w:t>
      </w:r>
      <w:proofErr w:type="spellStart"/>
      <w:r w:rsidRPr="00BC232E">
        <w:rPr>
          <w:rFonts w:ascii="Garamond" w:eastAsiaTheme="minorHAnsi" w:hAnsi="Garamond"/>
          <w:color w:val="000000"/>
          <w14:ligatures w14:val="standardContextual"/>
        </w:rPr>
        <w:t>konventor</w:t>
      </w:r>
      <w:proofErr w:type="spellEnd"/>
      <w:r w:rsidRPr="00BC232E">
        <w:rPr>
          <w:rFonts w:ascii="Garamond" w:eastAsiaTheme="minorHAnsi" w:hAnsi="Garamond"/>
          <w:color w:val="000000"/>
          <w14:ligatures w14:val="standardContextual"/>
        </w:rPr>
        <w:t xml:space="preserve">, standardi i </w:t>
      </w:r>
      <w:proofErr w:type="spellStart"/>
      <w:r w:rsidRPr="00BC232E">
        <w:rPr>
          <w:rFonts w:ascii="Garamond" w:eastAsiaTheme="minorHAnsi" w:hAnsi="Garamond"/>
          <w:color w:val="000000"/>
          <w14:ligatures w14:val="standardContextual"/>
        </w:rPr>
        <w:t>aksesit</w:t>
      </w:r>
      <w:proofErr w:type="spellEnd"/>
      <w:r w:rsidRPr="00BC232E">
        <w:rPr>
          <w:rFonts w:ascii="Garamond" w:eastAsiaTheme="minorHAnsi" w:hAnsi="Garamond"/>
          <w:color w:val="000000"/>
          <w14:ligatures w14:val="standardContextual"/>
        </w:rPr>
        <w:t xml:space="preserve"> praktik dhe efektiv në gjykatë mbështet një lexim që shmang zgjidhjet thjesht formale. GJEDNJ</w:t>
      </w:r>
      <w:r w:rsidR="00BC0E3F">
        <w:rPr>
          <w:rFonts w:ascii="Garamond" w:eastAsiaTheme="minorHAnsi" w:hAnsi="Garamond"/>
          <w:color w:val="000000"/>
          <w14:ligatures w14:val="standardContextual"/>
        </w:rPr>
        <w:t>-ja</w:t>
      </w:r>
      <w:r w:rsidRPr="00BC232E">
        <w:rPr>
          <w:rFonts w:ascii="Garamond" w:eastAsiaTheme="minorHAnsi" w:hAnsi="Garamond"/>
          <w:color w:val="000000"/>
          <w14:ligatures w14:val="standardContextual"/>
        </w:rPr>
        <w:t xml:space="preserve"> nuk përcakton gjykatën kompetente sipas së drejtës së brendshme, por kërkon që mekanizmat proceduralë që lidhen me </w:t>
      </w:r>
      <w:proofErr w:type="spellStart"/>
      <w:r w:rsidRPr="00BC232E">
        <w:rPr>
          <w:rFonts w:ascii="Garamond" w:eastAsiaTheme="minorHAnsi" w:hAnsi="Garamond"/>
          <w:color w:val="000000"/>
          <w14:ligatures w14:val="standardContextual"/>
        </w:rPr>
        <w:t>aksesin</w:t>
      </w:r>
      <w:proofErr w:type="spellEnd"/>
      <w:r w:rsidRPr="00BC232E">
        <w:rPr>
          <w:rFonts w:ascii="Garamond" w:eastAsiaTheme="minorHAnsi" w:hAnsi="Garamond"/>
          <w:color w:val="000000"/>
          <w14:ligatures w14:val="standardContextual"/>
        </w:rPr>
        <w:t xml:space="preserve"> në gjykatë dhe mbrojtjen juridike të funksionojnë realisht në praktikë. Për këtë arsye, kur ligji lejon më shumë se një kuptim të arsyeshëm, duhet zgjedhur ai interpretim që e bën ndihmën juridike të përdorshme në kohën dhe në fazën ku pala ka nevojë për të. Një zgjidhje që e shkëput kërkesën nga gjykata ku ndodhet procesi ose nga hallka ku ushtrohet mjeti procedural, do të dobësonte funksionin praktik të kësaj të drejte. </w:t>
      </w:r>
    </w:p>
    <w:p w14:paraId="34617FBA" w14:textId="170FEF8B"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52. Edhe vështrimi krahasues mbështet të njëjtën linjë interpretimi. Në disa sisteme evropiane, ndihma juridike nuk lidhet në mënyrë të ngurtë vetëm me gjykimin fillestar në shkallë të parë, por përshtatet me fazën procedurale ku ndodhet çështja dhe me nevojën për ta bërë mbrojtjen realisht efektive. </w:t>
      </w:r>
      <w:r w:rsidRPr="00BC232E">
        <w:rPr>
          <w:rFonts w:ascii="Garamond" w:eastAsiaTheme="minorHAnsi" w:hAnsi="Garamond"/>
          <w:bCs/>
          <w14:ligatures w14:val="standardContextual"/>
        </w:rPr>
        <w:t xml:space="preserve">Kështu, në Spanjë, e drejta e ndihmës juridike falas shtrihet në të gjitha procedurat dhe çështjet ndihmëse të së njëjtës instancë dhe në rrethana të caktuara, mund të kërkohet edhe në instancë të dytë ose për </w:t>
      </w:r>
      <w:proofErr w:type="spellStart"/>
      <w:r w:rsidRPr="00BC232E">
        <w:rPr>
          <w:rFonts w:ascii="Garamond" w:eastAsiaTheme="minorHAnsi" w:hAnsi="Garamond"/>
          <w:bCs/>
          <w14:ligatures w14:val="standardContextual"/>
        </w:rPr>
        <w:t>kasacion</w:t>
      </w:r>
      <w:proofErr w:type="spellEnd"/>
      <w:r w:rsidR="00275D6E" w:rsidRPr="00275D6E">
        <w:rPr>
          <w:rStyle w:val="FootnoteReference"/>
          <w:rFonts w:ascii="Garamond" w:eastAsiaTheme="minorHAnsi" w:hAnsi="Garamond"/>
          <w:bCs/>
          <w14:ligatures w14:val="standardContextual"/>
        </w:rPr>
        <w:footnoteReference w:id="5"/>
      </w:r>
      <w:r w:rsidRPr="00BC232E">
        <w:rPr>
          <w:rFonts w:ascii="Garamond" w:eastAsiaTheme="minorHAnsi" w:hAnsi="Garamond"/>
          <w:bCs/>
          <w14:ligatures w14:val="standardContextual"/>
        </w:rPr>
        <w:t xml:space="preserve">; në Francë, për çështjet para </w:t>
      </w:r>
      <w:proofErr w:type="spellStart"/>
      <w:r w:rsidRPr="00BC232E">
        <w:rPr>
          <w:rFonts w:ascii="Garamond" w:eastAsiaTheme="minorHAnsi" w:hAnsi="Garamond"/>
          <w:bCs/>
          <w:i/>
          <w:iCs/>
          <w14:ligatures w14:val="standardContextual"/>
        </w:rPr>
        <w:t>Cour</w:t>
      </w:r>
      <w:proofErr w:type="spellEnd"/>
      <w:r w:rsidRPr="00BC232E">
        <w:rPr>
          <w:rFonts w:ascii="Garamond" w:eastAsiaTheme="minorHAnsi" w:hAnsi="Garamond"/>
          <w:bCs/>
          <w:i/>
          <w:iCs/>
          <w14:ligatures w14:val="standardContextual"/>
        </w:rPr>
        <w:t xml:space="preserve"> de </w:t>
      </w:r>
      <w:proofErr w:type="spellStart"/>
      <w:r w:rsidRPr="00BC232E">
        <w:rPr>
          <w:rFonts w:ascii="Garamond" w:eastAsiaTheme="minorHAnsi" w:hAnsi="Garamond"/>
          <w:bCs/>
          <w:i/>
          <w:iCs/>
          <w14:ligatures w14:val="standardContextual"/>
        </w:rPr>
        <w:t>cassation</w:t>
      </w:r>
      <w:proofErr w:type="spellEnd"/>
      <w:r w:rsidRPr="00BC232E">
        <w:rPr>
          <w:rFonts w:ascii="Garamond" w:eastAsiaTheme="minorHAnsi" w:hAnsi="Garamond"/>
          <w:bCs/>
          <w14:ligatures w14:val="standardContextual"/>
        </w:rPr>
        <w:t xml:space="preserve"> ekziston një mekanizëm i posaçëm i ndihmës juridike pranë vetë asaj gjykate</w:t>
      </w:r>
      <w:r w:rsidR="00275D6E" w:rsidRPr="00275D6E">
        <w:rPr>
          <w:rStyle w:val="FootnoteReference"/>
          <w:rFonts w:ascii="Garamond" w:eastAsiaTheme="minorHAnsi" w:hAnsi="Garamond"/>
          <w:bCs/>
          <w14:ligatures w14:val="standardContextual"/>
        </w:rPr>
        <w:footnoteReference w:id="6"/>
      </w:r>
      <w:r w:rsidRPr="00BC232E">
        <w:rPr>
          <w:rFonts w:ascii="Garamond" w:eastAsiaTheme="minorHAnsi" w:hAnsi="Garamond"/>
          <w:bCs/>
          <w14:ligatures w14:val="standardContextual"/>
        </w:rPr>
        <w:t xml:space="preserve">; ndërsa në Itali, pranimi në </w:t>
      </w:r>
      <w:proofErr w:type="spellStart"/>
      <w:r w:rsidRPr="00BC232E">
        <w:rPr>
          <w:rFonts w:ascii="Garamond" w:eastAsiaTheme="minorHAnsi" w:hAnsi="Garamond"/>
          <w:bCs/>
          <w:i/>
          <w:iCs/>
          <w14:ligatures w14:val="standardContextual"/>
        </w:rPr>
        <w:t>patrocinio</w:t>
      </w:r>
      <w:proofErr w:type="spellEnd"/>
      <w:r w:rsidRPr="00BC232E">
        <w:rPr>
          <w:rFonts w:ascii="Garamond" w:eastAsiaTheme="minorHAnsi" w:hAnsi="Garamond"/>
          <w:bCs/>
          <w:i/>
          <w:iCs/>
          <w14:ligatures w14:val="standardContextual"/>
        </w:rPr>
        <w:t xml:space="preserve"> a </w:t>
      </w:r>
      <w:proofErr w:type="spellStart"/>
      <w:r w:rsidRPr="00BC232E">
        <w:rPr>
          <w:rFonts w:ascii="Garamond" w:eastAsiaTheme="minorHAnsi" w:hAnsi="Garamond"/>
          <w:bCs/>
          <w:i/>
          <w:iCs/>
          <w14:ligatures w14:val="standardContextual"/>
        </w:rPr>
        <w:t>spese</w:t>
      </w:r>
      <w:proofErr w:type="spellEnd"/>
      <w:r w:rsidRPr="00BC232E">
        <w:rPr>
          <w:rFonts w:ascii="Garamond" w:eastAsiaTheme="minorHAnsi" w:hAnsi="Garamond"/>
          <w:bCs/>
          <w:i/>
          <w:iCs/>
          <w14:ligatures w14:val="standardContextual"/>
        </w:rPr>
        <w:t xml:space="preserve"> </w:t>
      </w:r>
      <w:proofErr w:type="spellStart"/>
      <w:r w:rsidRPr="00BC232E">
        <w:rPr>
          <w:rFonts w:ascii="Garamond" w:eastAsiaTheme="minorHAnsi" w:hAnsi="Garamond"/>
          <w:bCs/>
          <w:i/>
          <w:iCs/>
          <w14:ligatures w14:val="standardContextual"/>
        </w:rPr>
        <w:t>dello</w:t>
      </w:r>
      <w:proofErr w:type="spellEnd"/>
      <w:r w:rsidRPr="00BC232E">
        <w:rPr>
          <w:rFonts w:ascii="Garamond" w:eastAsiaTheme="minorHAnsi" w:hAnsi="Garamond"/>
          <w:bCs/>
          <w:i/>
          <w:iCs/>
          <w14:ligatures w14:val="standardContextual"/>
        </w:rPr>
        <w:t xml:space="preserve"> </w:t>
      </w:r>
      <w:proofErr w:type="spellStart"/>
      <w:r w:rsidRPr="00BC232E">
        <w:rPr>
          <w:rFonts w:ascii="Garamond" w:eastAsiaTheme="minorHAnsi" w:hAnsi="Garamond"/>
          <w:bCs/>
          <w:i/>
          <w:iCs/>
          <w14:ligatures w14:val="standardContextual"/>
        </w:rPr>
        <w:t>Stato</w:t>
      </w:r>
      <w:proofErr w:type="spellEnd"/>
      <w:r w:rsidRPr="00BC232E">
        <w:rPr>
          <w:rFonts w:ascii="Garamond" w:eastAsiaTheme="minorHAnsi" w:hAnsi="Garamond"/>
          <w:bCs/>
          <w14:ligatures w14:val="standardContextual"/>
        </w:rPr>
        <w:t xml:space="preserve"> vlen për çdo shkallë të procesit dhe për procedurat e lidhura me të.</w:t>
      </w:r>
      <w:r w:rsidR="00275D6E" w:rsidRPr="00275D6E">
        <w:rPr>
          <w:rStyle w:val="FootnoteReference"/>
          <w:rFonts w:ascii="Garamond" w:eastAsiaTheme="minorHAnsi" w:hAnsi="Garamond"/>
          <w:bCs/>
          <w14:ligatures w14:val="standardContextual"/>
        </w:rPr>
        <w:footnoteReference w:id="7"/>
      </w:r>
      <w:r w:rsidRPr="00BC232E">
        <w:rPr>
          <w:rFonts w:ascii="Garamond" w:eastAsiaTheme="minorHAnsi" w:hAnsi="Garamond"/>
          <w:b/>
          <w:bCs/>
          <w14:ligatures w14:val="standardContextual"/>
        </w:rPr>
        <w:t xml:space="preserve"> </w:t>
      </w:r>
      <w:r w:rsidRPr="00BC232E">
        <w:rPr>
          <w:rFonts w:ascii="Garamond" w:eastAsiaTheme="minorHAnsi" w:hAnsi="Garamond"/>
          <w:color w:val="000000"/>
          <w14:ligatures w14:val="standardContextual"/>
        </w:rPr>
        <w:t xml:space="preserve">Këto modele nuk importojnë zgjidhje të detyrueshme në sistemin shqiptar dhe as nuk përcaktojnë kompetencën sipas ligjit nr. 111/2017. Ato vetëm konfirmojnë se lidhja e ndihmës juridike me fazën procedurale ku lind nevoja për mbrojtje është një qasje e njohur dhe e pajtueshme me standardet e </w:t>
      </w:r>
      <w:proofErr w:type="spellStart"/>
      <w:r w:rsidRPr="00BC232E">
        <w:rPr>
          <w:rFonts w:ascii="Garamond" w:eastAsiaTheme="minorHAnsi" w:hAnsi="Garamond"/>
          <w:color w:val="000000"/>
          <w14:ligatures w14:val="standardContextual"/>
        </w:rPr>
        <w:t>aksesit</w:t>
      </w:r>
      <w:proofErr w:type="spellEnd"/>
      <w:r w:rsidRPr="00BC232E">
        <w:rPr>
          <w:rFonts w:ascii="Garamond" w:eastAsiaTheme="minorHAnsi" w:hAnsi="Garamond"/>
          <w:color w:val="000000"/>
          <w14:ligatures w14:val="standardContextual"/>
        </w:rPr>
        <w:t xml:space="preserve"> efektiv në drejtësi. </w:t>
      </w:r>
    </w:p>
    <w:p w14:paraId="1B6DDFB5" w14:textId="77777777"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53. Pikërisht sepse zgjidhja duhet të mbetet brenda kornizës së ligjit të brendshëm, Kolegji vlerëson se duhet trajtuar edhe </w:t>
      </w:r>
      <w:proofErr w:type="spellStart"/>
      <w:r w:rsidRPr="00BC232E">
        <w:rPr>
          <w:rFonts w:ascii="Garamond" w:eastAsiaTheme="minorHAnsi" w:hAnsi="Garamond"/>
          <w:color w:val="000000"/>
          <w14:ligatures w14:val="standardContextual"/>
        </w:rPr>
        <w:t>kundërargumenti</w:t>
      </w:r>
      <w:proofErr w:type="spellEnd"/>
      <w:r w:rsidRPr="00BC232E">
        <w:rPr>
          <w:rFonts w:ascii="Garamond" w:eastAsiaTheme="minorHAnsi" w:hAnsi="Garamond"/>
          <w:color w:val="000000"/>
          <w14:ligatures w14:val="standardContextual"/>
        </w:rPr>
        <w:t xml:space="preserve"> që mbështetet në të drejtën e ankimit të veçantë ndaj vendimit për rrëzimin e kërkesës për ndihmë juridike dytësore. Ky argument nuk është pa peshë. Neni 22, pikat 7 dhe 8, të ligjit nr. 111/2017 parashikon një skemë kontrolli ku vendimi që rrëzon kërkesën i nënshtrohet ankimit të veçantë në gjykatën e apelit, ndërsa kundër vendimit të kësaj të fundit nuk lejohet rekurs. Për këtë arsye, duhet pranuar se shqyrtimi fillestar i kërkesës nga gjykata e apelit, kur çështja ndodhet tashmë në atë shkallë, e ngushton modelin e zakonshëm të kontrollit të parashikuar nga kjo dispozitë. Megjithatë, ky element procedural nuk mjafton për ta bërë gjykatën e shkallës së parë forum të detyrueshëm në çdo rast.</w:t>
      </w:r>
    </w:p>
    <w:p w14:paraId="612BF420" w14:textId="0A22EF0A"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275D6E">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54.</w:t>
      </w:r>
      <w:r w:rsidRPr="00BC232E">
        <w:rPr>
          <w:rFonts w:ascii="Garamond" w:eastAsiaTheme="minorHAnsi" w:hAnsi="Garamond"/>
          <w:color w:val="FF0000"/>
          <w14:ligatures w14:val="standardContextual"/>
        </w:rPr>
        <w:t xml:space="preserve"> </w:t>
      </w:r>
      <w:r w:rsidRPr="00BC232E">
        <w:rPr>
          <w:rFonts w:ascii="Garamond" w:eastAsiaTheme="minorHAnsi" w:hAnsi="Garamond"/>
          <w:color w:val="000000"/>
          <w14:ligatures w14:val="standardContextual"/>
        </w:rPr>
        <w:t xml:space="preserve">E drejta e ankimit duhet të lexohet në harmoni me qëllimin e ligjit dhe me funksionin real të ndihmës juridike dytësore. Ajo nuk mund të interpretohet në mënyrë të tillë që, për të ruajtur formalisht një shkallë kontrolli, të dobësojë </w:t>
      </w:r>
      <w:proofErr w:type="spellStart"/>
      <w:r w:rsidRPr="00BC232E">
        <w:rPr>
          <w:rFonts w:ascii="Garamond" w:eastAsiaTheme="minorHAnsi" w:hAnsi="Garamond"/>
          <w:color w:val="000000"/>
          <w14:ligatures w14:val="standardContextual"/>
        </w:rPr>
        <w:t>aksesin</w:t>
      </w:r>
      <w:proofErr w:type="spellEnd"/>
      <w:r w:rsidRPr="00BC232E">
        <w:rPr>
          <w:rFonts w:ascii="Garamond" w:eastAsiaTheme="minorHAnsi" w:hAnsi="Garamond"/>
          <w:color w:val="000000"/>
          <w14:ligatures w14:val="standardContextual"/>
        </w:rPr>
        <w:t xml:space="preserve"> real në gjykatë dhe mbrojtjen profesionale në fazën ku ajo nevojitet. Nëse kërkesa do të dërgohej në gjykatën e shkallës së parë vetëm për të ruajtur skemën e ankimit të veçantë, ndërkohë që çështja ndodhet tashmë në apel ose në fazën e rekursit, atëherë do të krijohej një kontroll procedural formalisht i plotë, por </w:t>
      </w:r>
      <w:proofErr w:type="spellStart"/>
      <w:r w:rsidRPr="00BC232E">
        <w:rPr>
          <w:rFonts w:ascii="Garamond" w:eastAsiaTheme="minorHAnsi" w:hAnsi="Garamond"/>
          <w:color w:val="000000"/>
          <w14:ligatures w14:val="standardContextual"/>
        </w:rPr>
        <w:t>funksionalisht</w:t>
      </w:r>
      <w:proofErr w:type="spellEnd"/>
      <w:r w:rsidRPr="00BC232E">
        <w:rPr>
          <w:rFonts w:ascii="Garamond" w:eastAsiaTheme="minorHAnsi" w:hAnsi="Garamond"/>
          <w:color w:val="000000"/>
          <w14:ligatures w14:val="standardContextual"/>
        </w:rPr>
        <w:t xml:space="preserve"> i vonuar dhe i shkëputur nga nevoja konkrete e palës. Për këtë arsye, nuk vendosen përballë njëra-tjetrës e drejta e ankimit dhe efektiviteti si dy vlera të jashtme ndaj ligjit. Përkundrazi, kërkohet një lexim që ruan balancën e brendshme të ligjit dhe nuk lejon që formalizmi i kontrollit të </w:t>
      </w:r>
      <w:proofErr w:type="spellStart"/>
      <w:r w:rsidRPr="00BC232E">
        <w:rPr>
          <w:rFonts w:ascii="Garamond" w:eastAsiaTheme="minorHAnsi" w:hAnsi="Garamond"/>
          <w:color w:val="000000"/>
          <w14:ligatures w14:val="standardContextual"/>
        </w:rPr>
        <w:t>prevalojë</w:t>
      </w:r>
      <w:proofErr w:type="spellEnd"/>
      <w:r w:rsidRPr="00BC232E">
        <w:rPr>
          <w:rFonts w:ascii="Garamond" w:eastAsiaTheme="minorHAnsi" w:hAnsi="Garamond"/>
          <w:color w:val="000000"/>
          <w14:ligatures w14:val="standardContextual"/>
        </w:rPr>
        <w:t xml:space="preserve"> mbi funksionin real të ndihmës juridike dytësore. </w:t>
      </w:r>
    </w:p>
    <w:p w14:paraId="6E415380" w14:textId="1B55F5BA" w:rsidR="00BC232E" w:rsidRPr="00BC232E" w:rsidRDefault="00BC232E" w:rsidP="00BC232E">
      <w:pPr>
        <w:tabs>
          <w:tab w:val="left" w:pos="280"/>
          <w:tab w:val="left" w:pos="440"/>
        </w:tabs>
        <w:autoSpaceDE w:val="0"/>
        <w:autoSpaceDN w:val="0"/>
        <w:adjustRightInd w:val="0"/>
        <w:ind w:firstLine="284"/>
        <w:jc w:val="both"/>
        <w:rPr>
          <w:rFonts w:ascii="Garamond" w:eastAsiaTheme="minorHAnsi" w:hAnsi="Garamond"/>
          <w14:ligatures w14:val="standardContextual"/>
        </w:rPr>
      </w:pPr>
      <w:r w:rsidRPr="00275D6E">
        <w:rPr>
          <w:rFonts w:ascii="Garamond" w:eastAsiaTheme="minorHAnsi" w:hAnsi="Garamond"/>
          <w14:ligatures w14:val="standardContextual"/>
        </w:rPr>
        <w:t xml:space="preserve"> </w:t>
      </w:r>
      <w:r w:rsidRPr="00BC232E">
        <w:rPr>
          <w:rFonts w:ascii="Garamond" w:eastAsiaTheme="minorHAnsi" w:hAnsi="Garamond"/>
          <w14:ligatures w14:val="standardContextual"/>
        </w:rPr>
        <w:t xml:space="preserve">55. </w:t>
      </w:r>
      <w:r w:rsidRPr="00BC232E">
        <w:rPr>
          <w:rFonts w:ascii="Garamond" w:eastAsiaTheme="minorHAnsi" w:hAnsi="Garamond"/>
          <w:color w:val="000000"/>
          <w14:ligatures w14:val="standardContextual"/>
        </w:rPr>
        <w:t xml:space="preserve">Për fazën e apelit, përfundimi është më i drejtpërdrejtë. Kur çështja ndodhet tashmë në gjykatën e apelit, kërkesa për ndihmë juridike dytësore duhet të shqyrtohet nga ajo gjykatë, sepse pikërisht aty zhvillohet faza procedurale për të cilën pala kërkon mbrojtje profesionale. Gjykata e apelit është në këtë </w:t>
      </w:r>
      <w:r w:rsidRPr="00BC232E">
        <w:rPr>
          <w:rFonts w:ascii="Garamond" w:eastAsiaTheme="minorHAnsi" w:hAnsi="Garamond"/>
          <w:color w:val="000000"/>
          <w14:ligatures w14:val="standardContextual"/>
        </w:rPr>
        <w:lastRenderedPageBreak/>
        <w:t xml:space="preserve">rast gjykata që ka kompetencën funksionale për shqyrtimin e çështjes në atë fazë dhe që mund ta bëjë ndihmën juridike realisht të dobishme për palën. Të kërkohet që kërkesa ndihmëse t’i rikthehet gjykatës së shkallës së parë vetëm sepse ajo ka gjykuar fillimisht themelin, do të thotë t’i jepet përparësi një kuptimi statik të kompetencës, në dëm të funksionit real të së drejtës. Një zgjidhje e tillë nuk përputhet me arkitekturën e ligjit nr. 111/2017, i cili kërkon që ndihma juridike të jetë jo vetëm e parashikuar në ligj, por e përdorshme në kohë dhe në fazën konkrete ku ajo kërkohet. </w:t>
      </w:r>
    </w:p>
    <w:p w14:paraId="5B2D5A92" w14:textId="3FF415F3" w:rsidR="00BC232E" w:rsidRPr="00BC232E" w:rsidRDefault="00BC232E" w:rsidP="00BC232E">
      <w:pPr>
        <w:tabs>
          <w:tab w:val="left" w:pos="260"/>
          <w:tab w:val="left" w:pos="440"/>
        </w:tabs>
        <w:autoSpaceDE w:val="0"/>
        <w:autoSpaceDN w:val="0"/>
        <w:adjustRightInd w:val="0"/>
        <w:ind w:firstLine="284"/>
        <w:jc w:val="both"/>
        <w:rPr>
          <w:rFonts w:ascii="Garamond" w:eastAsiaTheme="minorHAnsi" w:hAnsi="Garamond"/>
          <w:bCs/>
          <w14:ligatures w14:val="standardContextual"/>
        </w:rPr>
      </w:pPr>
      <w:r w:rsidRPr="00BC232E">
        <w:rPr>
          <w:rFonts w:ascii="Garamond" w:eastAsiaTheme="minorHAnsi" w:hAnsi="Garamond"/>
          <w14:ligatures w14:val="standardContextual"/>
        </w:rPr>
        <w:t xml:space="preserve">56. </w:t>
      </w:r>
      <w:r w:rsidRPr="00BC232E">
        <w:rPr>
          <w:rFonts w:ascii="Garamond" w:eastAsiaTheme="minorHAnsi" w:hAnsi="Garamond"/>
          <w:color w:val="000000"/>
          <w14:ligatures w14:val="standardContextual"/>
        </w:rPr>
        <w:t xml:space="preserve">Kur nevoja për ndihmë juridike dytësore lidhet me ushtrimin, nënshkrimin ose depozitimin e rekursit, kompetenca për shqyrtimin e kërkesës i përket gjykatës pranë së cilës depozitohet rekursi dhe ku verifikohet rregullsia formale e tij. </w:t>
      </w:r>
      <w:r w:rsidRPr="00BC232E">
        <w:rPr>
          <w:rFonts w:ascii="Garamond" w:eastAsiaTheme="minorHAnsi" w:hAnsi="Garamond"/>
          <w:bCs/>
          <w:color w:val="000000"/>
          <w14:ligatures w14:val="standardContextual"/>
        </w:rPr>
        <w:t>Kjo zgjidhje diktohet nga fakti se pa nënshkrimin e rekursit nga avokati, mjeti procedural nuk mund të kalojë filtrin formal dhe</w:t>
      </w:r>
      <w:r w:rsidR="00791232">
        <w:rPr>
          <w:rFonts w:ascii="Garamond" w:eastAsiaTheme="minorHAnsi" w:hAnsi="Garamond"/>
          <w:bCs/>
          <w:color w:val="000000"/>
          <w14:ligatures w14:val="standardContextual"/>
        </w:rPr>
        <w:t>,</w:t>
      </w:r>
      <w:r w:rsidRPr="00BC232E">
        <w:rPr>
          <w:rFonts w:ascii="Garamond" w:eastAsiaTheme="minorHAnsi" w:hAnsi="Garamond"/>
          <w:bCs/>
          <w:color w:val="000000"/>
          <w14:ligatures w14:val="standardContextual"/>
        </w:rPr>
        <w:t xml:space="preserve"> për rrjedhojë, çështja nuk mund të bëhet objekt shqyrtimi në Gjykatën e Lartë, për sa kohë rekursi nuk plotëson këtë kusht formal.</w:t>
      </w:r>
    </w:p>
    <w:p w14:paraId="75F883A7" w14:textId="77777777" w:rsidR="00BC232E" w:rsidRPr="00BC232E" w:rsidRDefault="00BC232E" w:rsidP="00BC232E">
      <w:pPr>
        <w:tabs>
          <w:tab w:val="left" w:pos="260"/>
          <w:tab w:val="left" w:pos="4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57.</w:t>
      </w:r>
      <w:r w:rsidRPr="00BC232E">
        <w:rPr>
          <w:rFonts w:ascii="Garamond" w:eastAsiaTheme="minorHAnsi" w:hAnsi="Garamond"/>
          <w:color w:val="000000"/>
          <w14:ligatures w14:val="standardContextual"/>
        </w:rPr>
        <w:t xml:space="preserve"> Në këtë rast, shqyrtimi i kërkesës për ndihmë juridike dytësore nuk nënkupton marrjen në shqyrtim të themelit të rekursit nga gjykata ku ai depozitohet, por vetëm vlerësimin e kushteve ligjore për sigurimin e mbrojtjes profesionale të domosdoshme për vlefshmërinë formale të mjetit procedural. Kështu ruhet roli kushtetues i Gjykatës së Lartë si gjykatë ligji, ndërsa pala nuk lihet pa mjet efektiv për të përmbushur një kërkesë formale që ligji procedural e lidh me përfaqësimin nga avokati.</w:t>
      </w:r>
    </w:p>
    <w:p w14:paraId="59DF9E18" w14:textId="76F80A51" w:rsidR="00BC232E" w:rsidRPr="00BC232E" w:rsidRDefault="00BC232E" w:rsidP="00BC232E">
      <w:pPr>
        <w:tabs>
          <w:tab w:val="left" w:pos="260"/>
          <w:tab w:val="left" w:pos="440"/>
        </w:tabs>
        <w:autoSpaceDE w:val="0"/>
        <w:autoSpaceDN w:val="0"/>
        <w:adjustRightInd w:val="0"/>
        <w:ind w:firstLine="284"/>
        <w:jc w:val="both"/>
        <w:rPr>
          <w:rFonts w:ascii="Garamond" w:eastAsiaTheme="minorHAnsi" w:hAnsi="Garamond"/>
          <w14:ligatures w14:val="standardContextual"/>
        </w:rPr>
      </w:pPr>
      <w:r w:rsidRPr="00BC232E">
        <w:rPr>
          <w:rFonts w:ascii="Garamond" w:eastAsiaTheme="minorHAnsi" w:hAnsi="Garamond"/>
          <w:color w:val="000000"/>
          <w14:ligatures w14:val="standardContextual"/>
        </w:rPr>
        <w:t>58. Kolegji vlerëson se kjo zgjidhje ruan tekstin e ligjit, i jep kuptim real parimit të efektivitetit, mban parasysh rolin parësor të mekanizmit publik të ndihmës juridike dhe nuk e vendos Gjykatën e Lartë në rolin e ligjvënësit</w:t>
      </w:r>
      <w:r w:rsidR="005B570C">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sepse ajo nuk krijon një normë të re, por zgjedh interpretimin kushtetues më bindës ndër dy leximet e mundshme të ligjit. Veçanërisht</w:t>
      </w:r>
      <w:r w:rsidR="005B570C">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rekursin, ky interpretim nuk e zhvendos shqyrtimin e kërkesës në Gjykatën e Lartë përpara se çështja të kalojë filtrin formal, por e lidh ndihmën juridike me gjykatën ku ky filtër kryhet. Njëkohësisht, ajo përcjell edhe mesazhin institucional që sistemi i ndihmës juridike duhet të funksionojë sa më herët dhe sa më shpejt përmes hallkave publike të krijuara nga ligji, në mënyrë që nevoja e qytetarit për mbrojtje të mos shndërrohet në një konflikt procedural të panevojshëm. </w:t>
      </w:r>
      <w:r w:rsidRPr="00BC232E">
        <w:rPr>
          <w:rFonts w:ascii="Garamond" w:eastAsiaTheme="minorHAnsi" w:hAnsi="Garamond"/>
          <w:bCs/>
          <w14:ligatures w14:val="standardContextual"/>
        </w:rPr>
        <w:t xml:space="preserve">Në këtë mënyrë, ruhet edhe dallimi i domosdoshëm midis interpretimit gjyqësor dhe krijimit të normës. Gjykata nuk po shton një rregull të ri, por po zgjedh atë lexim të ligjit që i jep fuqi reale </w:t>
      </w:r>
      <w:proofErr w:type="spellStart"/>
      <w:r w:rsidRPr="00BC232E">
        <w:rPr>
          <w:rFonts w:ascii="Garamond" w:eastAsiaTheme="minorHAnsi" w:hAnsi="Garamond"/>
          <w:bCs/>
          <w14:ligatures w14:val="standardContextual"/>
        </w:rPr>
        <w:t>efi</w:t>
      </w:r>
      <w:r w:rsidR="00453172">
        <w:rPr>
          <w:rFonts w:ascii="Garamond" w:eastAsiaTheme="minorHAnsi" w:hAnsi="Garamond"/>
          <w:bCs/>
          <w14:ligatures w14:val="standardContextual"/>
        </w:rPr>
        <w:t>ci</w:t>
      </w:r>
      <w:r w:rsidRPr="00BC232E">
        <w:rPr>
          <w:rFonts w:ascii="Garamond" w:eastAsiaTheme="minorHAnsi" w:hAnsi="Garamond"/>
          <w:bCs/>
          <w14:ligatures w14:val="standardContextual"/>
        </w:rPr>
        <w:t>encës</w:t>
      </w:r>
      <w:proofErr w:type="spellEnd"/>
      <w:r w:rsidRPr="00BC232E">
        <w:rPr>
          <w:rFonts w:ascii="Garamond" w:eastAsiaTheme="minorHAnsi" w:hAnsi="Garamond"/>
          <w:bCs/>
          <w14:ligatures w14:val="standardContextual"/>
        </w:rPr>
        <w:t xml:space="preserve"> dhe efektivitetit që vetë ligjvënësi ka ngulitur në strukturën e tij. </w:t>
      </w:r>
      <w:r w:rsidRPr="00BC232E">
        <w:rPr>
          <w:rFonts w:ascii="Garamond" w:eastAsiaTheme="minorHAnsi" w:hAnsi="Garamond"/>
          <w:bCs/>
          <w:color w:val="000000"/>
          <w14:ligatures w14:val="standardContextual"/>
        </w:rPr>
        <w:t xml:space="preserve">Ky interpretim harmonizon nenin 20/1 me nenin 19, me parimet e nenit 4 dhe me qëllimin e nenit 2 të ligjit nr. 111/2017, duke i dhënë përparësi </w:t>
      </w:r>
      <w:proofErr w:type="spellStart"/>
      <w:r w:rsidRPr="00BC232E">
        <w:rPr>
          <w:rFonts w:ascii="Garamond" w:eastAsiaTheme="minorHAnsi" w:hAnsi="Garamond"/>
          <w:bCs/>
          <w:color w:val="000000"/>
          <w14:ligatures w14:val="standardContextual"/>
        </w:rPr>
        <w:t>aksesit</w:t>
      </w:r>
      <w:proofErr w:type="spellEnd"/>
      <w:r w:rsidRPr="00BC232E">
        <w:rPr>
          <w:rFonts w:ascii="Garamond" w:eastAsiaTheme="minorHAnsi" w:hAnsi="Garamond"/>
          <w:bCs/>
          <w:color w:val="000000"/>
          <w14:ligatures w14:val="standardContextual"/>
        </w:rPr>
        <w:t xml:space="preserve"> real, mbrojtjes efektive dhe funksionimit të arsyeshëm të procesit gjyqësor.</w:t>
      </w:r>
      <w:r w:rsidRPr="00BC232E">
        <w:rPr>
          <w:rFonts w:ascii="Garamond" w:eastAsiaTheme="minorHAnsi" w:hAnsi="Garamond"/>
          <w:b/>
          <w:bCs/>
          <w:color w:val="000000"/>
          <w14:ligatures w14:val="standardContextual"/>
        </w:rPr>
        <w:t xml:space="preserve"> </w:t>
      </w:r>
      <w:r w:rsidRPr="00BC232E">
        <w:rPr>
          <w:rFonts w:ascii="Garamond" w:eastAsiaTheme="minorHAnsi" w:hAnsi="Garamond"/>
          <w:color w:val="000000"/>
          <w14:ligatures w14:val="standardContextual"/>
        </w:rPr>
        <w:t xml:space="preserve">Për rrjedhojë, lidhja e kompetencës me gjykatën ose hallkën procedurale ku ndodhet realisht çështja nuk është zgjidhje thjesht praktike, por pasojë e vetë qëllimit dhe strukturës së ligjit. </w:t>
      </w:r>
    </w:p>
    <w:p w14:paraId="72C0E571" w14:textId="24B0C9D3" w:rsidR="00BC232E" w:rsidRPr="00BC232E" w:rsidRDefault="00BC232E" w:rsidP="00BC232E">
      <w:pPr>
        <w:tabs>
          <w:tab w:val="left" w:pos="260"/>
          <w:tab w:val="left" w:pos="440"/>
        </w:tabs>
        <w:autoSpaceDE w:val="0"/>
        <w:autoSpaceDN w:val="0"/>
        <w:adjustRightInd w:val="0"/>
        <w:ind w:firstLine="284"/>
        <w:jc w:val="both"/>
        <w:rPr>
          <w:rFonts w:ascii="Garamond" w:eastAsiaTheme="minorHAnsi" w:hAnsi="Garamond"/>
          <w:b/>
          <w:bCs/>
          <w14:ligatures w14:val="standardContextual"/>
        </w:rPr>
      </w:pPr>
      <w:r w:rsidRPr="00BC232E">
        <w:rPr>
          <w:rFonts w:ascii="Garamond" w:eastAsiaTheme="minorHAnsi" w:hAnsi="Garamond"/>
          <w14:ligatures w14:val="standardContextual"/>
        </w:rPr>
        <w:t xml:space="preserve">59. </w:t>
      </w:r>
      <w:r w:rsidRPr="00BC232E">
        <w:rPr>
          <w:rFonts w:ascii="Garamond" w:eastAsiaTheme="minorHAnsi" w:hAnsi="Garamond"/>
          <w:color w:val="000000"/>
          <w14:ligatures w14:val="standardContextual"/>
        </w:rPr>
        <w:t xml:space="preserve">Bazuar në arsyetimin e mësipërm, në interpretim sistematik dhe </w:t>
      </w:r>
      <w:proofErr w:type="spellStart"/>
      <w:r w:rsidRPr="00BC232E">
        <w:rPr>
          <w:rFonts w:ascii="Garamond" w:eastAsiaTheme="minorHAnsi" w:hAnsi="Garamond"/>
          <w:color w:val="000000"/>
          <w14:ligatures w14:val="standardContextual"/>
        </w:rPr>
        <w:t>teleologjik</w:t>
      </w:r>
      <w:proofErr w:type="spellEnd"/>
      <w:r w:rsidRPr="00BC232E">
        <w:rPr>
          <w:rFonts w:ascii="Garamond" w:eastAsiaTheme="minorHAnsi" w:hAnsi="Garamond"/>
          <w:color w:val="000000"/>
          <w14:ligatures w14:val="standardContextual"/>
        </w:rPr>
        <w:t xml:space="preserve"> të ligjit nr. 111/2017</w:t>
      </w:r>
      <w:r w:rsidR="005B570C">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ndihmën juridike të garantuar nga shteti”, Kolegji </w:t>
      </w:r>
      <w:proofErr w:type="spellStart"/>
      <w:r w:rsidRPr="00BC232E">
        <w:rPr>
          <w:rFonts w:ascii="Garamond" w:eastAsiaTheme="minorHAnsi" w:hAnsi="Garamond"/>
          <w:color w:val="000000"/>
          <w14:ligatures w14:val="standardContextual"/>
        </w:rPr>
        <w:t>konkludon</w:t>
      </w:r>
      <w:proofErr w:type="spellEnd"/>
      <w:r w:rsidRPr="00BC232E">
        <w:rPr>
          <w:rFonts w:ascii="Garamond" w:eastAsiaTheme="minorHAnsi" w:hAnsi="Garamond"/>
          <w:color w:val="000000"/>
          <w14:ligatures w14:val="standardContextual"/>
        </w:rPr>
        <w:t xml:space="preserve"> në këtë </w:t>
      </w:r>
      <w:r w:rsidRPr="00963D2B">
        <w:rPr>
          <w:rFonts w:ascii="Garamond" w:eastAsiaTheme="minorHAnsi" w:hAnsi="Garamond"/>
          <w:bCs/>
          <w:color w:val="000000"/>
          <w14:ligatures w14:val="standardContextual"/>
        </w:rPr>
        <w:t>përfundim njësues:</w:t>
      </w:r>
    </w:p>
    <w:p w14:paraId="6D2F2160" w14:textId="7B51D847" w:rsidR="00BC232E" w:rsidRPr="00BC232E" w:rsidRDefault="00BC232E" w:rsidP="00BC232E">
      <w:pPr>
        <w:tabs>
          <w:tab w:val="left" w:pos="260"/>
          <w:tab w:val="left" w:pos="440"/>
        </w:tabs>
        <w:autoSpaceDE w:val="0"/>
        <w:autoSpaceDN w:val="0"/>
        <w:adjustRightInd w:val="0"/>
        <w:ind w:firstLine="284"/>
        <w:jc w:val="both"/>
        <w:rPr>
          <w:rFonts w:ascii="Garamond" w:eastAsiaTheme="minorHAnsi" w:hAnsi="Garamond"/>
          <w:color w:val="171717"/>
          <w14:ligatures w14:val="standardContextual"/>
        </w:rPr>
      </w:pPr>
      <w:r w:rsidRPr="00BC232E">
        <w:rPr>
          <w:rFonts w:ascii="Garamond" w:eastAsiaTheme="minorHAnsi" w:hAnsi="Garamond"/>
          <w:b/>
          <w:bCs/>
          <w:i/>
          <w:iCs/>
          <w14:ligatures w14:val="standardContextual"/>
        </w:rPr>
        <w:t xml:space="preserve">“Shprehja </w:t>
      </w:r>
      <w:r w:rsidR="005B570C">
        <w:rPr>
          <w:rFonts w:ascii="Garamond" w:eastAsiaTheme="minorHAnsi" w:hAnsi="Garamond"/>
          <w:b/>
          <w:bCs/>
          <w:i/>
          <w:iCs/>
          <w14:ligatures w14:val="standardContextual"/>
        </w:rPr>
        <w:t>‘</w:t>
      </w:r>
      <w:r w:rsidRPr="00BC232E">
        <w:rPr>
          <w:rFonts w:ascii="Garamond" w:eastAsiaTheme="minorHAnsi" w:hAnsi="Garamond"/>
          <w:b/>
          <w:bCs/>
          <w:i/>
          <w:iCs/>
          <w14:ligatures w14:val="standardContextual"/>
        </w:rPr>
        <w:t>gjykata kompetente për shqyrtimin e çështjes në themel</w:t>
      </w:r>
      <w:r w:rsidR="005B570C">
        <w:rPr>
          <w:rFonts w:ascii="Garamond" w:eastAsiaTheme="minorHAnsi" w:hAnsi="Garamond"/>
          <w:b/>
          <w:bCs/>
          <w:i/>
          <w:iCs/>
          <w14:ligatures w14:val="standardContextual"/>
        </w:rPr>
        <w:t>’</w:t>
      </w:r>
      <w:r w:rsidRPr="00BC232E">
        <w:rPr>
          <w:rFonts w:ascii="Garamond" w:eastAsiaTheme="minorHAnsi" w:hAnsi="Garamond"/>
          <w:b/>
          <w:bCs/>
          <w:i/>
          <w:iCs/>
          <w14:ligatures w14:val="standardContextual"/>
        </w:rPr>
        <w:t xml:space="preserve">, e parashikuar në nenin 20/1 të ligjit nr. 111/2017, duhet kuptuar në dritën e neneve 2, 4, 19, 21 dhe 22 të këtij ligji, si dhe të nenit 42 të Kushtetutës, si gjykata që në fazën konkrete të procesit ka kompetencën funksionale të shqyrtojë çështjen ose kërkesën procedurale nga e cila varet ushtrimi efektiv i së drejtës së </w:t>
      </w:r>
      <w:proofErr w:type="spellStart"/>
      <w:r w:rsidRPr="00BC232E">
        <w:rPr>
          <w:rFonts w:ascii="Garamond" w:eastAsiaTheme="minorHAnsi" w:hAnsi="Garamond"/>
          <w:b/>
          <w:bCs/>
          <w:i/>
          <w:iCs/>
          <w14:ligatures w14:val="standardContextual"/>
        </w:rPr>
        <w:t>aksesit</w:t>
      </w:r>
      <w:proofErr w:type="spellEnd"/>
      <w:r w:rsidRPr="00BC232E">
        <w:rPr>
          <w:rFonts w:ascii="Garamond" w:eastAsiaTheme="minorHAnsi" w:hAnsi="Garamond"/>
          <w:b/>
          <w:bCs/>
          <w:i/>
          <w:iCs/>
          <w14:ligatures w14:val="standardContextual"/>
        </w:rPr>
        <w:t xml:space="preserve"> në gjykatë. Për rrjedhojë, kur kërkesa për ndihmë juridike dytësore paraqitet gjatë gjykimit në apel, kompetente është gjykata e apelit ku ndodhet çështja. Kur nevoja për ndihmë juridike dytësore lind në fazën e ushtrimit të ankimit ose të rekursit, kompetenca i përket gjykatës pranë së cilës depozitohet ankimi ose rekursi dhe ku verifikohet rregullsia formale e tij</w:t>
      </w:r>
      <w:r w:rsidRPr="006E220B">
        <w:rPr>
          <w:rFonts w:ascii="Garamond" w:eastAsiaTheme="minorHAnsi" w:hAnsi="Garamond"/>
          <w:b/>
          <w:bCs/>
          <w:i/>
          <w:iCs/>
          <w14:ligatures w14:val="standardContextual"/>
        </w:rPr>
        <w:t>”.</w:t>
      </w:r>
    </w:p>
    <w:p w14:paraId="2649D116" w14:textId="77777777" w:rsidR="00BC232E" w:rsidRPr="00BC232E" w:rsidRDefault="00BC232E" w:rsidP="00BC232E">
      <w:pPr>
        <w:autoSpaceDE w:val="0"/>
        <w:autoSpaceDN w:val="0"/>
        <w:adjustRightInd w:val="0"/>
        <w:ind w:firstLine="284"/>
        <w:jc w:val="both"/>
        <w:rPr>
          <w:rFonts w:ascii="Garamond" w:eastAsiaTheme="minorHAnsi" w:hAnsi="Garamond"/>
          <w:b/>
          <w:bCs/>
          <w:i/>
          <w:iCs/>
          <w:color w:val="171717"/>
          <w14:ligatures w14:val="standardContextual"/>
        </w:rPr>
      </w:pPr>
      <w:r w:rsidRPr="00BC232E">
        <w:rPr>
          <w:rFonts w:ascii="Garamond" w:eastAsiaTheme="minorHAnsi" w:hAnsi="Garamond"/>
          <w:b/>
          <w:bCs/>
          <w:i/>
          <w:iCs/>
          <w:color w:val="171717"/>
          <w14:ligatures w14:val="standardContextual"/>
        </w:rPr>
        <w:t>Ç. Zgjidhja e çështjes konkrete</w:t>
      </w:r>
    </w:p>
    <w:p w14:paraId="52B37398" w14:textId="77777777" w:rsidR="00BC232E" w:rsidRPr="00BC232E" w:rsidRDefault="00BC232E" w:rsidP="00BC232E">
      <w:pPr>
        <w:tabs>
          <w:tab w:val="left" w:pos="36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60. Në zbatim të rregullit njësues të mësipërm, Kolegji konstaton se vendimi i Gjykatës së Apelit të Juridiksionit të Përgjithshëm, me të cilin është deklaruar </w:t>
      </w:r>
      <w:proofErr w:type="spellStart"/>
      <w:r w:rsidRPr="00BC232E">
        <w:rPr>
          <w:rFonts w:ascii="Garamond" w:eastAsiaTheme="minorHAnsi" w:hAnsi="Garamond"/>
          <w:color w:val="000000"/>
          <w14:ligatures w14:val="standardContextual"/>
        </w:rPr>
        <w:t>moskompetenca</w:t>
      </w:r>
      <w:proofErr w:type="spellEnd"/>
      <w:r w:rsidRPr="00BC232E">
        <w:rPr>
          <w:rFonts w:ascii="Garamond" w:eastAsiaTheme="minorHAnsi" w:hAnsi="Garamond"/>
          <w:color w:val="000000"/>
          <w14:ligatures w14:val="standardContextual"/>
        </w:rPr>
        <w:t xml:space="preserve"> e kësaj gjykate dhe aktet i janë dërguar Gjykatës Administrative të Apelit, është i drejtë në përfundim. Kërkesa për ndihmë juridike dytësore lidhet me një çështje administrative që në momentin e paraqitjes së kërkesës ndodhej e regjistruar pranë Gjykatës Administrative të Apelit. Për rrjedhojë, kompetenca për shqyrtimin e kërkesës nuk mund t’i përkasë gjykatës së juridiksionit të përgjithshëm, por Gjykatës Administrative të Apelit, që në atë fazë procedurale ka kompetencën funksionale për shqyrtimin e çështjes kryesore dhe para së cilës kërkohet mbrojtja profesionale.</w:t>
      </w:r>
    </w:p>
    <w:p w14:paraId="496677CB" w14:textId="77777777" w:rsidR="00BC232E" w:rsidRPr="00BC232E" w:rsidRDefault="00BC232E" w:rsidP="00BC232E">
      <w:pPr>
        <w:tabs>
          <w:tab w:val="left" w:pos="36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lastRenderedPageBreak/>
        <w:t xml:space="preserve">61. Në rastin konkret, kërkesa për ndihmë juridike dytësore është paraqitur nga Fatbardha </w:t>
      </w:r>
      <w:proofErr w:type="spellStart"/>
      <w:r w:rsidRPr="00BC232E">
        <w:rPr>
          <w:rFonts w:ascii="Garamond" w:eastAsiaTheme="minorHAnsi" w:hAnsi="Garamond"/>
          <w:color w:val="000000"/>
          <w14:ligatures w14:val="standardContextual"/>
        </w:rPr>
        <w:t>Braho</w:t>
      </w:r>
      <w:proofErr w:type="spellEnd"/>
      <w:r w:rsidRPr="00BC232E">
        <w:rPr>
          <w:rFonts w:ascii="Garamond" w:eastAsiaTheme="minorHAnsi" w:hAnsi="Garamond"/>
          <w:color w:val="000000"/>
          <w14:ligatures w14:val="standardContextual"/>
        </w:rPr>
        <w:t xml:space="preserve"> në një kohë kur çështja administrative e themelit ndodhej e regjistruar dhe në pritje shqyrtimi pranë Gjykatës Administrative të Apelit. Kjo gjykatë është jo vetëm gjykata e juridiksionit administrativ, por edhe gjykata që në atë fazë procedurale ka kompetencën funksionale për shqyrtimin e çështjes kryesore. Prandaj, vetëm shqyrtimi i kërkesës nga Gjykata Administrative e Apelit ruan lidhjen ndërmjet ndihmës juridike dytësore dhe fazës së procesit ku pala ka nevojë konkrete për mbrojtje profesionale. </w:t>
      </w:r>
    </w:p>
    <w:p w14:paraId="7B0E7DF6" w14:textId="77777777" w:rsidR="00BC232E" w:rsidRPr="00BC232E" w:rsidRDefault="00BC232E" w:rsidP="00BC232E">
      <w:pPr>
        <w:tabs>
          <w:tab w:val="left" w:pos="36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62. Për më tepër, në kohën e paraqitjes së kërkesës, nevoja e palës kërkuese për ndihmë juridike nuk lidhej më me zhvillimin e gjykimit në shkallë të parë, por me mbrojtjen e interesave të saj në fazën e apelit administrativ. Për këtë arsye, shqyrtimi i kërkesës nga Gjykata Administrative e Apelit nuk përbën devijim nga rregulli i kompetencës, por zbatim të tij në lidhje me fazën procedurale ku ndodhej realisht çështja.</w:t>
      </w:r>
    </w:p>
    <w:p w14:paraId="760330B0" w14:textId="3732D411" w:rsidR="00BC232E" w:rsidRPr="00BC232E" w:rsidRDefault="00BC232E" w:rsidP="00BC232E">
      <w:pPr>
        <w:tabs>
          <w:tab w:val="left" w:pos="360"/>
        </w:tabs>
        <w:autoSpaceDE w:val="0"/>
        <w:autoSpaceDN w:val="0"/>
        <w:adjustRightInd w:val="0"/>
        <w:ind w:firstLine="284"/>
        <w:jc w:val="both"/>
        <w:rPr>
          <w:rFonts w:ascii="Garamond" w:eastAsiaTheme="minorHAnsi" w:hAnsi="Garamond"/>
          <w:color w:val="000000"/>
          <w14:ligatures w14:val="standardContextual"/>
        </w:rPr>
      </w:pPr>
      <w:r w:rsidRPr="00275D6E">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 xml:space="preserve">63. Për këto arsye, Kolegji vlerëson se mosmarrëveshja e kompetencës duhet të zgjidhet duke caktuar Gjykatën Administrative të Apelit si gjykatën kompetente për shqyrtimin e kërkesës për ndihmë juridike dytësore të paraqitur nga Fatbardha </w:t>
      </w:r>
      <w:proofErr w:type="spellStart"/>
      <w:r w:rsidRPr="00BC232E">
        <w:rPr>
          <w:rFonts w:ascii="Garamond" w:eastAsiaTheme="minorHAnsi" w:hAnsi="Garamond"/>
          <w:color w:val="000000"/>
          <w14:ligatures w14:val="standardContextual"/>
        </w:rPr>
        <w:t>Braho</w:t>
      </w:r>
      <w:proofErr w:type="spellEnd"/>
      <w:r w:rsidRPr="00BC232E">
        <w:rPr>
          <w:rFonts w:ascii="Garamond" w:eastAsiaTheme="minorHAnsi" w:hAnsi="Garamond"/>
          <w:color w:val="000000"/>
          <w14:ligatures w14:val="standardContextual"/>
        </w:rPr>
        <w:t>. Në këtë mënyrë, rregulli njësues i vendosur në këtë vendim zbatohet drejtpërdrejt në rastin konkret, duke shmangur kthimin e kërkesës në një gjykatë të shkëputur nga faza ku ndodhet çështja dhe duke garantuar që ndihma juridike të shqyrtohet nga gjykata ku ajo mund të prodhojë efektin e saj real.</w:t>
      </w:r>
    </w:p>
    <w:p w14:paraId="736FC68C" w14:textId="77777777" w:rsidR="00BC232E" w:rsidRPr="00BC232E" w:rsidRDefault="00BC232E" w:rsidP="00BC232E">
      <w:pPr>
        <w:autoSpaceDE w:val="0"/>
        <w:autoSpaceDN w:val="0"/>
        <w:adjustRightInd w:val="0"/>
        <w:ind w:firstLine="284"/>
        <w:rPr>
          <w:rFonts w:ascii="Garamond" w:eastAsiaTheme="minorHAnsi" w:hAnsi="Garamond"/>
          <w:b/>
          <w:bCs/>
          <w:color w:val="000000"/>
          <w14:ligatures w14:val="standardContextual"/>
        </w:rPr>
      </w:pPr>
    </w:p>
    <w:p w14:paraId="2220D761" w14:textId="77777777" w:rsidR="00BC232E" w:rsidRPr="00BC232E" w:rsidRDefault="00BC232E" w:rsidP="00BC232E">
      <w:pPr>
        <w:autoSpaceDE w:val="0"/>
        <w:autoSpaceDN w:val="0"/>
        <w:adjustRightInd w:val="0"/>
        <w:ind w:firstLine="284"/>
        <w:jc w:val="center"/>
        <w:rPr>
          <w:rFonts w:ascii="Garamond" w:eastAsiaTheme="minorHAnsi" w:hAnsi="Garamond"/>
          <w:bCs/>
          <w:color w:val="000000"/>
          <w14:ligatures w14:val="standardContextual"/>
        </w:rPr>
      </w:pPr>
      <w:r w:rsidRPr="00BC232E">
        <w:rPr>
          <w:rFonts w:ascii="Garamond" w:eastAsiaTheme="minorHAnsi" w:hAnsi="Garamond"/>
          <w:bCs/>
          <w:color w:val="000000"/>
          <w14:ligatures w14:val="standardContextual"/>
        </w:rPr>
        <w:t>PËR KËTO ARSYE,</w:t>
      </w:r>
    </w:p>
    <w:p w14:paraId="60F37B14" w14:textId="77777777" w:rsidR="00BC232E" w:rsidRPr="00BC232E" w:rsidRDefault="00BC232E" w:rsidP="00BC232E">
      <w:pPr>
        <w:autoSpaceDE w:val="0"/>
        <w:autoSpaceDN w:val="0"/>
        <w:adjustRightInd w:val="0"/>
        <w:ind w:firstLine="284"/>
        <w:jc w:val="center"/>
        <w:rPr>
          <w:rFonts w:ascii="Garamond" w:eastAsiaTheme="minorHAnsi" w:hAnsi="Garamond"/>
          <w:bCs/>
          <w:color w:val="000000"/>
          <w14:ligatures w14:val="standardContextual"/>
        </w:rPr>
      </w:pPr>
    </w:p>
    <w:p w14:paraId="77C59C1B" w14:textId="4A500C05"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Kolegji Administrativ i Gjykatës së Lartë, mbështetur në nenet 13, 62/a, 63, pika 1, shkronja “e”, të ligjit nr. 49/2012</w:t>
      </w:r>
      <w:r w:rsidR="00F75E1E">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w:t>
      </w:r>
      <w:r w:rsidR="00F75E1E" w:rsidRPr="00BC232E">
        <w:rPr>
          <w:rFonts w:ascii="Garamond" w:eastAsiaTheme="minorHAnsi" w:hAnsi="Garamond"/>
          <w:color w:val="000000"/>
          <w14:ligatures w14:val="standardContextual"/>
        </w:rPr>
        <w:t>gjykatat administrative dhe gjykimin e mosmarrëveshjeve administrative</w:t>
      </w:r>
      <w:r w:rsidRPr="00BC232E">
        <w:rPr>
          <w:rFonts w:ascii="Garamond" w:eastAsiaTheme="minorHAnsi" w:hAnsi="Garamond"/>
          <w:color w:val="000000"/>
          <w14:ligatures w14:val="standardContextual"/>
        </w:rPr>
        <w:t>”, i ndryshuar,</w:t>
      </w:r>
    </w:p>
    <w:p w14:paraId="7302C2F3"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p>
    <w:p w14:paraId="62398236" w14:textId="4F252BEC" w:rsidR="00BC232E" w:rsidRPr="00BC232E" w:rsidRDefault="00BC232E" w:rsidP="00BC232E">
      <w:pPr>
        <w:autoSpaceDE w:val="0"/>
        <w:autoSpaceDN w:val="0"/>
        <w:adjustRightInd w:val="0"/>
        <w:ind w:firstLine="284"/>
        <w:jc w:val="center"/>
        <w:rPr>
          <w:rFonts w:ascii="Garamond" w:eastAsiaTheme="minorHAnsi" w:hAnsi="Garamond"/>
          <w:bCs/>
          <w:color w:val="000000"/>
          <w14:ligatures w14:val="standardContextual"/>
        </w:rPr>
      </w:pPr>
      <w:r w:rsidRPr="00BC232E">
        <w:rPr>
          <w:rFonts w:ascii="Garamond" w:eastAsiaTheme="minorHAnsi" w:hAnsi="Garamond"/>
          <w:bCs/>
          <w:color w:val="000000"/>
          <w14:ligatures w14:val="standardContextual"/>
        </w:rPr>
        <w:t>VENDOSI:</w:t>
      </w:r>
    </w:p>
    <w:p w14:paraId="53453306" w14:textId="77777777" w:rsidR="00BC232E" w:rsidRPr="00BC232E" w:rsidRDefault="00BC232E" w:rsidP="00BC232E">
      <w:pPr>
        <w:autoSpaceDE w:val="0"/>
        <w:autoSpaceDN w:val="0"/>
        <w:adjustRightInd w:val="0"/>
        <w:ind w:firstLine="284"/>
        <w:jc w:val="center"/>
        <w:rPr>
          <w:rFonts w:ascii="Garamond" w:eastAsiaTheme="minorHAnsi" w:hAnsi="Garamond"/>
          <w:b/>
          <w:bCs/>
          <w:color w:val="000000"/>
          <w14:ligatures w14:val="standardContextual"/>
        </w:rPr>
      </w:pPr>
    </w:p>
    <w:p w14:paraId="20C34C1E" w14:textId="6061A6B3" w:rsidR="00BC232E" w:rsidRPr="00BC232E" w:rsidRDefault="00BC232E" w:rsidP="00BC232E">
      <w:pPr>
        <w:tabs>
          <w:tab w:val="left" w:pos="5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1.</w:t>
      </w:r>
      <w:r w:rsidR="00315FCD">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Lënien në fuqi të vendimit nr. 30-2025-9731 (1580), datë 19.11.2025, të Gjykatës së Apelit të Juridiksionit të Përgjithshëm.</w:t>
      </w:r>
    </w:p>
    <w:p w14:paraId="7F4BD3B1" w14:textId="7CAECD6B" w:rsidR="00BC232E" w:rsidRPr="00BC232E" w:rsidRDefault="00BC232E" w:rsidP="00BC232E">
      <w:pPr>
        <w:tabs>
          <w:tab w:val="left" w:pos="540"/>
        </w:tabs>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171717"/>
          <w14:ligatures w14:val="standardContextual"/>
        </w:rPr>
        <w:t>2.</w:t>
      </w:r>
      <w:r w:rsidR="00315FCD">
        <w:rPr>
          <w:rFonts w:ascii="Garamond" w:eastAsiaTheme="minorHAnsi" w:hAnsi="Garamond"/>
          <w:color w:val="171717"/>
          <w14:ligatures w14:val="standardContextual"/>
        </w:rPr>
        <w:t xml:space="preserve"> </w:t>
      </w:r>
      <w:r w:rsidRPr="00BC232E">
        <w:rPr>
          <w:rFonts w:ascii="Garamond" w:eastAsiaTheme="minorHAnsi" w:hAnsi="Garamond"/>
          <w:color w:val="000000"/>
          <w14:ligatures w14:val="standardContextual"/>
        </w:rPr>
        <w:t>Ky vendim njësues botohet në Fletoren Zyrtare.</w:t>
      </w:r>
    </w:p>
    <w:p w14:paraId="5BB84639" w14:textId="77777777" w:rsidR="00F75E1E" w:rsidRDefault="00F75E1E" w:rsidP="00453172">
      <w:pPr>
        <w:tabs>
          <w:tab w:val="left" w:pos="840"/>
          <w:tab w:val="left" w:pos="14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rPr>
          <w:rFonts w:ascii="Garamond" w:eastAsiaTheme="minorHAnsi" w:hAnsi="Garamond"/>
          <w:b/>
          <w:bCs/>
          <w:color w:val="000000"/>
          <w14:ligatures w14:val="standardContextual"/>
        </w:rPr>
      </w:pPr>
    </w:p>
    <w:p w14:paraId="2EDDD490" w14:textId="476AF251" w:rsidR="00BC232E" w:rsidRPr="00BC232E" w:rsidRDefault="00BC232E" w:rsidP="00453172">
      <w:pPr>
        <w:tabs>
          <w:tab w:val="left" w:pos="840"/>
          <w:tab w:val="left" w:pos="140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ind w:firstLine="284"/>
        <w:rPr>
          <w:rFonts w:ascii="Garamond" w:eastAsiaTheme="minorHAnsi" w:hAnsi="Garamond"/>
          <w:b/>
          <w:bCs/>
          <w:color w:val="000000"/>
          <w14:ligatures w14:val="standardContextual"/>
        </w:rPr>
      </w:pPr>
      <w:r w:rsidRPr="00BC232E">
        <w:rPr>
          <w:rFonts w:ascii="Garamond" w:eastAsiaTheme="minorHAnsi" w:hAnsi="Garamond"/>
          <w:b/>
          <w:bCs/>
          <w:color w:val="000000"/>
          <w14:ligatures w14:val="standardContextual"/>
        </w:rPr>
        <w:t>Tiranë, më 16.4.2026</w:t>
      </w:r>
    </w:p>
    <w:p w14:paraId="0F3061BF" w14:textId="77777777" w:rsidR="00BC232E" w:rsidRPr="00BC232E" w:rsidRDefault="00BC232E" w:rsidP="00BC232E">
      <w:pPr>
        <w:autoSpaceDE w:val="0"/>
        <w:autoSpaceDN w:val="0"/>
        <w:adjustRightInd w:val="0"/>
        <w:ind w:firstLine="284"/>
        <w:jc w:val="both"/>
        <w:rPr>
          <w:rFonts w:ascii="Garamond" w:eastAsiaTheme="minorHAnsi" w:hAnsi="Garamond"/>
          <w:b/>
          <w:bCs/>
          <w:color w:val="000000"/>
          <w14:ligatures w14:val="standardContextual"/>
        </w:rPr>
      </w:pPr>
    </w:p>
    <w:p w14:paraId="42D1A5E3" w14:textId="3DD65B8D" w:rsidR="000E5691" w:rsidRPr="000E5691" w:rsidRDefault="000E5691" w:rsidP="000E5691">
      <w:pPr>
        <w:autoSpaceDE w:val="0"/>
        <w:autoSpaceDN w:val="0"/>
        <w:adjustRightInd w:val="0"/>
        <w:ind w:firstLine="284"/>
        <w:jc w:val="both"/>
        <w:rPr>
          <w:rFonts w:ascii="Garamond" w:eastAsiaTheme="minorHAnsi" w:hAnsi="Garamond"/>
          <w:bCs/>
          <w:color w:val="000000"/>
          <w14:ligatures w14:val="standardContextual"/>
        </w:rPr>
      </w:pPr>
      <w:r w:rsidRPr="000E5691">
        <w:rPr>
          <w:rFonts w:ascii="Garamond" w:eastAsiaTheme="minorHAnsi" w:hAnsi="Garamond"/>
          <w:b/>
          <w:bCs/>
          <w:color w:val="000000"/>
          <w14:ligatures w14:val="standardContextual"/>
        </w:rPr>
        <w:t xml:space="preserve">Kryesues: </w:t>
      </w:r>
      <w:r w:rsidRPr="000E5691">
        <w:rPr>
          <w:rFonts w:ascii="Garamond" w:eastAsiaTheme="minorHAnsi" w:hAnsi="Garamond"/>
          <w:bCs/>
          <w:color w:val="000000"/>
          <w14:ligatures w14:val="standardContextual"/>
        </w:rPr>
        <w:t xml:space="preserve">Sokol </w:t>
      </w:r>
      <w:proofErr w:type="spellStart"/>
      <w:r w:rsidRPr="000E5691">
        <w:rPr>
          <w:rFonts w:ascii="Garamond" w:eastAsiaTheme="minorHAnsi" w:hAnsi="Garamond"/>
          <w:bCs/>
          <w:color w:val="000000"/>
          <w14:ligatures w14:val="standardContextual"/>
        </w:rPr>
        <w:t>Sadushi</w:t>
      </w:r>
      <w:proofErr w:type="spellEnd"/>
    </w:p>
    <w:p w14:paraId="3D320C31" w14:textId="7DAC06E8" w:rsidR="000E5691" w:rsidRDefault="000E5691" w:rsidP="000E5691">
      <w:pPr>
        <w:autoSpaceDE w:val="0"/>
        <w:autoSpaceDN w:val="0"/>
        <w:adjustRightInd w:val="0"/>
        <w:ind w:firstLine="284"/>
        <w:jc w:val="both"/>
        <w:rPr>
          <w:rFonts w:ascii="Garamond" w:eastAsiaTheme="minorHAnsi" w:hAnsi="Garamond"/>
          <w:bCs/>
          <w:color w:val="000000"/>
          <w14:ligatures w14:val="standardContextual"/>
        </w:rPr>
      </w:pPr>
      <w:r w:rsidRPr="000E5691">
        <w:rPr>
          <w:rFonts w:ascii="Garamond" w:eastAsiaTheme="minorHAnsi" w:hAnsi="Garamond"/>
          <w:b/>
          <w:bCs/>
          <w:color w:val="000000"/>
          <w14:ligatures w14:val="standardContextual"/>
        </w:rPr>
        <w:t>Anëtarë:</w:t>
      </w:r>
      <w:r w:rsidR="00315FCD">
        <w:rPr>
          <w:rFonts w:ascii="Garamond" w:eastAsiaTheme="minorHAnsi" w:hAnsi="Garamond"/>
          <w:bCs/>
          <w:color w:val="000000"/>
          <w14:ligatures w14:val="standardContextual"/>
        </w:rPr>
        <w:t xml:space="preserve"> </w:t>
      </w:r>
      <w:r w:rsidRPr="000E5691">
        <w:rPr>
          <w:rFonts w:ascii="Garamond" w:eastAsiaTheme="minorHAnsi" w:hAnsi="Garamond"/>
          <w:bCs/>
          <w:color w:val="000000"/>
          <w14:ligatures w14:val="standardContextual"/>
        </w:rPr>
        <w:t xml:space="preserve">Arbena </w:t>
      </w:r>
      <w:proofErr w:type="spellStart"/>
      <w:r w:rsidRPr="000E5691">
        <w:rPr>
          <w:rFonts w:ascii="Garamond" w:eastAsiaTheme="minorHAnsi" w:hAnsi="Garamond"/>
          <w:bCs/>
          <w:color w:val="000000"/>
          <w14:ligatures w14:val="standardContextual"/>
        </w:rPr>
        <w:t>Ahmeti</w:t>
      </w:r>
      <w:proofErr w:type="spellEnd"/>
      <w:r>
        <w:rPr>
          <w:rFonts w:ascii="Garamond" w:eastAsiaTheme="minorHAnsi" w:hAnsi="Garamond"/>
          <w:bCs/>
          <w:color w:val="000000"/>
          <w14:ligatures w14:val="standardContextual"/>
        </w:rPr>
        <w:t xml:space="preserve">, </w:t>
      </w:r>
      <w:r w:rsidRPr="000E5691">
        <w:rPr>
          <w:rFonts w:ascii="Garamond" w:eastAsiaTheme="minorHAnsi" w:hAnsi="Garamond"/>
          <w:bCs/>
          <w:color w:val="000000"/>
          <w14:ligatures w14:val="standardContextual"/>
        </w:rPr>
        <w:t xml:space="preserve">Enkelejda </w:t>
      </w:r>
      <w:proofErr w:type="spellStart"/>
      <w:r w:rsidRPr="000E5691">
        <w:rPr>
          <w:rFonts w:ascii="Garamond" w:eastAsiaTheme="minorHAnsi" w:hAnsi="Garamond"/>
          <w:bCs/>
          <w:color w:val="000000"/>
          <w14:ligatures w14:val="standardContextual"/>
        </w:rPr>
        <w:t>Metaliaj</w:t>
      </w:r>
      <w:proofErr w:type="spellEnd"/>
      <w:r w:rsidRPr="000E5691">
        <w:rPr>
          <w:rFonts w:ascii="Garamond" w:eastAsiaTheme="minorHAnsi" w:hAnsi="Garamond"/>
          <w:bCs/>
          <w:color w:val="000000"/>
          <w14:ligatures w14:val="standardContextual"/>
        </w:rPr>
        <w:t xml:space="preserve"> (Softa)</w:t>
      </w:r>
    </w:p>
    <w:p w14:paraId="7FD5D3CC" w14:textId="01DAEE16" w:rsidR="000E5691" w:rsidRDefault="00D17889" w:rsidP="00D466AD">
      <w:pPr>
        <w:autoSpaceDE w:val="0"/>
        <w:autoSpaceDN w:val="0"/>
        <w:adjustRightInd w:val="0"/>
        <w:ind w:firstLine="284"/>
        <w:jc w:val="both"/>
        <w:rPr>
          <w:rFonts w:ascii="Garamond" w:eastAsiaTheme="minorHAnsi" w:hAnsi="Garamond"/>
          <w:bCs/>
          <w:color w:val="000000"/>
          <w14:ligatures w14:val="standardContextual"/>
        </w:rPr>
      </w:pPr>
      <w:r w:rsidRPr="000E5691">
        <w:rPr>
          <w:rFonts w:ascii="Garamond" w:eastAsiaTheme="minorHAnsi" w:hAnsi="Garamond"/>
          <w:b/>
          <w:bCs/>
          <w:color w:val="000000"/>
          <w14:ligatures w14:val="standardContextual"/>
        </w:rPr>
        <w:t>Anëtarë</w:t>
      </w:r>
      <w:r>
        <w:rPr>
          <w:rFonts w:ascii="Garamond" w:eastAsiaTheme="minorHAnsi" w:hAnsi="Garamond"/>
          <w:b/>
          <w:bCs/>
          <w:color w:val="000000"/>
          <w14:ligatures w14:val="standardContextual"/>
        </w:rPr>
        <w:t xml:space="preserve"> kundër: </w:t>
      </w:r>
      <w:r w:rsidR="00617368" w:rsidRPr="000E5691">
        <w:rPr>
          <w:rFonts w:ascii="Garamond" w:eastAsiaTheme="minorHAnsi" w:hAnsi="Garamond"/>
          <w:bCs/>
          <w:color w:val="000000"/>
          <w14:ligatures w14:val="standardContextual"/>
        </w:rPr>
        <w:t xml:space="preserve">Sokol </w:t>
      </w:r>
      <w:proofErr w:type="spellStart"/>
      <w:r w:rsidR="00617368" w:rsidRPr="000E5691">
        <w:rPr>
          <w:rFonts w:ascii="Garamond" w:eastAsiaTheme="minorHAnsi" w:hAnsi="Garamond"/>
          <w:bCs/>
          <w:color w:val="000000"/>
          <w14:ligatures w14:val="standardContextual"/>
        </w:rPr>
        <w:t>Ngresi</w:t>
      </w:r>
      <w:proofErr w:type="spellEnd"/>
      <w:r w:rsidR="00617368">
        <w:rPr>
          <w:rFonts w:ascii="Garamond" w:eastAsiaTheme="minorHAnsi" w:hAnsi="Garamond"/>
          <w:bCs/>
          <w:color w:val="000000"/>
          <w14:ligatures w14:val="standardContextual"/>
        </w:rPr>
        <w:t>,</w:t>
      </w:r>
      <w:r w:rsidR="00617368" w:rsidRPr="000E5691">
        <w:rPr>
          <w:rFonts w:ascii="Garamond" w:eastAsiaTheme="minorHAnsi" w:hAnsi="Garamond"/>
          <w:bCs/>
          <w:color w:val="000000"/>
          <w14:ligatures w14:val="standardContextual"/>
        </w:rPr>
        <w:t xml:space="preserve"> </w:t>
      </w:r>
      <w:r w:rsidR="00D466AD" w:rsidRPr="000E5691">
        <w:rPr>
          <w:rFonts w:ascii="Garamond" w:eastAsiaTheme="minorHAnsi" w:hAnsi="Garamond"/>
          <w:bCs/>
          <w:color w:val="000000"/>
          <w14:ligatures w14:val="standardContextual"/>
        </w:rPr>
        <w:t xml:space="preserve">Gentian </w:t>
      </w:r>
      <w:proofErr w:type="spellStart"/>
      <w:r w:rsidR="00D466AD" w:rsidRPr="000E5691">
        <w:rPr>
          <w:rFonts w:ascii="Garamond" w:eastAsiaTheme="minorHAnsi" w:hAnsi="Garamond"/>
          <w:bCs/>
          <w:color w:val="000000"/>
          <w14:ligatures w14:val="standardContextual"/>
        </w:rPr>
        <w:t>Medja</w:t>
      </w:r>
      <w:proofErr w:type="spellEnd"/>
    </w:p>
    <w:p w14:paraId="06567F6C" w14:textId="3F63179E" w:rsidR="00397158" w:rsidRDefault="00397158" w:rsidP="00D466AD">
      <w:pPr>
        <w:autoSpaceDE w:val="0"/>
        <w:autoSpaceDN w:val="0"/>
        <w:adjustRightInd w:val="0"/>
        <w:ind w:firstLine="284"/>
        <w:jc w:val="both"/>
        <w:rPr>
          <w:rFonts w:ascii="Garamond" w:eastAsiaTheme="minorHAnsi" w:hAnsi="Garamond"/>
          <w:bCs/>
          <w:color w:val="000000"/>
          <w14:ligatures w14:val="standardContextual"/>
        </w:rPr>
      </w:pPr>
    </w:p>
    <w:p w14:paraId="578DE9E1" w14:textId="77777777" w:rsidR="00397158" w:rsidRPr="000E5691" w:rsidRDefault="00397158" w:rsidP="00D466AD">
      <w:pPr>
        <w:autoSpaceDE w:val="0"/>
        <w:autoSpaceDN w:val="0"/>
        <w:adjustRightInd w:val="0"/>
        <w:ind w:firstLine="284"/>
        <w:jc w:val="both"/>
        <w:rPr>
          <w:rFonts w:ascii="Garamond" w:eastAsiaTheme="minorHAnsi" w:hAnsi="Garamond"/>
          <w:bCs/>
          <w:color w:val="000000"/>
          <w14:ligatures w14:val="standardContextual"/>
        </w:rPr>
      </w:pPr>
    </w:p>
    <w:p w14:paraId="4E229029" w14:textId="34E99352" w:rsidR="00BC232E" w:rsidRPr="00BC232E" w:rsidRDefault="00BC232E" w:rsidP="00BC232E">
      <w:pPr>
        <w:autoSpaceDE w:val="0"/>
        <w:autoSpaceDN w:val="0"/>
        <w:adjustRightInd w:val="0"/>
        <w:ind w:firstLine="284"/>
        <w:jc w:val="center"/>
        <w:rPr>
          <w:rFonts w:ascii="Garamond" w:eastAsiaTheme="minorHAnsi" w:hAnsi="Garamond"/>
          <w:b/>
          <w:bCs/>
          <w:color w:val="000000"/>
          <w14:ligatures w14:val="standardContextual"/>
        </w:rPr>
      </w:pPr>
      <w:r w:rsidRPr="00BC232E">
        <w:rPr>
          <w:rFonts w:ascii="Garamond" w:eastAsiaTheme="minorHAnsi" w:hAnsi="Garamond"/>
          <w:b/>
          <w:bCs/>
          <w:color w:val="000000"/>
          <w14:ligatures w14:val="standardContextual"/>
        </w:rPr>
        <w:t xml:space="preserve">MENDIM PAKICE </w:t>
      </w:r>
    </w:p>
    <w:p w14:paraId="132A51F6" w14:textId="77777777" w:rsidR="00BC232E" w:rsidRPr="00BC232E" w:rsidRDefault="00BC232E" w:rsidP="00BC232E">
      <w:pPr>
        <w:autoSpaceDE w:val="0"/>
        <w:autoSpaceDN w:val="0"/>
        <w:adjustRightInd w:val="0"/>
        <w:ind w:firstLine="284"/>
        <w:jc w:val="both"/>
        <w:rPr>
          <w:rFonts w:ascii="Garamond" w:eastAsiaTheme="minorHAnsi" w:hAnsi="Garamond"/>
          <w:b/>
          <w:bCs/>
          <w:color w:val="000000"/>
          <w14:ligatures w14:val="standardContextual"/>
        </w:rPr>
      </w:pPr>
    </w:p>
    <w:p w14:paraId="5996F3BA" w14:textId="3F898E62"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Në lidhje me çështjen administrative me nr. 35008-00053-00-2026, datë regjistrimi 28.1.2026, që </w:t>
      </w:r>
      <w:r w:rsidR="00F75E1E">
        <w:rPr>
          <w:rFonts w:ascii="Garamond" w:eastAsiaTheme="minorHAnsi" w:hAnsi="Garamond"/>
          <w:color w:val="000000"/>
          <w14:ligatures w14:val="standardContextual"/>
        </w:rPr>
        <w:t>u</w:t>
      </w:r>
      <w:r w:rsidRPr="00BC232E">
        <w:rPr>
          <w:rFonts w:ascii="Garamond" w:eastAsiaTheme="minorHAnsi" w:hAnsi="Garamond"/>
          <w:color w:val="000000"/>
          <w14:ligatures w14:val="standardContextual"/>
        </w:rPr>
        <w:t xml:space="preserve"> përket palëve:</w:t>
      </w:r>
      <w:r w:rsidR="00315FCD">
        <w:rPr>
          <w:rFonts w:ascii="Garamond" w:eastAsiaTheme="minorHAnsi" w:hAnsi="Garamond"/>
          <w:color w:val="000000"/>
          <w14:ligatures w14:val="standardContextual"/>
        </w:rPr>
        <w:t xml:space="preserve"> </w:t>
      </w:r>
    </w:p>
    <w:p w14:paraId="1BD07C3B" w14:textId="0A609AFF"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KËRKUES:</w:t>
      </w:r>
      <w:r w:rsidR="00315FCD">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Gjykata Administrative e Apelit</w:t>
      </w:r>
    </w:p>
    <w:p w14:paraId="6CE9E13A" w14:textId="6775861D"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OBJEKTI:</w:t>
      </w:r>
      <w:r w:rsidR="00315FCD">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Zgjidhje e mosmarrëveshjes së kompetencës lëndore.</w:t>
      </w:r>
    </w:p>
    <w:p w14:paraId="3317FD90" w14:textId="42D3EB66"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BAZA LIGJORE:</w:t>
      </w:r>
      <w:r w:rsidR="00315FCD">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Neni 13 i ligjit nr. 49/2012</w:t>
      </w:r>
      <w:r w:rsidR="00B93743">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gjykatat administrative dhe gjykimin e mosmarrëveshjeve administrative”, i ndryshuar.</w:t>
      </w:r>
    </w:p>
    <w:p w14:paraId="298FE474" w14:textId="56FA808B"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Në çështjen administrative me:</w:t>
      </w:r>
    </w:p>
    <w:p w14:paraId="695257F8" w14:textId="258EE25D"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KËRKUES:</w:t>
      </w:r>
      <w:r w:rsidR="00315FCD">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 xml:space="preserve">Fatbardha </w:t>
      </w:r>
      <w:proofErr w:type="spellStart"/>
      <w:r w:rsidRPr="00BC232E">
        <w:rPr>
          <w:rFonts w:ascii="Garamond" w:eastAsiaTheme="minorHAnsi" w:hAnsi="Garamond"/>
          <w:color w:val="000000"/>
          <w14:ligatures w14:val="standardContextual"/>
        </w:rPr>
        <w:t>Braho</w:t>
      </w:r>
      <w:proofErr w:type="spellEnd"/>
    </w:p>
    <w:p w14:paraId="4FBD10D4" w14:textId="0105193F"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PERSON I TRETË</w:t>
      </w:r>
      <w:r w:rsidRPr="00B93743">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Ndërmarrja e Shërbimeve Mbështetëse të Arsimit dhe Çerdhes, Bashkia Korçë</w:t>
      </w:r>
      <w:r w:rsidR="00315FCD">
        <w:rPr>
          <w:rFonts w:ascii="Garamond" w:eastAsiaTheme="minorHAnsi" w:hAnsi="Garamond"/>
          <w:color w:val="000000"/>
          <w14:ligatures w14:val="standardContextual"/>
        </w:rPr>
        <w:t xml:space="preserve"> </w:t>
      </w:r>
      <w:proofErr w:type="spellStart"/>
      <w:r w:rsidRPr="00BC232E">
        <w:rPr>
          <w:rFonts w:ascii="Garamond" w:eastAsiaTheme="minorHAnsi" w:hAnsi="Garamond"/>
          <w:color w:val="000000"/>
          <w14:ligatures w14:val="standardContextual"/>
        </w:rPr>
        <w:t>Komisionieri</w:t>
      </w:r>
      <w:proofErr w:type="spellEnd"/>
      <w:r w:rsidRPr="00BC232E">
        <w:rPr>
          <w:rFonts w:ascii="Garamond" w:eastAsiaTheme="minorHAnsi" w:hAnsi="Garamond"/>
          <w:color w:val="000000"/>
          <w14:ligatures w14:val="standardContextual"/>
        </w:rPr>
        <w:t xml:space="preserve"> për Mbrojtjen nga Diskriminimi</w:t>
      </w:r>
    </w:p>
    <w:p w14:paraId="3BFE6360"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i/>
          <w:iCs/>
          <w:color w:val="000000"/>
          <w14:ligatures w14:val="standardContextual"/>
        </w:rPr>
        <w:t>Me pjesëmarrjen e Avokaturës së Shtetit</w:t>
      </w:r>
    </w:p>
    <w:p w14:paraId="44D37025" w14:textId="0428735C"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OBJEKTI:</w:t>
      </w:r>
      <w:r w:rsidR="00315FCD">
        <w:rPr>
          <w:rFonts w:ascii="Garamond" w:eastAsiaTheme="minorHAnsi" w:hAnsi="Garamond"/>
          <w:bCs/>
          <w:color w:val="000000"/>
          <w14:ligatures w14:val="standardContextual"/>
        </w:rPr>
        <w:t xml:space="preserve"> </w:t>
      </w:r>
      <w:r w:rsidRPr="00BC232E">
        <w:rPr>
          <w:rFonts w:ascii="Garamond" w:eastAsiaTheme="minorHAnsi" w:hAnsi="Garamond"/>
          <w:color w:val="000000"/>
          <w14:ligatures w14:val="standardContextual"/>
        </w:rPr>
        <w:t>Ndihmë juridike dytësore</w:t>
      </w:r>
    </w:p>
    <w:p w14:paraId="602694F0" w14:textId="7E4AB1EF"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bCs/>
          <w:color w:val="000000"/>
          <w14:ligatures w14:val="standardContextual"/>
        </w:rPr>
        <w:t>BAZA LIGJORE:</w:t>
      </w:r>
      <w:r w:rsidR="00315FCD">
        <w:rPr>
          <w:rFonts w:ascii="Garamond" w:eastAsiaTheme="minorHAnsi" w:hAnsi="Garamond"/>
          <w:bCs/>
          <w:color w:val="000000"/>
          <w14:ligatures w14:val="standardContextual"/>
        </w:rPr>
        <w:t xml:space="preserve"> </w:t>
      </w:r>
      <w:r w:rsidRPr="00BC232E">
        <w:rPr>
          <w:rFonts w:ascii="Garamond" w:eastAsiaTheme="minorHAnsi" w:hAnsi="Garamond"/>
          <w:color w:val="000000"/>
          <w14:ligatures w14:val="standardContextual"/>
        </w:rPr>
        <w:t>Ligji nr. 111/2017</w:t>
      </w:r>
      <w:r w:rsidR="00453172">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ndihmën juridike të garantuar nga shteti”.</w:t>
      </w:r>
    </w:p>
    <w:p w14:paraId="22E1E23F" w14:textId="4B2CBCB6" w:rsidR="00BC232E" w:rsidRPr="00BC232E" w:rsidRDefault="00BC232E" w:rsidP="00BC232E">
      <w:pPr>
        <w:autoSpaceDE w:val="0"/>
        <w:autoSpaceDN w:val="0"/>
        <w:adjustRightInd w:val="0"/>
        <w:ind w:firstLine="284"/>
        <w:jc w:val="both"/>
        <w:rPr>
          <w:rFonts w:ascii="Garamond" w:eastAsiaTheme="minorHAnsi" w:hAnsi="Garamond"/>
          <w:b/>
          <w:bCs/>
          <w:color w:val="000000"/>
          <w14:ligatures w14:val="standardContextual"/>
        </w:rPr>
      </w:pPr>
      <w:r w:rsidRPr="00BC232E">
        <w:rPr>
          <w:rFonts w:ascii="Garamond" w:eastAsiaTheme="minorHAnsi" w:hAnsi="Garamond"/>
          <w:b/>
          <w:bCs/>
          <w:color w:val="000000"/>
          <w14:ligatures w14:val="standardContextual"/>
        </w:rPr>
        <w:lastRenderedPageBreak/>
        <w:t>I.</w:t>
      </w:r>
      <w:r w:rsidRPr="00275D6E">
        <w:rPr>
          <w:rFonts w:ascii="Garamond" w:eastAsiaTheme="minorHAnsi" w:hAnsi="Garamond"/>
          <w:b/>
          <w:bCs/>
          <w:color w:val="000000"/>
          <w14:ligatures w14:val="standardContextual"/>
        </w:rPr>
        <w:t xml:space="preserve"> </w:t>
      </w:r>
      <w:r w:rsidRPr="00BC232E">
        <w:rPr>
          <w:rFonts w:ascii="Garamond" w:eastAsiaTheme="minorHAnsi" w:hAnsi="Garamond"/>
          <w:b/>
          <w:bCs/>
          <w:color w:val="000000"/>
          <w14:ligatures w14:val="standardContextual"/>
        </w:rPr>
        <w:t>Rrethanat e çështjes</w:t>
      </w:r>
    </w:p>
    <w:p w14:paraId="0604CA29" w14:textId="5795D53D"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1. Nga dosja gjyqësore rezulton se, pala kërkuese Fatbardha </w:t>
      </w:r>
      <w:proofErr w:type="spellStart"/>
      <w:r w:rsidRPr="00BC232E">
        <w:rPr>
          <w:rFonts w:ascii="Garamond" w:eastAsiaTheme="minorHAnsi" w:hAnsi="Garamond"/>
          <w:color w:val="000000"/>
          <w14:ligatures w14:val="standardContextual"/>
        </w:rPr>
        <w:t>Braho</w:t>
      </w:r>
      <w:proofErr w:type="spellEnd"/>
      <w:r w:rsidRPr="00BC232E">
        <w:rPr>
          <w:rFonts w:ascii="Garamond" w:eastAsiaTheme="minorHAnsi" w:hAnsi="Garamond"/>
          <w:color w:val="000000"/>
          <w14:ligatures w14:val="standardContextual"/>
        </w:rPr>
        <w:t xml:space="preserve"> ka depozituar ankesën nr. 53, datë 19.3.2024</w:t>
      </w:r>
      <w:r w:rsidR="000F3C56">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pranë </w:t>
      </w:r>
      <w:proofErr w:type="spellStart"/>
      <w:r w:rsidRPr="00BC232E">
        <w:rPr>
          <w:rFonts w:ascii="Garamond" w:eastAsiaTheme="minorHAnsi" w:hAnsi="Garamond"/>
          <w:color w:val="000000"/>
          <w14:ligatures w14:val="standardContextual"/>
        </w:rPr>
        <w:t>Komisionerit</w:t>
      </w:r>
      <w:proofErr w:type="spellEnd"/>
      <w:r w:rsidRPr="00BC232E">
        <w:rPr>
          <w:rFonts w:ascii="Garamond" w:eastAsiaTheme="minorHAnsi" w:hAnsi="Garamond"/>
          <w:color w:val="000000"/>
          <w14:ligatures w14:val="standardContextual"/>
        </w:rPr>
        <w:t xml:space="preserve"> për Mbrojtjen nga Diskriminimi (në vijim “KMD”), për shkak të </w:t>
      </w:r>
      <w:proofErr w:type="spellStart"/>
      <w:r w:rsidRPr="00BC232E">
        <w:rPr>
          <w:rFonts w:ascii="Garamond" w:eastAsiaTheme="minorHAnsi" w:hAnsi="Garamond"/>
          <w:color w:val="000000"/>
          <w14:ligatures w14:val="standardContextual"/>
        </w:rPr>
        <w:t>mospërfshirjes</w:t>
      </w:r>
      <w:proofErr w:type="spellEnd"/>
      <w:r w:rsidRPr="00BC232E">
        <w:rPr>
          <w:rFonts w:ascii="Garamond" w:eastAsiaTheme="minorHAnsi" w:hAnsi="Garamond"/>
          <w:color w:val="000000"/>
          <w14:ligatures w14:val="standardContextual"/>
        </w:rPr>
        <w:t xml:space="preserve"> së fëmijëve të saj </w:t>
      </w:r>
      <w:proofErr w:type="spellStart"/>
      <w:r w:rsidRPr="00BC232E">
        <w:rPr>
          <w:rFonts w:ascii="Garamond" w:eastAsiaTheme="minorHAnsi" w:hAnsi="Garamond"/>
          <w:color w:val="000000"/>
          <w14:ligatures w14:val="standardContextual"/>
        </w:rPr>
        <w:t>Gj.B</w:t>
      </w:r>
      <w:proofErr w:type="spellEnd"/>
      <w:r w:rsidRPr="00BC232E">
        <w:rPr>
          <w:rFonts w:ascii="Garamond" w:eastAsiaTheme="minorHAnsi" w:hAnsi="Garamond"/>
          <w:color w:val="000000"/>
          <w14:ligatures w14:val="standardContextual"/>
        </w:rPr>
        <w:t>. dhe N.B., në listën e përfituesve të bursës shkollore.</w:t>
      </w:r>
    </w:p>
    <w:p w14:paraId="00CC3D12" w14:textId="39D13F88"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2. Pas mbajtjes së korrespondencës me Bashkinë Korçë dhe Ministrinë e Arsimit dhe Sportit, KMD</w:t>
      </w:r>
      <w:r w:rsidR="00297A24">
        <w:rPr>
          <w:rFonts w:ascii="Garamond" w:eastAsiaTheme="minorHAnsi" w:hAnsi="Garamond"/>
          <w:color w:val="000000"/>
          <w14:ligatures w14:val="standardContextual"/>
        </w:rPr>
        <w:t>-ja</w:t>
      </w:r>
      <w:r w:rsidRPr="00BC232E">
        <w:rPr>
          <w:rFonts w:ascii="Garamond" w:eastAsiaTheme="minorHAnsi" w:hAnsi="Garamond"/>
          <w:color w:val="000000"/>
          <w14:ligatures w14:val="standardContextual"/>
        </w:rPr>
        <w:t xml:space="preserve"> ka marrë vendimin nr. 173, datë 31.5.2024, me të cilin ka konstatuar diskriminimin e fëmijëve të palës kërkuese, në kushtet kur familja e tyre trajtohej me ndihmë ekonomike dhe fëmijët ndiqnin arsimin </w:t>
      </w:r>
      <w:proofErr w:type="spellStart"/>
      <w:r w:rsidRPr="00BC232E">
        <w:rPr>
          <w:rFonts w:ascii="Garamond" w:eastAsiaTheme="minorHAnsi" w:hAnsi="Garamond"/>
          <w:color w:val="000000"/>
          <w14:ligatures w14:val="standardContextual"/>
        </w:rPr>
        <w:t>parauniversitar</w:t>
      </w:r>
      <w:proofErr w:type="spellEnd"/>
      <w:r w:rsidRPr="00BC232E">
        <w:rPr>
          <w:rFonts w:ascii="Garamond" w:eastAsiaTheme="minorHAnsi" w:hAnsi="Garamond"/>
          <w:color w:val="000000"/>
          <w14:ligatures w14:val="standardContextual"/>
        </w:rPr>
        <w:t>. Me këtë vendim</w:t>
      </w:r>
      <w:r w:rsidR="002D2F01">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KMD</w:t>
      </w:r>
      <w:r w:rsidR="002D2F01">
        <w:rPr>
          <w:rFonts w:ascii="Garamond" w:eastAsiaTheme="minorHAnsi" w:hAnsi="Garamond"/>
          <w:color w:val="000000"/>
          <w14:ligatures w14:val="standardContextual"/>
        </w:rPr>
        <w:t>-ja</w:t>
      </w:r>
      <w:r w:rsidRPr="00BC232E">
        <w:rPr>
          <w:rFonts w:ascii="Garamond" w:eastAsiaTheme="minorHAnsi" w:hAnsi="Garamond"/>
          <w:color w:val="000000"/>
          <w14:ligatures w14:val="standardContextual"/>
        </w:rPr>
        <w:t xml:space="preserve"> ka përcaktuar edhe detyrime konkrete për Bashkinë Korçë, me qëllim ndalimin dhe shmangien e pasojave të diskriminimit të konstatuar. </w:t>
      </w:r>
    </w:p>
    <w:p w14:paraId="364F9B87" w14:textId="2FF76EA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3. Kundër këtij vendimi, Ndërmarrja e Shërbimeve Mbështetëse të Arsimit dhe Çerdhes pranë Bashkisë Korçë ka paraqitur padi në Gjykatën Administrative të Shkallës së Parë Tiranë, duke kërkuar shfuqizimin e vendimit nr.</w:t>
      </w:r>
      <w:r w:rsidR="00453172">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174, datë 31.5.2024</w:t>
      </w:r>
      <w:r w:rsidR="00EE5334">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të KMD-së. Gjykata Administrative e Shkallës së Parë Tiranë, me vendimin nr.</w:t>
      </w:r>
      <w:r w:rsidR="00453172">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 xml:space="preserve">3442, datë 7.10.2024, ka vendosur: </w:t>
      </w:r>
      <w:r w:rsidRPr="00BC232E">
        <w:rPr>
          <w:rFonts w:ascii="Garamond" w:eastAsiaTheme="minorHAnsi" w:hAnsi="Garamond"/>
          <w:i/>
          <w:iCs/>
          <w:color w:val="000000"/>
          <w14:ligatures w14:val="standardContextual"/>
        </w:rPr>
        <w:t>“Mospranimin e padisë”.</w:t>
      </w:r>
    </w:p>
    <w:p w14:paraId="270E6888" w14:textId="7CA141C9"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4. Kundër vendimit nr. 3442, datë 7.10.2024</w:t>
      </w:r>
      <w:r w:rsidR="00EE5334">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të Gjykatës Administrative e Shkallës së Parë Tiranë, ka ushtruar ankim Ndërmarrja e Shërbimeve Mbështetëse të Arsimit dhe Çerdhes pranë Bashkisë Korçë, duke kërkuar ndryshimin e vendimit dhe pranimin e padisë, ose, në alternativë, prishjen e vendimit dhe kthimin e çështjes për rigjykim në gjykatën e shkallës së parë. </w:t>
      </w:r>
    </w:p>
    <w:p w14:paraId="6ECCEA37" w14:textId="74EDE200"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5. Pala kërkuese</w:t>
      </w:r>
      <w:r w:rsidR="00783A7D">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Fatbardha </w:t>
      </w:r>
      <w:proofErr w:type="spellStart"/>
      <w:r w:rsidRPr="00BC232E">
        <w:rPr>
          <w:rFonts w:ascii="Garamond" w:eastAsiaTheme="minorHAnsi" w:hAnsi="Garamond"/>
          <w:color w:val="000000"/>
          <w14:ligatures w14:val="standardContextual"/>
        </w:rPr>
        <w:t>Braho</w:t>
      </w:r>
      <w:proofErr w:type="spellEnd"/>
      <w:r w:rsidRPr="00BC232E">
        <w:rPr>
          <w:rFonts w:ascii="Garamond" w:eastAsiaTheme="minorHAnsi" w:hAnsi="Garamond"/>
          <w:color w:val="000000"/>
          <w14:ligatures w14:val="standardContextual"/>
        </w:rPr>
        <w:t xml:space="preserve">, më datë 7.7.2025 ka paraqitur pranë Gjykatës së Apelit të Juridiksionit të Përgjithshëm formularin e aplikimit për përfitimin e ndihmës juridike dytësore, formularin e </w:t>
      </w:r>
      <w:proofErr w:type="spellStart"/>
      <w:r w:rsidRPr="00BC232E">
        <w:rPr>
          <w:rFonts w:ascii="Garamond" w:eastAsiaTheme="minorHAnsi" w:hAnsi="Garamond"/>
          <w:color w:val="000000"/>
          <w14:ligatures w14:val="standardContextual"/>
        </w:rPr>
        <w:t>vetëdeklarimit</w:t>
      </w:r>
      <w:proofErr w:type="spellEnd"/>
      <w:r w:rsidRPr="00BC232E">
        <w:rPr>
          <w:rFonts w:ascii="Garamond" w:eastAsiaTheme="minorHAnsi" w:hAnsi="Garamond"/>
          <w:color w:val="000000"/>
          <w14:ligatures w14:val="standardContextual"/>
        </w:rPr>
        <w:t xml:space="preserve"> për kategoritë e veçanta të përfituesve, si dhe formularin e aplikimit për përjashtimin nga pagimi i tarifave dhe i shpenzimeve gjyqësore.</w:t>
      </w:r>
    </w:p>
    <w:p w14:paraId="464244C1" w14:textId="5D1D79D8"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6. </w:t>
      </w:r>
      <w:r w:rsidRPr="00BC232E">
        <w:rPr>
          <w:rFonts w:ascii="Garamond" w:eastAsiaTheme="minorHAnsi" w:hAnsi="Garamond"/>
          <w:b/>
          <w:bCs/>
          <w:color w:val="000000"/>
          <w14:ligatures w14:val="standardContextual"/>
        </w:rPr>
        <w:t>Gjykata e Apelit të Juridiksionit të Përgjithshëm</w:t>
      </w:r>
      <w:r w:rsidRPr="00BC232E">
        <w:rPr>
          <w:rFonts w:ascii="Garamond" w:eastAsiaTheme="minorHAnsi" w:hAnsi="Garamond"/>
          <w:color w:val="000000"/>
          <w14:ligatures w14:val="standardContextual"/>
        </w:rPr>
        <w:t xml:space="preserve">, me vendimin nr. 30-2025-9731 (1580), datë 19.11.2025, ka vendosur: </w:t>
      </w:r>
      <w:r w:rsidRPr="00BC232E">
        <w:rPr>
          <w:rFonts w:ascii="Garamond" w:eastAsiaTheme="minorHAnsi" w:hAnsi="Garamond"/>
          <w:i/>
          <w:iCs/>
          <w:color w:val="000000"/>
          <w14:ligatures w14:val="standardContextual"/>
        </w:rPr>
        <w:t xml:space="preserve">“Deklarimin e </w:t>
      </w:r>
      <w:proofErr w:type="spellStart"/>
      <w:r w:rsidRPr="00BC232E">
        <w:rPr>
          <w:rFonts w:ascii="Garamond" w:eastAsiaTheme="minorHAnsi" w:hAnsi="Garamond"/>
          <w:i/>
          <w:iCs/>
          <w:color w:val="000000"/>
          <w14:ligatures w14:val="standardContextual"/>
        </w:rPr>
        <w:t>moskompetencës</w:t>
      </w:r>
      <w:proofErr w:type="spellEnd"/>
      <w:r w:rsidRPr="00BC232E">
        <w:rPr>
          <w:rFonts w:ascii="Garamond" w:eastAsiaTheme="minorHAnsi" w:hAnsi="Garamond"/>
          <w:i/>
          <w:iCs/>
          <w:color w:val="000000"/>
          <w14:ligatures w14:val="standardContextual"/>
        </w:rPr>
        <w:t xml:space="preserve"> lëndore të Gjykatës së Apelit të Juridiksionit të Përgjithshëm për shqyrtimin e kërkesës së kërkueses Fatbardha </w:t>
      </w:r>
      <w:proofErr w:type="spellStart"/>
      <w:r w:rsidRPr="00BC232E">
        <w:rPr>
          <w:rFonts w:ascii="Garamond" w:eastAsiaTheme="minorHAnsi" w:hAnsi="Garamond"/>
          <w:i/>
          <w:iCs/>
          <w:color w:val="000000"/>
          <w14:ligatures w14:val="standardContextual"/>
        </w:rPr>
        <w:t>Braho</w:t>
      </w:r>
      <w:proofErr w:type="spellEnd"/>
      <w:r w:rsidRPr="00BC232E">
        <w:rPr>
          <w:rFonts w:ascii="Garamond" w:eastAsiaTheme="minorHAnsi" w:hAnsi="Garamond"/>
          <w:i/>
          <w:iCs/>
          <w:color w:val="000000"/>
          <w14:ligatures w14:val="standardContextual"/>
        </w:rPr>
        <w:t xml:space="preserve"> me objekt: </w:t>
      </w:r>
      <w:r w:rsidR="005B5875">
        <w:rPr>
          <w:rFonts w:ascii="Garamond" w:eastAsiaTheme="minorHAnsi" w:hAnsi="Garamond"/>
          <w:i/>
          <w:iCs/>
          <w:color w:val="000000"/>
          <w14:ligatures w14:val="standardContextual"/>
        </w:rPr>
        <w:t>‘</w:t>
      </w:r>
      <w:r w:rsidRPr="00BC232E">
        <w:rPr>
          <w:rFonts w:ascii="Garamond" w:eastAsiaTheme="minorHAnsi" w:hAnsi="Garamond"/>
          <w:i/>
          <w:iCs/>
          <w:color w:val="000000"/>
          <w14:ligatures w14:val="standardContextual"/>
        </w:rPr>
        <w:t>Dhënie e ndihmës juridike dytësore</w:t>
      </w:r>
      <w:r w:rsidR="005B5875">
        <w:rPr>
          <w:rFonts w:ascii="Garamond" w:eastAsiaTheme="minorHAnsi" w:hAnsi="Garamond"/>
          <w:i/>
          <w:iCs/>
          <w:color w:val="000000"/>
          <w14:ligatures w14:val="standardContextual"/>
        </w:rPr>
        <w:t>’</w:t>
      </w:r>
      <w:r w:rsidRPr="00BC232E">
        <w:rPr>
          <w:rFonts w:ascii="Garamond" w:eastAsiaTheme="minorHAnsi" w:hAnsi="Garamond"/>
          <w:i/>
          <w:iCs/>
          <w:color w:val="000000"/>
          <w14:ligatures w14:val="standardContextual"/>
        </w:rPr>
        <w:t xml:space="preserve"> dhe dërgimin e akteve gjykatës kompetente, Gjykatës Administrative të Apelit. Kundër këtij vendimi lejohet rekurs s</w:t>
      </w:r>
      <w:r w:rsidR="006A641F">
        <w:rPr>
          <w:rFonts w:ascii="Garamond" w:eastAsiaTheme="minorHAnsi" w:hAnsi="Garamond"/>
          <w:i/>
          <w:iCs/>
          <w:color w:val="000000"/>
          <w14:ligatures w14:val="standardContextual"/>
        </w:rPr>
        <w:t>ë</w:t>
      </w:r>
      <w:r w:rsidRPr="00BC232E">
        <w:rPr>
          <w:rFonts w:ascii="Garamond" w:eastAsiaTheme="minorHAnsi" w:hAnsi="Garamond"/>
          <w:i/>
          <w:iCs/>
          <w:color w:val="000000"/>
          <w14:ligatures w14:val="standardContextual"/>
        </w:rPr>
        <w:t xml:space="preserve"> bashku me vendimin përfundimtar”.</w:t>
      </w:r>
    </w:p>
    <w:p w14:paraId="775474DB"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6.1. Në arsyetimin e saj, Gjykata e Apelit e Juridiksionit të Përgjithshëm ka vlerësuar se nga të dhënat e pasqyruara në kërkesë nuk rezultonte ndonjë çështje civile e regjistruar pranë saj me palët e përmendura nga kërkuesja. Për këtë arsye, ajo ka kërkuar informacion pranë Gjykatës Administrative të Apelit, nëse pranë kësaj gjykate ishte regjistruar ndonjë çështje me të njëjtat palë.</w:t>
      </w:r>
    </w:p>
    <w:p w14:paraId="7E13E01A" w14:textId="51BEF491"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6.2. Me shkresën nr. 7859/1 </w:t>
      </w:r>
      <w:proofErr w:type="spellStart"/>
      <w:r w:rsidRPr="00BC232E">
        <w:rPr>
          <w:rFonts w:ascii="Garamond" w:eastAsiaTheme="minorHAnsi" w:hAnsi="Garamond"/>
          <w:color w:val="000000"/>
          <w14:ligatures w14:val="standardContextual"/>
        </w:rPr>
        <w:t>prot</w:t>
      </w:r>
      <w:proofErr w:type="spellEnd"/>
      <w:r w:rsidRPr="00BC232E">
        <w:rPr>
          <w:rFonts w:ascii="Garamond" w:eastAsiaTheme="minorHAnsi" w:hAnsi="Garamond"/>
          <w:color w:val="000000"/>
          <w14:ligatures w14:val="standardContextual"/>
        </w:rPr>
        <w:t>., datë 11.11.2025, Gjykata Administrative e Apelit ka bërë me dije se pranë saj ishte regjistruar çështja nr.</w:t>
      </w:r>
      <w:r w:rsidR="00453172">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 xml:space="preserve">18891 (31155-00221-86-2025) akti, datë 29.1.2025, me palë paditëse Ndërmarrjen e Shërbimeve Mbështetëse të Arsimit dhe Çerdhes pranë Bashkisë Korçë, të paditur </w:t>
      </w:r>
      <w:proofErr w:type="spellStart"/>
      <w:r w:rsidRPr="00BC232E">
        <w:rPr>
          <w:rFonts w:ascii="Garamond" w:eastAsiaTheme="minorHAnsi" w:hAnsi="Garamond"/>
          <w:color w:val="000000"/>
          <w14:ligatures w14:val="standardContextual"/>
        </w:rPr>
        <w:t>Komisionerin</w:t>
      </w:r>
      <w:proofErr w:type="spellEnd"/>
      <w:r w:rsidRPr="00BC232E">
        <w:rPr>
          <w:rFonts w:ascii="Garamond" w:eastAsiaTheme="minorHAnsi" w:hAnsi="Garamond"/>
          <w:color w:val="000000"/>
          <w14:ligatures w14:val="standardContextual"/>
        </w:rPr>
        <w:t xml:space="preserve"> për Mbrojtjen nga Diskriminimi dhe person të tretë Fatbardha </w:t>
      </w:r>
      <w:proofErr w:type="spellStart"/>
      <w:r w:rsidRPr="00BC232E">
        <w:rPr>
          <w:rFonts w:ascii="Garamond" w:eastAsiaTheme="minorHAnsi" w:hAnsi="Garamond"/>
          <w:color w:val="000000"/>
          <w14:ligatures w14:val="standardContextual"/>
        </w:rPr>
        <w:t>Braho</w:t>
      </w:r>
      <w:proofErr w:type="spellEnd"/>
      <w:r w:rsidRPr="00BC232E">
        <w:rPr>
          <w:rFonts w:ascii="Garamond" w:eastAsiaTheme="minorHAnsi" w:hAnsi="Garamond"/>
          <w:color w:val="000000"/>
          <w14:ligatures w14:val="standardContextual"/>
        </w:rPr>
        <w:t>, me objekt shfuqizimin e vendimit nr.</w:t>
      </w:r>
      <w:r w:rsidR="00453172">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174, datë 31.5.2024, të KMD</w:t>
      </w:r>
      <w:r w:rsidR="005B5875">
        <w:rPr>
          <w:rFonts w:ascii="Garamond" w:eastAsiaTheme="minorHAnsi" w:hAnsi="Garamond"/>
          <w:color w:val="000000"/>
          <w14:ligatures w14:val="standardContextual"/>
        </w:rPr>
        <w:t>-së</w:t>
      </w:r>
      <w:r w:rsidRPr="00BC232E">
        <w:rPr>
          <w:rFonts w:ascii="Garamond" w:eastAsiaTheme="minorHAnsi" w:hAnsi="Garamond"/>
          <w:color w:val="000000"/>
          <w14:ligatures w14:val="standardContextual"/>
        </w:rPr>
        <w:t>, duke sqaruar</w:t>
      </w:r>
      <w:r w:rsidR="008833A1">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gjithashtu</w:t>
      </w:r>
      <w:r w:rsidR="008833A1">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se çështja nuk kishte ende datë të planifikuar për shqyrtim.</w:t>
      </w:r>
    </w:p>
    <w:p w14:paraId="5B895109" w14:textId="25B94F72"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6.3. Duke iu referuar neneve 55 dhe 61 të Kodit të Procedurës Civile, si dhe neneve 19 dhe 20 të ligjit nr. 111/2017</w:t>
      </w:r>
      <w:r w:rsidR="008833A1">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ndihmën juridike të garantuar nga shteti”, Gjykata e Apelit e Juridiksionit të Përgjithshëm ka vlerësuar se kërkesa për ndihmë juridike dytësore lidhej drejtpërdrejt me çështjen administrative të themelit, e cila ndodhej për shqyrtim pranë Gjykatës Administrative të Apelit.</w:t>
      </w:r>
    </w:p>
    <w:p w14:paraId="3DF6AF65" w14:textId="41A1F30F"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6.4. Sipas kësaj gjykate, për sa kohë çështja e themelit ndodhej e regjistruar në Gjykatën Administrative të Apelit, kjo e fundit ishte gjykata kompetente për shqyrtimin e kërkesës për ndihmë juridike dytësore, përfshirë kërkimin për përfaqësim me avokat dhe përjashtimin nga pagimi i tarifave dhe </w:t>
      </w:r>
      <w:r w:rsidR="008833A1">
        <w:rPr>
          <w:rFonts w:ascii="Garamond" w:eastAsiaTheme="minorHAnsi" w:hAnsi="Garamond"/>
          <w:color w:val="000000"/>
          <w14:ligatures w14:val="standardContextual"/>
        </w:rPr>
        <w:t xml:space="preserve">i </w:t>
      </w:r>
      <w:r w:rsidRPr="00BC232E">
        <w:rPr>
          <w:rFonts w:ascii="Garamond" w:eastAsiaTheme="minorHAnsi" w:hAnsi="Garamond"/>
          <w:color w:val="000000"/>
          <w14:ligatures w14:val="standardContextual"/>
        </w:rPr>
        <w:t xml:space="preserve">shpenzimeve gjyqësore. Për këtë arsye, Gjykata e Apelit e Juridiksionit të Përgjithshëm ka deklaruar </w:t>
      </w:r>
      <w:proofErr w:type="spellStart"/>
      <w:r w:rsidRPr="00BC232E">
        <w:rPr>
          <w:rFonts w:ascii="Garamond" w:eastAsiaTheme="minorHAnsi" w:hAnsi="Garamond"/>
          <w:color w:val="000000"/>
          <w14:ligatures w14:val="standardContextual"/>
        </w:rPr>
        <w:t>moskompetencën</w:t>
      </w:r>
      <w:proofErr w:type="spellEnd"/>
      <w:r w:rsidRPr="00BC232E">
        <w:rPr>
          <w:rFonts w:ascii="Garamond" w:eastAsiaTheme="minorHAnsi" w:hAnsi="Garamond"/>
          <w:color w:val="000000"/>
          <w14:ligatures w14:val="standardContextual"/>
        </w:rPr>
        <w:t xml:space="preserve"> e saj dhe ka urdhëruar dërgimin e akteve pranë Gjykatës Administrative të Apelit.</w:t>
      </w:r>
    </w:p>
    <w:p w14:paraId="3BB38976" w14:textId="2B248DFA"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7. </w:t>
      </w:r>
      <w:r w:rsidRPr="00BC232E">
        <w:rPr>
          <w:rFonts w:ascii="Garamond" w:eastAsiaTheme="minorHAnsi" w:hAnsi="Garamond"/>
          <w:b/>
          <w:bCs/>
          <w:color w:val="000000"/>
          <w14:ligatures w14:val="standardContextual"/>
        </w:rPr>
        <w:t>Gjykata Administrative e Apelit</w:t>
      </w:r>
      <w:r w:rsidRPr="00490439">
        <w:rPr>
          <w:rFonts w:ascii="Garamond" w:eastAsiaTheme="minorHAnsi" w:hAnsi="Garamond"/>
          <w:color w:val="000000"/>
          <w14:ligatures w14:val="standardContextual"/>
        </w:rPr>
        <w:t>,</w:t>
      </w:r>
      <w:r w:rsidRPr="00BC232E">
        <w:rPr>
          <w:rFonts w:ascii="Garamond" w:eastAsiaTheme="minorHAnsi" w:hAnsi="Garamond"/>
          <w:b/>
          <w:bCs/>
          <w:color w:val="000000"/>
          <w14:ligatures w14:val="standardContextual"/>
        </w:rPr>
        <w:t xml:space="preserve"> </w:t>
      </w:r>
      <w:r w:rsidRPr="00BC232E">
        <w:rPr>
          <w:rFonts w:ascii="Garamond" w:eastAsiaTheme="minorHAnsi" w:hAnsi="Garamond"/>
          <w:color w:val="000000"/>
          <w14:ligatures w14:val="standardContextual"/>
        </w:rPr>
        <w:t xml:space="preserve">me vendimin nr. </w:t>
      </w:r>
      <w:r w:rsidRPr="00BC232E">
        <w:rPr>
          <w:rFonts w:ascii="Garamond" w:eastAsiaTheme="minorHAnsi" w:hAnsi="Garamond"/>
          <w:i/>
          <w:iCs/>
          <w:color w:val="000000"/>
          <w14:ligatures w14:val="standardContextual"/>
        </w:rPr>
        <w:t>s</w:t>
      </w:r>
      <w:r w:rsidR="00453172">
        <w:rPr>
          <w:rFonts w:ascii="Garamond" w:eastAsiaTheme="minorHAnsi" w:hAnsi="Garamond"/>
          <w:i/>
          <w:iCs/>
          <w:color w:val="000000"/>
          <w14:ligatures w14:val="standardContextual"/>
        </w:rPr>
        <w:t>’</w:t>
      </w:r>
      <w:r w:rsidRPr="00BC232E">
        <w:rPr>
          <w:rFonts w:ascii="Garamond" w:eastAsiaTheme="minorHAnsi" w:hAnsi="Garamond"/>
          <w:i/>
          <w:iCs/>
          <w:color w:val="000000"/>
          <w14:ligatures w14:val="standardContextual"/>
        </w:rPr>
        <w:t>ka</w:t>
      </w:r>
      <w:r w:rsidRPr="00BC232E">
        <w:rPr>
          <w:rFonts w:ascii="Garamond" w:eastAsiaTheme="minorHAnsi" w:hAnsi="Garamond"/>
          <w:color w:val="000000"/>
          <w14:ligatures w14:val="standardContextual"/>
        </w:rPr>
        <w:t>, datë 26.1.2026, ka vendosur:</w:t>
      </w:r>
      <w:r w:rsidRPr="00BC232E">
        <w:rPr>
          <w:rFonts w:ascii="Garamond" w:eastAsiaTheme="minorHAnsi" w:hAnsi="Garamond"/>
          <w:i/>
          <w:iCs/>
          <w:color w:val="000000"/>
          <w14:ligatures w14:val="standardContextual"/>
        </w:rPr>
        <w:t xml:space="preserve"> “Të ngrejë çështjen e mosmarrëveshjes për kompetencë para Gjykatës së Lartë për gjykimin e çështjes me nr.</w:t>
      </w:r>
      <w:r w:rsidR="00453172">
        <w:rPr>
          <w:rFonts w:ascii="Garamond" w:eastAsiaTheme="minorHAnsi" w:hAnsi="Garamond"/>
          <w:i/>
          <w:iCs/>
          <w:color w:val="000000"/>
          <w14:ligatures w14:val="standardContextual"/>
        </w:rPr>
        <w:t xml:space="preserve"> </w:t>
      </w:r>
      <w:r w:rsidRPr="00BC232E">
        <w:rPr>
          <w:rFonts w:ascii="Garamond" w:eastAsiaTheme="minorHAnsi" w:hAnsi="Garamond"/>
          <w:i/>
          <w:iCs/>
          <w:color w:val="000000"/>
          <w14:ligatures w14:val="standardContextual"/>
        </w:rPr>
        <w:t>regjistri themeltar 22 (30013-00026-86-2026)</w:t>
      </w:r>
      <w:r w:rsidR="00490439">
        <w:rPr>
          <w:rFonts w:ascii="Garamond" w:eastAsiaTheme="minorHAnsi" w:hAnsi="Garamond"/>
          <w:i/>
          <w:iCs/>
          <w:color w:val="000000"/>
          <w14:ligatures w14:val="standardContextual"/>
        </w:rPr>
        <w:t>,</w:t>
      </w:r>
      <w:r w:rsidRPr="00BC232E">
        <w:rPr>
          <w:rFonts w:ascii="Garamond" w:eastAsiaTheme="minorHAnsi" w:hAnsi="Garamond"/>
          <w:i/>
          <w:iCs/>
          <w:color w:val="000000"/>
          <w14:ligatures w14:val="standardContextual"/>
        </w:rPr>
        <w:t xml:space="preserve"> datë regjistrimi 19.1.2026”.</w:t>
      </w:r>
    </w:p>
    <w:p w14:paraId="71AD508D" w14:textId="2843618E"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7.1. Gjykata Administrative e Apelit ka arsyetuar se, në zbatim të nenit 13 të ligjit nr. 49/2012</w:t>
      </w:r>
      <w:r w:rsidR="00197E17">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gjykatat administrative dhe gjykimin e mosmarrëveshjeve administrative”, </w:t>
      </w:r>
      <w:r w:rsidR="00197E17">
        <w:rPr>
          <w:rFonts w:ascii="Garamond" w:eastAsiaTheme="minorHAnsi" w:hAnsi="Garamond"/>
          <w:color w:val="000000"/>
          <w14:ligatures w14:val="standardContextual"/>
        </w:rPr>
        <w:t>të</w:t>
      </w:r>
      <w:r w:rsidRPr="00BC232E">
        <w:rPr>
          <w:rFonts w:ascii="Garamond" w:eastAsiaTheme="minorHAnsi" w:hAnsi="Garamond"/>
          <w:color w:val="000000"/>
          <w14:ligatures w14:val="standardContextual"/>
        </w:rPr>
        <w:t xml:space="preserve"> ndryshuar, ajo nuk është gjykata </w:t>
      </w:r>
      <w:proofErr w:type="spellStart"/>
      <w:r w:rsidRPr="00BC232E">
        <w:rPr>
          <w:rFonts w:ascii="Garamond" w:eastAsiaTheme="minorHAnsi" w:hAnsi="Garamond"/>
          <w:color w:val="000000"/>
          <w14:ligatures w14:val="standardContextual"/>
        </w:rPr>
        <w:t>funksionalisht</w:t>
      </w:r>
      <w:proofErr w:type="spellEnd"/>
      <w:r w:rsidRPr="00BC232E">
        <w:rPr>
          <w:rFonts w:ascii="Garamond" w:eastAsiaTheme="minorHAnsi" w:hAnsi="Garamond"/>
          <w:color w:val="000000"/>
          <w14:ligatures w14:val="standardContextual"/>
        </w:rPr>
        <w:t xml:space="preserve"> kompetente për shqyrtimin e kërkesës për ndihmë juridike dytësore të dërguar nga </w:t>
      </w:r>
      <w:r w:rsidRPr="00BC232E">
        <w:rPr>
          <w:rFonts w:ascii="Garamond" w:eastAsiaTheme="minorHAnsi" w:hAnsi="Garamond"/>
          <w:color w:val="000000"/>
          <w14:ligatures w14:val="standardContextual"/>
        </w:rPr>
        <w:lastRenderedPageBreak/>
        <w:t>Gjykata e Apelit të Juridiksionit të Përgjithshëm. Për këtë arsye, në zbatim të pikës 5 të kësaj dispozite, ka vlerësuar se duhet të ngrejë kryesisht mosmarrëveshjen për kompetencë përpara Gjykatës së Lartë.</w:t>
      </w:r>
    </w:p>
    <w:p w14:paraId="20F82583"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7.2. Sipas Gjykatës Administrative të Apelit, çështja që shtrohej për zgjidhje lidhej me përcaktimin e gjykatës kompetente për shqyrtimin e kërkesës për ndihmë juridike dytësore, kur çështja për të cilën kërkohet kjo ndihmë është gjykuar në shkallë të parë dhe ndodhet në pritje të shqyrtimit të ankimit në gjykatën e apelit.</w:t>
      </w:r>
    </w:p>
    <w:p w14:paraId="6AC3E8D4" w14:textId="7BAE37D8"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7.3. Gjykata Administrative e Apelit ka vlerësuar se ligji nr. 111/2017 ka parashikuar një regjim të posaçëm për dhënien e ndihmës juridike dytësore, duke përcaktuar kategoritë e përfituesve, kriteret ligjore dhe procedurën që duhet ndjekur. Në këtë kuadër, ajo </w:t>
      </w:r>
      <w:r w:rsidR="007038D6">
        <w:rPr>
          <w:rFonts w:ascii="Garamond" w:eastAsiaTheme="minorHAnsi" w:hAnsi="Garamond"/>
          <w:color w:val="000000"/>
          <w14:ligatures w14:val="standardContextual"/>
        </w:rPr>
        <w:t>u</w:t>
      </w:r>
      <w:r w:rsidRPr="00BC232E">
        <w:rPr>
          <w:rFonts w:ascii="Garamond" w:eastAsiaTheme="minorHAnsi" w:hAnsi="Garamond"/>
          <w:color w:val="000000"/>
          <w14:ligatures w14:val="standardContextual"/>
        </w:rPr>
        <w:t xml:space="preserve"> është referuar neneve 19 dhe 20 të këtij ligji, duke çmuar se kërkesa për ndihmë juridike dytësore mund të paraqitet në çdo fazë të procesit gjyqësor, por se togfjalëshi “gjykata kompetente për shqyrtimin e çështjes në themel” duhet kuptuar si gjykata e shkallës së parë që ka kompetencën lëndore dhe tokësore për shqyrtimin e çështjes.</w:t>
      </w:r>
    </w:p>
    <w:p w14:paraId="78C80FD6"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7.4. Në këtë drejtim, Gjykata Administrative e Apelit ka arsyetuar se kompetenca për shqyrtimin e kërkesës për ndihmë juridike dytësore nuk përcaktohet nga fakti se ku ndodhet aktualisht çështja për shkak të ushtrimit të ankimit, por nga gjykata që, sipas ligjit, është kompetente për shqyrtimin fillestar të çështjes në themel. Sipas saj, kjo zgjidhje është më e pajtueshme me natyrën e procedurës së ndihmës juridike dytësore, me nevojën për administrimin dhe vlerësimin e dokumentacionit justifikues, si dhe me garantimin e shqyrtimit të kërkesës në dy shkallë gjykimi, në rast se kërkesa rrëzohet.</w:t>
      </w:r>
    </w:p>
    <w:p w14:paraId="2E148A7E"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7.5. Gjykata Administrative e Apelit ka mbështetur qëndrimin e saj edhe në praktikën e mëparshme të Gjykatës së Lartë, veçanërisht në vendime ku është vlerësuar se kërkesa për ndihmë juridike dytësore lidhet me provueshmërinë e kushteve ligjore dhe me administrimin e dokumentacionit përkatës, çka, sipas kësaj gjykate, justifikon shqyrtimin e saj nga gjykata e shkallës së parë. Po ashtu, ajo ka vlerësuar se shqyrtimi i kërkesës për herë të parë nga gjykata e apelit mund të cenojë të drejtën e ankimit, pasi ligji nr. 111/2017 parashikon ankim të veçantë kundër vendimit që rrëzon kërkesën për ndihmë juridike dytësore, por nuk parashikon rekurs kundër vendimit të gjykatës së apelit.</w:t>
      </w:r>
    </w:p>
    <w:p w14:paraId="6511C017" w14:textId="3FF3B448" w:rsidR="00BC232E" w:rsidRPr="00BC232E" w:rsidRDefault="00BC232E" w:rsidP="004F3236">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8. Fashikulli gjyqësor dhe aktet procedurale janë regjistruar në Gjykatën e Lartë</w:t>
      </w:r>
      <w:r w:rsidR="004F3236">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më datë 28.1.2026, për zgjidhjen e mosmarrëveshjes së kompetencës ndërmjet Gjykatës së Apelit të Juridiksionit të Përgjithshëm dhe Gjykatës Administrative të Apelit.</w:t>
      </w:r>
    </w:p>
    <w:p w14:paraId="123C7D3A" w14:textId="3E3EE832" w:rsidR="00BC232E" w:rsidRPr="00BC232E" w:rsidRDefault="00BC232E" w:rsidP="00BC232E">
      <w:pPr>
        <w:autoSpaceDE w:val="0"/>
        <w:autoSpaceDN w:val="0"/>
        <w:adjustRightInd w:val="0"/>
        <w:ind w:firstLine="284"/>
        <w:jc w:val="both"/>
        <w:rPr>
          <w:rFonts w:ascii="Garamond" w:eastAsiaTheme="minorHAnsi" w:hAnsi="Garamond"/>
          <w:b/>
          <w:bCs/>
          <w:color w:val="000000"/>
          <w14:ligatures w14:val="standardContextual"/>
        </w:rPr>
      </w:pPr>
      <w:r w:rsidRPr="00BC232E">
        <w:rPr>
          <w:rFonts w:ascii="Garamond" w:eastAsiaTheme="minorHAnsi" w:hAnsi="Garamond"/>
          <w:b/>
          <w:bCs/>
          <w:color w:val="000000"/>
          <w14:ligatures w14:val="standardContextual"/>
        </w:rPr>
        <w:t>II.</w:t>
      </w:r>
      <w:r w:rsidRPr="00275D6E">
        <w:rPr>
          <w:rFonts w:ascii="Garamond" w:eastAsiaTheme="minorHAnsi" w:hAnsi="Garamond"/>
          <w:b/>
          <w:bCs/>
          <w:color w:val="000000"/>
          <w14:ligatures w14:val="standardContextual"/>
        </w:rPr>
        <w:t xml:space="preserve"> </w:t>
      </w:r>
      <w:r w:rsidRPr="00BC232E">
        <w:rPr>
          <w:rFonts w:ascii="Garamond" w:eastAsiaTheme="minorHAnsi" w:hAnsi="Garamond"/>
          <w:b/>
          <w:bCs/>
          <w:color w:val="000000"/>
          <w14:ligatures w14:val="standardContextual"/>
        </w:rPr>
        <w:t>Vlerësimi i gjyqtarëve në pakicë</w:t>
      </w:r>
    </w:p>
    <w:p w14:paraId="5AABCF5C" w14:textId="732BD8CE" w:rsidR="00BC232E" w:rsidRPr="004A420A" w:rsidRDefault="00BC232E" w:rsidP="004A420A">
      <w:pPr>
        <w:autoSpaceDE w:val="0"/>
        <w:autoSpaceDN w:val="0"/>
        <w:adjustRightInd w:val="0"/>
        <w:ind w:firstLine="284"/>
        <w:jc w:val="both"/>
        <w:rPr>
          <w:rFonts w:ascii="Garamond" w:eastAsiaTheme="minorHAnsi" w:hAnsi="Garamond"/>
          <w:color w:val="000000"/>
          <w14:ligatures w14:val="standardContextual"/>
        </w:rPr>
      </w:pPr>
      <w:r w:rsidRPr="00275D6E">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 xml:space="preserve">9. Për shkak të qëndrimeve të ndryshme në praktikën gjyqësore dhe të rëndësisë që ka çështja për garantimin e </w:t>
      </w:r>
      <w:proofErr w:type="spellStart"/>
      <w:r w:rsidRPr="00BC232E">
        <w:rPr>
          <w:rFonts w:ascii="Garamond" w:eastAsiaTheme="minorHAnsi" w:hAnsi="Garamond"/>
          <w:color w:val="000000"/>
          <w14:ligatures w14:val="standardContextual"/>
        </w:rPr>
        <w:t>aksesit</w:t>
      </w:r>
      <w:proofErr w:type="spellEnd"/>
      <w:r w:rsidRPr="00BC232E">
        <w:rPr>
          <w:rFonts w:ascii="Garamond" w:eastAsiaTheme="minorHAnsi" w:hAnsi="Garamond"/>
          <w:color w:val="000000"/>
          <w14:ligatures w14:val="standardContextual"/>
        </w:rPr>
        <w:t xml:space="preserve"> efektiv në drejtësi, Kolegji Administrativ i Gjykatës së Lartë, me trup gjykues të përbërë nga tre gjyqtarë, me vendimin e ndërmjetëm datë 4.2.2026, në zbatim të nenit 62/a, pika 2, të ligjit nr. 49/2012</w:t>
      </w:r>
      <w:r w:rsidR="004A420A">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gjykatat administrative dhe gjykimin e mosmarrëveshjeve administrative”, </w:t>
      </w:r>
      <w:r w:rsidR="004A420A">
        <w:rPr>
          <w:rFonts w:ascii="Garamond" w:eastAsiaTheme="minorHAnsi" w:hAnsi="Garamond"/>
          <w:color w:val="000000"/>
          <w14:ligatures w14:val="standardContextual"/>
        </w:rPr>
        <w:t>të</w:t>
      </w:r>
      <w:r w:rsidRPr="00BC232E">
        <w:rPr>
          <w:rFonts w:ascii="Garamond" w:eastAsiaTheme="minorHAnsi" w:hAnsi="Garamond"/>
          <w:color w:val="000000"/>
          <w14:ligatures w14:val="standardContextual"/>
        </w:rPr>
        <w:t xml:space="preserve"> ndryshuar, vendosi nisjen e procedurës për njësimin e praktikës gjyqësore dhe kalimin e çështjes për shqyrtim në seancë gjyqësore. Për njësim të praktikës gjyqësore, Kolegji shtroi pyetjen: “Cila është gjykata kompetente për shqyrtimin e kërkesës për dhënien e ndihmës juridike dytësore, sipas ligjit nr.</w:t>
      </w:r>
      <w:r w:rsidR="00453172">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111/2017</w:t>
      </w:r>
      <w:r w:rsidR="004A420A">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ndihmën juridike të garantuar nga shteti”, kur çështja në themel ndodhet për gjykim në Gjykatën Administrative të Apelit ose në Gjykatën e Lartë?”. Duke arritur në përfundimin njësues</w:t>
      </w:r>
      <w:r w:rsidRPr="00453172">
        <w:rPr>
          <w:rFonts w:ascii="Garamond" w:eastAsiaTheme="minorHAnsi" w:hAnsi="Garamond"/>
          <w:color w:val="000000"/>
          <w14:ligatures w14:val="standardContextual"/>
        </w:rPr>
        <w:t>:</w:t>
      </w:r>
      <w:r w:rsidRPr="00BC232E">
        <w:rPr>
          <w:rFonts w:ascii="Garamond" w:eastAsiaTheme="minorHAnsi" w:hAnsi="Garamond"/>
          <w:b/>
          <w:bCs/>
          <w:color w:val="000000"/>
          <w14:ligatures w14:val="standardContextual"/>
        </w:rPr>
        <w:t xml:space="preserve"> </w:t>
      </w:r>
      <w:r w:rsidRPr="00BC232E">
        <w:rPr>
          <w:rFonts w:ascii="Garamond" w:eastAsiaTheme="minorHAnsi" w:hAnsi="Garamond"/>
          <w:b/>
          <w:bCs/>
          <w:i/>
          <w:iCs/>
          <w:color w:val="000000"/>
          <w14:ligatures w14:val="standardContextual"/>
        </w:rPr>
        <w:t xml:space="preserve">“Shprehja “gjykata kompetente për shqyrtimin e çështjes në themel”, e parashikuar në nenin 20/1 të ligjit nr. 111/2017, duhet kuptuar në dritën e neneve 2, 4, 19, 21 dhe 22 të këtij ligji, si dhe të nenit 42 të Kushtetutës, si gjykata që në fazën konkrete të procesit ka kompetencën funksionale të shqyrtojë çështjen ose kërkesën procedurale nga e cila varet ushtrimi efektiv i së drejtës së </w:t>
      </w:r>
      <w:proofErr w:type="spellStart"/>
      <w:r w:rsidRPr="00BC232E">
        <w:rPr>
          <w:rFonts w:ascii="Garamond" w:eastAsiaTheme="minorHAnsi" w:hAnsi="Garamond"/>
          <w:b/>
          <w:bCs/>
          <w:i/>
          <w:iCs/>
          <w:color w:val="000000"/>
          <w14:ligatures w14:val="standardContextual"/>
        </w:rPr>
        <w:t>aksesit</w:t>
      </w:r>
      <w:proofErr w:type="spellEnd"/>
      <w:r w:rsidRPr="00BC232E">
        <w:rPr>
          <w:rFonts w:ascii="Garamond" w:eastAsiaTheme="minorHAnsi" w:hAnsi="Garamond"/>
          <w:b/>
          <w:bCs/>
          <w:i/>
          <w:iCs/>
          <w:color w:val="000000"/>
          <w14:ligatures w14:val="standardContextual"/>
        </w:rPr>
        <w:t xml:space="preserve"> në gjykatë. Për rrjedhojë, kur kërkesa për ndihmë juridike dytësore paraqitet gjatë gjykimit në apel, kompetente është gjykata e apelit ku ndodhet çështja. Kur nevoja për ndihmë juridike dytësore lind në fazën e ushtrimit të ankimit ose të rekursit, kompetenca i përket gjykatës pranë së cilës depozitohet ankimi ose rekursi dhe ku verifikohet rregullsia formale e tij</w:t>
      </w:r>
      <w:r w:rsidRPr="004A420A">
        <w:rPr>
          <w:rFonts w:ascii="Garamond" w:eastAsiaTheme="minorHAnsi" w:hAnsi="Garamond"/>
          <w:b/>
          <w:bCs/>
          <w:i/>
          <w:iCs/>
          <w:color w:val="000000"/>
          <w14:ligatures w14:val="standardContextual"/>
        </w:rPr>
        <w:t>”,</w:t>
      </w:r>
      <w:r w:rsidRPr="00BC232E">
        <w:rPr>
          <w:rFonts w:ascii="Garamond" w:eastAsiaTheme="minorHAnsi" w:hAnsi="Garamond"/>
          <w:b/>
          <w:bCs/>
          <w:color w:val="000000"/>
          <w14:ligatures w14:val="standardContextual"/>
        </w:rPr>
        <w:t xml:space="preserve"> </w:t>
      </w:r>
      <w:r w:rsidRPr="00BC232E">
        <w:rPr>
          <w:rFonts w:ascii="Garamond" w:eastAsiaTheme="minorHAnsi" w:hAnsi="Garamond"/>
          <w:color w:val="000000"/>
          <w14:ligatures w14:val="standardContextual"/>
        </w:rPr>
        <w:t>Kolegji (shumica) për zgjidhjen e çështjes konkrete ka disponuar me lënien në fuqi të vendimit nr. 30-2025-9731 (1580), datë 19.11.2025, të Gjykatës së Apelit të Juridiksionit të Përgjithshëm, duke vlerësuar kompetente Gjykatën Administrative të Apelit.</w:t>
      </w:r>
    </w:p>
    <w:p w14:paraId="0C3EDC1C" w14:textId="77777777" w:rsidR="00BC232E" w:rsidRPr="00BC232E" w:rsidRDefault="00BC232E" w:rsidP="00BC232E">
      <w:pPr>
        <w:autoSpaceDE w:val="0"/>
        <w:autoSpaceDN w:val="0"/>
        <w:adjustRightInd w:val="0"/>
        <w:ind w:firstLine="284"/>
        <w:jc w:val="both"/>
        <w:rPr>
          <w:rFonts w:ascii="Garamond" w:eastAsiaTheme="minorHAnsi" w:hAnsi="Garamond"/>
          <w:b/>
          <w:bCs/>
          <w:color w:val="000000"/>
          <w14:ligatures w14:val="standardContextual"/>
        </w:rPr>
      </w:pPr>
      <w:r w:rsidRPr="00BC232E">
        <w:rPr>
          <w:rFonts w:ascii="Garamond" w:eastAsiaTheme="minorHAnsi" w:hAnsi="Garamond"/>
          <w:color w:val="000000"/>
          <w14:ligatures w14:val="standardContextual"/>
        </w:rPr>
        <w:lastRenderedPageBreak/>
        <w:t>10.</w:t>
      </w:r>
      <w:r w:rsidRPr="00BC232E">
        <w:rPr>
          <w:rFonts w:ascii="Garamond" w:eastAsiaTheme="minorHAnsi" w:hAnsi="Garamond"/>
          <w:b/>
          <w:bCs/>
          <w:color w:val="000000"/>
          <w14:ligatures w14:val="standardContextual"/>
        </w:rPr>
        <w:t xml:space="preserve"> </w:t>
      </w:r>
      <w:r w:rsidRPr="00BC232E">
        <w:rPr>
          <w:rFonts w:ascii="Garamond" w:eastAsiaTheme="minorHAnsi" w:hAnsi="Garamond"/>
          <w:color w:val="000000"/>
          <w14:ligatures w14:val="standardContextual"/>
        </w:rPr>
        <w:t>Në ndryshim nga qëndrimi i shumicës së këtij Kolegji, çmojmë se vendimi nr. 30-2025-9731 (1580), datë 19.11.2025, i Gjykatës së Apelit të Juridiksionit të Përgjithshëm është rrjedhojë e zbatimit të gabuar të ligjit material dhe procedural.</w:t>
      </w:r>
    </w:p>
    <w:p w14:paraId="628ECFEC" w14:textId="1CFBBEBA"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11. Situatën e pamundësisë së palëve për të angazhuar asistencë profesionale nëpërmjet avokatit, e ka rregulluar ligji nr.</w:t>
      </w:r>
      <w:r w:rsidR="00453172">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111/2017</w:t>
      </w:r>
      <w:r w:rsidR="00453172">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“Për </w:t>
      </w:r>
      <w:r w:rsidR="004A420A" w:rsidRPr="00BC232E">
        <w:rPr>
          <w:rFonts w:ascii="Garamond" w:eastAsiaTheme="minorHAnsi" w:hAnsi="Garamond"/>
          <w:color w:val="000000"/>
          <w14:ligatures w14:val="standardContextual"/>
        </w:rPr>
        <w:t>ndihmën juridike të garantuar nga shteti</w:t>
      </w:r>
      <w:r w:rsidRPr="00BC232E">
        <w:rPr>
          <w:rFonts w:ascii="Garamond" w:eastAsiaTheme="minorHAnsi" w:hAnsi="Garamond"/>
          <w:color w:val="000000"/>
          <w14:ligatures w14:val="standardContextual"/>
        </w:rPr>
        <w:t>”</w:t>
      </w:r>
      <w:r w:rsidR="00453172">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i cili parashikon ndër të tjera, ofrimin falas të ndihmës juridike dytësore, për një kategori të caktuar personash që plotësojnë kriteret e përcaktuara në ligi. Me ndihmën dytësore, sipas nenit 3(c), të ligjit do të kuptohet shërbimi juridik që ofrohet për përpilimin e akteve të nevojshme për të vënë në lëvizje gjykatën, ofrimi i këshillimit, përfaqësimit dhe mbrojtjes para gjykatës në çështjet administrative, civile dhe në çështjet penale, për të cilat nuk zbatohet mbrojtja e detyrueshme, sipas përcaktimeve të legjislacionit procedural penal. Në nenet 11 e 12 të këtij ligji parashikohen kategoritë e personave dhe kriteret që ato duhet të plotësojnë që të përfitojnë nga ndihma juridike dytësore, ndërsa në nenet 18</w:t>
      </w:r>
      <w:r w:rsidR="00346886">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24 të ligjit parashikohet procedura që duhet ndjekur për përfitimin e ndihmës juridike dytësore.</w:t>
      </w:r>
    </w:p>
    <w:p w14:paraId="1BCB81F4" w14:textId="00D0B7FF"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12. Në nenin 19 të ligjit nr. 111/2017, parashikohet</w:t>
      </w:r>
      <w:r w:rsidR="00346886">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se:</w:t>
      </w:r>
      <w:r w:rsidRPr="00BC232E">
        <w:rPr>
          <w:rFonts w:ascii="Garamond" w:eastAsiaTheme="minorHAnsi" w:hAnsi="Garamond"/>
          <w:i/>
          <w:iCs/>
          <w:color w:val="000000"/>
          <w14:ligatures w14:val="standardContextual"/>
        </w:rPr>
        <w:t xml:space="preserve"> “Kërkesa për dhënien e ndihmës juridike dytësore paraqitet nga personi i interesuar personalisht ose me anë të shërbimit postar pranë gjykatës ose organit procedues që fillon hetimet, përpara fillimit të një procesi gjyqësor, në fillim të një procesi gjyqësor dhe/ose në çdo fazë të procesit gjyqësor, derisa nuk është deklaruar i mbyllur hetimi gjyqësor, sipas rregullave të parashikuara në legjislacionin procedural.” </w:t>
      </w:r>
      <w:r w:rsidRPr="00BC232E">
        <w:rPr>
          <w:rFonts w:ascii="Garamond" w:eastAsiaTheme="minorHAnsi" w:hAnsi="Garamond"/>
          <w:color w:val="000000"/>
          <w14:ligatures w14:val="standardContextual"/>
        </w:rPr>
        <w:t xml:space="preserve">Kjo dispozitë e ligjit, nuk ka për qëllim të kufizojë të drejtën për të kërkuar dhënien e ndihmës juridike dytësore vetëm gjatë gjykimit të çështjes në shkallë të parë, por interpretuar në harmoni me nenin 20, pika 1, të ligjit, </w:t>
      </w:r>
      <w:proofErr w:type="spellStart"/>
      <w:r w:rsidRPr="00BC232E">
        <w:rPr>
          <w:rFonts w:ascii="Garamond" w:eastAsiaTheme="minorHAnsi" w:hAnsi="Garamond"/>
          <w:color w:val="000000"/>
          <w14:ligatures w14:val="standardContextual"/>
        </w:rPr>
        <w:t>konkludohet</w:t>
      </w:r>
      <w:proofErr w:type="spellEnd"/>
      <w:r w:rsidRPr="00BC232E">
        <w:rPr>
          <w:rFonts w:ascii="Garamond" w:eastAsiaTheme="minorHAnsi" w:hAnsi="Garamond"/>
          <w:color w:val="000000"/>
          <w14:ligatures w14:val="standardContextual"/>
        </w:rPr>
        <w:t xml:space="preserve"> se kërkesa për dhënien e ndihmës juridike dytësore mund të paraqitet pavarësisht shkallës në të cilën gjykohet çështja.</w:t>
      </w:r>
      <w:r w:rsidR="00315FCD">
        <w:rPr>
          <w:rFonts w:ascii="Garamond" w:eastAsiaTheme="minorHAnsi" w:hAnsi="Garamond"/>
          <w:color w:val="000000"/>
          <w14:ligatures w14:val="standardContextual"/>
        </w:rPr>
        <w:t xml:space="preserve"> </w:t>
      </w:r>
    </w:p>
    <w:p w14:paraId="694532B9" w14:textId="307400C9"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13. Natyra juridike e k</w:t>
      </w:r>
      <w:r w:rsidR="00453172">
        <w:rPr>
          <w:rFonts w:ascii="Garamond" w:eastAsiaTheme="minorHAnsi" w:hAnsi="Garamond"/>
          <w:color w:val="000000"/>
          <w14:ligatures w14:val="standardContextual"/>
        </w:rPr>
        <w:t>ë</w:t>
      </w:r>
      <w:r w:rsidRPr="00BC232E">
        <w:rPr>
          <w:rFonts w:ascii="Garamond" w:eastAsiaTheme="minorHAnsi" w:hAnsi="Garamond"/>
          <w:color w:val="000000"/>
          <w14:ligatures w14:val="standardContextual"/>
        </w:rPr>
        <w:t>tij procesi ka qen</w:t>
      </w:r>
      <w:r w:rsidR="00453172">
        <w:rPr>
          <w:rFonts w:ascii="Garamond" w:eastAsiaTheme="minorHAnsi" w:hAnsi="Garamond"/>
          <w:color w:val="000000"/>
          <w14:ligatures w14:val="standardContextual"/>
        </w:rPr>
        <w:t>ë</w:t>
      </w:r>
      <w:r w:rsidRPr="00BC232E">
        <w:rPr>
          <w:rFonts w:ascii="Garamond" w:eastAsiaTheme="minorHAnsi" w:hAnsi="Garamond"/>
          <w:color w:val="000000"/>
          <w14:ligatures w14:val="standardContextual"/>
        </w:rPr>
        <w:t xml:space="preserve"> objekt shqyrtimi nga Gjykata e Lart</w:t>
      </w:r>
      <w:r w:rsidR="00453172">
        <w:rPr>
          <w:rFonts w:ascii="Garamond" w:eastAsiaTheme="minorHAnsi" w:hAnsi="Garamond"/>
          <w:color w:val="000000"/>
          <w14:ligatures w14:val="standardContextual"/>
        </w:rPr>
        <w:t>ë</w:t>
      </w:r>
      <w:r w:rsidRPr="00BC232E">
        <w:rPr>
          <w:rFonts w:ascii="Garamond" w:eastAsiaTheme="minorHAnsi" w:hAnsi="Garamond"/>
          <w:color w:val="000000"/>
          <w14:ligatures w14:val="standardContextual"/>
        </w:rPr>
        <w:t xml:space="preserve">, e cila </w:t>
      </w:r>
      <w:r w:rsidR="00453172">
        <w:rPr>
          <w:rFonts w:ascii="Garamond" w:eastAsiaTheme="minorHAnsi" w:hAnsi="Garamond"/>
          <w:color w:val="000000"/>
          <w14:ligatures w14:val="standardContextual"/>
        </w:rPr>
        <w:t>ë</w:t>
      </w:r>
      <w:r w:rsidRPr="00BC232E">
        <w:rPr>
          <w:rFonts w:ascii="Garamond" w:eastAsiaTheme="minorHAnsi" w:hAnsi="Garamond"/>
          <w:color w:val="000000"/>
          <w14:ligatures w14:val="standardContextual"/>
        </w:rPr>
        <w:t>sht</w:t>
      </w:r>
      <w:r w:rsidR="00453172">
        <w:rPr>
          <w:rFonts w:ascii="Garamond" w:eastAsiaTheme="minorHAnsi" w:hAnsi="Garamond"/>
          <w:color w:val="000000"/>
          <w14:ligatures w14:val="standardContextual"/>
        </w:rPr>
        <w:t>ë</w:t>
      </w:r>
      <w:r w:rsidRPr="00BC232E">
        <w:rPr>
          <w:rFonts w:ascii="Garamond" w:eastAsiaTheme="minorHAnsi" w:hAnsi="Garamond"/>
          <w:color w:val="000000"/>
          <w14:ligatures w14:val="standardContextual"/>
        </w:rPr>
        <w:t xml:space="preserve"> shprehur</w:t>
      </w:r>
      <w:r w:rsidR="00346886">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se</w:t>
      </w:r>
      <w:r w:rsidR="00346886">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w:t>
      </w:r>
      <w:r w:rsidR="00346886" w:rsidRPr="00346886">
        <w:rPr>
          <w:rFonts w:ascii="Garamond" w:eastAsiaTheme="minorHAnsi" w:hAnsi="Garamond"/>
          <w:i/>
          <w:iCs/>
          <w:color w:val="000000"/>
          <w14:ligatures w14:val="standardContextual"/>
        </w:rPr>
        <w:t>“</w:t>
      </w:r>
      <w:r w:rsidRPr="00BC232E">
        <w:rPr>
          <w:rFonts w:ascii="Garamond" w:eastAsiaTheme="minorHAnsi" w:hAnsi="Garamond"/>
          <w:i/>
          <w:iCs/>
          <w:color w:val="000000"/>
          <w14:ligatures w14:val="standardContextual"/>
        </w:rPr>
        <w:t>kërkesa për dhënien e ndihmës dytësore është çështje provueshmërie dhe vlerësimi kriteresh ligjore</w:t>
      </w:r>
      <w:r w:rsidR="00B025CD">
        <w:rPr>
          <w:rFonts w:ascii="Garamond" w:eastAsiaTheme="minorHAnsi" w:hAnsi="Garamond"/>
          <w:i/>
          <w:iCs/>
          <w:color w:val="000000"/>
          <w14:ligatures w14:val="standardContextual"/>
        </w:rPr>
        <w:t>,</w:t>
      </w:r>
      <w:r w:rsidRPr="00BC232E">
        <w:rPr>
          <w:rFonts w:ascii="Garamond" w:eastAsiaTheme="minorHAnsi" w:hAnsi="Garamond"/>
          <w:i/>
          <w:iCs/>
          <w:color w:val="000000"/>
          <w14:ligatures w14:val="standardContextual"/>
        </w:rPr>
        <w:t xml:space="preserve"> që rezultojnë nga një procedurë gjykimi në gjykatën e në shkallës së parë</w:t>
      </w:r>
      <w:r w:rsidR="00B025CD">
        <w:rPr>
          <w:rFonts w:ascii="Garamond" w:eastAsiaTheme="minorHAnsi" w:hAnsi="Garamond"/>
          <w:i/>
          <w:iCs/>
          <w:color w:val="000000"/>
          <w14:ligatures w14:val="standardContextual"/>
        </w:rPr>
        <w:t>,</w:t>
      </w:r>
      <w:r w:rsidRPr="00BC232E">
        <w:rPr>
          <w:rFonts w:ascii="Garamond" w:eastAsiaTheme="minorHAnsi" w:hAnsi="Garamond"/>
          <w:i/>
          <w:iCs/>
          <w:color w:val="000000"/>
          <w14:ligatures w14:val="standardContextual"/>
        </w:rPr>
        <w:t xml:space="preserve"> ku kërkuesi paraqitet kërkesën. Pra, gjykata pranë së cilës është paraqitur kërkesa, e cila hartohet sipas formularit të miratuar nga </w:t>
      </w:r>
      <w:r w:rsidR="00B710C7" w:rsidRPr="00BC232E">
        <w:rPr>
          <w:rFonts w:ascii="Garamond" w:eastAsiaTheme="minorHAnsi" w:hAnsi="Garamond"/>
          <w:i/>
          <w:iCs/>
          <w:color w:val="000000"/>
          <w14:ligatures w14:val="standardContextual"/>
        </w:rPr>
        <w:t xml:space="preserve">ministri </w:t>
      </w:r>
      <w:r w:rsidRPr="00BC232E">
        <w:rPr>
          <w:rFonts w:ascii="Garamond" w:eastAsiaTheme="minorHAnsi" w:hAnsi="Garamond"/>
          <w:i/>
          <w:iCs/>
          <w:color w:val="000000"/>
          <w14:ligatures w14:val="standardContextual"/>
        </w:rPr>
        <w:t xml:space="preserve">i Drejtësisë, do të duhet të administrojë e </w:t>
      </w:r>
      <w:r w:rsidR="00B710C7">
        <w:rPr>
          <w:rFonts w:ascii="Garamond" w:eastAsiaTheme="minorHAnsi" w:hAnsi="Garamond"/>
          <w:i/>
          <w:iCs/>
          <w:color w:val="000000"/>
          <w14:ligatures w14:val="standardContextual"/>
        </w:rPr>
        <w:t xml:space="preserve">të </w:t>
      </w:r>
      <w:r w:rsidRPr="00BC232E">
        <w:rPr>
          <w:rFonts w:ascii="Garamond" w:eastAsiaTheme="minorHAnsi" w:hAnsi="Garamond"/>
          <w:i/>
          <w:iCs/>
          <w:color w:val="000000"/>
          <w14:ligatures w14:val="standardContextual"/>
        </w:rPr>
        <w:t xml:space="preserve">vlerësojë prova duke kryer për këtë rast një hetim gjyqësor, për të </w:t>
      </w:r>
      <w:proofErr w:type="spellStart"/>
      <w:r w:rsidRPr="00BC232E">
        <w:rPr>
          <w:rFonts w:ascii="Garamond" w:eastAsiaTheme="minorHAnsi" w:hAnsi="Garamond"/>
          <w:i/>
          <w:iCs/>
          <w:color w:val="000000"/>
          <w14:ligatures w14:val="standardContextual"/>
        </w:rPr>
        <w:t>konkluduar</w:t>
      </w:r>
      <w:proofErr w:type="spellEnd"/>
      <w:r w:rsidRPr="00BC232E">
        <w:rPr>
          <w:rFonts w:ascii="Garamond" w:eastAsiaTheme="minorHAnsi" w:hAnsi="Garamond"/>
          <w:i/>
          <w:iCs/>
          <w:color w:val="000000"/>
          <w14:ligatures w14:val="standardContextual"/>
        </w:rPr>
        <w:t xml:space="preserve"> nëse kërkesa është e bazuar në ligj apo jo</w:t>
      </w:r>
      <w:r w:rsidR="00AA1A44">
        <w:rPr>
          <w:rFonts w:ascii="Garamond" w:eastAsiaTheme="minorHAnsi" w:hAnsi="Garamond"/>
          <w:i/>
          <w:iCs/>
          <w:color w:val="000000"/>
          <w14:ligatures w14:val="standardContextual"/>
        </w:rPr>
        <w:t>”</w:t>
      </w:r>
      <w:r w:rsidRPr="00BC232E">
        <w:rPr>
          <w:rFonts w:ascii="Garamond" w:eastAsiaTheme="minorHAnsi" w:hAnsi="Garamond"/>
          <w:color w:val="000000"/>
          <w14:ligatures w14:val="standardContextual"/>
        </w:rPr>
        <w:t xml:space="preserve"> (shih vendimi nr. 00-2024-2680, datë 12.6.2024</w:t>
      </w:r>
      <w:r w:rsidR="00453172">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t</w:t>
      </w:r>
      <w:r w:rsidR="00453172">
        <w:rPr>
          <w:rFonts w:ascii="Garamond" w:eastAsiaTheme="minorHAnsi" w:hAnsi="Garamond"/>
          <w:color w:val="000000"/>
          <w14:ligatures w14:val="standardContextual"/>
        </w:rPr>
        <w:t>ë</w:t>
      </w:r>
      <w:r w:rsidRPr="00BC232E">
        <w:rPr>
          <w:rFonts w:ascii="Garamond" w:eastAsiaTheme="minorHAnsi" w:hAnsi="Garamond"/>
          <w:color w:val="000000"/>
          <w14:ligatures w14:val="standardContextual"/>
        </w:rPr>
        <w:t xml:space="preserve"> Kolegjit Civil t</w:t>
      </w:r>
      <w:r w:rsidR="00453172">
        <w:rPr>
          <w:rFonts w:ascii="Garamond" w:eastAsiaTheme="minorHAnsi" w:hAnsi="Garamond"/>
          <w:color w:val="000000"/>
          <w14:ligatures w14:val="standardContextual"/>
        </w:rPr>
        <w:t>ë</w:t>
      </w:r>
      <w:r w:rsidRPr="00BC232E">
        <w:rPr>
          <w:rFonts w:ascii="Garamond" w:eastAsiaTheme="minorHAnsi" w:hAnsi="Garamond"/>
          <w:color w:val="000000"/>
          <w14:ligatures w14:val="standardContextual"/>
        </w:rPr>
        <w:t xml:space="preserve"> Gjykatës së Lartë)</w:t>
      </w:r>
      <w:r w:rsidR="00453172">
        <w:rPr>
          <w:rFonts w:ascii="Garamond" w:eastAsiaTheme="minorHAnsi" w:hAnsi="Garamond"/>
          <w:color w:val="000000"/>
          <w14:ligatures w14:val="standardContextual"/>
        </w:rPr>
        <w:t>.</w:t>
      </w:r>
    </w:p>
    <w:p w14:paraId="1EB7CF2E" w14:textId="4C86478A"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14. Në analizën e përcaktimit të kompetencës funksionale në shqyrtimin e kërkesës për përftimin e ndihmës juridike dytësore, Kolegji duhej t</w:t>
      </w:r>
      <w:r w:rsidR="00B025CD">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i referohej kuptimit të nenit 20 të ligjit nr. 111/2017, që parashikon</w:t>
      </w:r>
      <w:r w:rsidR="00B025CD">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se: </w:t>
      </w:r>
      <w:r w:rsidRPr="00B025CD">
        <w:rPr>
          <w:rFonts w:ascii="Garamond" w:eastAsiaTheme="minorHAnsi" w:hAnsi="Garamond"/>
          <w:i/>
          <w:iCs/>
          <w:color w:val="000000"/>
          <w14:ligatures w14:val="standardContextual"/>
        </w:rPr>
        <w:t xml:space="preserve">“1. </w:t>
      </w:r>
      <w:r w:rsidRPr="00BC232E">
        <w:rPr>
          <w:rFonts w:ascii="Garamond" w:eastAsiaTheme="minorHAnsi" w:hAnsi="Garamond"/>
          <w:i/>
          <w:iCs/>
          <w:color w:val="000000"/>
          <w14:ligatures w14:val="standardContextual"/>
        </w:rPr>
        <w:t>Kërkesa për ndihmë juridike dytësore paraqitet në gjykatën kompetente për shqyrtimin e çështjes në themel, përveçse kur parashikohet ndryshe në këtë ligj. 2. Kërkesa për ndihmë juridike dytësore e të pandehurit pa mjete të mjaftueshme financiare paraqitet pranë organit procedues që fillon hetimet, sipas nenit 21 të këtij ligji.”.</w:t>
      </w:r>
      <w:r w:rsidRPr="00BC232E">
        <w:rPr>
          <w:rFonts w:ascii="Garamond" w:eastAsiaTheme="minorHAnsi" w:hAnsi="Garamond"/>
          <w:color w:val="000000"/>
          <w14:ligatures w14:val="standardContextual"/>
        </w:rPr>
        <w:t xml:space="preserve"> Në ndryshim me përfundimin njësues të shumicës së Kolegjit, me </w:t>
      </w:r>
      <w:r w:rsidR="00453172" w:rsidRPr="00BC232E">
        <w:rPr>
          <w:rFonts w:ascii="Garamond" w:eastAsiaTheme="minorHAnsi" w:hAnsi="Garamond"/>
          <w:color w:val="000000"/>
          <w14:ligatures w14:val="standardContextual"/>
        </w:rPr>
        <w:t>togfjalëshin</w:t>
      </w:r>
      <w:r w:rsidRPr="00BC232E">
        <w:rPr>
          <w:rFonts w:ascii="Garamond" w:eastAsiaTheme="minorHAnsi" w:hAnsi="Garamond"/>
          <w:color w:val="000000"/>
          <w14:ligatures w14:val="standardContextual"/>
        </w:rPr>
        <w:t xml:space="preserve"> “</w:t>
      </w:r>
      <w:r w:rsidRPr="00BC232E">
        <w:rPr>
          <w:rFonts w:ascii="Garamond" w:eastAsiaTheme="minorHAnsi" w:hAnsi="Garamond"/>
          <w:i/>
          <w:iCs/>
          <w:color w:val="000000"/>
          <w:u w:val="single"/>
          <w14:ligatures w14:val="standardContextual"/>
        </w:rPr>
        <w:t>gjykatë kompetente</w:t>
      </w:r>
      <w:r w:rsidRPr="00BC232E">
        <w:rPr>
          <w:rFonts w:ascii="Garamond" w:eastAsiaTheme="minorHAnsi" w:hAnsi="Garamond"/>
          <w:i/>
          <w:iCs/>
          <w:color w:val="000000"/>
          <w14:ligatures w14:val="standardContextual"/>
        </w:rPr>
        <w:t xml:space="preserve"> për shqyrtimin e çështjes </w:t>
      </w:r>
      <w:r w:rsidRPr="00BC232E">
        <w:rPr>
          <w:rFonts w:ascii="Garamond" w:eastAsiaTheme="minorHAnsi" w:hAnsi="Garamond"/>
          <w:i/>
          <w:iCs/>
          <w:color w:val="000000"/>
          <w:u w:val="single"/>
          <w14:ligatures w14:val="standardContextual"/>
        </w:rPr>
        <w:t>në themel</w:t>
      </w:r>
      <w:r w:rsidRPr="004A624F">
        <w:rPr>
          <w:rFonts w:ascii="Garamond" w:eastAsiaTheme="minorHAnsi" w:hAnsi="Garamond"/>
          <w:i/>
          <w:iCs/>
          <w:color w:val="000000"/>
          <w14:ligatures w14:val="standardContextual"/>
        </w:rPr>
        <w:t>”,</w:t>
      </w:r>
      <w:r w:rsidRPr="00BC232E">
        <w:rPr>
          <w:rFonts w:ascii="Garamond" w:eastAsiaTheme="minorHAnsi" w:hAnsi="Garamond"/>
          <w:color w:val="000000"/>
          <w14:ligatures w14:val="standardContextual"/>
        </w:rPr>
        <w:t xml:space="preserve"> çmojmë se do të kuptohet </w:t>
      </w:r>
      <w:r w:rsidRPr="00BC232E">
        <w:rPr>
          <w:rFonts w:ascii="Garamond" w:eastAsiaTheme="minorHAnsi" w:hAnsi="Garamond"/>
          <w:color w:val="000000"/>
          <w:u w:val="single"/>
          <w14:ligatures w14:val="standardContextual"/>
        </w:rPr>
        <w:t>gjykata e shkallës së parë që ka kompetencën lëndore dhe tokësore për shqyrtimin e çështjes</w:t>
      </w:r>
      <w:r w:rsidRPr="00BC232E">
        <w:rPr>
          <w:rFonts w:ascii="Garamond" w:eastAsiaTheme="minorHAnsi" w:hAnsi="Garamond"/>
          <w:color w:val="000000"/>
          <w14:ligatures w14:val="standardContextual"/>
        </w:rPr>
        <w:t>, duke mos përfshirë kompetencën funksionale në lidhje me përcaktimin e gjykatës kompetente</w:t>
      </w:r>
      <w:r w:rsidR="004A624F">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kur çështja për të cilën është kërkuar dhënia e ndihmës </w:t>
      </w:r>
      <w:r w:rsidR="00453172" w:rsidRPr="00BC232E">
        <w:rPr>
          <w:rFonts w:ascii="Garamond" w:eastAsiaTheme="minorHAnsi" w:hAnsi="Garamond"/>
          <w:color w:val="000000"/>
          <w14:ligatures w14:val="standardContextual"/>
        </w:rPr>
        <w:t>juridike</w:t>
      </w:r>
      <w:r w:rsidRPr="00BC232E">
        <w:rPr>
          <w:rFonts w:ascii="Garamond" w:eastAsiaTheme="minorHAnsi" w:hAnsi="Garamond"/>
          <w:color w:val="000000"/>
          <w14:ligatures w14:val="standardContextual"/>
        </w:rPr>
        <w:t xml:space="preserve"> dytësore është duke u gjykuar pranë gjykatave të apelit dhe/ose Gjykatës së Lartë.</w:t>
      </w:r>
    </w:p>
    <w:p w14:paraId="0C93E7BD" w14:textId="5CCC5170"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15. Sipas nenit 2 të ligjit</w:t>
      </w:r>
      <w:r w:rsidRPr="00BC232E">
        <w:rPr>
          <w:rFonts w:ascii="Garamond" w:eastAsiaTheme="minorHAnsi" w:hAnsi="Garamond"/>
          <w:b/>
          <w:bCs/>
          <w:color w:val="000000"/>
          <w14:ligatures w14:val="standardContextual"/>
        </w:rPr>
        <w:t xml:space="preserve"> </w:t>
      </w:r>
      <w:r w:rsidRPr="00BC232E">
        <w:rPr>
          <w:rFonts w:ascii="Garamond" w:eastAsiaTheme="minorHAnsi" w:hAnsi="Garamond"/>
          <w:color w:val="000000"/>
          <w14:ligatures w14:val="standardContextual"/>
        </w:rPr>
        <w:t xml:space="preserve">nr. 111/2017, ai ka për qëllim: a) të krijojë një sistem për organizimin dhe ofrimin e ndihmës juridike falas për të siguruar </w:t>
      </w:r>
      <w:proofErr w:type="spellStart"/>
      <w:r w:rsidRPr="00BC232E">
        <w:rPr>
          <w:rFonts w:ascii="Garamond" w:eastAsiaTheme="minorHAnsi" w:hAnsi="Garamond"/>
          <w:color w:val="000000"/>
          <w14:ligatures w14:val="standardContextual"/>
        </w:rPr>
        <w:t>akses</w:t>
      </w:r>
      <w:proofErr w:type="spellEnd"/>
      <w:r w:rsidRPr="00BC232E">
        <w:rPr>
          <w:rFonts w:ascii="Garamond" w:eastAsiaTheme="minorHAnsi" w:hAnsi="Garamond"/>
          <w:color w:val="000000"/>
          <w14:ligatures w14:val="standardContextual"/>
        </w:rPr>
        <w:t xml:space="preserve"> të barabartë të </w:t>
      </w:r>
      <w:proofErr w:type="spellStart"/>
      <w:r w:rsidRPr="00BC232E">
        <w:rPr>
          <w:rFonts w:ascii="Garamond" w:eastAsiaTheme="minorHAnsi" w:hAnsi="Garamond"/>
          <w:color w:val="000000"/>
          <w14:ligatures w14:val="standardContextual"/>
        </w:rPr>
        <w:t>të</w:t>
      </w:r>
      <w:proofErr w:type="spellEnd"/>
      <w:r w:rsidRPr="00BC232E">
        <w:rPr>
          <w:rFonts w:ascii="Garamond" w:eastAsiaTheme="minorHAnsi" w:hAnsi="Garamond"/>
          <w:color w:val="000000"/>
          <w14:ligatures w14:val="standardContextual"/>
        </w:rPr>
        <w:t xml:space="preserve"> gjithë individëve në sistemin e drejtësisë; b) të sigurojë </w:t>
      </w:r>
      <w:proofErr w:type="spellStart"/>
      <w:r w:rsidRPr="00BC232E">
        <w:rPr>
          <w:rFonts w:ascii="Garamond" w:eastAsiaTheme="minorHAnsi" w:hAnsi="Garamond"/>
          <w:color w:val="000000"/>
          <w14:ligatures w14:val="standardContextual"/>
        </w:rPr>
        <w:t>mirorganizimin</w:t>
      </w:r>
      <w:proofErr w:type="spellEnd"/>
      <w:r w:rsidRPr="00BC232E">
        <w:rPr>
          <w:rFonts w:ascii="Garamond" w:eastAsiaTheme="minorHAnsi" w:hAnsi="Garamond"/>
          <w:color w:val="000000"/>
          <w14:ligatures w14:val="standardContextual"/>
        </w:rPr>
        <w:t xml:space="preserve">, miradministrimin dhe mirëfunksionimin e institucioneve shtetërore përgjegjëse për administrimin e ndihmës juridike; c) të sigurojë ofrimin e shërbimeve të ndihmës juridike në mënyrë profesionale, cilësore, </w:t>
      </w:r>
      <w:proofErr w:type="spellStart"/>
      <w:r w:rsidRPr="00BC232E">
        <w:rPr>
          <w:rFonts w:ascii="Garamond" w:eastAsiaTheme="minorHAnsi" w:hAnsi="Garamond"/>
          <w:color w:val="000000"/>
          <w14:ligatures w14:val="standardContextual"/>
        </w:rPr>
        <w:t>efi</w:t>
      </w:r>
      <w:r w:rsidR="00453172">
        <w:rPr>
          <w:rFonts w:ascii="Garamond" w:eastAsiaTheme="minorHAnsi" w:hAnsi="Garamond"/>
          <w:color w:val="000000"/>
          <w14:ligatures w14:val="standardContextual"/>
        </w:rPr>
        <w:t>ci</w:t>
      </w:r>
      <w:r w:rsidRPr="00BC232E">
        <w:rPr>
          <w:rFonts w:ascii="Garamond" w:eastAsiaTheme="minorHAnsi" w:hAnsi="Garamond"/>
          <w:color w:val="000000"/>
          <w14:ligatures w14:val="standardContextual"/>
        </w:rPr>
        <w:t>ente</w:t>
      </w:r>
      <w:proofErr w:type="spellEnd"/>
      <w:r w:rsidRPr="00BC232E">
        <w:rPr>
          <w:rFonts w:ascii="Garamond" w:eastAsiaTheme="minorHAnsi" w:hAnsi="Garamond"/>
          <w:color w:val="000000"/>
          <w14:ligatures w14:val="standardContextual"/>
        </w:rPr>
        <w:t xml:space="preserve"> dhe efektive.</w:t>
      </w:r>
    </w:p>
    <w:p w14:paraId="212DF0D7" w14:textId="2D2C632D"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16. Në interpretim të frymës së këtij ligji, vlerësojmë se ofrimi i ndihmës juridike në mënyrë </w:t>
      </w:r>
      <w:proofErr w:type="spellStart"/>
      <w:r w:rsidRPr="00BC232E">
        <w:rPr>
          <w:rFonts w:ascii="Garamond" w:eastAsiaTheme="minorHAnsi" w:hAnsi="Garamond"/>
          <w:color w:val="000000"/>
          <w14:ligatures w14:val="standardContextual"/>
        </w:rPr>
        <w:t>efi</w:t>
      </w:r>
      <w:r w:rsidR="00453172">
        <w:rPr>
          <w:rFonts w:ascii="Garamond" w:eastAsiaTheme="minorHAnsi" w:hAnsi="Garamond"/>
          <w:color w:val="000000"/>
          <w14:ligatures w14:val="standardContextual"/>
        </w:rPr>
        <w:t>ci</w:t>
      </w:r>
      <w:r w:rsidRPr="00BC232E">
        <w:rPr>
          <w:rFonts w:ascii="Garamond" w:eastAsiaTheme="minorHAnsi" w:hAnsi="Garamond"/>
          <w:color w:val="000000"/>
          <w14:ligatures w14:val="standardContextual"/>
        </w:rPr>
        <w:t>ente</w:t>
      </w:r>
      <w:proofErr w:type="spellEnd"/>
      <w:r w:rsidRPr="00BC232E">
        <w:rPr>
          <w:rFonts w:ascii="Garamond" w:eastAsiaTheme="minorHAnsi" w:hAnsi="Garamond"/>
          <w:color w:val="000000"/>
          <w14:ligatures w14:val="standardContextual"/>
        </w:rPr>
        <w:t xml:space="preserve">, realizohet pikërisht duke </w:t>
      </w:r>
      <w:r w:rsidR="007B2623">
        <w:rPr>
          <w:rFonts w:ascii="Garamond" w:eastAsiaTheme="minorHAnsi" w:hAnsi="Garamond"/>
          <w:color w:val="000000"/>
          <w14:ligatures w14:val="standardContextual"/>
        </w:rPr>
        <w:t>i</w:t>
      </w:r>
      <w:r w:rsidRPr="00BC232E">
        <w:rPr>
          <w:rFonts w:ascii="Garamond" w:eastAsiaTheme="minorHAnsi" w:hAnsi="Garamond"/>
          <w:color w:val="000000"/>
          <w14:ligatures w14:val="standardContextual"/>
        </w:rPr>
        <w:t xml:space="preserve"> krijuar mundësinë kategorisë së personave që kanë nevojë për këtë ndihmë, për ta kërkuar dhe marrë atë sa më pranë vendbanimit të tyre, duke ulur kostot e panevojshme dhe krijuar mundësinë efektive për të siguruar dokumentacionin e nevojshëm. Procedurat që ndiqen në shqyrtimin e kërkesave të kësaj natyre, shmangia e vonesave, të cilat cenojnë thelbin e të drejtave të kërkuesit, duke urdhëruar dorëzimin e dokumentacionit të nevojshëm nga organet e administratës shtetërore që e disponojnë atë, realizohet, nën frymën dhe qëllimin e këtij ligji, pikërisht nga gjykatat e shkallëve të para, të cilat janë kompetente nga pikëpamja lëndore për shqyrtimin e çështjes në themel, edhe nëse çështja për </w:t>
      </w:r>
      <w:r w:rsidRPr="00BC232E">
        <w:rPr>
          <w:rFonts w:ascii="Garamond" w:eastAsiaTheme="minorHAnsi" w:hAnsi="Garamond"/>
          <w:color w:val="000000"/>
          <w14:ligatures w14:val="standardContextual"/>
        </w:rPr>
        <w:lastRenderedPageBreak/>
        <w:t>të cilën është kërkuar dhënia e ndihmës juridike dytësore është duke u gjykuar pranë gjykatave të apelit dhe/ose Gjykatës së Lartë.</w:t>
      </w:r>
    </w:p>
    <w:p w14:paraId="7A7D1DE7" w14:textId="6973EB1B"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17. Në kushtet kur natyra e k</w:t>
      </w:r>
      <w:r w:rsidR="00453172">
        <w:rPr>
          <w:rFonts w:ascii="Garamond" w:eastAsiaTheme="minorHAnsi" w:hAnsi="Garamond"/>
          <w:color w:val="000000"/>
          <w14:ligatures w14:val="standardContextual"/>
        </w:rPr>
        <w:t>ë</w:t>
      </w:r>
      <w:r w:rsidRPr="00BC232E">
        <w:rPr>
          <w:rFonts w:ascii="Garamond" w:eastAsiaTheme="minorHAnsi" w:hAnsi="Garamond"/>
          <w:color w:val="000000"/>
          <w14:ligatures w14:val="standardContextual"/>
        </w:rPr>
        <w:t xml:space="preserve">tij procesi është çështje provueshmërie dhe vlerësimi kriteresh ligjore dhe ndaj vendimit për pranimin ose rrëzimin e kërkesës për ndihmë gjyqësore, lejohet vetëm një ankim dhe nga ana tjetër ndalohet rekursi në Gjykatën e Lartë, </w:t>
      </w:r>
      <w:proofErr w:type="spellStart"/>
      <w:r w:rsidRPr="00BC232E">
        <w:rPr>
          <w:rFonts w:ascii="Garamond" w:eastAsiaTheme="minorHAnsi" w:hAnsi="Garamond"/>
          <w:color w:val="000000"/>
          <w14:ligatures w14:val="standardContextual"/>
        </w:rPr>
        <w:t>domosdoshmërisht</w:t>
      </w:r>
      <w:proofErr w:type="spellEnd"/>
      <w:r w:rsidRPr="00BC232E">
        <w:rPr>
          <w:rFonts w:ascii="Garamond" w:eastAsiaTheme="minorHAnsi" w:hAnsi="Garamond"/>
          <w:color w:val="000000"/>
          <w14:ligatures w14:val="standardContextual"/>
        </w:rPr>
        <w:t xml:space="preserve"> që gjykata kompetente për shqyrtimin e kësaj kërkese është ajo e shkallës së parë. Procedura është projektuar në atë mënyrë që të zhvillohet pranë gjykatës së shkallës së parë mundësisht para se të iniciohet procedura gjyqësore, ose edhe më pas, kur verifikohen kushtet e posaçme të parashikuara në ligj, por gjithnjë duke u shqyrtuar në shkallë të parë nga gjykata e shkallës së parë dhe eventualisht në apel nga gjykata e apelit, brenda afateve shumë të shkurtra. </w:t>
      </w:r>
    </w:p>
    <w:p w14:paraId="2CF110CB" w14:textId="1AE58F7D"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18. Në rastin objekt gjykimi, nëse Gjykata Administrative e Apelit do të trajtonte për herë të parë një kërkesë të tillë në apel dhe kërkuesi do të dilte humbës, atëherë ai nuk do të kishte asnjë mundësi rekursi, duke iu kufizuar e drejta e ankimit, tej parashikimit ligjor, gjithashtu</w:t>
      </w:r>
      <w:r w:rsidR="007B2623">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e njëjta situatë do të ishte edhe për palën financuese (shtetin), ku në rast pranimi të kërkesës nuk do të kishte asnjë mjet ligjor për të ushtruar të drejtën e ankimit. Nga ana tjetër vërtetë Gjykata Administrative e Apelit do të duhej të trajtonte të gjitha kërkesat e palëve gjatë gjykimit, porse kjo mund të bëhet në çdo rast, përveç kur ligji shprehimisht ka parashikuar një rrugë të ndryshme ligjore (siç është ky rast).</w:t>
      </w:r>
    </w:p>
    <w:p w14:paraId="371E088C" w14:textId="7777777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19. Sa sipër në interpretim të dispozitave ligjore të sipërcituara edhe nën frymën dhe qëllimin e këtij ligji, </w:t>
      </w:r>
      <w:r w:rsidRPr="00BC232E">
        <w:rPr>
          <w:rFonts w:ascii="Garamond" w:eastAsiaTheme="minorHAnsi" w:hAnsi="Garamond"/>
          <w:b/>
          <w:bCs/>
          <w:color w:val="000000"/>
          <w14:ligatures w14:val="standardContextual"/>
        </w:rPr>
        <w:t>vlerësojmë se kërkesat për ndihmë juridike dytësore mund të paraqiten vetëm në shkallë të parë</w:t>
      </w:r>
      <w:r w:rsidRPr="00BC232E">
        <w:rPr>
          <w:rFonts w:ascii="Garamond" w:eastAsiaTheme="minorHAnsi" w:hAnsi="Garamond"/>
          <w:color w:val="000000"/>
          <w14:ligatures w14:val="standardContextual"/>
        </w:rPr>
        <w:t xml:space="preserve"> (në varësi të lëndës civile/penale/administrative) dhe brenda momentit procedural që parashikon ligji edhe nëse çështja për të cilën është kërkuar dhënia e ndihmës juridike dytësore është duke u gjykuar pranë gjykatave të apelit dhe/ose Gjykatës së Lartë. Sa më sipër, çmojmë se Kolegji Administrativ i Gjykatës së Lartë, duhej të arrinte në përfundim tjetër njësues.</w:t>
      </w:r>
    </w:p>
    <w:p w14:paraId="163AC3AB" w14:textId="73BE7597"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 xml:space="preserve">20. Rrjedhimisht, lidhur me zgjidhjen e çështjes konkrete, çmojmë se Kolegji duhej të kishte disponuar për rregullimin e mosmarrëveshjes së kompetencës, duke caktuar si gjykatë kompetente Gjykatën Administrative të Shkallës së Parë Tiranë, nëpërmjet konfirmimit të </w:t>
      </w:r>
      <w:proofErr w:type="spellStart"/>
      <w:r w:rsidRPr="00BC232E">
        <w:rPr>
          <w:rFonts w:ascii="Garamond" w:eastAsiaTheme="minorHAnsi" w:hAnsi="Garamond"/>
          <w:color w:val="000000"/>
          <w14:ligatures w14:val="standardContextual"/>
        </w:rPr>
        <w:t>bazueshmërisë</w:t>
      </w:r>
      <w:proofErr w:type="spellEnd"/>
      <w:r w:rsidRPr="00BC232E">
        <w:rPr>
          <w:rFonts w:ascii="Garamond" w:eastAsiaTheme="minorHAnsi" w:hAnsi="Garamond"/>
          <w:color w:val="000000"/>
          <w14:ligatures w14:val="standardContextual"/>
        </w:rPr>
        <w:t xml:space="preserve"> së vendimit nr.</w:t>
      </w:r>
      <w:r w:rsidR="00453172">
        <w:rPr>
          <w:rFonts w:ascii="Garamond" w:eastAsiaTheme="minorHAnsi" w:hAnsi="Garamond"/>
          <w:color w:val="000000"/>
          <w14:ligatures w14:val="standardContextual"/>
        </w:rPr>
        <w:t xml:space="preserve"> </w:t>
      </w:r>
      <w:r w:rsidRPr="00BC232E">
        <w:rPr>
          <w:rFonts w:ascii="Garamond" w:eastAsiaTheme="minorHAnsi" w:hAnsi="Garamond"/>
          <w:color w:val="000000"/>
          <w14:ligatures w14:val="standardContextual"/>
        </w:rPr>
        <w:t>30-2025-9731(1580), datë 19.11.2025</w:t>
      </w:r>
      <w:r w:rsidR="007B2623">
        <w:rPr>
          <w:rFonts w:ascii="Garamond" w:eastAsiaTheme="minorHAnsi" w:hAnsi="Garamond"/>
          <w:color w:val="000000"/>
          <w14:ligatures w14:val="standardContextual"/>
        </w:rPr>
        <w:t>,</w:t>
      </w:r>
      <w:r w:rsidRPr="00BC232E">
        <w:rPr>
          <w:rFonts w:ascii="Garamond" w:eastAsiaTheme="minorHAnsi" w:hAnsi="Garamond"/>
          <w:color w:val="000000"/>
          <w14:ligatures w14:val="standardContextual"/>
        </w:rPr>
        <w:t xml:space="preserve"> të Gjykatës së Apelit të Juridiksionit të Përgjithshëm, por me ndryshimin për kalimin e çështjes për vijimin e gjykimit pranë Gjykatës Administrative të Shkallës së Parë Tiranë.</w:t>
      </w:r>
    </w:p>
    <w:p w14:paraId="157D1DF8" w14:textId="77777777" w:rsidR="003C33B7" w:rsidRDefault="003C33B7" w:rsidP="00BC232E">
      <w:pPr>
        <w:autoSpaceDE w:val="0"/>
        <w:autoSpaceDN w:val="0"/>
        <w:adjustRightInd w:val="0"/>
        <w:ind w:firstLine="284"/>
        <w:jc w:val="both"/>
        <w:rPr>
          <w:rFonts w:ascii="Garamond" w:eastAsiaTheme="minorHAnsi" w:hAnsi="Garamond"/>
          <w:color w:val="000000"/>
          <w14:ligatures w14:val="standardContextual"/>
        </w:rPr>
      </w:pPr>
    </w:p>
    <w:p w14:paraId="7F64543F" w14:textId="2B7B1B6E" w:rsidR="00BC232E" w:rsidRPr="00BC232E" w:rsidRDefault="00BC232E" w:rsidP="00BC232E">
      <w:pPr>
        <w:autoSpaceDE w:val="0"/>
        <w:autoSpaceDN w:val="0"/>
        <w:adjustRightInd w:val="0"/>
        <w:ind w:firstLine="284"/>
        <w:jc w:val="both"/>
        <w:rPr>
          <w:rFonts w:ascii="Garamond" w:eastAsiaTheme="minorHAnsi" w:hAnsi="Garamond"/>
          <w:color w:val="000000"/>
          <w14:ligatures w14:val="standardContextual"/>
        </w:rPr>
      </w:pPr>
      <w:r w:rsidRPr="00BC232E">
        <w:rPr>
          <w:rFonts w:ascii="Garamond" w:eastAsiaTheme="minorHAnsi" w:hAnsi="Garamond"/>
          <w:color w:val="000000"/>
          <w14:ligatures w14:val="standardContextual"/>
        </w:rPr>
        <w:t>Tiranë më 16.4.2026</w:t>
      </w:r>
      <w:r w:rsidR="00453172">
        <w:rPr>
          <w:rFonts w:ascii="Garamond" w:eastAsiaTheme="minorHAnsi" w:hAnsi="Garamond"/>
          <w:color w:val="000000"/>
          <w14:ligatures w14:val="standardContextual"/>
        </w:rPr>
        <w:t>.</w:t>
      </w:r>
    </w:p>
    <w:p w14:paraId="4700E5F4" w14:textId="45D0F218" w:rsidR="00BC232E" w:rsidRDefault="00BC232E" w:rsidP="00BC232E">
      <w:pPr>
        <w:autoSpaceDE w:val="0"/>
        <w:autoSpaceDN w:val="0"/>
        <w:adjustRightInd w:val="0"/>
        <w:ind w:firstLine="284"/>
        <w:jc w:val="both"/>
        <w:rPr>
          <w:rFonts w:ascii="Garamond" w:eastAsiaTheme="minorHAnsi" w:hAnsi="Garamond"/>
          <w:i/>
          <w:iCs/>
          <w:color w:val="000000"/>
          <w14:ligatures w14:val="standardContextual"/>
        </w:rPr>
      </w:pPr>
    </w:p>
    <w:p w14:paraId="13425E94" w14:textId="5D637D51" w:rsidR="00BF2689" w:rsidRPr="00BF2689" w:rsidRDefault="00BF2689" w:rsidP="00453172">
      <w:pPr>
        <w:ind w:firstLine="284"/>
      </w:pPr>
      <w:r w:rsidRPr="00BF2689">
        <w:rPr>
          <w:rFonts w:ascii="Garamond" w:eastAsiaTheme="minorHAnsi" w:hAnsi="Garamond"/>
          <w:b/>
          <w:iCs/>
          <w:color w:val="000000"/>
          <w14:ligatures w14:val="standardContextual"/>
        </w:rPr>
        <w:t>Gjyqtarë</w:t>
      </w:r>
      <w:r w:rsidRPr="007B2623">
        <w:rPr>
          <w:rFonts w:ascii="Garamond" w:eastAsiaTheme="minorHAnsi" w:hAnsi="Garamond"/>
          <w:b/>
          <w:color w:val="000000"/>
          <w14:ligatures w14:val="standardContextual"/>
        </w:rPr>
        <w:t>:</w:t>
      </w:r>
      <w:r w:rsidRPr="007B2623">
        <w:rPr>
          <w:rFonts w:ascii="Garamond" w:eastAsiaTheme="minorHAnsi" w:hAnsi="Garamond"/>
          <w:color w:val="000000"/>
          <w14:ligatures w14:val="standardContextual"/>
        </w:rPr>
        <w:t xml:space="preserve"> </w:t>
      </w:r>
      <w:r w:rsidR="00E17BEC" w:rsidRPr="000E5691">
        <w:rPr>
          <w:rFonts w:ascii="Garamond" w:eastAsiaTheme="minorHAnsi" w:hAnsi="Garamond"/>
          <w:bCs/>
          <w:color w:val="000000"/>
          <w14:ligatures w14:val="standardContextual"/>
        </w:rPr>
        <w:t xml:space="preserve">Sokol </w:t>
      </w:r>
      <w:proofErr w:type="spellStart"/>
      <w:r w:rsidR="00E17BEC" w:rsidRPr="000E5691">
        <w:rPr>
          <w:rFonts w:ascii="Garamond" w:eastAsiaTheme="minorHAnsi" w:hAnsi="Garamond"/>
          <w:bCs/>
          <w:color w:val="000000"/>
          <w14:ligatures w14:val="standardContextual"/>
        </w:rPr>
        <w:t>Ngresi</w:t>
      </w:r>
      <w:proofErr w:type="spellEnd"/>
      <w:r w:rsidR="00E17BEC">
        <w:rPr>
          <w:rFonts w:ascii="Garamond" w:eastAsiaTheme="minorHAnsi" w:hAnsi="Garamond"/>
          <w:bCs/>
          <w:color w:val="000000"/>
          <w14:ligatures w14:val="standardContextual"/>
        </w:rPr>
        <w:t xml:space="preserve">, </w:t>
      </w:r>
      <w:bookmarkStart w:id="0" w:name="_GoBack"/>
      <w:bookmarkEnd w:id="0"/>
      <w:r w:rsidRPr="000E5691">
        <w:rPr>
          <w:rFonts w:ascii="Garamond" w:eastAsiaTheme="minorHAnsi" w:hAnsi="Garamond"/>
          <w:bCs/>
          <w:color w:val="000000"/>
          <w14:ligatures w14:val="standardContextual"/>
        </w:rPr>
        <w:t xml:space="preserve">Gentian </w:t>
      </w:r>
      <w:proofErr w:type="spellStart"/>
      <w:r w:rsidRPr="000E5691">
        <w:rPr>
          <w:rFonts w:ascii="Garamond" w:eastAsiaTheme="minorHAnsi" w:hAnsi="Garamond"/>
          <w:bCs/>
          <w:color w:val="000000"/>
          <w14:ligatures w14:val="standardContextual"/>
        </w:rPr>
        <w:t>Medja</w:t>
      </w:r>
      <w:proofErr w:type="spellEnd"/>
      <w:r w:rsidRPr="000E5691">
        <w:rPr>
          <w:rFonts w:ascii="Garamond" w:eastAsiaTheme="minorHAnsi" w:hAnsi="Garamond"/>
          <w:bCs/>
          <w:color w:val="000000"/>
          <w14:ligatures w14:val="standardContextual"/>
        </w:rPr>
        <w:t xml:space="preserve"> </w:t>
      </w:r>
    </w:p>
    <w:p w14:paraId="7BE46CF7" w14:textId="0091C9FF" w:rsidR="00BF2689" w:rsidRPr="00BC232E" w:rsidRDefault="00BF2689" w:rsidP="00BC232E">
      <w:pPr>
        <w:autoSpaceDE w:val="0"/>
        <w:autoSpaceDN w:val="0"/>
        <w:adjustRightInd w:val="0"/>
        <w:ind w:firstLine="284"/>
        <w:jc w:val="both"/>
        <w:rPr>
          <w:rFonts w:ascii="Garamond" w:eastAsiaTheme="minorHAnsi" w:hAnsi="Garamond"/>
          <w:i/>
          <w:iCs/>
          <w:color w:val="000000"/>
          <w14:ligatures w14:val="standardContextual"/>
        </w:rPr>
      </w:pPr>
    </w:p>
    <w:sectPr w:rsidR="00BF2689" w:rsidRPr="00BC232E" w:rsidSect="001A757E">
      <w:footerReference w:type="default" r:id="rId13"/>
      <w:pgSz w:w="11906" w:h="16838" w:code="9"/>
      <w:pgMar w:top="1440" w:right="1080" w:bottom="1530" w:left="1080" w:header="720" w:footer="8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B2FAC5" w14:textId="77777777" w:rsidR="00963D2B" w:rsidRDefault="00963D2B" w:rsidP="00CA1F25">
      <w:r>
        <w:separator/>
      </w:r>
    </w:p>
  </w:endnote>
  <w:endnote w:type="continuationSeparator" w:id="0">
    <w:p w14:paraId="7100D0F5" w14:textId="77777777" w:rsidR="00963D2B" w:rsidRDefault="00963D2B" w:rsidP="00CA1F25">
      <w:r>
        <w:continuationSeparator/>
      </w:r>
    </w:p>
  </w:endnote>
  <w:endnote w:type="continuationNotice" w:id="1">
    <w:p w14:paraId="6102E81B" w14:textId="77777777" w:rsidR="00963D2B" w:rsidRDefault="00963D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97EAD2" w14:textId="77777777" w:rsidR="00963D2B" w:rsidRDefault="00963D2B">
    <w:pPr>
      <w:pStyle w:val="Footer"/>
      <w:jc w:val="right"/>
    </w:pPr>
    <w:r>
      <w:fldChar w:fldCharType="begin"/>
    </w:r>
    <w:r>
      <w:instrText xml:space="preserve"> PAGE   \* MERGEFORMAT </w:instrText>
    </w:r>
    <w:r>
      <w:fldChar w:fldCharType="separate"/>
    </w:r>
    <w:r>
      <w:rPr>
        <w:noProof/>
      </w:rPr>
      <w:t>2</w:t>
    </w:r>
    <w:r>
      <w:rPr>
        <w:noProof/>
      </w:rPr>
      <w:fldChar w:fldCharType="end"/>
    </w:r>
  </w:p>
  <w:p w14:paraId="50185135" w14:textId="77777777" w:rsidR="00963D2B" w:rsidRDefault="00963D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B3D67" w14:textId="77777777" w:rsidR="00963D2B" w:rsidRDefault="00963D2B" w:rsidP="00CA1F25">
      <w:r>
        <w:separator/>
      </w:r>
    </w:p>
  </w:footnote>
  <w:footnote w:type="continuationSeparator" w:id="0">
    <w:p w14:paraId="6C081020" w14:textId="77777777" w:rsidR="00963D2B" w:rsidRDefault="00963D2B" w:rsidP="00CA1F25">
      <w:r>
        <w:continuationSeparator/>
      </w:r>
    </w:p>
  </w:footnote>
  <w:footnote w:type="continuationNotice" w:id="1">
    <w:p w14:paraId="4B799F4C" w14:textId="77777777" w:rsidR="00963D2B" w:rsidRDefault="00963D2B"/>
  </w:footnote>
  <w:footnote w:id="2">
    <w:p w14:paraId="52996D5C" w14:textId="0CDED70A" w:rsidR="00963D2B" w:rsidRPr="00315FCD" w:rsidRDefault="00963D2B" w:rsidP="00315FCD">
      <w:pPr>
        <w:pStyle w:val="FootnoteText"/>
        <w:jc w:val="both"/>
        <w:rPr>
          <w:rFonts w:ascii="Garamond" w:hAnsi="Garamond"/>
          <w:i/>
          <w:color w:val="171717"/>
          <w:lang w:val="sq-AL"/>
        </w:rPr>
      </w:pPr>
      <w:r w:rsidRPr="00315FCD">
        <w:rPr>
          <w:rStyle w:val="FootnoteReference"/>
          <w:rFonts w:ascii="Garamond" w:hAnsi="Garamond"/>
        </w:rPr>
        <w:footnoteRef/>
      </w:r>
      <w:r w:rsidRPr="00315FCD">
        <w:rPr>
          <w:rFonts w:ascii="Garamond" w:hAnsi="Garamond"/>
        </w:rPr>
        <w:t xml:space="preserve"> </w:t>
      </w:r>
      <w:r w:rsidRPr="00315FCD">
        <w:rPr>
          <w:rFonts w:ascii="Garamond" w:hAnsi="Garamond"/>
          <w:i/>
          <w:color w:val="171717"/>
          <w:lang w:val="sq-AL"/>
        </w:rPr>
        <w:t>Vendimi i ndërmjetëm</w:t>
      </w:r>
      <w:r>
        <w:rPr>
          <w:rFonts w:ascii="Garamond" w:hAnsi="Garamond"/>
          <w:i/>
          <w:color w:val="171717"/>
          <w:lang w:val="sq-AL"/>
        </w:rPr>
        <w:t>,</w:t>
      </w:r>
      <w:r w:rsidRPr="00315FCD">
        <w:rPr>
          <w:rFonts w:ascii="Garamond" w:hAnsi="Garamond"/>
          <w:i/>
          <w:color w:val="171717"/>
          <w:lang w:val="sq-AL"/>
        </w:rPr>
        <w:t xml:space="preserve"> datë 4.2.2026</w:t>
      </w:r>
      <w:r>
        <w:rPr>
          <w:rFonts w:ascii="Garamond" w:hAnsi="Garamond"/>
          <w:i/>
          <w:color w:val="171717"/>
          <w:lang w:val="sq-AL"/>
        </w:rPr>
        <w:t>,</w:t>
      </w:r>
      <w:r w:rsidRPr="00315FCD">
        <w:rPr>
          <w:rFonts w:ascii="Garamond" w:hAnsi="Garamond"/>
          <w:i/>
          <w:color w:val="171717"/>
          <w:lang w:val="sq-AL"/>
        </w:rPr>
        <w:t xml:space="preserve"> i Kolegjit Administrativ për njësimin e praktikës gjyqësore për çështjen përkatëse është njoftuar me anë të publikimit dhe në faqen zyrtare të Gjykatës së Lartë, si më poshtë: </w:t>
      </w:r>
    </w:p>
    <w:p w14:paraId="63054A7F" w14:textId="77777777" w:rsidR="00963D2B" w:rsidRPr="00315FCD" w:rsidRDefault="00963D2B" w:rsidP="00315FCD">
      <w:pPr>
        <w:pStyle w:val="FootnoteText"/>
        <w:jc w:val="both"/>
        <w:rPr>
          <w:rFonts w:ascii="Garamond" w:hAnsi="Garamond"/>
          <w:iCs/>
          <w:color w:val="171717"/>
          <w:u w:val="single"/>
          <w:lang w:val="sq-AL"/>
        </w:rPr>
      </w:pPr>
      <w:hyperlink r:id="rId1" w:history="1">
        <w:r w:rsidRPr="00315FCD">
          <w:rPr>
            <w:rStyle w:val="Hyperlink"/>
            <w:rFonts w:ascii="Garamond" w:hAnsi="Garamond"/>
            <w:iCs/>
            <w:lang w:val="sq-AL"/>
          </w:rPr>
          <w:t>https://www.gjykataelarte.gov.al/sq/lajme/publiku/vendim-i-kolegjit-administrativ-per-nisjen-e-procedures-se-njesimit-04.02.2026</w:t>
        </w:r>
      </w:hyperlink>
    </w:p>
    <w:p w14:paraId="2BDB27B4" w14:textId="0FADEBB5" w:rsidR="00963D2B" w:rsidRPr="00315FCD" w:rsidRDefault="00963D2B" w:rsidP="00315FCD">
      <w:pPr>
        <w:pStyle w:val="FootnoteText"/>
        <w:jc w:val="both"/>
        <w:rPr>
          <w:rFonts w:ascii="Garamond" w:hAnsi="Garamond"/>
          <w:i/>
          <w:color w:val="C00000"/>
          <w:lang w:val="sq-AL"/>
        </w:rPr>
      </w:pPr>
      <w:hyperlink r:id="rId2" w:history="1">
        <w:r w:rsidRPr="00315FCD">
          <w:rPr>
            <w:rStyle w:val="Hyperlink"/>
            <w:rFonts w:ascii="Garamond" w:hAnsi="Garamond"/>
            <w:lang w:val="sq-AL"/>
          </w:rPr>
          <w:t>https://www.gjykataelarte.gov.al/sq/vendime-të-ndërmjetme-për-njësimin-ndryshimin-e-praktikës-gjyqësore</w:t>
        </w:r>
      </w:hyperlink>
      <w:r w:rsidRPr="00315FCD">
        <w:rPr>
          <w:rFonts w:ascii="Garamond" w:hAnsi="Garamond"/>
          <w:lang w:val="sq-AL"/>
        </w:rPr>
        <w:t xml:space="preserve"> </w:t>
      </w:r>
    </w:p>
  </w:footnote>
  <w:footnote w:id="3">
    <w:p w14:paraId="2481F823" w14:textId="33ACF279" w:rsidR="00963D2B" w:rsidRPr="00315FCD" w:rsidRDefault="00963D2B" w:rsidP="00315FCD">
      <w:pPr>
        <w:pStyle w:val="FootnoteText"/>
        <w:jc w:val="both"/>
        <w:rPr>
          <w:rFonts w:ascii="Garamond" w:hAnsi="Garamond"/>
          <w:i/>
          <w:color w:val="171717"/>
          <w:lang w:val="sq-AL"/>
        </w:rPr>
      </w:pPr>
      <w:r w:rsidRPr="00315FCD">
        <w:rPr>
          <w:rStyle w:val="FootnoteReference"/>
          <w:rFonts w:ascii="Garamond" w:hAnsi="Garamond"/>
        </w:rPr>
        <w:footnoteRef/>
      </w:r>
      <w:r w:rsidRPr="00315FCD">
        <w:rPr>
          <w:rFonts w:ascii="Garamond" w:hAnsi="Garamond"/>
        </w:rPr>
        <w:t xml:space="preserve"> </w:t>
      </w:r>
      <w:r w:rsidRPr="00315FCD">
        <w:rPr>
          <w:rFonts w:ascii="Garamond" w:hAnsi="Garamond"/>
          <w:i/>
          <w:color w:val="171717"/>
          <w:lang w:val="sq-AL"/>
        </w:rPr>
        <w:t>Vendimi i ndërmjetëm</w:t>
      </w:r>
      <w:r>
        <w:rPr>
          <w:rFonts w:ascii="Garamond" w:hAnsi="Garamond"/>
          <w:i/>
          <w:color w:val="171717"/>
          <w:lang w:val="sq-AL"/>
        </w:rPr>
        <w:t>,</w:t>
      </w:r>
      <w:r w:rsidRPr="00315FCD">
        <w:rPr>
          <w:rFonts w:ascii="Garamond" w:hAnsi="Garamond"/>
          <w:i/>
          <w:color w:val="171717"/>
          <w:lang w:val="sq-AL"/>
        </w:rPr>
        <w:t xml:space="preserve"> datë 4.2.2026</w:t>
      </w:r>
      <w:r>
        <w:rPr>
          <w:rFonts w:ascii="Garamond" w:hAnsi="Garamond"/>
          <w:i/>
          <w:color w:val="171717"/>
          <w:lang w:val="sq-AL"/>
        </w:rPr>
        <w:t>,</w:t>
      </w:r>
      <w:r w:rsidRPr="00315FCD">
        <w:rPr>
          <w:rFonts w:ascii="Garamond" w:hAnsi="Garamond"/>
          <w:i/>
          <w:color w:val="171717"/>
          <w:lang w:val="sq-AL"/>
        </w:rPr>
        <w:t xml:space="preserve"> i Kolegjit Administrativ për njësimin e praktikës gjyqësore për çështjen përkatëse është njoftuar me anë të publikimit dhe në faqen zyrtare të Gjykatës së Lartë, si më poshtë: </w:t>
      </w:r>
    </w:p>
    <w:p w14:paraId="2919234B" w14:textId="77777777" w:rsidR="00963D2B" w:rsidRPr="00315FCD" w:rsidRDefault="00963D2B" w:rsidP="00315FCD">
      <w:pPr>
        <w:pStyle w:val="FootnoteText"/>
        <w:jc w:val="both"/>
        <w:rPr>
          <w:rFonts w:ascii="Garamond" w:hAnsi="Garamond"/>
          <w:iCs/>
          <w:color w:val="171717"/>
          <w:u w:val="single"/>
          <w:lang w:val="sq-AL"/>
        </w:rPr>
      </w:pPr>
      <w:hyperlink r:id="rId3" w:history="1">
        <w:r w:rsidRPr="00315FCD">
          <w:rPr>
            <w:rStyle w:val="Hyperlink"/>
            <w:rFonts w:ascii="Garamond" w:hAnsi="Garamond"/>
            <w:iCs/>
            <w:lang w:val="sq-AL"/>
          </w:rPr>
          <w:t>https://www.gjykataelarte.gov.al/sq/lajme/publiku/vendim-i-kolegjit-administrativ-per-nisjen-e-procedures-se-njesimit-04.02.2026</w:t>
        </w:r>
      </w:hyperlink>
    </w:p>
    <w:p w14:paraId="729A1304" w14:textId="74B74BB7" w:rsidR="00963D2B" w:rsidRPr="00315FCD" w:rsidRDefault="00963D2B" w:rsidP="00315FCD">
      <w:pPr>
        <w:jc w:val="both"/>
        <w:rPr>
          <w:rFonts w:ascii="Garamond" w:hAnsi="Garamond"/>
          <w:color w:val="0000FF"/>
          <w:sz w:val="20"/>
          <w:szCs w:val="20"/>
          <w:u w:val="single"/>
        </w:rPr>
      </w:pPr>
      <w:hyperlink r:id="rId4" w:history="1">
        <w:r w:rsidRPr="00315FCD">
          <w:rPr>
            <w:rStyle w:val="Hyperlink"/>
            <w:rFonts w:ascii="Garamond" w:hAnsi="Garamond"/>
            <w:sz w:val="20"/>
            <w:szCs w:val="20"/>
          </w:rPr>
          <w:t>https://www.gjykataelarte.gov.al/sq/vendime-të-ndërmjetme-për-njësimin-ndryshimin-e-praktikës-gjyqësore</w:t>
        </w:r>
      </w:hyperlink>
    </w:p>
  </w:footnote>
  <w:footnote w:id="4">
    <w:p w14:paraId="50473CC5" w14:textId="02FEF494" w:rsidR="00963D2B" w:rsidRPr="00315FCD" w:rsidRDefault="00963D2B" w:rsidP="00315FCD">
      <w:pPr>
        <w:jc w:val="both"/>
        <w:rPr>
          <w:rFonts w:ascii="Garamond" w:hAnsi="Garamond"/>
          <w:iCs/>
          <w:sz w:val="20"/>
          <w:szCs w:val="20"/>
        </w:rPr>
      </w:pPr>
      <w:r w:rsidRPr="00315FCD">
        <w:rPr>
          <w:rStyle w:val="FootnoteReference"/>
          <w:rFonts w:ascii="Garamond" w:hAnsi="Garamond"/>
          <w:sz w:val="20"/>
          <w:szCs w:val="20"/>
        </w:rPr>
        <w:footnoteRef/>
      </w:r>
      <w:r w:rsidRPr="00315FCD">
        <w:rPr>
          <w:rFonts w:ascii="Garamond" w:hAnsi="Garamond"/>
          <w:sz w:val="20"/>
          <w:szCs w:val="20"/>
        </w:rPr>
        <w:t xml:space="preserve"> </w:t>
      </w:r>
      <w:r w:rsidRPr="00315FCD">
        <w:rPr>
          <w:rFonts w:ascii="Garamond" w:hAnsi="Garamond"/>
          <w:iCs/>
          <w:sz w:val="20"/>
          <w:szCs w:val="20"/>
        </w:rPr>
        <w:t>Vendimi i ndërmjetëm mbi nisjen e procedurës për njësimin e praktikës gjyqësore administrative, ku jepen arsyet për nevojën e njësimit është njoftuar me anë të publikimit në faqen zyrtare të Gjykatës së Lartë, siç përmendet dhe më lart.</w:t>
      </w:r>
    </w:p>
  </w:footnote>
  <w:footnote w:id="5">
    <w:p w14:paraId="153DBBF0" w14:textId="5D7B9C4B" w:rsidR="00963D2B" w:rsidRPr="00315FCD" w:rsidRDefault="00963D2B" w:rsidP="00315FCD">
      <w:pPr>
        <w:pStyle w:val="NormalWeb"/>
        <w:spacing w:before="0" w:beforeAutospacing="0" w:after="0" w:afterAutospacing="0"/>
        <w:jc w:val="both"/>
        <w:rPr>
          <w:rFonts w:ascii="Garamond" w:hAnsi="Garamond"/>
          <w:sz w:val="20"/>
          <w:szCs w:val="20"/>
          <w:lang w:val="it-IT"/>
        </w:rPr>
      </w:pPr>
      <w:r w:rsidRPr="00315FCD">
        <w:rPr>
          <w:rStyle w:val="FootnoteReference"/>
          <w:rFonts w:ascii="Garamond" w:hAnsi="Garamond"/>
          <w:sz w:val="20"/>
          <w:szCs w:val="20"/>
        </w:rPr>
        <w:footnoteRef/>
      </w:r>
      <w:r w:rsidRPr="00315FCD">
        <w:rPr>
          <w:rFonts w:ascii="Garamond" w:hAnsi="Garamond"/>
          <w:sz w:val="20"/>
          <w:szCs w:val="20"/>
        </w:rPr>
        <w:t xml:space="preserve"> </w:t>
      </w:r>
      <w:r w:rsidRPr="00315FCD">
        <w:rPr>
          <w:rFonts w:ascii="Garamond" w:hAnsi="Garamond"/>
          <w:sz w:val="20"/>
          <w:szCs w:val="20"/>
          <w:lang w:val="it-IT"/>
        </w:rPr>
        <w:t xml:space="preserve">Ley 1/1996, de asistencia jurídica gratuita, neni 7 (“Extensión temporal”) dhe neni 8 (“Insuficiencia económica sobrevenida”). </w:t>
      </w:r>
    </w:p>
  </w:footnote>
  <w:footnote w:id="6">
    <w:p w14:paraId="53177EB5" w14:textId="7337F358" w:rsidR="00963D2B" w:rsidRPr="00315FCD" w:rsidRDefault="00963D2B" w:rsidP="00315FCD">
      <w:pPr>
        <w:pStyle w:val="FootnoteText"/>
        <w:jc w:val="both"/>
        <w:rPr>
          <w:rFonts w:ascii="Garamond" w:hAnsi="Garamond"/>
        </w:rPr>
      </w:pPr>
      <w:r w:rsidRPr="00315FCD">
        <w:rPr>
          <w:rStyle w:val="FootnoteReference"/>
          <w:rFonts w:ascii="Garamond" w:hAnsi="Garamond"/>
        </w:rPr>
        <w:footnoteRef/>
      </w:r>
      <w:r w:rsidRPr="00315FCD">
        <w:rPr>
          <w:rFonts w:ascii="Garamond" w:hAnsi="Garamond"/>
        </w:rPr>
        <w:t xml:space="preserve"> </w:t>
      </w:r>
      <w:r w:rsidRPr="00315FCD">
        <w:rPr>
          <w:rFonts w:ascii="Garamond" w:hAnsi="Garamond"/>
          <w:lang w:val="it-IT"/>
        </w:rPr>
        <w:t xml:space="preserve">Service-Public, </w:t>
      </w:r>
      <w:r w:rsidRPr="00315FCD">
        <w:rPr>
          <w:rStyle w:val="Emphasis"/>
          <w:rFonts w:ascii="Garamond" w:hAnsi="Garamond"/>
          <w:lang w:val="it-IT"/>
        </w:rPr>
        <w:t>Demande d’aide juridictionnelle pour un litige devant la Cour de cassation</w:t>
      </w:r>
      <w:r w:rsidRPr="00315FCD">
        <w:rPr>
          <w:rFonts w:ascii="Garamond" w:hAnsi="Garamond"/>
          <w:lang w:val="it-IT"/>
        </w:rPr>
        <w:t>.</w:t>
      </w:r>
    </w:p>
  </w:footnote>
  <w:footnote w:id="7">
    <w:p w14:paraId="59655354" w14:textId="3E1883A5" w:rsidR="00963D2B" w:rsidRPr="00315FCD" w:rsidRDefault="00963D2B" w:rsidP="00315FCD">
      <w:pPr>
        <w:pStyle w:val="NormalWeb"/>
        <w:spacing w:before="0" w:beforeAutospacing="0" w:after="0" w:afterAutospacing="0"/>
        <w:jc w:val="both"/>
        <w:rPr>
          <w:rFonts w:ascii="Garamond" w:hAnsi="Garamond"/>
          <w:sz w:val="20"/>
          <w:szCs w:val="20"/>
          <w:lang w:val="it-IT"/>
        </w:rPr>
      </w:pPr>
      <w:r w:rsidRPr="00315FCD">
        <w:rPr>
          <w:rStyle w:val="FootnoteReference"/>
          <w:rFonts w:ascii="Garamond" w:hAnsi="Garamond"/>
          <w:sz w:val="20"/>
          <w:szCs w:val="20"/>
        </w:rPr>
        <w:footnoteRef/>
      </w:r>
      <w:r w:rsidRPr="00315FCD">
        <w:rPr>
          <w:rFonts w:ascii="Garamond" w:hAnsi="Garamond"/>
          <w:sz w:val="20"/>
          <w:szCs w:val="20"/>
        </w:rPr>
        <w:t xml:space="preserve"> </w:t>
      </w:r>
      <w:r w:rsidRPr="00315FCD">
        <w:rPr>
          <w:rFonts w:ascii="Garamond" w:hAnsi="Garamond"/>
          <w:sz w:val="20"/>
          <w:szCs w:val="20"/>
          <w:lang w:val="it-IT"/>
        </w:rPr>
        <w:t xml:space="preserve">Ministero della Giustizia, </w:t>
      </w:r>
      <w:r w:rsidRPr="00315FCD">
        <w:rPr>
          <w:rStyle w:val="Emphasis"/>
          <w:rFonts w:ascii="Garamond" w:hAnsi="Garamond"/>
          <w:sz w:val="20"/>
          <w:szCs w:val="20"/>
          <w:lang w:val="it-IT"/>
        </w:rPr>
        <w:t>Patrocinio a spese dello Stato nei giudizi civili e amministrativi.</w:t>
      </w:r>
      <w:r w:rsidRPr="00315FCD">
        <w:rPr>
          <w:rFonts w:ascii="Garamond" w:hAnsi="Garamond"/>
          <w:sz w:val="20"/>
          <w:szCs w:val="20"/>
          <w:lang w:val="it-I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1080"/>
        </w:tabs>
        <w:ind w:left="108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28E80943"/>
    <w:multiLevelType w:val="hybridMultilevel"/>
    <w:tmpl w:val="04B84E1A"/>
    <w:lvl w:ilvl="0" w:tplc="723284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9F629A"/>
    <w:multiLevelType w:val="hybridMultilevel"/>
    <w:tmpl w:val="D94CE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9B2FDC"/>
    <w:multiLevelType w:val="hybridMultilevel"/>
    <w:tmpl w:val="F0E2C6B0"/>
    <w:lvl w:ilvl="0" w:tplc="5D9828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0CC108F"/>
    <w:multiLevelType w:val="hybridMultilevel"/>
    <w:tmpl w:val="81344088"/>
    <w:lvl w:ilvl="0" w:tplc="D45EA156">
      <w:start w:val="1"/>
      <w:numFmt w:val="upperRoman"/>
      <w:lvlText w:val="%1."/>
      <w:lvlJc w:val="left"/>
      <w:pPr>
        <w:ind w:left="1080" w:hanging="720"/>
      </w:pPr>
    </w:lvl>
    <w:lvl w:ilvl="1" w:tplc="F5C2AF7C">
      <w:start w:val="1"/>
      <w:numFmt w:val="decimal"/>
      <w:lvlText w:val="%2."/>
      <w:lvlJc w:val="left"/>
      <w:pPr>
        <w:tabs>
          <w:tab w:val="num" w:pos="1440"/>
        </w:tabs>
        <w:ind w:left="1440" w:hanging="360"/>
      </w:pPr>
      <w:rPr>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5AD20526"/>
    <w:multiLevelType w:val="multilevel"/>
    <w:tmpl w:val="B32043D0"/>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3"/>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F25"/>
    <w:rsid w:val="0004474B"/>
    <w:rsid w:val="000D4000"/>
    <w:rsid w:val="000E5691"/>
    <w:rsid w:val="000F3444"/>
    <w:rsid w:val="000F3C56"/>
    <w:rsid w:val="00146F85"/>
    <w:rsid w:val="00197E17"/>
    <w:rsid w:val="001A757E"/>
    <w:rsid w:val="00205676"/>
    <w:rsid w:val="00212CE5"/>
    <w:rsid w:val="00224565"/>
    <w:rsid w:val="00275D6E"/>
    <w:rsid w:val="00297A24"/>
    <w:rsid w:val="002C49FE"/>
    <w:rsid w:val="002D2F01"/>
    <w:rsid w:val="00315FCD"/>
    <w:rsid w:val="0033447E"/>
    <w:rsid w:val="00346886"/>
    <w:rsid w:val="003825D4"/>
    <w:rsid w:val="00397158"/>
    <w:rsid w:val="003C33B7"/>
    <w:rsid w:val="00442989"/>
    <w:rsid w:val="00453172"/>
    <w:rsid w:val="004839A7"/>
    <w:rsid w:val="00490439"/>
    <w:rsid w:val="004A420A"/>
    <w:rsid w:val="004A624F"/>
    <w:rsid w:val="004B2BA7"/>
    <w:rsid w:val="004E7572"/>
    <w:rsid w:val="004F3236"/>
    <w:rsid w:val="00500654"/>
    <w:rsid w:val="00501A40"/>
    <w:rsid w:val="005B570C"/>
    <w:rsid w:val="005B5875"/>
    <w:rsid w:val="00604D9B"/>
    <w:rsid w:val="0060609D"/>
    <w:rsid w:val="00617368"/>
    <w:rsid w:val="00631D26"/>
    <w:rsid w:val="006443A7"/>
    <w:rsid w:val="0067467F"/>
    <w:rsid w:val="006A641F"/>
    <w:rsid w:val="006C3F7E"/>
    <w:rsid w:val="006E220B"/>
    <w:rsid w:val="006E2EB8"/>
    <w:rsid w:val="007038D6"/>
    <w:rsid w:val="00706E4F"/>
    <w:rsid w:val="0072185B"/>
    <w:rsid w:val="00743FB6"/>
    <w:rsid w:val="00783A7D"/>
    <w:rsid w:val="00791232"/>
    <w:rsid w:val="00795550"/>
    <w:rsid w:val="0079767C"/>
    <w:rsid w:val="007B2623"/>
    <w:rsid w:val="008003AD"/>
    <w:rsid w:val="008833A1"/>
    <w:rsid w:val="008F0B92"/>
    <w:rsid w:val="00907881"/>
    <w:rsid w:val="0092119B"/>
    <w:rsid w:val="00963D2B"/>
    <w:rsid w:val="009A1452"/>
    <w:rsid w:val="009B4763"/>
    <w:rsid w:val="009E2DEE"/>
    <w:rsid w:val="009E6909"/>
    <w:rsid w:val="00A83ED0"/>
    <w:rsid w:val="00AA1A44"/>
    <w:rsid w:val="00AF15C1"/>
    <w:rsid w:val="00B025CD"/>
    <w:rsid w:val="00B478AD"/>
    <w:rsid w:val="00B710C7"/>
    <w:rsid w:val="00B93743"/>
    <w:rsid w:val="00BC0E3F"/>
    <w:rsid w:val="00BC232E"/>
    <w:rsid w:val="00BE4086"/>
    <w:rsid w:val="00BF2689"/>
    <w:rsid w:val="00C03EFE"/>
    <w:rsid w:val="00C12A6C"/>
    <w:rsid w:val="00C42034"/>
    <w:rsid w:val="00C47CE7"/>
    <w:rsid w:val="00CA1F25"/>
    <w:rsid w:val="00CD76E0"/>
    <w:rsid w:val="00D13309"/>
    <w:rsid w:val="00D17889"/>
    <w:rsid w:val="00D17EF8"/>
    <w:rsid w:val="00D41BBB"/>
    <w:rsid w:val="00D466AD"/>
    <w:rsid w:val="00DA55D4"/>
    <w:rsid w:val="00DB2C8B"/>
    <w:rsid w:val="00DE6BF7"/>
    <w:rsid w:val="00E00319"/>
    <w:rsid w:val="00E06B8A"/>
    <w:rsid w:val="00E17BEC"/>
    <w:rsid w:val="00EE5334"/>
    <w:rsid w:val="00EE631D"/>
    <w:rsid w:val="00F378E6"/>
    <w:rsid w:val="00F52D3A"/>
    <w:rsid w:val="00F75E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12C41"/>
  <w15:chartTrackingRefBased/>
  <w15:docId w15:val="{613AF1FF-6A08-4F67-A68F-AC756FF70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1F25"/>
    <w:pPr>
      <w:spacing w:after="0" w:line="240" w:lineRule="auto"/>
    </w:pPr>
    <w:rPr>
      <w:rFonts w:ascii="Times New Roman" w:eastAsia="MS Mincho" w:hAnsi="Times New Roman" w:cs="Times New Roman"/>
      <w:kern w:val="0"/>
      <w:lang w:val="sq-AL"/>
      <w14:ligatures w14:val="none"/>
    </w:rPr>
  </w:style>
  <w:style w:type="paragraph" w:styleId="Heading1">
    <w:name w:val="heading 1"/>
    <w:basedOn w:val="Normal"/>
    <w:next w:val="Normal"/>
    <w:link w:val="Heading1Char"/>
    <w:uiPriority w:val="9"/>
    <w:qFormat/>
    <w:rsid w:val="00CA1F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1F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A1F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1F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A1F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F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F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F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F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F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1F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A1F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1F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A1F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1F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F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F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F25"/>
    <w:rPr>
      <w:rFonts w:eastAsiaTheme="majorEastAsia" w:cstheme="majorBidi"/>
      <w:color w:val="272727" w:themeColor="text1" w:themeTint="D8"/>
    </w:rPr>
  </w:style>
  <w:style w:type="paragraph" w:styleId="Title">
    <w:name w:val="Title"/>
    <w:basedOn w:val="Normal"/>
    <w:next w:val="Normal"/>
    <w:link w:val="TitleChar"/>
    <w:uiPriority w:val="10"/>
    <w:qFormat/>
    <w:rsid w:val="00CA1F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F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F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1F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F25"/>
    <w:pPr>
      <w:spacing w:before="160"/>
      <w:jc w:val="center"/>
    </w:pPr>
    <w:rPr>
      <w:i/>
      <w:iCs/>
      <w:color w:val="404040" w:themeColor="text1" w:themeTint="BF"/>
    </w:rPr>
  </w:style>
  <w:style w:type="character" w:customStyle="1" w:styleId="QuoteChar">
    <w:name w:val="Quote Char"/>
    <w:basedOn w:val="DefaultParagraphFont"/>
    <w:link w:val="Quote"/>
    <w:uiPriority w:val="29"/>
    <w:rsid w:val="00CA1F25"/>
    <w:rPr>
      <w:i/>
      <w:iCs/>
      <w:color w:val="404040" w:themeColor="text1" w:themeTint="BF"/>
    </w:rPr>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Annex"/>
    <w:basedOn w:val="Normal"/>
    <w:link w:val="ListParagraphChar"/>
    <w:uiPriority w:val="1"/>
    <w:qFormat/>
    <w:rsid w:val="00CA1F25"/>
    <w:pPr>
      <w:ind w:left="720"/>
      <w:contextualSpacing/>
    </w:pPr>
  </w:style>
  <w:style w:type="character" w:styleId="IntenseEmphasis">
    <w:name w:val="Intense Emphasis"/>
    <w:basedOn w:val="DefaultParagraphFont"/>
    <w:uiPriority w:val="21"/>
    <w:qFormat/>
    <w:rsid w:val="00CA1F25"/>
    <w:rPr>
      <w:i/>
      <w:iCs/>
      <w:color w:val="0F4761" w:themeColor="accent1" w:themeShade="BF"/>
    </w:rPr>
  </w:style>
  <w:style w:type="paragraph" w:styleId="IntenseQuote">
    <w:name w:val="Intense Quote"/>
    <w:basedOn w:val="Normal"/>
    <w:next w:val="Normal"/>
    <w:link w:val="IntenseQuoteChar"/>
    <w:uiPriority w:val="30"/>
    <w:qFormat/>
    <w:rsid w:val="00CA1F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F25"/>
    <w:rPr>
      <w:i/>
      <w:iCs/>
      <w:color w:val="0F4761" w:themeColor="accent1" w:themeShade="BF"/>
    </w:rPr>
  </w:style>
  <w:style w:type="character" w:styleId="IntenseReference">
    <w:name w:val="Intense Reference"/>
    <w:basedOn w:val="DefaultParagraphFont"/>
    <w:uiPriority w:val="32"/>
    <w:qFormat/>
    <w:rsid w:val="00CA1F25"/>
    <w:rPr>
      <w:b/>
      <w:bCs/>
      <w:smallCaps/>
      <w:color w:val="0F4761" w:themeColor="accent1" w:themeShade="BF"/>
      <w:spacing w:val="5"/>
    </w:rPr>
  </w:style>
  <w:style w:type="paragraph" w:styleId="NoSpacing">
    <w:name w:val="No Spacing"/>
    <w:link w:val="NoSpacingChar"/>
    <w:qFormat/>
    <w:rsid w:val="00CA1F25"/>
    <w:pPr>
      <w:spacing w:after="0" w:line="240" w:lineRule="auto"/>
    </w:pPr>
    <w:rPr>
      <w:rFonts w:ascii="Calibri" w:eastAsia="Calibri" w:hAnsi="Calibri" w:cs="Times New Roman"/>
      <w:kern w:val="0"/>
      <w:sz w:val="22"/>
      <w:szCs w:val="22"/>
      <w:lang w:val="sq-AL"/>
      <w14:ligatures w14:val="none"/>
    </w:rPr>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1"/>
    <w:qFormat/>
    <w:locked/>
    <w:rsid w:val="00CA1F25"/>
  </w:style>
  <w:style w:type="character" w:customStyle="1" w:styleId="NoSpacingChar">
    <w:name w:val="No Spacing Char"/>
    <w:link w:val="NoSpacing"/>
    <w:locked/>
    <w:rsid w:val="00CA1F25"/>
    <w:rPr>
      <w:rFonts w:ascii="Calibri" w:eastAsia="Calibri" w:hAnsi="Calibri" w:cs="Times New Roman"/>
      <w:kern w:val="0"/>
      <w:sz w:val="22"/>
      <w:szCs w:val="22"/>
      <w:lang w:val="sq-AL"/>
      <w14:ligatures w14:val="none"/>
    </w:rPr>
  </w:style>
  <w:style w:type="paragraph" w:styleId="FootnoteText">
    <w:name w:val="footnote text"/>
    <w:aliases w:val="Footnote Text Char1 Char Char Char,Footnote Text Char Char Char Char Char,single space,footnote text,fn,FOOTNOTES,Footnote Text Char1,Footnote Text Char2 Char,Footnote Text Char1 Char Char,Footnote Text Char2 Char Char Char, Char Char,Car"/>
    <w:basedOn w:val="Normal"/>
    <w:link w:val="FootnoteTextChar"/>
    <w:uiPriority w:val="99"/>
    <w:unhideWhenUsed/>
    <w:qFormat/>
    <w:rsid w:val="00CA1F25"/>
    <w:rPr>
      <w:rFonts w:eastAsia="Times New Roman"/>
      <w:sz w:val="20"/>
      <w:szCs w:val="20"/>
      <w:lang w:val="en-US"/>
    </w:rPr>
  </w:style>
  <w:style w:type="character" w:customStyle="1" w:styleId="FootnoteTextChar">
    <w:name w:val="Footnote Text Char"/>
    <w:aliases w:val="Footnote Text Char1 Char Char Char Char,Footnote Text Char Char Char Char Char Char,single space Char,footnote text Char,fn Char,FOOTNOTES Char,Footnote Text Char1 Char,Footnote Text Char2 Char Char,Footnote Text Char1 Char Char Char1"/>
    <w:basedOn w:val="DefaultParagraphFont"/>
    <w:link w:val="FootnoteText"/>
    <w:uiPriority w:val="99"/>
    <w:rsid w:val="00CA1F25"/>
    <w:rPr>
      <w:rFonts w:ascii="Times New Roman" w:eastAsia="Times New Roman" w:hAnsi="Times New Roman" w:cs="Times New Roman"/>
      <w:kern w:val="0"/>
      <w:sz w:val="20"/>
      <w:szCs w:val="20"/>
      <w14:ligatures w14:val="none"/>
    </w:rPr>
  </w:style>
  <w:style w:type="character" w:styleId="FootnoteReference">
    <w:name w:val="footnote reference"/>
    <w:aliases w:val="Footnote number,4_G"/>
    <w:uiPriority w:val="99"/>
    <w:unhideWhenUsed/>
    <w:rsid w:val="00CA1F25"/>
    <w:rPr>
      <w:vertAlign w:val="superscript"/>
    </w:rPr>
  </w:style>
  <w:style w:type="paragraph" w:customStyle="1" w:styleId="paragraph">
    <w:name w:val="paragraph"/>
    <w:basedOn w:val="Normal"/>
    <w:rsid w:val="00CA1F25"/>
    <w:pPr>
      <w:spacing w:before="100" w:beforeAutospacing="1" w:after="100" w:afterAutospacing="1"/>
    </w:pPr>
    <w:rPr>
      <w:rFonts w:eastAsia="Times New Roman"/>
      <w:lang w:val="en-US"/>
    </w:rPr>
  </w:style>
  <w:style w:type="character" w:customStyle="1" w:styleId="eop">
    <w:name w:val="eop"/>
    <w:basedOn w:val="DefaultParagraphFont"/>
    <w:rsid w:val="00CA1F25"/>
  </w:style>
  <w:style w:type="character" w:customStyle="1" w:styleId="normaltextrun">
    <w:name w:val="normaltextrun"/>
    <w:basedOn w:val="DefaultParagraphFont"/>
    <w:rsid w:val="00CA1F25"/>
  </w:style>
  <w:style w:type="paragraph" w:styleId="Footer">
    <w:name w:val="footer"/>
    <w:basedOn w:val="Normal"/>
    <w:link w:val="FooterChar"/>
    <w:uiPriority w:val="99"/>
    <w:unhideWhenUsed/>
    <w:rsid w:val="00CA1F25"/>
    <w:pPr>
      <w:tabs>
        <w:tab w:val="center" w:pos="4680"/>
        <w:tab w:val="right" w:pos="9360"/>
      </w:tabs>
    </w:pPr>
    <w:rPr>
      <w:rFonts w:eastAsia="Times New Roman"/>
      <w:sz w:val="20"/>
      <w:szCs w:val="20"/>
    </w:rPr>
  </w:style>
  <w:style w:type="character" w:customStyle="1" w:styleId="FooterChar">
    <w:name w:val="Footer Char"/>
    <w:basedOn w:val="DefaultParagraphFont"/>
    <w:link w:val="Footer"/>
    <w:uiPriority w:val="99"/>
    <w:rsid w:val="00CA1F25"/>
    <w:rPr>
      <w:rFonts w:ascii="Times New Roman" w:eastAsia="Times New Roman" w:hAnsi="Times New Roman" w:cs="Times New Roman"/>
      <w:kern w:val="0"/>
      <w:sz w:val="20"/>
      <w:szCs w:val="20"/>
      <w:lang w:val="sq-AL"/>
      <w14:ligatures w14:val="none"/>
    </w:rPr>
  </w:style>
  <w:style w:type="paragraph" w:styleId="NormalWeb">
    <w:name w:val="Normal (Web)"/>
    <w:basedOn w:val="Normal"/>
    <w:uiPriority w:val="99"/>
    <w:unhideWhenUsed/>
    <w:rsid w:val="00CA1F25"/>
    <w:pPr>
      <w:spacing w:before="100" w:beforeAutospacing="1" w:after="100" w:afterAutospacing="1"/>
    </w:pPr>
    <w:rPr>
      <w:rFonts w:eastAsia="Times New Roman"/>
      <w:lang w:val="en-US"/>
    </w:rPr>
  </w:style>
  <w:style w:type="character" w:styleId="Hyperlink">
    <w:name w:val="Hyperlink"/>
    <w:rsid w:val="00CA1F25"/>
    <w:rPr>
      <w:color w:val="0000FF"/>
      <w:u w:val="single"/>
    </w:rPr>
  </w:style>
  <w:style w:type="character" w:styleId="Strong">
    <w:name w:val="Strong"/>
    <w:uiPriority w:val="22"/>
    <w:qFormat/>
    <w:rsid w:val="00CA1F25"/>
    <w:rPr>
      <w:b/>
      <w:bCs/>
    </w:rPr>
  </w:style>
  <w:style w:type="character" w:styleId="Emphasis">
    <w:name w:val="Emphasis"/>
    <w:uiPriority w:val="20"/>
    <w:qFormat/>
    <w:rsid w:val="00CA1F25"/>
    <w:rPr>
      <w:i/>
      <w:iCs/>
    </w:rPr>
  </w:style>
  <w:style w:type="paragraph" w:styleId="Revision">
    <w:name w:val="Revision"/>
    <w:hidden/>
    <w:uiPriority w:val="99"/>
    <w:semiHidden/>
    <w:rsid w:val="001A757E"/>
    <w:pPr>
      <w:spacing w:after="0" w:line="240" w:lineRule="auto"/>
    </w:pPr>
    <w:rPr>
      <w:rFonts w:ascii="Times New Roman" w:eastAsia="MS Mincho" w:hAnsi="Times New Roman" w:cs="Times New Roman"/>
      <w:kern w:val="0"/>
      <w:lang w:val="sq-AL"/>
      <w14:ligatures w14:val="none"/>
    </w:rPr>
  </w:style>
  <w:style w:type="paragraph" w:styleId="Header">
    <w:name w:val="header"/>
    <w:basedOn w:val="Normal"/>
    <w:link w:val="HeaderChar"/>
    <w:uiPriority w:val="99"/>
    <w:semiHidden/>
    <w:unhideWhenUsed/>
    <w:rsid w:val="00604D9B"/>
    <w:pPr>
      <w:tabs>
        <w:tab w:val="center" w:pos="4513"/>
        <w:tab w:val="right" w:pos="9026"/>
      </w:tabs>
    </w:pPr>
  </w:style>
  <w:style w:type="character" w:customStyle="1" w:styleId="HeaderChar">
    <w:name w:val="Header Char"/>
    <w:basedOn w:val="DefaultParagraphFont"/>
    <w:link w:val="Header"/>
    <w:uiPriority w:val="99"/>
    <w:semiHidden/>
    <w:rsid w:val="00604D9B"/>
    <w:rPr>
      <w:rFonts w:ascii="Times New Roman" w:eastAsia="MS Mincho" w:hAnsi="Times New Roman" w:cs="Times New Roman"/>
      <w:kern w:val="0"/>
      <w:lang w:val="sq-AL"/>
      <w14:ligatures w14:val="none"/>
    </w:rPr>
  </w:style>
  <w:style w:type="table" w:styleId="TableGrid">
    <w:name w:val="Table Grid"/>
    <w:basedOn w:val="TableNormal"/>
    <w:uiPriority w:val="39"/>
    <w:rsid w:val="00BC2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0422549">
      <w:bodyDiv w:val="1"/>
      <w:marLeft w:val="0"/>
      <w:marRight w:val="0"/>
      <w:marTop w:val="0"/>
      <w:marBottom w:val="0"/>
      <w:divBdr>
        <w:top w:val="none" w:sz="0" w:space="0" w:color="auto"/>
        <w:left w:val="none" w:sz="0" w:space="0" w:color="auto"/>
        <w:bottom w:val="none" w:sz="0" w:space="0" w:color="auto"/>
        <w:right w:val="none" w:sz="0" w:space="0" w:color="auto"/>
      </w:divBdr>
    </w:div>
    <w:div w:id="111393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jykataelarte.gov.al/sq/lajme/publiku/vendim-i-kolegjit-administrativ-per-nisjen-e-procedures-se-njesimit-04.02.2026" TargetMode="External"/><Relationship Id="rId2" Type="http://schemas.openxmlformats.org/officeDocument/2006/relationships/hyperlink" Target="https://gjykata-media.s3.eu-central-1.amazonaws.com/35008_00053_00_2026_34c95f4852.docx" TargetMode="External"/><Relationship Id="rId1" Type="http://schemas.openxmlformats.org/officeDocument/2006/relationships/hyperlink" Target="https://www.gjykataelarte.gov.al/sq/lajme/publiku/vendim-i-kolegjit-administrativ-per-nisjen-e-procedures-se-njesimit-04.02.2026" TargetMode="External"/><Relationship Id="rId4" Type="http://schemas.openxmlformats.org/officeDocument/2006/relationships/hyperlink" Target="https://gjykata-media.s3.eu-central-1.amazonaws.com/35008_00053_00_2026_34c95f4852.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93D7962AECA4190A7A68071DA45C6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221</Nr_x002e__x0020_akti>
    <Data_x0020_e_x0020_Krijimit xmlns="0e656187-b300-4fb0-8bf4-3a50f872073c">2026-07-02T10:27:48Z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2026-07-02T00:00:00Z</Date_x0020_protokolli>
    <Titulli xmlns="0e656187-b300-4fb0-8bf4-3a50f872073c">Me objekt ndihmë juridike dytësore</Titulli>
    <Modifikuesi xmlns="0e656187-b300-4fb0-8bf4-3a50f872073c">alma.lisaku</Modifikuesi>
    <Nr_x002e__x0020_prot_x0020_QBZ xmlns="0e656187-b300-4fb0-8bf4-3a50f872073c">1497/1</Nr_x002e__x0020_prot_x0020_QBZ>
    <Data_x0020_e_x0020_Modifikimit xmlns="0e656187-b300-4fb0-8bf4-3a50f872073c">2026-07-06T08:50:29Z</Data_x0020_e_x0020_Modifikimit>
    <Dekretuar xmlns="0e656187-b300-4fb0-8bf4-3a50f872073c">false</Dekretuar>
    <Data xmlns="0e656187-b300-4fb0-8bf4-3a50f872073c">2026-04-16T00:00:00Z</Data>
    <Nr_x002e__x0020_protokolli_x0020_i_x0020_aktit xmlns="0e656187-b300-4fb0-8bf4-3a50f872073c">3970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93D7962AECA4190A7A68071DA45C6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1BC4D-FEFA-429A-9E3D-4DB91138A201}">
  <ds:schemaRefs>
    <ds:schemaRef ds:uri="http://schemas.microsoft.com/sharepoint/v3/contenttype/forms"/>
  </ds:schemaRefs>
</ds:datastoreItem>
</file>

<file path=customXml/itemProps2.xml><?xml version="1.0" encoding="utf-8"?>
<ds:datastoreItem xmlns:ds="http://schemas.openxmlformats.org/officeDocument/2006/customXml" ds:itemID="{9D253C41-1026-455E-8195-D06398377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87EFDE5-0D22-4797-A3AA-EEEE1045FB58}">
  <ds:schemaRefs>
    <ds:schemaRef ds:uri="http://www.w3.org/XML/1998/namespace"/>
    <ds:schemaRef ds:uri="http://schemas.microsoft.com/office/2006/metadata/properties"/>
    <ds:schemaRef ds:uri="0e656187-b300-4fb0-8bf4-3a50f872073c"/>
    <ds:schemaRef ds:uri="http://schemas.microsoft.com/office/2006/documentManagement/types"/>
    <ds:schemaRef ds:uri="http://purl.org/dc/elements/1.1/"/>
    <ds:schemaRef ds:uri="http://purl.org/dc/dcmitype/"/>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32890C3B-7DFF-4966-BBCD-136AA86E2D23}">
  <ds:schemaRefs>
    <ds:schemaRef ds:uri="http://schemas.microsoft.com/sharepoint/v3/contenttype/forms"/>
  </ds:schemaRefs>
</ds:datastoreItem>
</file>

<file path=customXml/itemProps5.xml><?xml version="1.0" encoding="utf-8"?>
<ds:datastoreItem xmlns:ds="http://schemas.openxmlformats.org/officeDocument/2006/customXml" ds:itemID="{AA92F115-D1F1-4051-AFEC-108063AB9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A297758-40F2-400C-9B1A-91160907B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17</Pages>
  <Words>11370</Words>
  <Characters>64814</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Me objekt ndihmë juridike dytësore</vt:lpstr>
    </vt:vector>
  </TitlesOfParts>
  <Company/>
  <LinksUpToDate>false</LinksUpToDate>
  <CharactersWithSpaces>76032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ndihmë juridike dytësore</dc:title>
  <dc:creator>r_kaci</dc:creator>
  <cp:lastModifiedBy>Amarilda Muja</cp:lastModifiedBy>
  <cp:revision>75</cp:revision>
  <cp:lastPrinted>2026-07-01T08:59:00Z</cp:lastPrinted>
  <dcterms:created xsi:type="dcterms:W3CDTF">2026-07-02T10:34:00Z</dcterms:created>
  <dcterms:modified xsi:type="dcterms:W3CDTF">2026-07-06T09:31:00Z</dcterms:modified>
</cp:coreProperties>
</file>