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8C3" w:rsidRPr="009F2D28" w:rsidRDefault="00CA38C3" w:rsidP="000E2691">
      <w:pPr>
        <w:pStyle w:val="Paragrafi"/>
        <w:rPr>
          <w:lang w:val="sq-AL"/>
        </w:rPr>
      </w:pPr>
      <w:bookmarkStart w:id="0" w:name="_GoBack"/>
      <w:bookmarkEnd w:id="0"/>
    </w:p>
    <w:p w:rsidR="000E2691" w:rsidRPr="009F2D28" w:rsidRDefault="000E2691" w:rsidP="000E2691">
      <w:pPr>
        <w:pStyle w:val="Paragrafi"/>
        <w:rPr>
          <w:lang w:val="sq-AL"/>
        </w:rPr>
      </w:pPr>
    </w:p>
    <w:p w:rsidR="000E2691" w:rsidRPr="009F2D28" w:rsidRDefault="000E2691" w:rsidP="007E0E05">
      <w:pPr>
        <w:pStyle w:val="TitulliTitull"/>
        <w:rPr>
          <w:lang w:val="sq-AL"/>
        </w:rPr>
      </w:pPr>
      <w:r w:rsidRPr="009F2D28">
        <w:rPr>
          <w:lang w:val="sq-AL"/>
        </w:rPr>
        <w:t>SEKSIONI I KATËRT</w:t>
      </w:r>
    </w:p>
    <w:p w:rsidR="000E2691" w:rsidRPr="009F2D28" w:rsidRDefault="000E2691" w:rsidP="007E0E05">
      <w:pPr>
        <w:pStyle w:val="TitulliTitull"/>
        <w:rPr>
          <w:lang w:val="sq-AL"/>
        </w:rPr>
      </w:pPr>
    </w:p>
    <w:p w:rsidR="000E2691" w:rsidRPr="009F2D28" w:rsidRDefault="000E2691" w:rsidP="007E0E05">
      <w:pPr>
        <w:pStyle w:val="Titulli"/>
        <w:rPr>
          <w:lang w:val="sq-AL"/>
        </w:rPr>
      </w:pPr>
      <w:r w:rsidRPr="009F2D28">
        <w:rPr>
          <w:lang w:val="sq-AL"/>
        </w:rPr>
        <w:t>VENDIM</w:t>
      </w:r>
    </w:p>
    <w:p w:rsidR="000E2691" w:rsidRPr="009F2D28" w:rsidRDefault="000E2691" w:rsidP="007E0E05">
      <w:pPr>
        <w:pStyle w:val="TitulliTitull"/>
        <w:rPr>
          <w:lang w:val="sq-AL"/>
        </w:rPr>
      </w:pPr>
      <w:r w:rsidRPr="009F2D28">
        <w:rPr>
          <w:lang w:val="sq-AL"/>
        </w:rPr>
        <w:t>Kërkesë nr.</w:t>
      </w:r>
      <w:r w:rsidR="00431DFE">
        <w:rPr>
          <w:lang w:val="sq-AL"/>
        </w:rPr>
        <w:t xml:space="preserve"> </w:t>
      </w:r>
      <w:r w:rsidRPr="009F2D28">
        <w:rPr>
          <w:lang w:val="sq-AL"/>
        </w:rPr>
        <w:t>54188/08</w:t>
      </w:r>
    </w:p>
    <w:p w:rsidR="00B14C46" w:rsidRDefault="00B14C46" w:rsidP="007E0E05">
      <w:pPr>
        <w:pStyle w:val="Titulli"/>
        <w:rPr>
          <w:lang w:val="sq-AL"/>
        </w:rPr>
      </w:pPr>
    </w:p>
    <w:p w:rsidR="000E2691" w:rsidRPr="009F2D28" w:rsidRDefault="000E2691" w:rsidP="009B4B3F">
      <w:pPr>
        <w:pStyle w:val="Titulli"/>
        <w:rPr>
          <w:lang w:val="sq-AL"/>
        </w:rPr>
      </w:pPr>
      <w:r w:rsidRPr="009F2D28">
        <w:rPr>
          <w:lang w:val="sq-AL"/>
        </w:rPr>
        <w:t xml:space="preserve">Vjollca </w:t>
      </w:r>
      <w:r w:rsidRPr="00541BDD">
        <w:rPr>
          <w:lang w:val="sq-AL"/>
        </w:rPr>
        <w:t>C</w:t>
      </w:r>
      <w:r w:rsidRPr="009F2D28">
        <w:rPr>
          <w:lang w:val="sq-AL"/>
        </w:rPr>
        <w:t>EKANI</w:t>
      </w:r>
      <w:r w:rsidR="009B4B3F">
        <w:rPr>
          <w:lang w:val="sq-AL"/>
        </w:rPr>
        <w:t xml:space="preserve"> </w:t>
      </w:r>
      <w:r w:rsidRPr="009F2D28">
        <w:rPr>
          <w:lang w:val="sq-AL"/>
        </w:rPr>
        <w:t>Kundër Shqipërisë</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Gjykata E</w:t>
      </w:r>
      <w:r w:rsidR="00431DFE">
        <w:rPr>
          <w:lang w:val="sq-AL"/>
        </w:rPr>
        <w:t>u</w:t>
      </w:r>
      <w:r w:rsidRPr="009F2D28">
        <w:rPr>
          <w:lang w:val="sq-AL"/>
        </w:rPr>
        <w:t xml:space="preserve">ropiane e të </w:t>
      </w:r>
      <w:r w:rsidR="00431DFE" w:rsidRPr="009F2D28">
        <w:rPr>
          <w:lang w:val="sq-AL"/>
        </w:rPr>
        <w:t xml:space="preserve">Drejtave </w:t>
      </w:r>
      <w:r w:rsidRPr="009F2D28">
        <w:rPr>
          <w:lang w:val="sq-AL"/>
        </w:rPr>
        <w:t>të Njeriut</w:t>
      </w:r>
      <w:r w:rsidR="008F75E5" w:rsidRPr="009F2D28">
        <w:rPr>
          <w:lang w:val="sq-AL"/>
        </w:rPr>
        <w:t xml:space="preserve"> </w:t>
      </w:r>
      <w:r w:rsidRPr="009F2D28">
        <w:rPr>
          <w:lang w:val="sq-AL"/>
        </w:rPr>
        <w:t>(</w:t>
      </w:r>
      <w:r w:rsidR="00431DFE" w:rsidRPr="009F2D28">
        <w:rPr>
          <w:lang w:val="sq-AL"/>
        </w:rPr>
        <w:t>seksioni i katërt</w:t>
      </w:r>
      <w:r w:rsidRPr="009F2D28">
        <w:rPr>
          <w:lang w:val="sq-AL"/>
        </w:rPr>
        <w:t>),</w:t>
      </w:r>
      <w:r w:rsidR="00431DFE">
        <w:rPr>
          <w:lang w:val="sq-AL"/>
        </w:rPr>
        <w:t xml:space="preserve"> </w:t>
      </w:r>
      <w:r w:rsidRPr="009F2D28">
        <w:rPr>
          <w:lang w:val="sq-AL"/>
        </w:rPr>
        <w:t>e mbledhur m</w:t>
      </w:r>
      <w:r w:rsidR="00431DFE" w:rsidRPr="00431DFE">
        <w:rPr>
          <w:lang w:val="sq-AL"/>
        </w:rPr>
        <w:t>ë</w:t>
      </w:r>
      <w:r w:rsidRPr="009F2D28">
        <w:rPr>
          <w:lang w:val="sq-AL"/>
        </w:rPr>
        <w:t xml:space="preserve"> 23 </w:t>
      </w:r>
      <w:r w:rsidR="00431DFE">
        <w:rPr>
          <w:lang w:val="sq-AL"/>
        </w:rPr>
        <w:t>t</w:t>
      </w:r>
      <w:r w:rsidRPr="009F2D28">
        <w:rPr>
          <w:lang w:val="sq-AL"/>
        </w:rPr>
        <w:t>etor 2012</w:t>
      </w:r>
      <w:r w:rsidR="00541BDD">
        <w:rPr>
          <w:lang w:val="sq-AL"/>
        </w:rPr>
        <w:t>,</w:t>
      </w:r>
      <w:r w:rsidRPr="009F2D28">
        <w:rPr>
          <w:lang w:val="sq-AL"/>
        </w:rPr>
        <w:t xml:space="preserve"> duke gjykuar si Dhomë e përbërë nga:</w:t>
      </w:r>
    </w:p>
    <w:p w:rsidR="000E2691" w:rsidRPr="009F2D28" w:rsidRDefault="000E2691" w:rsidP="000E2691">
      <w:pPr>
        <w:pStyle w:val="Paragrafi"/>
        <w:rPr>
          <w:lang w:val="sq-AL"/>
        </w:rPr>
      </w:pPr>
      <w:r w:rsidRPr="009F2D28">
        <w:rPr>
          <w:lang w:val="sq-AL"/>
        </w:rPr>
        <w:t xml:space="preserve">George Nicolaou, </w:t>
      </w:r>
      <w:r w:rsidR="00431DFE" w:rsidRPr="007855F8">
        <w:rPr>
          <w:i/>
          <w:lang w:val="sq-AL"/>
        </w:rPr>
        <w:t>p</w:t>
      </w:r>
      <w:r w:rsidRPr="007855F8">
        <w:rPr>
          <w:i/>
          <w:lang w:val="sq-AL"/>
        </w:rPr>
        <w:t>resident</w:t>
      </w:r>
    </w:p>
    <w:p w:rsidR="000E2691" w:rsidRPr="009F2D28" w:rsidRDefault="000E2691" w:rsidP="000E2691">
      <w:pPr>
        <w:pStyle w:val="Paragrafi"/>
        <w:rPr>
          <w:lang w:val="sq-AL"/>
        </w:rPr>
      </w:pPr>
      <w:r w:rsidRPr="009F2D28">
        <w:rPr>
          <w:lang w:val="sq-AL"/>
        </w:rPr>
        <w:t>Ledi Bianku</w:t>
      </w:r>
    </w:p>
    <w:p w:rsidR="000E2691" w:rsidRPr="009F2D28" w:rsidRDefault="000E2691" w:rsidP="000E2691">
      <w:pPr>
        <w:pStyle w:val="Paragrafi"/>
        <w:rPr>
          <w:lang w:val="sq-AL"/>
        </w:rPr>
      </w:pPr>
      <w:r w:rsidRPr="009F2D28">
        <w:rPr>
          <w:lang w:val="sq-AL"/>
        </w:rPr>
        <w:t xml:space="preserve">Vincent A.De Gaetano, </w:t>
      </w:r>
      <w:r w:rsidR="00431DFE" w:rsidRPr="007855F8">
        <w:rPr>
          <w:i/>
          <w:lang w:val="sq-AL"/>
        </w:rPr>
        <w:t>gjykatës</w:t>
      </w:r>
    </w:p>
    <w:p w:rsidR="000E2691" w:rsidRPr="009F2D28" w:rsidRDefault="000E2691" w:rsidP="000E2691">
      <w:pPr>
        <w:pStyle w:val="Paragrafi"/>
        <w:rPr>
          <w:lang w:val="sq-AL"/>
        </w:rPr>
      </w:pPr>
      <w:r w:rsidRPr="009F2D28">
        <w:rPr>
          <w:lang w:val="sq-AL"/>
        </w:rPr>
        <w:t xml:space="preserve">dhe Fatos Araci, </w:t>
      </w:r>
      <w:r w:rsidR="00431DFE" w:rsidRPr="007855F8">
        <w:rPr>
          <w:i/>
          <w:lang w:val="sq-AL"/>
        </w:rPr>
        <w:t>z</w:t>
      </w:r>
      <w:r w:rsidRPr="007855F8">
        <w:rPr>
          <w:i/>
          <w:lang w:val="sq-AL"/>
        </w:rPr>
        <w:t>ëvendës</w:t>
      </w:r>
      <w:r w:rsidR="00431DFE" w:rsidRPr="007855F8">
        <w:rPr>
          <w:i/>
          <w:lang w:val="sq-AL"/>
        </w:rPr>
        <w:t>r</w:t>
      </w:r>
      <w:r w:rsidRPr="007855F8">
        <w:rPr>
          <w:i/>
          <w:lang w:val="sq-AL"/>
        </w:rPr>
        <w:t>egjistrues</w:t>
      </w: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FAKTET</w:t>
      </w:r>
    </w:p>
    <w:p w:rsidR="000E2691" w:rsidRPr="009F2D28" w:rsidRDefault="008F75E5" w:rsidP="000E2691">
      <w:pPr>
        <w:pStyle w:val="Paragrafi"/>
        <w:rPr>
          <w:lang w:val="sq-AL"/>
        </w:rPr>
      </w:pPr>
      <w:r w:rsidRPr="009F2D28">
        <w:rPr>
          <w:lang w:val="sq-AL"/>
        </w:rPr>
        <w:t xml:space="preserve">1. </w:t>
      </w:r>
      <w:r w:rsidR="000E2691" w:rsidRPr="009F2D28">
        <w:rPr>
          <w:lang w:val="sq-AL"/>
        </w:rPr>
        <w:t xml:space="preserve">Ankuesja, Znj.Vjollca Cekani, është shtetase shqiptare, e cila ka lindur në vitin 1952 dhe banon në </w:t>
      </w:r>
      <w:r w:rsidR="00431DFE" w:rsidRPr="009F2D28">
        <w:rPr>
          <w:lang w:val="sq-AL"/>
        </w:rPr>
        <w:t>Gjirokastër</w:t>
      </w:r>
      <w:r w:rsidR="000E2691" w:rsidRPr="009F2D28">
        <w:rPr>
          <w:lang w:val="sq-AL"/>
        </w:rPr>
        <w:t>.</w:t>
      </w:r>
    </w:p>
    <w:p w:rsidR="000E2691" w:rsidRPr="009F2D28" w:rsidRDefault="008F75E5" w:rsidP="000E2691">
      <w:pPr>
        <w:pStyle w:val="Paragrafi"/>
        <w:rPr>
          <w:lang w:val="sq-AL"/>
        </w:rPr>
      </w:pPr>
      <w:r w:rsidRPr="009F2D28">
        <w:rPr>
          <w:lang w:val="sq-AL"/>
        </w:rPr>
        <w:t xml:space="preserve">2. </w:t>
      </w:r>
      <w:r w:rsidR="000E2691" w:rsidRPr="009F2D28">
        <w:rPr>
          <w:lang w:val="sq-AL"/>
        </w:rPr>
        <w:t xml:space="preserve">Qeveria </w:t>
      </w:r>
      <w:r w:rsidR="00431DFE">
        <w:rPr>
          <w:lang w:val="sq-AL"/>
        </w:rPr>
        <w:t>s</w:t>
      </w:r>
      <w:r w:rsidR="000E2691" w:rsidRPr="009F2D28">
        <w:rPr>
          <w:lang w:val="sq-AL"/>
        </w:rPr>
        <w:t>hqiptare</w:t>
      </w:r>
      <w:r w:rsidR="00431DFE">
        <w:rPr>
          <w:lang w:val="sq-AL"/>
        </w:rPr>
        <w:t xml:space="preserve"> </w:t>
      </w:r>
      <w:r w:rsidR="000E2691" w:rsidRPr="009F2D28">
        <w:rPr>
          <w:lang w:val="sq-AL"/>
        </w:rPr>
        <w:t>(</w:t>
      </w:r>
      <w:r w:rsidR="00431DFE">
        <w:rPr>
          <w:lang w:val="sq-AL"/>
        </w:rPr>
        <w:t>q</w:t>
      </w:r>
      <w:r w:rsidR="000E2691" w:rsidRPr="009F2D28">
        <w:rPr>
          <w:lang w:val="sq-AL"/>
        </w:rPr>
        <w:t xml:space="preserve">everia) u përfaqësua nga </w:t>
      </w:r>
      <w:r w:rsidR="00431DFE">
        <w:rPr>
          <w:lang w:val="sq-AL"/>
        </w:rPr>
        <w:t>a</w:t>
      </w:r>
      <w:r w:rsidR="000E2691" w:rsidRPr="009F2D28">
        <w:rPr>
          <w:lang w:val="sq-AL"/>
        </w:rPr>
        <w:t>gjentja e saj, Znj. L. Mandia e Avokaturës së Shtetit.</w:t>
      </w:r>
    </w:p>
    <w:p w:rsidR="000E2691" w:rsidRPr="00181450" w:rsidRDefault="008F75E5" w:rsidP="000E2691">
      <w:pPr>
        <w:pStyle w:val="Paragrafi"/>
        <w:rPr>
          <w:b/>
          <w:lang w:val="sq-AL"/>
        </w:rPr>
      </w:pPr>
      <w:r w:rsidRPr="00181450">
        <w:rPr>
          <w:b/>
          <w:lang w:val="sq-AL"/>
        </w:rPr>
        <w:t>A.</w:t>
      </w:r>
      <w:r w:rsidR="000E2691" w:rsidRPr="00181450">
        <w:rPr>
          <w:b/>
          <w:lang w:val="sq-AL"/>
        </w:rPr>
        <w:t xml:space="preserve"> Rrethanat e </w:t>
      </w:r>
      <w:r w:rsidR="00431DFE" w:rsidRPr="00181450">
        <w:rPr>
          <w:b/>
          <w:lang w:val="sq-AL"/>
        </w:rPr>
        <w:t>ç</w:t>
      </w:r>
      <w:r w:rsidR="000E2691" w:rsidRPr="00181450">
        <w:rPr>
          <w:b/>
          <w:lang w:val="sq-AL"/>
        </w:rPr>
        <w:t>ështjes</w:t>
      </w:r>
    </w:p>
    <w:p w:rsidR="000E2691" w:rsidRPr="009F2D28" w:rsidRDefault="000E2691" w:rsidP="000E2691">
      <w:pPr>
        <w:pStyle w:val="Paragrafi"/>
        <w:rPr>
          <w:lang w:val="sq-AL"/>
        </w:rPr>
      </w:pPr>
      <w:r w:rsidRPr="009F2D28">
        <w:rPr>
          <w:lang w:val="sq-AL"/>
        </w:rPr>
        <w:t>3. Në vijim të largimit nga puna të kërkueses, m</w:t>
      </w:r>
      <w:r w:rsidR="00770A3D" w:rsidRPr="00770A3D">
        <w:rPr>
          <w:lang w:val="sq-AL"/>
        </w:rPr>
        <w:t>ë</w:t>
      </w:r>
      <w:r w:rsidRPr="009F2D28">
        <w:rPr>
          <w:lang w:val="sq-AL"/>
        </w:rPr>
        <w:t xml:space="preserve"> 23 </w:t>
      </w:r>
      <w:r w:rsidR="00770A3D">
        <w:rPr>
          <w:lang w:val="sq-AL"/>
        </w:rPr>
        <w:t>q</w:t>
      </w:r>
      <w:r w:rsidRPr="009F2D28">
        <w:rPr>
          <w:lang w:val="sq-AL"/>
        </w:rPr>
        <w:t>ershor 2008</w:t>
      </w:r>
      <w:r w:rsidR="00181450">
        <w:rPr>
          <w:lang w:val="sq-AL"/>
        </w:rPr>
        <w:t>,</w:t>
      </w:r>
      <w:r w:rsidRPr="009F2D28">
        <w:rPr>
          <w:lang w:val="sq-AL"/>
        </w:rPr>
        <w:t xml:space="preserve"> Gjykata e Apelit Gjirokastër urdhëroi punëdhënësin e saj, B</w:t>
      </w:r>
      <w:r w:rsidR="00181450">
        <w:rPr>
          <w:lang w:val="sq-AL"/>
        </w:rPr>
        <w:t>ashkinë Gjirokastër, t’i paguajë ankueses pagën e shtatë</w:t>
      </w:r>
      <w:r w:rsidRPr="009F2D28">
        <w:rPr>
          <w:lang w:val="sq-AL"/>
        </w:rPr>
        <w:t xml:space="preserve"> muajve, nuk u urdhërua asnjë rikthim në pozicionin e mëparshëm të punës.</w:t>
      </w:r>
    </w:p>
    <w:p w:rsidR="000E2691" w:rsidRPr="009F2D28" w:rsidRDefault="000E2691" w:rsidP="000E2691">
      <w:pPr>
        <w:pStyle w:val="Paragrafi"/>
        <w:rPr>
          <w:lang w:val="sq-AL"/>
        </w:rPr>
      </w:pPr>
      <w:r w:rsidRPr="009F2D28">
        <w:rPr>
          <w:lang w:val="sq-AL"/>
        </w:rPr>
        <w:t xml:space="preserve">4. Më 23 tetor 2008 është lëshuar një urdhër përmbarimi. U përllogarit se shuma që duhet t’i paguhej ankueses ishte 800,000 </w:t>
      </w:r>
      <w:r w:rsidR="00770A3D">
        <w:rPr>
          <w:lang w:val="sq-AL"/>
        </w:rPr>
        <w:t>lek</w:t>
      </w:r>
      <w:r w:rsidR="00770A3D" w:rsidRPr="00770A3D">
        <w:rPr>
          <w:lang w:val="sq-AL"/>
        </w:rPr>
        <w:t>ë</w:t>
      </w:r>
      <w:r w:rsidRPr="009F2D28">
        <w:rPr>
          <w:lang w:val="sq-AL"/>
        </w:rPr>
        <w:t>, përveç taksës për përmbaruesin.</w:t>
      </w:r>
    </w:p>
    <w:p w:rsidR="00EA604E" w:rsidRDefault="00EA604E" w:rsidP="000E2691">
      <w:pPr>
        <w:pStyle w:val="Paragrafi"/>
        <w:rPr>
          <w:i/>
          <w:lang w:val="sq-AL"/>
        </w:rPr>
      </w:pPr>
    </w:p>
    <w:p w:rsidR="00EA604E" w:rsidRDefault="00EA604E" w:rsidP="000E2691">
      <w:pPr>
        <w:pStyle w:val="Paragrafi"/>
        <w:rPr>
          <w:i/>
          <w:lang w:val="sq-AL"/>
        </w:rPr>
      </w:pPr>
    </w:p>
    <w:p w:rsidR="009B4B3F" w:rsidRDefault="009B4B3F" w:rsidP="000E2691">
      <w:pPr>
        <w:pStyle w:val="Paragrafi"/>
        <w:rPr>
          <w:i/>
          <w:lang w:val="sq-AL"/>
        </w:rPr>
      </w:pPr>
    </w:p>
    <w:p w:rsidR="000E2691" w:rsidRPr="009F2D28" w:rsidRDefault="000E2691" w:rsidP="000E2691">
      <w:pPr>
        <w:pStyle w:val="Paragrafi"/>
        <w:rPr>
          <w:lang w:val="sq-AL"/>
        </w:rPr>
      </w:pPr>
      <w:r w:rsidRPr="00181450">
        <w:rPr>
          <w:i/>
          <w:lang w:val="sq-AL"/>
        </w:rPr>
        <w:t>Kryerja e procedurave të përmbarimit</w:t>
      </w:r>
    </w:p>
    <w:p w:rsidR="000E2691" w:rsidRPr="009F2D28" w:rsidRDefault="000E2691" w:rsidP="000E2691">
      <w:pPr>
        <w:pStyle w:val="Paragrafi"/>
        <w:rPr>
          <w:lang w:val="sq-AL"/>
        </w:rPr>
      </w:pPr>
      <w:r w:rsidRPr="009F2D28">
        <w:rPr>
          <w:lang w:val="sq-AL"/>
        </w:rPr>
        <w:t xml:space="preserve">5. Me anë të letrës së 24 korrikut 2009, punëdhënësi i ankueses e informoi </w:t>
      </w:r>
      <w:r w:rsidR="00770A3D" w:rsidRPr="009F2D28">
        <w:rPr>
          <w:lang w:val="sq-AL"/>
        </w:rPr>
        <w:t xml:space="preserve">zyrën e përmbaruesit se këstet e </w:t>
      </w:r>
      <w:r w:rsidRPr="009F2D28">
        <w:rPr>
          <w:lang w:val="sq-AL"/>
        </w:rPr>
        <w:t xml:space="preserve">rregullta ishin transferuar në llogarinë bankare të ankueses. Si rrjedhojë, detyrimi prej 400,000 </w:t>
      </w:r>
      <w:r w:rsidR="00770A3D">
        <w:rPr>
          <w:lang w:val="sq-AL"/>
        </w:rPr>
        <w:t>lek</w:t>
      </w:r>
      <w:r w:rsidR="00770A3D" w:rsidRPr="00770A3D">
        <w:rPr>
          <w:lang w:val="sq-AL"/>
        </w:rPr>
        <w:t>ë</w:t>
      </w:r>
      <w:r w:rsidRPr="009F2D28">
        <w:rPr>
          <w:lang w:val="sq-AL"/>
        </w:rPr>
        <w:t xml:space="preserve"> ishte paguar që më 1 dhjetor 2008, ndërsa shuma e mbetur do të paguhej me këste të rregullta.</w:t>
      </w:r>
    </w:p>
    <w:p w:rsidR="000E2691" w:rsidRPr="009F2D28" w:rsidRDefault="000E2691" w:rsidP="000E2691">
      <w:pPr>
        <w:pStyle w:val="Paragrafi"/>
        <w:rPr>
          <w:lang w:val="sq-AL"/>
        </w:rPr>
      </w:pPr>
      <w:r w:rsidRPr="009F2D28">
        <w:rPr>
          <w:lang w:val="sq-AL"/>
        </w:rPr>
        <w:t>6. Më 12 korrik 2010, ankuesja deklaroi me shkrim se iu pagua shuma prej 800,000 lek</w:t>
      </w:r>
      <w:r w:rsidR="00770A3D" w:rsidRPr="00770A3D">
        <w:rPr>
          <w:lang w:val="sq-AL"/>
        </w:rPr>
        <w:t>ë</w:t>
      </w:r>
      <w:r w:rsidRPr="009F2D28">
        <w:rPr>
          <w:lang w:val="sq-AL"/>
        </w:rPr>
        <w:t>.</w:t>
      </w:r>
    </w:p>
    <w:p w:rsidR="000E2691" w:rsidRPr="009F2D28" w:rsidRDefault="000E2691" w:rsidP="000E2691">
      <w:pPr>
        <w:pStyle w:val="Paragrafi"/>
        <w:rPr>
          <w:lang w:val="sq-AL"/>
        </w:rPr>
      </w:pPr>
      <w:r w:rsidRPr="009F2D28">
        <w:rPr>
          <w:lang w:val="sq-AL"/>
        </w:rPr>
        <w:t>7. Më 20 shtator 2010</w:t>
      </w:r>
      <w:r w:rsidR="00181450">
        <w:rPr>
          <w:lang w:val="sq-AL"/>
        </w:rPr>
        <w:t>,</w:t>
      </w:r>
      <w:r w:rsidRPr="009F2D28">
        <w:rPr>
          <w:lang w:val="sq-AL"/>
        </w:rPr>
        <w:t xml:space="preserve"> ankuesja kërkoi me shkrim që procedurat e përmbarimit të përfundonin me argumentin se vendimi ishte zbatuar i plotë. Si </w:t>
      </w:r>
      <w:r w:rsidR="00181450">
        <w:rPr>
          <w:lang w:val="sq-AL"/>
        </w:rPr>
        <w:t>rrjedhojë, më 21 shtator 2010, zyra e p</w:t>
      </w:r>
      <w:r w:rsidRPr="009F2D28">
        <w:rPr>
          <w:lang w:val="sq-AL"/>
        </w:rPr>
        <w:t>ërmbaruesit vendosi t’u jepte fund procedurave të përmbarimit. Vendimi mori formë të prerë dhe asnjë ankimim nuk u paraqit kundër tij.</w:t>
      </w:r>
    </w:p>
    <w:p w:rsidR="000E2691" w:rsidRPr="00181450" w:rsidRDefault="000E2691" w:rsidP="000E2691">
      <w:pPr>
        <w:pStyle w:val="Paragrafi"/>
        <w:rPr>
          <w:b/>
          <w:lang w:val="sq-AL"/>
        </w:rPr>
      </w:pPr>
      <w:r w:rsidRPr="00181450">
        <w:rPr>
          <w:b/>
          <w:lang w:val="sq-AL"/>
        </w:rPr>
        <w:t xml:space="preserve">B. Ligji dhe praktika e brendshme përkatëse </w:t>
      </w:r>
    </w:p>
    <w:p w:rsidR="000E2691" w:rsidRPr="009F2D28" w:rsidRDefault="000E2691" w:rsidP="000E2691">
      <w:pPr>
        <w:pStyle w:val="Paragrafi"/>
        <w:rPr>
          <w:lang w:val="sq-AL"/>
        </w:rPr>
      </w:pPr>
      <w:r w:rsidRPr="009F2D28">
        <w:rPr>
          <w:lang w:val="sq-AL"/>
        </w:rPr>
        <w:t>8. Ligji dhe praktika e brendshme përkatëse janë pë</w:t>
      </w:r>
      <w:r w:rsidR="00181450">
        <w:rPr>
          <w:lang w:val="sq-AL"/>
        </w:rPr>
        <w:t>rshkruar në çështjet Qufaj CO. s</w:t>
      </w:r>
      <w:r w:rsidRPr="009F2D28">
        <w:rPr>
          <w:lang w:val="sq-AL"/>
        </w:rPr>
        <w:t>h.p.k. kundër Shqipërisë (nr.</w:t>
      </w:r>
      <w:r w:rsidR="00770A3D">
        <w:rPr>
          <w:lang w:val="sq-AL"/>
        </w:rPr>
        <w:t xml:space="preserve"> </w:t>
      </w:r>
      <w:r w:rsidRPr="009F2D28">
        <w:rPr>
          <w:lang w:val="sq-AL"/>
        </w:rPr>
        <w:t>54268/00,&amp;&amp; 21-26, 18 nëntor 2004) dhe Gjyli kundër Shqipërisë (nr.</w:t>
      </w:r>
      <w:r w:rsidR="00770A3D">
        <w:rPr>
          <w:lang w:val="sq-AL"/>
        </w:rPr>
        <w:t xml:space="preserve"> </w:t>
      </w:r>
      <w:r w:rsidRPr="009F2D28">
        <w:rPr>
          <w:lang w:val="sq-AL"/>
        </w:rPr>
        <w:t>32907/07, &amp;&amp; 19-28, 29 shtator 2009).</w:t>
      </w:r>
    </w:p>
    <w:p w:rsidR="000E2691" w:rsidRPr="009F2D28" w:rsidRDefault="000E2691" w:rsidP="000E2691">
      <w:pPr>
        <w:pStyle w:val="Paragrafi"/>
        <w:rPr>
          <w:sz w:val="16"/>
          <w:lang w:val="sq-AL"/>
        </w:rPr>
      </w:pPr>
    </w:p>
    <w:p w:rsidR="000E2691" w:rsidRPr="00181450" w:rsidRDefault="000E2691" w:rsidP="000E2691">
      <w:pPr>
        <w:pStyle w:val="Paragrafi"/>
        <w:rPr>
          <w:b/>
          <w:lang w:val="sq-AL"/>
        </w:rPr>
      </w:pPr>
      <w:r w:rsidRPr="00181450">
        <w:rPr>
          <w:b/>
          <w:lang w:val="sq-AL"/>
        </w:rPr>
        <w:t>ANKIMIMI</w:t>
      </w:r>
    </w:p>
    <w:p w:rsidR="000E2691" w:rsidRPr="009F2D28" w:rsidRDefault="000E2691" w:rsidP="000E2691">
      <w:pPr>
        <w:pStyle w:val="Paragrafi"/>
        <w:rPr>
          <w:lang w:val="sq-AL"/>
        </w:rPr>
      </w:pPr>
      <w:r w:rsidRPr="009F2D28">
        <w:rPr>
          <w:lang w:val="sq-AL"/>
        </w:rPr>
        <w:t xml:space="preserve">9. Ankuesja paraqiti ankimim sipas </w:t>
      </w:r>
      <w:r w:rsidR="00770A3D">
        <w:rPr>
          <w:lang w:val="sq-AL"/>
        </w:rPr>
        <w:t>n</w:t>
      </w:r>
      <w:r w:rsidRPr="009F2D28">
        <w:rPr>
          <w:lang w:val="sq-AL"/>
        </w:rPr>
        <w:t xml:space="preserve">enit 6&amp;1 të </w:t>
      </w:r>
      <w:r w:rsidR="00770A3D">
        <w:rPr>
          <w:lang w:val="sq-AL"/>
        </w:rPr>
        <w:t>k</w:t>
      </w:r>
      <w:r w:rsidRPr="009F2D28">
        <w:rPr>
          <w:lang w:val="sq-AL"/>
        </w:rPr>
        <w:t>onventës</w:t>
      </w:r>
      <w:r w:rsidR="00181450">
        <w:rPr>
          <w:lang w:val="sq-AL"/>
        </w:rPr>
        <w:t>,</w:t>
      </w:r>
      <w:r w:rsidRPr="009F2D28">
        <w:rPr>
          <w:lang w:val="sq-AL"/>
        </w:rPr>
        <w:t xml:space="preserve"> se vendimi i Gjykatës së Apelit Gjirokastër i datës 23 korrik 2008 nuk ishte zbatuar.</w:t>
      </w:r>
    </w:p>
    <w:p w:rsidR="000E2691" w:rsidRPr="009F2D28" w:rsidRDefault="000E2691" w:rsidP="000E2691">
      <w:pPr>
        <w:pStyle w:val="Paragrafi"/>
        <w:rPr>
          <w:sz w:val="16"/>
          <w:lang w:val="sq-AL"/>
        </w:rPr>
      </w:pPr>
    </w:p>
    <w:p w:rsidR="000E2691" w:rsidRPr="009F2D28" w:rsidRDefault="000E2691" w:rsidP="000E2691">
      <w:pPr>
        <w:pStyle w:val="Paragrafi"/>
        <w:rPr>
          <w:lang w:val="sq-AL"/>
        </w:rPr>
      </w:pPr>
      <w:r w:rsidRPr="009F2D28">
        <w:rPr>
          <w:lang w:val="sq-AL"/>
        </w:rPr>
        <w:t>LIGJI</w:t>
      </w:r>
    </w:p>
    <w:p w:rsidR="000E2691" w:rsidRPr="009F2D28" w:rsidRDefault="000E2691" w:rsidP="000E2691">
      <w:pPr>
        <w:pStyle w:val="Paragrafi"/>
        <w:rPr>
          <w:lang w:val="sq-AL"/>
        </w:rPr>
      </w:pPr>
      <w:r w:rsidRPr="009F2D28">
        <w:rPr>
          <w:lang w:val="sq-AL"/>
        </w:rPr>
        <w:t>10. Ankuesja paraqiti ankimim lidhur me moszbatimin e vendimit të formës së prerë në favor të saj.</w:t>
      </w:r>
    </w:p>
    <w:p w:rsidR="000E2691" w:rsidRPr="009F2D28" w:rsidRDefault="000E2691" w:rsidP="000E2691">
      <w:pPr>
        <w:pStyle w:val="Paragrafi"/>
        <w:rPr>
          <w:lang w:val="sq-AL"/>
        </w:rPr>
      </w:pPr>
      <w:r w:rsidRPr="009F2D28">
        <w:rPr>
          <w:lang w:val="sq-AL"/>
        </w:rPr>
        <w:t>11. Qeveria pretendoi se vendimi i formës së prerë në favor të ankuesit u zbatua brenda një kohe të arsyeshme.</w:t>
      </w:r>
    </w:p>
    <w:p w:rsidR="000E2691" w:rsidRPr="009F2D28" w:rsidRDefault="000E2691" w:rsidP="000E2691">
      <w:pPr>
        <w:pStyle w:val="Paragrafi"/>
        <w:rPr>
          <w:lang w:val="sq-AL"/>
        </w:rPr>
      </w:pPr>
      <w:r w:rsidRPr="009F2D28">
        <w:rPr>
          <w:lang w:val="sq-AL"/>
        </w:rPr>
        <w:t>12. Duke pa</w:t>
      </w:r>
      <w:r w:rsidR="00770A3D">
        <w:rPr>
          <w:lang w:val="sq-AL"/>
        </w:rPr>
        <w:t>s</w:t>
      </w:r>
      <w:r w:rsidRPr="009F2D28">
        <w:rPr>
          <w:lang w:val="sq-AL"/>
        </w:rPr>
        <w:t xml:space="preserve">ur parasysh parimet e përgjithshme që rrjedhin nga e drejta zakonore lidhur me zbatimin e vendimeve të formës së prerë të gjykatave të brendshme (shih, për shembull, Qufaj Co. </w:t>
      </w:r>
      <w:r w:rsidR="00770A3D">
        <w:rPr>
          <w:lang w:val="sq-AL"/>
        </w:rPr>
        <w:t>s</w:t>
      </w:r>
      <w:r w:rsidRPr="009F2D28">
        <w:rPr>
          <w:lang w:val="sq-AL"/>
        </w:rPr>
        <w:t>h.p.k</w:t>
      </w:r>
      <w:r w:rsidR="00770A3D">
        <w:rPr>
          <w:lang w:val="sq-AL"/>
        </w:rPr>
        <w:t>.</w:t>
      </w:r>
      <w:r w:rsidRPr="009F2D28">
        <w:rPr>
          <w:lang w:val="sq-AL"/>
        </w:rPr>
        <w:t>, cituar më sipër, &amp; 38; dhe Gjyli, cituar më sipër, &amp; 43-44), gjykata gjykon se ankesa duhet të shpallet e papranueshme si e pabazuar hapur në argumente për arsyet e parashtruara më poshtë.</w:t>
      </w:r>
    </w:p>
    <w:p w:rsidR="000E2691" w:rsidRPr="009F2D28" w:rsidRDefault="000E2691" w:rsidP="000E2691">
      <w:pPr>
        <w:pStyle w:val="Paragrafi"/>
        <w:rPr>
          <w:lang w:val="sq-AL"/>
        </w:rPr>
      </w:pPr>
      <w:r w:rsidRPr="009F2D28">
        <w:rPr>
          <w:lang w:val="sq-AL"/>
        </w:rPr>
        <w:t>13. Nga dokumentet rezulton, e pakontestuar nga palët, se autoritetet vepruan me shpejtësi dhe me kujdes për të siguruar pajtimin me gjykimin përfundimtar për borxhin. Për shembull, autoritetet bënë pagesa të rregullta në llogarinë bankare të ankuesit</w:t>
      </w:r>
      <w:r w:rsidR="00181450">
        <w:rPr>
          <w:lang w:val="sq-AL"/>
        </w:rPr>
        <w:t>,</w:t>
      </w:r>
      <w:r w:rsidRPr="009F2D28">
        <w:rPr>
          <w:lang w:val="sq-AL"/>
        </w:rPr>
        <w:t xml:space="preserve"> duke filluar nga 1 dhjetori 2008. Nga 24 korriku 2009</w:t>
      </w:r>
      <w:r w:rsidR="00181450">
        <w:rPr>
          <w:lang w:val="sq-AL"/>
        </w:rPr>
        <w:t>,</w:t>
      </w:r>
      <w:r w:rsidRPr="009F2D28">
        <w:rPr>
          <w:lang w:val="sq-AL"/>
        </w:rPr>
        <w:t xml:space="preserve"> ato kishin shlyer gjysmën e shumës </w:t>
      </w:r>
      <w:r w:rsidR="00181450">
        <w:rPr>
          <w:lang w:val="sq-AL"/>
        </w:rPr>
        <w:t xml:space="preserve">së </w:t>
      </w:r>
      <w:r w:rsidRPr="009F2D28">
        <w:rPr>
          <w:lang w:val="sq-AL"/>
        </w:rPr>
        <w:t>papaguar. Më 21 shtator 2010, gjykimi për borxhin ishte ekzekutuar në mënyrë të plotë dhe, me kërkesë së ankueses, procedurat e përmbarimit u mbyllën. Për më tepër akoma, gjatë kohës kur u paraqit ankesa, ankuesja paraqiti ankesë lidhur me moszbatimin e vendimit të formës së prerë të gjykatës, vendim</w:t>
      </w:r>
      <w:r w:rsidR="00711BE6">
        <w:rPr>
          <w:lang w:val="sq-AL"/>
        </w:rPr>
        <w:t>,</w:t>
      </w:r>
      <w:r w:rsidRPr="009F2D28">
        <w:rPr>
          <w:lang w:val="sq-AL"/>
        </w:rPr>
        <w:t xml:space="preserve"> i cili</w:t>
      </w:r>
      <w:r w:rsidR="00181450">
        <w:rPr>
          <w:lang w:val="sq-AL"/>
        </w:rPr>
        <w:t>,</w:t>
      </w:r>
      <w:r w:rsidRPr="009F2D28">
        <w:rPr>
          <w:lang w:val="sq-AL"/>
        </w:rPr>
        <w:t xml:space="preserve"> si rrjedhojë</w:t>
      </w:r>
      <w:r w:rsidR="00181450">
        <w:rPr>
          <w:lang w:val="sq-AL"/>
        </w:rPr>
        <w:t>,</w:t>
      </w:r>
      <w:r w:rsidRPr="009F2D28">
        <w:rPr>
          <w:lang w:val="sq-AL"/>
        </w:rPr>
        <w:t xml:space="preserve"> u zbatua në mënyrë të plotë. Asnjëherë gjatë procedurave para gjykatës ankuesja nuk paraqiti ankesë lidhur me kohëzgjatjen e procedurave të përmbarimit, që gjykata nuk i konsideron të papajtueshme me kriteret e “kohës së arsyeshme” sipas </w:t>
      </w:r>
      <w:r w:rsidR="00770A3D">
        <w:rPr>
          <w:lang w:val="sq-AL"/>
        </w:rPr>
        <w:t>n</w:t>
      </w:r>
      <w:r w:rsidRPr="009F2D28">
        <w:rPr>
          <w:lang w:val="sq-AL"/>
        </w:rPr>
        <w:t xml:space="preserve">enit 6&amp;1 të </w:t>
      </w:r>
      <w:r w:rsidR="00770A3D">
        <w:rPr>
          <w:lang w:val="sq-AL"/>
        </w:rPr>
        <w:t>k</w:t>
      </w:r>
      <w:r w:rsidRPr="009F2D28">
        <w:rPr>
          <w:lang w:val="sq-AL"/>
        </w:rPr>
        <w:t>onventës (shih, për shembull, Denisov kundër Ukrainës (vend), nr.</w:t>
      </w:r>
      <w:r w:rsidR="00770A3D">
        <w:rPr>
          <w:lang w:val="sq-AL"/>
        </w:rPr>
        <w:t xml:space="preserve"> </w:t>
      </w:r>
      <w:r w:rsidRPr="009F2D28">
        <w:rPr>
          <w:lang w:val="sq-AL"/>
        </w:rPr>
        <w:t>18512/02, 1 shkurt 2005; Zhovtan kundër Ukrainës (vend), nr.</w:t>
      </w:r>
      <w:r w:rsidR="00770A3D">
        <w:rPr>
          <w:lang w:val="sq-AL"/>
        </w:rPr>
        <w:t xml:space="preserve"> </w:t>
      </w:r>
      <w:r w:rsidRPr="009F2D28">
        <w:rPr>
          <w:lang w:val="sq-AL"/>
        </w:rPr>
        <w:t xml:space="preserve">170044/02, 22 nëntor 2005’ dhe, </w:t>
      </w:r>
      <w:r w:rsidRPr="00067B48">
        <w:rPr>
          <w:i/>
          <w:lang w:val="sq-AL"/>
        </w:rPr>
        <w:t>mutatis mutandis</w:t>
      </w:r>
      <w:r w:rsidRPr="009F2D28">
        <w:rPr>
          <w:lang w:val="sq-AL"/>
        </w:rPr>
        <w:t>, Kovalenko dhe Boyko kundër Ukrainës (vend), nr. 15066/03, 30 nëntor 2010).</w:t>
      </w:r>
    </w:p>
    <w:p w:rsidR="000E2691" w:rsidRPr="009F2D28" w:rsidRDefault="000E2691" w:rsidP="000E2691">
      <w:pPr>
        <w:pStyle w:val="Paragrafi"/>
        <w:rPr>
          <w:lang w:val="sq-AL"/>
        </w:rPr>
      </w:pPr>
      <w:r w:rsidRPr="009F2D28">
        <w:rPr>
          <w:lang w:val="sq-AL"/>
        </w:rPr>
        <w:t>14. Në kuadër</w:t>
      </w:r>
      <w:r w:rsidR="00067B48">
        <w:rPr>
          <w:lang w:val="sq-AL"/>
        </w:rPr>
        <w:t xml:space="preserve"> të</w:t>
      </w:r>
      <w:r w:rsidRPr="009F2D28">
        <w:rPr>
          <w:lang w:val="sq-AL"/>
        </w:rPr>
        <w:t xml:space="preserve"> asaj që përmendet më lart, gjykata konkludon se çështja nuk paraqet ndonjë shkelje të nenit 6&amp;1 të </w:t>
      </w:r>
      <w:r w:rsidR="00770A3D">
        <w:rPr>
          <w:lang w:val="sq-AL"/>
        </w:rPr>
        <w:t>k</w:t>
      </w:r>
      <w:r w:rsidRPr="009F2D28">
        <w:rPr>
          <w:lang w:val="sq-AL"/>
        </w:rPr>
        <w:t xml:space="preserve">onventës. Ajo vijon se ankesa është hapur e pabazuar në argumente dhe duhet të refuzohet në mbështetje të </w:t>
      </w:r>
      <w:r w:rsidR="00770A3D">
        <w:rPr>
          <w:lang w:val="sq-AL"/>
        </w:rPr>
        <w:t>n</w:t>
      </w:r>
      <w:r w:rsidRPr="009F2D28">
        <w:rPr>
          <w:lang w:val="sq-AL"/>
        </w:rPr>
        <w:t>enit 35&amp;</w:t>
      </w:r>
      <w:r w:rsidR="00857A64" w:rsidRPr="009F2D28">
        <w:rPr>
          <w:lang w:val="sq-AL"/>
        </w:rPr>
        <w:t>&amp;</w:t>
      </w:r>
      <w:r w:rsidRPr="009F2D28">
        <w:rPr>
          <w:lang w:val="sq-AL"/>
        </w:rPr>
        <w:t xml:space="preserve">3 (a) dhe 4 të </w:t>
      </w:r>
      <w:r w:rsidR="00770A3D">
        <w:rPr>
          <w:lang w:val="sq-AL"/>
        </w:rPr>
        <w:t>k</w:t>
      </w:r>
      <w:r w:rsidRPr="009F2D28">
        <w:rPr>
          <w:lang w:val="sq-AL"/>
        </w:rPr>
        <w:t>onventës.</w:t>
      </w:r>
    </w:p>
    <w:p w:rsidR="000E2691" w:rsidRPr="009F2D28" w:rsidRDefault="000E2691" w:rsidP="000E2691">
      <w:pPr>
        <w:pStyle w:val="Paragrafi"/>
        <w:rPr>
          <w:lang w:val="sq-AL"/>
        </w:rPr>
      </w:pPr>
      <w:r w:rsidRPr="009F2D28">
        <w:rPr>
          <w:lang w:val="sq-AL"/>
        </w:rPr>
        <w:t xml:space="preserve">Për këto arsye, gjykata në mënyrë unanime </w:t>
      </w:r>
    </w:p>
    <w:p w:rsidR="000E2691" w:rsidRPr="009F2D28" w:rsidRDefault="00067B48" w:rsidP="000E2691">
      <w:pPr>
        <w:pStyle w:val="Paragrafi"/>
        <w:rPr>
          <w:lang w:val="sq-AL"/>
        </w:rPr>
      </w:pPr>
      <w:r w:rsidRPr="009F2D28">
        <w:rPr>
          <w:lang w:val="sq-AL"/>
        </w:rPr>
        <w:t xml:space="preserve">E </w:t>
      </w:r>
      <w:r w:rsidR="00ED2C0C" w:rsidRPr="009F2D28">
        <w:rPr>
          <w:lang w:val="sq-AL"/>
        </w:rPr>
        <w:t>shpall</w:t>
      </w:r>
      <w:r w:rsidRPr="009F2D28">
        <w:rPr>
          <w:lang w:val="sq-AL"/>
        </w:rPr>
        <w:t xml:space="preserve"> </w:t>
      </w:r>
      <w:r w:rsidR="000E2691" w:rsidRPr="009F2D28">
        <w:rPr>
          <w:lang w:val="sq-AL"/>
        </w:rPr>
        <w:t>ankesën të papranueshme.</w:t>
      </w:r>
    </w:p>
    <w:p w:rsidR="000E2691" w:rsidRPr="009F2D28" w:rsidRDefault="000E2691" w:rsidP="000E2691">
      <w:pPr>
        <w:pStyle w:val="Paragrafi"/>
        <w:rPr>
          <w:sz w:val="14"/>
          <w:lang w:val="sq-AL"/>
        </w:rPr>
      </w:pPr>
    </w:p>
    <w:p w:rsidR="000E2691" w:rsidRPr="009F2D28" w:rsidRDefault="00431DFE" w:rsidP="000E2691">
      <w:pPr>
        <w:pStyle w:val="Paragrafi"/>
        <w:rPr>
          <w:lang w:val="sq-AL"/>
        </w:rPr>
      </w:pPr>
      <w:r>
        <w:rPr>
          <w:lang w:val="sq-AL"/>
        </w:rPr>
        <w:t xml:space="preserve"> </w:t>
      </w:r>
      <w:r w:rsidR="000E2691" w:rsidRPr="009F2D28">
        <w:rPr>
          <w:lang w:val="sq-AL"/>
        </w:rPr>
        <w:t>Fatoş Araci</w:t>
      </w:r>
      <w:r w:rsidR="000E2691" w:rsidRPr="009F2D28">
        <w:rPr>
          <w:lang w:val="sq-AL"/>
        </w:rPr>
        <w:tab/>
      </w:r>
      <w:r w:rsidR="000E2691" w:rsidRPr="009F2D28">
        <w:rPr>
          <w:lang w:val="sq-AL"/>
        </w:rPr>
        <w:tab/>
      </w:r>
      <w:r w:rsidR="000E2691" w:rsidRPr="009F2D28">
        <w:rPr>
          <w:lang w:val="sq-AL"/>
        </w:rPr>
        <w:tab/>
      </w:r>
      <w:r w:rsidR="000E2691" w:rsidRPr="009F2D28">
        <w:rPr>
          <w:lang w:val="sq-AL"/>
        </w:rPr>
        <w:tab/>
      </w:r>
      <w:r w:rsidR="000E2691" w:rsidRPr="009F2D28">
        <w:rPr>
          <w:lang w:val="sq-AL"/>
        </w:rPr>
        <w:tab/>
      </w:r>
      <w:r w:rsidR="000E2691" w:rsidRPr="009F2D28">
        <w:rPr>
          <w:lang w:val="sq-AL"/>
        </w:rPr>
        <w:tab/>
      </w:r>
      <w:r w:rsidR="000E2691" w:rsidRPr="009F2D28">
        <w:rPr>
          <w:lang w:val="sq-AL"/>
        </w:rPr>
        <w:tab/>
      </w:r>
      <w:r w:rsidR="000E2691" w:rsidRPr="009F2D28">
        <w:rPr>
          <w:lang w:val="sq-AL"/>
        </w:rPr>
        <w:tab/>
        <w:t>George Nicolaou</w:t>
      </w:r>
    </w:p>
    <w:p w:rsidR="000E2691" w:rsidRPr="009F2D28" w:rsidRDefault="000E2691" w:rsidP="000E2691">
      <w:pPr>
        <w:pStyle w:val="Paragrafi"/>
        <w:rPr>
          <w:b/>
          <w:lang w:val="sq-AL"/>
        </w:rPr>
      </w:pPr>
      <w:r w:rsidRPr="009F2D28">
        <w:rPr>
          <w:b/>
          <w:lang w:val="sq-AL"/>
        </w:rPr>
        <w:t>Zëvendës</w:t>
      </w:r>
      <w:r w:rsidR="00770A3D">
        <w:rPr>
          <w:b/>
          <w:lang w:val="sq-AL"/>
        </w:rPr>
        <w:t>r</w:t>
      </w:r>
      <w:r w:rsidRPr="009F2D28">
        <w:rPr>
          <w:b/>
          <w:lang w:val="sq-AL"/>
        </w:rPr>
        <w:t>egjistrues</w:t>
      </w:r>
      <w:r w:rsidRPr="009F2D28">
        <w:rPr>
          <w:b/>
          <w:lang w:val="sq-AL"/>
        </w:rPr>
        <w:tab/>
      </w:r>
      <w:r w:rsidRPr="009F2D28">
        <w:rPr>
          <w:b/>
          <w:lang w:val="sq-AL"/>
        </w:rPr>
        <w:tab/>
      </w:r>
      <w:r w:rsidRPr="009F2D28">
        <w:rPr>
          <w:b/>
          <w:lang w:val="sq-AL"/>
        </w:rPr>
        <w:tab/>
      </w:r>
      <w:r w:rsidRPr="009F2D28">
        <w:rPr>
          <w:b/>
          <w:lang w:val="sq-AL"/>
        </w:rPr>
        <w:tab/>
      </w:r>
      <w:r w:rsidRPr="009F2D28">
        <w:rPr>
          <w:b/>
          <w:lang w:val="sq-AL"/>
        </w:rPr>
        <w:tab/>
      </w:r>
      <w:r w:rsidRPr="009F2D28">
        <w:rPr>
          <w:b/>
          <w:lang w:val="sq-AL"/>
        </w:rPr>
        <w:tab/>
      </w:r>
      <w:r w:rsidRPr="009F2D28">
        <w:rPr>
          <w:b/>
          <w:lang w:val="sq-AL"/>
        </w:rPr>
        <w:tab/>
      </w:r>
      <w:r w:rsidR="00431DFE">
        <w:rPr>
          <w:b/>
          <w:lang w:val="sq-AL"/>
        </w:rPr>
        <w:t xml:space="preserve"> </w:t>
      </w:r>
      <w:r w:rsidRPr="009F2D28">
        <w:rPr>
          <w:b/>
          <w:lang w:val="sq-AL"/>
        </w:rPr>
        <w:t>President</w:t>
      </w:r>
    </w:p>
    <w:p w:rsidR="000477EE" w:rsidRDefault="000477EE" w:rsidP="000E2691">
      <w:pPr>
        <w:pStyle w:val="Paragrafi"/>
        <w:rPr>
          <w:lang w:val="sq-AL"/>
        </w:rPr>
      </w:pPr>
    </w:p>
    <w:p w:rsidR="000477EE" w:rsidRDefault="000477EE" w:rsidP="000477EE">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p>
    <w:p w:rsidR="000E2691" w:rsidRPr="009F2D28" w:rsidRDefault="000E2691" w:rsidP="000E2691">
      <w:pPr>
        <w:pStyle w:val="Paragrafi"/>
        <w:rPr>
          <w:lang w:val="sq-AL"/>
        </w:rPr>
      </w:pPr>
      <w:r w:rsidRPr="009F2D28">
        <w:rPr>
          <w:lang w:val="sq-AL"/>
        </w:rPr>
        <w:t xml:space="preserve"> </w:t>
      </w: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CA38C3" w:rsidRPr="009F2D28" w:rsidRDefault="00CA38C3" w:rsidP="000E2691">
      <w:pPr>
        <w:pStyle w:val="Paragrafi"/>
        <w:rPr>
          <w:lang w:val="sq-AL"/>
        </w:rPr>
      </w:pPr>
    </w:p>
    <w:p w:rsidR="0095190A" w:rsidRPr="009F2D28" w:rsidRDefault="0095190A" w:rsidP="000E2691">
      <w:pPr>
        <w:pStyle w:val="Paragrafi"/>
        <w:rPr>
          <w:lang w:val="sq-AL"/>
        </w:rPr>
      </w:pPr>
    </w:p>
    <w:p w:rsidR="0095190A" w:rsidRPr="009F2D28" w:rsidRDefault="0095190A" w:rsidP="000E2691">
      <w:pPr>
        <w:pStyle w:val="Paragrafi"/>
        <w:rPr>
          <w:lang w:val="sq-AL"/>
        </w:rPr>
      </w:pPr>
    </w:p>
    <w:p w:rsidR="00AC76A2" w:rsidRPr="009F2D28" w:rsidRDefault="00AC76A2" w:rsidP="000E2691">
      <w:pPr>
        <w:pStyle w:val="Paragrafi"/>
        <w:rPr>
          <w:lang w:val="sq-AL"/>
        </w:rPr>
      </w:pPr>
    </w:p>
    <w:p w:rsidR="00AC76A2" w:rsidRPr="009F2D28" w:rsidRDefault="00AC76A2" w:rsidP="000E2691">
      <w:pPr>
        <w:pStyle w:val="Paragrafi"/>
        <w:rPr>
          <w:lang w:val="sq-AL"/>
        </w:rPr>
      </w:pPr>
    </w:p>
    <w:sectPr w:rsidR="00AC76A2" w:rsidRPr="009F2D28" w:rsidSect="002C2E55">
      <w:headerReference w:type="even" r:id="rId7"/>
      <w:headerReference w:type="default" r:id="rId8"/>
      <w:type w:val="continuous"/>
      <w:pgSz w:w="11907" w:h="16840" w:code="9"/>
      <w:pgMar w:top="1418" w:right="1418" w:bottom="1418" w:left="1418" w:header="432"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F06" w:rsidRDefault="001B7F06" w:rsidP="0039754A">
      <w:pPr>
        <w:pStyle w:val="Paragrafi"/>
        <w:rPr>
          <w:rFonts w:cs="Times New Roman"/>
        </w:rPr>
      </w:pPr>
      <w:r>
        <w:rPr>
          <w:rFonts w:cs="Times New Roman"/>
        </w:rPr>
        <w:separator/>
      </w:r>
    </w:p>
  </w:endnote>
  <w:endnote w:type="continuationSeparator" w:id="0">
    <w:p w:rsidR="001B7F06" w:rsidRDefault="001B7F06"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F06" w:rsidRDefault="001B7F06" w:rsidP="0039754A">
      <w:pPr>
        <w:pStyle w:val="Paragrafi"/>
        <w:rPr>
          <w:rFonts w:cs="Times New Roman"/>
        </w:rPr>
      </w:pPr>
      <w:r>
        <w:rPr>
          <w:rFonts w:cs="Times New Roman"/>
        </w:rPr>
        <w:separator/>
      </w:r>
    </w:p>
  </w:footnote>
  <w:footnote w:type="continuationSeparator" w:id="0">
    <w:p w:rsidR="001B7F06" w:rsidRDefault="001B7F06"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5B9" w:rsidRDefault="000075B9"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ED34D3"/>
    <w:multiLevelType w:val="hybridMultilevel"/>
    <w:tmpl w:val="63FE8E66"/>
    <w:lvl w:ilvl="0" w:tplc="BC3CF60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060E6BD2"/>
    <w:multiLevelType w:val="hybridMultilevel"/>
    <w:tmpl w:val="F262374E"/>
    <w:lvl w:ilvl="0" w:tplc="AADC3350">
      <w:start w:val="1"/>
      <w:numFmt w:val="upperLetter"/>
      <w:lvlText w:val="%1."/>
      <w:lvlJc w:val="left"/>
      <w:pPr>
        <w:ind w:left="274" w:hanging="360"/>
      </w:pPr>
      <w:rPr>
        <w:rFonts w:hint="default"/>
        <w:sz w:val="18"/>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3">
    <w:nsid w:val="0F962387"/>
    <w:multiLevelType w:val="hybridMultilevel"/>
    <w:tmpl w:val="AA9CC010"/>
    <w:lvl w:ilvl="0" w:tplc="4E441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B35DEA"/>
    <w:multiLevelType w:val="hybridMultilevel"/>
    <w:tmpl w:val="CDA84902"/>
    <w:lvl w:ilvl="0" w:tplc="0A50E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54756"/>
    <w:multiLevelType w:val="hybridMultilevel"/>
    <w:tmpl w:val="D18A4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911773"/>
    <w:multiLevelType w:val="hybridMultilevel"/>
    <w:tmpl w:val="EC44AA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E2BBB"/>
    <w:multiLevelType w:val="hybridMultilevel"/>
    <w:tmpl w:val="AC70E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FE3509"/>
    <w:multiLevelType w:val="hybridMultilevel"/>
    <w:tmpl w:val="71E24F9E"/>
    <w:lvl w:ilvl="0" w:tplc="0A74402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761BB2"/>
    <w:multiLevelType w:val="hybridMultilevel"/>
    <w:tmpl w:val="2482E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8763A8"/>
    <w:multiLevelType w:val="hybridMultilevel"/>
    <w:tmpl w:val="E88A785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7A0915"/>
    <w:multiLevelType w:val="hybridMultilevel"/>
    <w:tmpl w:val="140ECD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827BA"/>
    <w:multiLevelType w:val="hybridMultilevel"/>
    <w:tmpl w:val="454CE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3712CB"/>
    <w:multiLevelType w:val="hybridMultilevel"/>
    <w:tmpl w:val="A2D65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nsid w:val="672F302B"/>
    <w:multiLevelType w:val="hybridMultilevel"/>
    <w:tmpl w:val="38AC6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162E8C"/>
    <w:multiLevelType w:val="hybridMultilevel"/>
    <w:tmpl w:val="1878F908"/>
    <w:lvl w:ilvl="0" w:tplc="F738BCC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9203E"/>
    <w:multiLevelType w:val="hybridMultilevel"/>
    <w:tmpl w:val="D2F80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624BF5"/>
    <w:multiLevelType w:val="hybridMultilevel"/>
    <w:tmpl w:val="5338E0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9D68F3"/>
    <w:multiLevelType w:val="hybridMultilevel"/>
    <w:tmpl w:val="58EA9442"/>
    <w:lvl w:ilvl="0" w:tplc="05248D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1608FD"/>
    <w:multiLevelType w:val="hybridMultilevel"/>
    <w:tmpl w:val="4D922788"/>
    <w:lvl w:ilvl="0" w:tplc="079C35EE">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nsid w:val="76CE0999"/>
    <w:multiLevelType w:val="hybridMultilevel"/>
    <w:tmpl w:val="7632B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114794"/>
    <w:multiLevelType w:val="hybridMultilevel"/>
    <w:tmpl w:val="C82CE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20"/>
  </w:num>
  <w:num w:numId="4">
    <w:abstractNumId w:val="1"/>
  </w:num>
  <w:num w:numId="5">
    <w:abstractNumId w:val="7"/>
  </w:num>
  <w:num w:numId="6">
    <w:abstractNumId w:val="17"/>
  </w:num>
  <w:num w:numId="7">
    <w:abstractNumId w:val="11"/>
  </w:num>
  <w:num w:numId="8">
    <w:abstractNumId w:val="19"/>
  </w:num>
  <w:num w:numId="9">
    <w:abstractNumId w:val="5"/>
  </w:num>
  <w:num w:numId="10">
    <w:abstractNumId w:val="6"/>
  </w:num>
  <w:num w:numId="11">
    <w:abstractNumId w:val="13"/>
  </w:num>
  <w:num w:numId="12">
    <w:abstractNumId w:val="15"/>
  </w:num>
  <w:num w:numId="13">
    <w:abstractNumId w:val="22"/>
  </w:num>
  <w:num w:numId="14">
    <w:abstractNumId w:val="21"/>
  </w:num>
  <w:num w:numId="15">
    <w:abstractNumId w:val="3"/>
  </w:num>
  <w:num w:numId="16">
    <w:abstractNumId w:val="12"/>
  </w:num>
  <w:num w:numId="17">
    <w:abstractNumId w:val="4"/>
  </w:num>
  <w:num w:numId="18">
    <w:abstractNumId w:val="8"/>
  </w:num>
  <w:num w:numId="19">
    <w:abstractNumId w:val="18"/>
  </w:num>
  <w:num w:numId="20">
    <w:abstractNumId w:val="2"/>
  </w:num>
  <w:num w:numId="21">
    <w:abstractNumId w:val="9"/>
  </w:num>
  <w:num w:numId="22">
    <w:abstractNumId w:val="10"/>
  </w:num>
  <w:num w:numId="23">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075B9"/>
    <w:rsid w:val="000477EE"/>
    <w:rsid w:val="0004799A"/>
    <w:rsid w:val="00051F6B"/>
    <w:rsid w:val="00067B48"/>
    <w:rsid w:val="00072860"/>
    <w:rsid w:val="000730E9"/>
    <w:rsid w:val="000A11D1"/>
    <w:rsid w:val="000A235C"/>
    <w:rsid w:val="000B1276"/>
    <w:rsid w:val="000B785D"/>
    <w:rsid w:val="000C48ED"/>
    <w:rsid w:val="000C6CBD"/>
    <w:rsid w:val="000D0E53"/>
    <w:rsid w:val="000E2691"/>
    <w:rsid w:val="001049DD"/>
    <w:rsid w:val="00126793"/>
    <w:rsid w:val="001302D1"/>
    <w:rsid w:val="001659FA"/>
    <w:rsid w:val="001674A9"/>
    <w:rsid w:val="00181450"/>
    <w:rsid w:val="001A2BA0"/>
    <w:rsid w:val="001B7F06"/>
    <w:rsid w:val="001D5148"/>
    <w:rsid w:val="001E38D7"/>
    <w:rsid w:val="00202EDD"/>
    <w:rsid w:val="00213E18"/>
    <w:rsid w:val="00213FDE"/>
    <w:rsid w:val="00233A49"/>
    <w:rsid w:val="002340BC"/>
    <w:rsid w:val="00240677"/>
    <w:rsid w:val="00250254"/>
    <w:rsid w:val="00251027"/>
    <w:rsid w:val="00257505"/>
    <w:rsid w:val="00265F62"/>
    <w:rsid w:val="00275799"/>
    <w:rsid w:val="00275AA8"/>
    <w:rsid w:val="00290C5C"/>
    <w:rsid w:val="002B2A62"/>
    <w:rsid w:val="002C2E55"/>
    <w:rsid w:val="002C3F15"/>
    <w:rsid w:val="002D5F75"/>
    <w:rsid w:val="002F7003"/>
    <w:rsid w:val="00312E0C"/>
    <w:rsid w:val="003204D2"/>
    <w:rsid w:val="00324FE2"/>
    <w:rsid w:val="00326B0C"/>
    <w:rsid w:val="00333B05"/>
    <w:rsid w:val="003620E5"/>
    <w:rsid w:val="00365EF7"/>
    <w:rsid w:val="003745B0"/>
    <w:rsid w:val="00376AA6"/>
    <w:rsid w:val="00391A03"/>
    <w:rsid w:val="0039754A"/>
    <w:rsid w:val="003B2EFB"/>
    <w:rsid w:val="003B329D"/>
    <w:rsid w:val="003C7C6D"/>
    <w:rsid w:val="003D44CD"/>
    <w:rsid w:val="003E3217"/>
    <w:rsid w:val="003F4FF5"/>
    <w:rsid w:val="004101E2"/>
    <w:rsid w:val="00412F60"/>
    <w:rsid w:val="00422D4A"/>
    <w:rsid w:val="00424F62"/>
    <w:rsid w:val="00431DFE"/>
    <w:rsid w:val="004334AE"/>
    <w:rsid w:val="00435581"/>
    <w:rsid w:val="004379D8"/>
    <w:rsid w:val="004464EE"/>
    <w:rsid w:val="0045042C"/>
    <w:rsid w:val="00462CC4"/>
    <w:rsid w:val="004648FB"/>
    <w:rsid w:val="00464CA3"/>
    <w:rsid w:val="0047338A"/>
    <w:rsid w:val="004865DE"/>
    <w:rsid w:val="00496D6B"/>
    <w:rsid w:val="004A730B"/>
    <w:rsid w:val="004C340A"/>
    <w:rsid w:val="004F7A09"/>
    <w:rsid w:val="00501C46"/>
    <w:rsid w:val="0050543B"/>
    <w:rsid w:val="00507BAC"/>
    <w:rsid w:val="00523391"/>
    <w:rsid w:val="00531E55"/>
    <w:rsid w:val="00541BDD"/>
    <w:rsid w:val="005460E0"/>
    <w:rsid w:val="00554CD9"/>
    <w:rsid w:val="005660E4"/>
    <w:rsid w:val="00572063"/>
    <w:rsid w:val="0057561B"/>
    <w:rsid w:val="00592E0E"/>
    <w:rsid w:val="00595D7E"/>
    <w:rsid w:val="005B3974"/>
    <w:rsid w:val="005B7541"/>
    <w:rsid w:val="005C630B"/>
    <w:rsid w:val="005F6FD5"/>
    <w:rsid w:val="00613502"/>
    <w:rsid w:val="00622F48"/>
    <w:rsid w:val="006559B3"/>
    <w:rsid w:val="0065652B"/>
    <w:rsid w:val="0067465B"/>
    <w:rsid w:val="0068025E"/>
    <w:rsid w:val="00684220"/>
    <w:rsid w:val="0069087C"/>
    <w:rsid w:val="006D34FE"/>
    <w:rsid w:val="006D5BAA"/>
    <w:rsid w:val="006E4DB0"/>
    <w:rsid w:val="0070662E"/>
    <w:rsid w:val="00711BE6"/>
    <w:rsid w:val="00724D1E"/>
    <w:rsid w:val="00726052"/>
    <w:rsid w:val="00734A8D"/>
    <w:rsid w:val="00740FC3"/>
    <w:rsid w:val="0074584B"/>
    <w:rsid w:val="00760BD9"/>
    <w:rsid w:val="007616DE"/>
    <w:rsid w:val="00770A3D"/>
    <w:rsid w:val="00782174"/>
    <w:rsid w:val="007855F8"/>
    <w:rsid w:val="007975AA"/>
    <w:rsid w:val="007D2A90"/>
    <w:rsid w:val="007D3FEF"/>
    <w:rsid w:val="007D47F4"/>
    <w:rsid w:val="007E0E05"/>
    <w:rsid w:val="007E1A4A"/>
    <w:rsid w:val="007E459D"/>
    <w:rsid w:val="007F2478"/>
    <w:rsid w:val="00812E25"/>
    <w:rsid w:val="0082201D"/>
    <w:rsid w:val="00836EE9"/>
    <w:rsid w:val="008463AD"/>
    <w:rsid w:val="0085486D"/>
    <w:rsid w:val="00857A64"/>
    <w:rsid w:val="00865ED3"/>
    <w:rsid w:val="00866A94"/>
    <w:rsid w:val="0088207C"/>
    <w:rsid w:val="00895F95"/>
    <w:rsid w:val="008F2B45"/>
    <w:rsid w:val="008F43AA"/>
    <w:rsid w:val="008F51BF"/>
    <w:rsid w:val="008F75E5"/>
    <w:rsid w:val="00901227"/>
    <w:rsid w:val="009073CF"/>
    <w:rsid w:val="009230C0"/>
    <w:rsid w:val="00931F2A"/>
    <w:rsid w:val="0094402A"/>
    <w:rsid w:val="00947EE5"/>
    <w:rsid w:val="00951404"/>
    <w:rsid w:val="0095190A"/>
    <w:rsid w:val="00964315"/>
    <w:rsid w:val="009B4B3F"/>
    <w:rsid w:val="009C5E5A"/>
    <w:rsid w:val="009C6DDA"/>
    <w:rsid w:val="009E499A"/>
    <w:rsid w:val="009F2D28"/>
    <w:rsid w:val="00A0512E"/>
    <w:rsid w:val="00A15476"/>
    <w:rsid w:val="00A229D6"/>
    <w:rsid w:val="00A42599"/>
    <w:rsid w:val="00A604C0"/>
    <w:rsid w:val="00A73E1D"/>
    <w:rsid w:val="00A84E86"/>
    <w:rsid w:val="00A97EEF"/>
    <w:rsid w:val="00AB4899"/>
    <w:rsid w:val="00AC06B8"/>
    <w:rsid w:val="00AC76A2"/>
    <w:rsid w:val="00AD11C9"/>
    <w:rsid w:val="00AE7784"/>
    <w:rsid w:val="00AF6F98"/>
    <w:rsid w:val="00B0527A"/>
    <w:rsid w:val="00B0651D"/>
    <w:rsid w:val="00B06D47"/>
    <w:rsid w:val="00B126F0"/>
    <w:rsid w:val="00B14C46"/>
    <w:rsid w:val="00B21640"/>
    <w:rsid w:val="00B23644"/>
    <w:rsid w:val="00B43F26"/>
    <w:rsid w:val="00B511D2"/>
    <w:rsid w:val="00BA12AE"/>
    <w:rsid w:val="00BC3909"/>
    <w:rsid w:val="00BE1B84"/>
    <w:rsid w:val="00BE7D43"/>
    <w:rsid w:val="00BF5FAA"/>
    <w:rsid w:val="00C172B4"/>
    <w:rsid w:val="00C254F0"/>
    <w:rsid w:val="00C30DFD"/>
    <w:rsid w:val="00C445F4"/>
    <w:rsid w:val="00C4646D"/>
    <w:rsid w:val="00C71B4C"/>
    <w:rsid w:val="00CA38C3"/>
    <w:rsid w:val="00CD1411"/>
    <w:rsid w:val="00CD2E8F"/>
    <w:rsid w:val="00CE6F22"/>
    <w:rsid w:val="00CF689A"/>
    <w:rsid w:val="00D02CC6"/>
    <w:rsid w:val="00D1051E"/>
    <w:rsid w:val="00D31818"/>
    <w:rsid w:val="00D34BF9"/>
    <w:rsid w:val="00D42D58"/>
    <w:rsid w:val="00D62947"/>
    <w:rsid w:val="00D64DB1"/>
    <w:rsid w:val="00D76E7C"/>
    <w:rsid w:val="00DB3D2B"/>
    <w:rsid w:val="00DC5099"/>
    <w:rsid w:val="00E44322"/>
    <w:rsid w:val="00E444DB"/>
    <w:rsid w:val="00E46706"/>
    <w:rsid w:val="00E51779"/>
    <w:rsid w:val="00E55401"/>
    <w:rsid w:val="00E64E32"/>
    <w:rsid w:val="00E766C1"/>
    <w:rsid w:val="00E81EAB"/>
    <w:rsid w:val="00EA604E"/>
    <w:rsid w:val="00EC0CC8"/>
    <w:rsid w:val="00ED2133"/>
    <w:rsid w:val="00ED2C0C"/>
    <w:rsid w:val="00F00C01"/>
    <w:rsid w:val="00F02A7C"/>
    <w:rsid w:val="00F036D5"/>
    <w:rsid w:val="00F10D74"/>
    <w:rsid w:val="00F41E09"/>
    <w:rsid w:val="00F72B49"/>
    <w:rsid w:val="00F823DD"/>
    <w:rsid w:val="00F872BD"/>
    <w:rsid w:val="00F93223"/>
    <w:rsid w:val="00F97A4A"/>
    <w:rsid w:val="00FA48F7"/>
    <w:rsid w:val="00FC07D3"/>
    <w:rsid w:val="00FD3071"/>
    <w:rsid w:val="00FE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78DFA19B-E80D-4470-932F-71DFA1C9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link w:val="Heading1"/>
    <w:locked/>
    <w:rsid w:val="00251027"/>
    <w:rPr>
      <w:rFonts w:ascii="Arial" w:hAnsi="Arial" w:cs="Arial"/>
      <w:b/>
      <w:bCs/>
      <w:kern w:val="32"/>
      <w:sz w:val="32"/>
      <w:szCs w:val="32"/>
      <w:lang w:val="en-US" w:eastAsia="en-US"/>
    </w:rPr>
  </w:style>
  <w:style w:type="character" w:customStyle="1" w:styleId="Heading2Char">
    <w:name w:val="Heading 2 Char"/>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link w:val="Heading3"/>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251027"/>
    <w:pPr>
      <w:tabs>
        <w:tab w:val="center" w:pos="4320"/>
        <w:tab w:val="right" w:pos="8640"/>
      </w:tabs>
    </w:pPr>
  </w:style>
  <w:style w:type="character" w:customStyle="1" w:styleId="FooterChar">
    <w:name w:val="Footer Char"/>
    <w:link w:val="Footer"/>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rsid w:val="00251027"/>
    <w:pPr>
      <w:tabs>
        <w:tab w:val="center" w:pos="4680"/>
        <w:tab w:val="right" w:pos="9360"/>
      </w:tabs>
    </w:pPr>
  </w:style>
  <w:style w:type="character" w:customStyle="1" w:styleId="HeaderChar">
    <w:name w:val="Header Char"/>
    <w:link w:val="Header"/>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aliases w:val="Left"/>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95190A"/>
    <w:pPr>
      <w:spacing w:after="120"/>
    </w:pPr>
    <w:rPr>
      <w:sz w:val="16"/>
      <w:szCs w:val="16"/>
      <w:lang w:val="en-GB"/>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semiHidden/>
    <w:unhideWhenUsed/>
    <w:rsid w:val="0095190A"/>
    <w:rPr>
      <w:sz w:val="16"/>
      <w:szCs w:val="16"/>
    </w:rPr>
  </w:style>
  <w:style w:type="paragraph" w:styleId="CommentText">
    <w:name w:val="annotation text"/>
    <w:basedOn w:val="Normal"/>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0">
    <w:name w:val="subtitle"/>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 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JuParaChar">
    <w:name w:val="Ju_Para Char"/>
    <w:rsid w:val="000E2691"/>
    <w:rPr>
      <w:rFonts w:ascii="Times New Roman" w:eastAsia="Times New Roman" w:hAnsi="Times New Roman"/>
      <w:sz w:val="24"/>
      <w:lang w:val="en-GB" w:eastAsia="fr-FR"/>
    </w:rPr>
  </w:style>
  <w:style w:type="paragraph" w:customStyle="1" w:styleId="JuJudges">
    <w:name w:val="Ju_Judges"/>
    <w:basedOn w:val="Normal"/>
    <w:link w:val="JuJudgesChar"/>
    <w:rsid w:val="000E2691"/>
    <w:pPr>
      <w:tabs>
        <w:tab w:val="left" w:pos="567"/>
        <w:tab w:val="left" w:pos="1134"/>
      </w:tabs>
      <w:suppressAutoHyphens/>
    </w:pPr>
    <w:rPr>
      <w:rFonts w:eastAsia="Times New Roman"/>
      <w:szCs w:val="20"/>
      <w:lang w:val="en-GB" w:eastAsia="fr-FR"/>
    </w:rPr>
  </w:style>
  <w:style w:type="character" w:customStyle="1" w:styleId="JuJudgesChar">
    <w:name w:val="Ju_Judges Char"/>
    <w:link w:val="JuJudges"/>
    <w:locked/>
    <w:rsid w:val="000E2691"/>
    <w:rPr>
      <w:rFonts w:eastAsia="Times New Roman"/>
      <w:sz w:val="24"/>
      <w:lang w:val="en-GB" w:eastAsia="fr-FR"/>
    </w:rPr>
  </w:style>
  <w:style w:type="paragraph" w:customStyle="1" w:styleId="JuCase">
    <w:name w:val="Ju_Case"/>
    <w:basedOn w:val="Normal"/>
    <w:next w:val="Normal"/>
    <w:link w:val="JuCaseChar"/>
    <w:rsid w:val="000E2691"/>
    <w:pPr>
      <w:ind w:firstLine="284"/>
      <w:jc w:val="both"/>
    </w:pPr>
    <w:rPr>
      <w:rFonts w:eastAsia="Times New Roman"/>
      <w:b/>
      <w:szCs w:val="20"/>
      <w:lang w:val="en-GB" w:eastAsia="fr-FR"/>
    </w:rPr>
  </w:style>
  <w:style w:type="character" w:customStyle="1" w:styleId="JuCaseChar">
    <w:name w:val="Ju_Case Char"/>
    <w:link w:val="JuCase"/>
    <w:rsid w:val="000E2691"/>
    <w:rPr>
      <w:rFonts w:eastAsia="Times New Roman"/>
      <w:b/>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QBZ Admin</cp:lastModifiedBy>
  <cp:revision>2</cp:revision>
  <cp:lastPrinted>2013-02-27T14:20:00Z</cp:lastPrinted>
  <dcterms:created xsi:type="dcterms:W3CDTF">2019-03-18T14:32:00Z</dcterms:created>
  <dcterms:modified xsi:type="dcterms:W3CDTF">2019-03-18T14:32:00Z</dcterms:modified>
</cp:coreProperties>
</file>