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D4A" w:rsidRPr="009F2D28" w:rsidRDefault="00422D4A" w:rsidP="0047338A">
      <w:pPr>
        <w:pStyle w:val="TitulliTitull"/>
        <w:rPr>
          <w:lang w:val="sq-AL"/>
        </w:rPr>
      </w:pPr>
      <w:bookmarkStart w:id="0" w:name="_GoBack"/>
      <w:bookmarkEnd w:id="0"/>
      <w:r w:rsidRPr="009F2D28">
        <w:rPr>
          <w:lang w:val="sq-AL"/>
        </w:rPr>
        <w:t>SEKSIONI I KATËRT</w:t>
      </w:r>
    </w:p>
    <w:p w:rsidR="00422D4A" w:rsidRPr="009F2D28" w:rsidRDefault="00422D4A" w:rsidP="000E2691">
      <w:pPr>
        <w:pStyle w:val="Paragrafi"/>
        <w:rPr>
          <w:lang w:val="sq-AL"/>
        </w:rPr>
      </w:pPr>
    </w:p>
    <w:p w:rsidR="00B14C46" w:rsidRPr="009F2D28" w:rsidRDefault="00B14C46" w:rsidP="00B14C46">
      <w:pPr>
        <w:pStyle w:val="Titulli"/>
        <w:rPr>
          <w:lang w:val="sq-AL"/>
        </w:rPr>
      </w:pPr>
      <w:r w:rsidRPr="009F2D28">
        <w:rPr>
          <w:lang w:val="sq-AL"/>
        </w:rPr>
        <w:t>ÇËSHTJA THEMELI KUNDËR SHQIPËRISË</w:t>
      </w:r>
    </w:p>
    <w:p w:rsidR="00B14C46" w:rsidRPr="009F2D28" w:rsidRDefault="00B14C46" w:rsidP="00B14C46">
      <w:pPr>
        <w:pStyle w:val="Paragrafi"/>
        <w:ind w:firstLine="0"/>
        <w:jc w:val="center"/>
        <w:rPr>
          <w:rStyle w:val="TitulliTitullChar"/>
          <w:lang w:val="sq-AL"/>
        </w:rPr>
      </w:pPr>
      <w:r w:rsidRPr="009F2D28">
        <w:rPr>
          <w:lang w:val="sq-AL"/>
        </w:rPr>
        <w:t>(</w:t>
      </w:r>
      <w:r w:rsidRPr="009F2D28">
        <w:rPr>
          <w:rStyle w:val="TitulliTitullChar"/>
          <w:lang w:val="sq-AL"/>
        </w:rPr>
        <w:t>Aplikimi nr. 63756/09)</w:t>
      </w:r>
    </w:p>
    <w:p w:rsidR="00422D4A" w:rsidRPr="009F2D28" w:rsidRDefault="00422D4A" w:rsidP="000E2691">
      <w:pPr>
        <w:pStyle w:val="Paragrafi"/>
        <w:rPr>
          <w:lang w:val="sq-AL"/>
        </w:rPr>
      </w:pPr>
    </w:p>
    <w:p w:rsidR="00422D4A" w:rsidRPr="009F2D28" w:rsidRDefault="00422D4A" w:rsidP="0047338A">
      <w:pPr>
        <w:pStyle w:val="TitulliTitull"/>
        <w:rPr>
          <w:lang w:val="sq-AL"/>
        </w:rPr>
      </w:pPr>
      <w:r w:rsidRPr="009F2D28">
        <w:rPr>
          <w:lang w:val="sq-AL"/>
        </w:rPr>
        <w:t>VENDIM</w:t>
      </w:r>
    </w:p>
    <w:p w:rsidR="00422D4A" w:rsidRPr="009F2D28" w:rsidRDefault="00422D4A" w:rsidP="0047338A">
      <w:pPr>
        <w:pStyle w:val="TitulliTitull"/>
        <w:rPr>
          <w:lang w:val="sq-AL"/>
        </w:rPr>
      </w:pPr>
      <w:r w:rsidRPr="009F2D28">
        <w:rPr>
          <w:lang w:val="sq-AL"/>
        </w:rPr>
        <w:t>STRASBURG</w:t>
      </w:r>
    </w:p>
    <w:p w:rsidR="00422D4A" w:rsidRPr="009F2D28" w:rsidRDefault="00422D4A" w:rsidP="0047338A">
      <w:pPr>
        <w:pStyle w:val="TitulliTitull"/>
        <w:rPr>
          <w:lang w:val="sq-AL"/>
        </w:rPr>
      </w:pPr>
      <w:r w:rsidRPr="009F2D28">
        <w:rPr>
          <w:lang w:val="sq-AL"/>
        </w:rPr>
        <w:t xml:space="preserve">15 </w:t>
      </w:r>
      <w:r w:rsidR="009F2D28">
        <w:rPr>
          <w:caps w:val="0"/>
          <w:lang w:val="sq-AL"/>
        </w:rPr>
        <w:t>j</w:t>
      </w:r>
      <w:r w:rsidR="0047338A" w:rsidRPr="009F2D28">
        <w:rPr>
          <w:caps w:val="0"/>
          <w:lang w:val="sq-AL"/>
        </w:rPr>
        <w:t xml:space="preserve">anar </w:t>
      </w:r>
      <w:r w:rsidRPr="009F2D28">
        <w:rPr>
          <w:lang w:val="sq-AL"/>
        </w:rPr>
        <w:t>2013</w:t>
      </w:r>
    </w:p>
    <w:p w:rsidR="00422D4A" w:rsidRPr="009F2D28" w:rsidRDefault="00422D4A" w:rsidP="000E2691">
      <w:pPr>
        <w:pStyle w:val="Paragrafi"/>
        <w:rPr>
          <w:lang w:val="sq-AL"/>
        </w:rPr>
      </w:pP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Në çështjen Themeli kundër Shqipërisë, 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Gjykata Europiane e të Drejtave të Njeriut (</w:t>
      </w:r>
      <w:r w:rsidR="009F2D28" w:rsidRPr="009F2D28">
        <w:rPr>
          <w:lang w:val="sq-AL"/>
        </w:rPr>
        <w:t>seksioni i katërt</w:t>
      </w:r>
      <w:r w:rsidRPr="009F2D28">
        <w:rPr>
          <w:lang w:val="sq-AL"/>
        </w:rPr>
        <w:t xml:space="preserve">), e mbledhur në një Komitet të përbërë nga: </w:t>
      </w:r>
    </w:p>
    <w:p w:rsidR="00422D4A" w:rsidRPr="00B0527A" w:rsidRDefault="00D31818" w:rsidP="000E2691">
      <w:pPr>
        <w:pStyle w:val="Paragrafi"/>
        <w:rPr>
          <w:i/>
          <w:lang w:val="sq-AL"/>
        </w:rPr>
      </w:pPr>
      <w:r w:rsidRPr="009F2D28">
        <w:rPr>
          <w:lang w:val="sq-AL"/>
        </w:rPr>
        <w:t>George Nicolaou</w:t>
      </w:r>
      <w:r w:rsidR="000075B9">
        <w:rPr>
          <w:lang w:val="sq-AL"/>
        </w:rPr>
        <w:t>,</w:t>
      </w:r>
      <w:r w:rsidR="00422D4A" w:rsidRPr="009F2D28">
        <w:rPr>
          <w:lang w:val="sq-AL"/>
        </w:rPr>
        <w:t xml:space="preserve"> </w:t>
      </w:r>
      <w:r w:rsidR="000075B9" w:rsidRPr="00B0527A">
        <w:rPr>
          <w:i/>
          <w:lang w:val="sq-AL"/>
        </w:rPr>
        <w:t>p</w:t>
      </w:r>
      <w:r w:rsidR="00422D4A" w:rsidRPr="00B0527A">
        <w:rPr>
          <w:i/>
          <w:lang w:val="sq-AL"/>
        </w:rPr>
        <w:t>resident</w:t>
      </w:r>
    </w:p>
    <w:p w:rsidR="00422D4A" w:rsidRPr="009F2D28" w:rsidRDefault="00D31818" w:rsidP="000E2691">
      <w:pPr>
        <w:pStyle w:val="Paragrafi"/>
        <w:rPr>
          <w:lang w:val="sq-AL"/>
        </w:rPr>
      </w:pPr>
      <w:r w:rsidRPr="009F2D28">
        <w:rPr>
          <w:lang w:val="sq-AL"/>
        </w:rPr>
        <w:t>Zdravka Kalaydjieva</w:t>
      </w:r>
      <w:r w:rsidR="00422D4A" w:rsidRPr="009F2D28">
        <w:rPr>
          <w:lang w:val="sq-AL"/>
        </w:rPr>
        <w:t xml:space="preserve"> 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Faris Vehabovi</w:t>
      </w:r>
      <w:r w:rsidR="00D31818" w:rsidRPr="009F2D28">
        <w:rPr>
          <w:lang w:val="sq-AL"/>
        </w:rPr>
        <w:t xml:space="preserve">ć, </w:t>
      </w:r>
      <w:r w:rsidR="00D31818" w:rsidRPr="0094402A">
        <w:rPr>
          <w:i/>
          <w:lang w:val="sq-AL"/>
        </w:rPr>
        <w:t>gjyqtarë</w:t>
      </w:r>
      <w:r w:rsidRPr="0094402A">
        <w:rPr>
          <w:i/>
          <w:lang w:val="sq-AL"/>
        </w:rPr>
        <w:t xml:space="preserve"> 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dhe Fatoş Arac</w:t>
      </w:r>
      <w:r w:rsidR="00B0527A" w:rsidRPr="00B0527A">
        <w:rPr>
          <w:vertAlign w:val="superscript"/>
          <w:lang w:val="sq-AL"/>
        </w:rPr>
        <w:t>1)</w:t>
      </w:r>
      <w:r w:rsidR="00D31818" w:rsidRPr="009F2D28">
        <w:rPr>
          <w:rFonts w:ascii="MS Mincho" w:hAnsi="MS Mincho" w:cs="MS Mincho"/>
          <w:lang w:val="sq-AL"/>
        </w:rPr>
        <w:t>,</w:t>
      </w:r>
      <w:r w:rsidR="00A42599" w:rsidRPr="0094402A">
        <w:rPr>
          <w:i/>
          <w:lang w:val="sq-AL"/>
        </w:rPr>
        <w:t>z</w:t>
      </w:r>
      <w:r w:rsidRPr="0094402A">
        <w:rPr>
          <w:i/>
          <w:lang w:val="sq-AL"/>
        </w:rPr>
        <w:t>ëvendës</w:t>
      </w:r>
      <w:r w:rsidR="00A42599" w:rsidRPr="0094402A">
        <w:rPr>
          <w:i/>
          <w:lang w:val="sq-AL"/>
        </w:rPr>
        <w:t>s</w:t>
      </w:r>
      <w:r w:rsidRPr="0094402A">
        <w:rPr>
          <w:i/>
          <w:lang w:val="sq-AL"/>
        </w:rPr>
        <w:t xml:space="preserve">ekretar i </w:t>
      </w:r>
      <w:r w:rsidR="00A42599" w:rsidRPr="0094402A">
        <w:rPr>
          <w:i/>
          <w:lang w:val="sq-AL"/>
        </w:rPr>
        <w:t>s</w:t>
      </w:r>
      <w:r w:rsidRPr="0094402A">
        <w:rPr>
          <w:i/>
          <w:lang w:val="sq-AL"/>
        </w:rPr>
        <w:t>eksionit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Pasi ka diskutuar me dyer të mbyllura më 11 </w:t>
      </w:r>
      <w:r w:rsidR="009F2D28">
        <w:rPr>
          <w:lang w:val="sq-AL"/>
        </w:rPr>
        <w:t>d</w:t>
      </w:r>
      <w:r w:rsidRPr="009F2D28">
        <w:rPr>
          <w:lang w:val="sq-AL"/>
        </w:rPr>
        <w:t xml:space="preserve">hjetor 2012, 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Lëshon vendimin e mëposhtëm, i cili u miratua në po atë ditë:</w:t>
      </w:r>
    </w:p>
    <w:p w:rsidR="00422D4A" w:rsidRPr="009F2D28" w:rsidRDefault="00422D4A" w:rsidP="000E2691">
      <w:pPr>
        <w:pStyle w:val="Paragrafi"/>
        <w:rPr>
          <w:lang w:val="sq-AL"/>
        </w:rPr>
      </w:pP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PROCEDURA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1. </w:t>
      </w:r>
      <w:r w:rsidR="00422D4A" w:rsidRPr="009F2D28">
        <w:rPr>
          <w:lang w:val="sq-AL"/>
        </w:rPr>
        <w:t>Çështja filloi me një aplikim (nr. 63756/09) kundër Republikës së Shqipërisë</w:t>
      </w:r>
      <w:r w:rsidR="0094402A">
        <w:rPr>
          <w:lang w:val="sq-AL"/>
        </w:rPr>
        <w:t>,</w:t>
      </w:r>
      <w:r w:rsidR="00422D4A" w:rsidRPr="009F2D28">
        <w:rPr>
          <w:lang w:val="sq-AL"/>
        </w:rPr>
        <w:t xml:space="preserve"> paraqitur në Gjykatë sipas </w:t>
      </w:r>
      <w:r w:rsidR="009F2D28">
        <w:rPr>
          <w:lang w:val="sq-AL"/>
        </w:rPr>
        <w:t>n</w:t>
      </w:r>
      <w:r w:rsidR="00422D4A" w:rsidRPr="009F2D28">
        <w:rPr>
          <w:lang w:val="sq-AL"/>
        </w:rPr>
        <w:t>enit 34 të Konventës për Mbrojtjen e të Drejtave të Njeriut dhe Lirive Themelore (</w:t>
      </w:r>
      <w:r w:rsidR="009F2D28">
        <w:rPr>
          <w:lang w:val="sq-AL"/>
        </w:rPr>
        <w:t>k</w:t>
      </w:r>
      <w:r w:rsidR="00422D4A" w:rsidRPr="009F2D28">
        <w:rPr>
          <w:lang w:val="sq-AL"/>
        </w:rPr>
        <w:t xml:space="preserve">onventa) nga një shtetas shqiptar, </w:t>
      </w:r>
      <w:r w:rsidR="0094402A" w:rsidRPr="009F2D28">
        <w:rPr>
          <w:lang w:val="sq-AL"/>
        </w:rPr>
        <w:t>Z</w:t>
      </w:r>
      <w:r w:rsidR="00422D4A" w:rsidRPr="009F2D28">
        <w:rPr>
          <w:lang w:val="sq-AL"/>
        </w:rPr>
        <w:t xml:space="preserve">. Jorgji Themeli (ankuesi), më 5 </w:t>
      </w:r>
      <w:r w:rsidR="009F2D28">
        <w:rPr>
          <w:lang w:val="sq-AL"/>
        </w:rPr>
        <w:t>n</w:t>
      </w:r>
      <w:r w:rsidR="00422D4A" w:rsidRPr="009F2D28">
        <w:rPr>
          <w:lang w:val="sq-AL"/>
        </w:rPr>
        <w:t xml:space="preserve">ëntor 2009.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2. </w:t>
      </w:r>
      <w:r w:rsidR="00422D4A" w:rsidRPr="009F2D28">
        <w:rPr>
          <w:lang w:val="sq-AL"/>
        </w:rPr>
        <w:t>Ankuesi përfaqësohej nga Znj. E. Kokona, avokate, e cila e ushtron aktivitetin e saj në Tiranë. Qeveria shqiptare (</w:t>
      </w:r>
      <w:r w:rsidR="00A42599" w:rsidRPr="009F2D28">
        <w:rPr>
          <w:lang w:val="sq-AL"/>
        </w:rPr>
        <w:t>qeveria</w:t>
      </w:r>
      <w:r w:rsidR="00422D4A" w:rsidRPr="009F2D28">
        <w:rPr>
          <w:lang w:val="sq-AL"/>
        </w:rPr>
        <w:t xml:space="preserve">) përfaqësohej nga </w:t>
      </w:r>
      <w:r w:rsidR="000075B9">
        <w:rPr>
          <w:lang w:val="sq-AL"/>
        </w:rPr>
        <w:t>a</w:t>
      </w:r>
      <w:r w:rsidR="00422D4A" w:rsidRPr="009F2D28">
        <w:rPr>
          <w:lang w:val="sq-AL"/>
        </w:rPr>
        <w:t xml:space="preserve">gjenti i saj, Znj. L. Mandia e Zyrës së Avokatit të Shtetit.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3. </w:t>
      </w:r>
      <w:r w:rsidR="00422D4A" w:rsidRPr="009F2D28">
        <w:rPr>
          <w:lang w:val="sq-AL"/>
        </w:rPr>
        <w:t xml:space="preserve">Më 11 </w:t>
      </w:r>
      <w:r w:rsidR="009F2D28">
        <w:rPr>
          <w:lang w:val="sq-AL"/>
        </w:rPr>
        <w:t>k</w:t>
      </w:r>
      <w:r w:rsidR="00422D4A" w:rsidRPr="009F2D28">
        <w:rPr>
          <w:lang w:val="sq-AL"/>
        </w:rPr>
        <w:t xml:space="preserve">orrik 2011, aplikimi iu komunikua </w:t>
      </w:r>
      <w:r w:rsidR="000075B9">
        <w:rPr>
          <w:lang w:val="sq-AL"/>
        </w:rPr>
        <w:t>q</w:t>
      </w:r>
      <w:r w:rsidR="00422D4A" w:rsidRPr="009F2D28">
        <w:rPr>
          <w:lang w:val="sq-AL"/>
        </w:rPr>
        <w:t>everisë.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FAKTET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I. </w:t>
      </w:r>
      <w:r w:rsidR="00422D4A" w:rsidRPr="009F2D28">
        <w:rPr>
          <w:lang w:val="sq-AL"/>
        </w:rPr>
        <w:t>RRETHANAT E ÇËSHTJES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4. </w:t>
      </w:r>
      <w:r w:rsidR="00422D4A" w:rsidRPr="009F2D28">
        <w:rPr>
          <w:lang w:val="sq-AL"/>
        </w:rPr>
        <w:t xml:space="preserve">Ankuesi ka lindur në vitin 1942 dhe jeton në Tiranë.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5. </w:t>
      </w:r>
      <w:r w:rsidR="00422D4A" w:rsidRPr="009F2D28">
        <w:rPr>
          <w:lang w:val="sq-AL"/>
        </w:rPr>
        <w:t xml:space="preserve">Pas pushimit të ankuesit nga puna në vitin 2003, më 19 </w:t>
      </w:r>
      <w:r w:rsidR="000A11D1">
        <w:rPr>
          <w:lang w:val="sq-AL"/>
        </w:rPr>
        <w:t>j</w:t>
      </w:r>
      <w:r w:rsidR="00422D4A" w:rsidRPr="009F2D28">
        <w:rPr>
          <w:lang w:val="sq-AL"/>
        </w:rPr>
        <w:t xml:space="preserve">anar 2004, Gjykata e Rrethit Tiranë urdhëroi punëdhënësin e tij, Ministrinë e Ekonomisë, Tregtisë dhe </w:t>
      </w:r>
      <w:r w:rsidR="000A11D1" w:rsidRPr="009F2D28">
        <w:rPr>
          <w:lang w:val="sq-AL"/>
        </w:rPr>
        <w:t>Energjetikës</w:t>
      </w:r>
      <w:r w:rsidR="000A11D1">
        <w:rPr>
          <w:lang w:val="sq-AL"/>
        </w:rPr>
        <w:t xml:space="preserve"> (Ministria</w:t>
      </w:r>
      <w:r w:rsidR="00422D4A" w:rsidRPr="009F2D28">
        <w:rPr>
          <w:lang w:val="sq-AL"/>
        </w:rPr>
        <w:t xml:space="preserve">), të paguante rrogën e tij për të gjithë periudhën gjatë së cilës ai mbeti i papunë. Ky vendim u bë i formës së prerë më 2 </w:t>
      </w:r>
      <w:r w:rsidR="000A11D1">
        <w:rPr>
          <w:lang w:val="sq-AL"/>
        </w:rPr>
        <w:t>s</w:t>
      </w:r>
      <w:r w:rsidR="00422D4A" w:rsidRPr="009F2D28">
        <w:rPr>
          <w:lang w:val="sq-AL"/>
        </w:rPr>
        <w:t xml:space="preserve">hkurt 2007, pas refuzimit që Gjykata e Lartë i bëri apelimit të punëdhënësit.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6. </w:t>
      </w:r>
      <w:r w:rsidR="00422D4A" w:rsidRPr="009F2D28">
        <w:rPr>
          <w:lang w:val="sq-AL"/>
        </w:rPr>
        <w:t xml:space="preserve">Më 10 </w:t>
      </w:r>
      <w:r w:rsidR="000A11D1">
        <w:rPr>
          <w:lang w:val="sq-AL"/>
        </w:rPr>
        <w:t>s</w:t>
      </w:r>
      <w:r w:rsidR="00422D4A" w:rsidRPr="009F2D28">
        <w:rPr>
          <w:lang w:val="sq-AL"/>
        </w:rPr>
        <w:t xml:space="preserve">hkurt 2005, u lëshua urdhri për zbatim.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7. </w:t>
      </w:r>
      <w:r w:rsidR="00422D4A" w:rsidRPr="009F2D28">
        <w:rPr>
          <w:lang w:val="sq-AL"/>
        </w:rPr>
        <w:t xml:space="preserve">Nga 1 </w:t>
      </w:r>
      <w:r w:rsidR="000A11D1">
        <w:rPr>
          <w:lang w:val="sq-AL"/>
        </w:rPr>
        <w:t>j</w:t>
      </w:r>
      <w:r w:rsidR="00422D4A" w:rsidRPr="009F2D28">
        <w:rPr>
          <w:lang w:val="sq-AL"/>
        </w:rPr>
        <w:t xml:space="preserve">anari 2006 deri më 31 </w:t>
      </w:r>
      <w:r w:rsidR="000A11D1">
        <w:rPr>
          <w:lang w:val="sq-AL"/>
        </w:rPr>
        <w:t>j</w:t>
      </w:r>
      <w:r w:rsidR="00422D4A" w:rsidRPr="009F2D28">
        <w:rPr>
          <w:lang w:val="sq-AL"/>
        </w:rPr>
        <w:t xml:space="preserve">anar 2007, ankuesit iu paguan rregullisht pagat mujore si rezultat i përfshirjes së emrit të tij në listën e pritjes së punëdhënësit, duke qenë se nuk iu pagua asnjë rrogë për periudhën midis viteve 2003 dhe 2006.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8. </w:t>
      </w:r>
      <w:r w:rsidR="00422D4A" w:rsidRPr="009F2D28">
        <w:rPr>
          <w:lang w:val="sq-AL"/>
        </w:rPr>
        <w:t xml:space="preserve">Më 2 </w:t>
      </w:r>
      <w:r w:rsidR="000A11D1">
        <w:rPr>
          <w:lang w:val="sq-AL"/>
        </w:rPr>
        <w:t>s</w:t>
      </w:r>
      <w:r w:rsidR="00422D4A" w:rsidRPr="009F2D28">
        <w:rPr>
          <w:lang w:val="sq-AL"/>
        </w:rPr>
        <w:t>hkurt 2009, përmbaruesi vendosi të ndërpriste zbatimin me argumentin se shuma e prapambetur ishte paguar. Ankuesi e kundërshtoi vendimin e përmbaruesit.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9. </w:t>
      </w:r>
      <w:r w:rsidR="00422D4A" w:rsidRPr="009F2D28">
        <w:rPr>
          <w:lang w:val="sq-AL"/>
        </w:rPr>
        <w:t xml:space="preserve">Më 30 </w:t>
      </w:r>
      <w:r w:rsidR="000A11D1">
        <w:rPr>
          <w:lang w:val="sq-AL"/>
        </w:rPr>
        <w:t>p</w:t>
      </w:r>
      <w:r w:rsidR="00422D4A" w:rsidRPr="009F2D28">
        <w:rPr>
          <w:lang w:val="sq-AL"/>
        </w:rPr>
        <w:t>rill 2010, Gjykata e Rrethit Tiranë mori vendim në favor të ankuesit dhe urdhëroi përmbaruesin të vazhdonte me procedurat e zbatimit të vendimit. Ajo vendosi se punëdhën</w:t>
      </w:r>
      <w:r w:rsidR="000A11D1" w:rsidRPr="000A11D1">
        <w:rPr>
          <w:lang w:val="sq-AL"/>
        </w:rPr>
        <w:t>ë</w:t>
      </w:r>
      <w:r w:rsidR="00422D4A" w:rsidRPr="009F2D28">
        <w:rPr>
          <w:lang w:val="sq-AL"/>
        </w:rPr>
        <w:t>si i kishte paguar ankuesit shumën prej 2,065,101 lekë shqiptarë (</w:t>
      </w:r>
      <w:r w:rsidR="000A11D1">
        <w:rPr>
          <w:lang w:val="sq-AL"/>
        </w:rPr>
        <w:t>t</w:t>
      </w:r>
      <w:r w:rsidR="00422D4A" w:rsidRPr="009F2D28">
        <w:rPr>
          <w:lang w:val="sq-AL"/>
        </w:rPr>
        <w:t xml:space="preserve">ë gjitha) nga një total prej 2,887,500 i gjithi, i përcaktuar për të për periudhën midis 2003 dhe 2006.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10. </w:t>
      </w:r>
      <w:r w:rsidR="00422D4A" w:rsidRPr="009F2D28">
        <w:rPr>
          <w:lang w:val="sq-AL"/>
        </w:rPr>
        <w:t xml:space="preserve">Më 30 </w:t>
      </w:r>
      <w:r w:rsidR="000A11D1">
        <w:rPr>
          <w:lang w:val="sq-AL"/>
        </w:rPr>
        <w:t>q</w:t>
      </w:r>
      <w:r w:rsidR="00422D4A" w:rsidRPr="009F2D28">
        <w:rPr>
          <w:lang w:val="sq-AL"/>
        </w:rPr>
        <w:t xml:space="preserve">ershor 2011, pas apelimit të përmbaruesit, Gjykata e Apelit e mbështeti atë vendim.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11. </w:t>
      </w:r>
      <w:r w:rsidR="00422D4A" w:rsidRPr="009F2D28">
        <w:rPr>
          <w:lang w:val="sq-AL"/>
        </w:rPr>
        <w:t xml:space="preserve">Më 18 </w:t>
      </w:r>
      <w:r w:rsidR="000A11D1">
        <w:rPr>
          <w:lang w:val="sq-AL"/>
        </w:rPr>
        <w:t>j</w:t>
      </w:r>
      <w:r w:rsidR="00422D4A" w:rsidRPr="009F2D28">
        <w:rPr>
          <w:lang w:val="sq-AL"/>
        </w:rPr>
        <w:t xml:space="preserve">anar 2012, Ministria urdhëroi pagesën e shumës së mbetur.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12. </w:t>
      </w:r>
      <w:r w:rsidR="00422D4A" w:rsidRPr="009F2D28">
        <w:rPr>
          <w:lang w:val="sq-AL"/>
        </w:rPr>
        <w:t xml:space="preserve">Më 8 </w:t>
      </w:r>
      <w:r w:rsidR="000A11D1">
        <w:rPr>
          <w:lang w:val="sq-AL"/>
        </w:rPr>
        <w:t>m</w:t>
      </w:r>
      <w:r w:rsidR="00422D4A" w:rsidRPr="009F2D28">
        <w:rPr>
          <w:lang w:val="sq-AL"/>
        </w:rPr>
        <w:t xml:space="preserve">ars 2012, vendimi për borxhin e ankuesit u zbatua plotësisht.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II. </w:t>
      </w:r>
      <w:r w:rsidR="00422D4A" w:rsidRPr="009F2D28">
        <w:rPr>
          <w:lang w:val="sq-AL"/>
        </w:rPr>
        <w:t>LIGJI VENDAS DHE PRAKTIKA PËRKATËSE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13. </w:t>
      </w:r>
      <w:r w:rsidR="00422D4A" w:rsidRPr="009F2D28">
        <w:rPr>
          <w:lang w:val="sq-AL"/>
        </w:rPr>
        <w:t xml:space="preserve">Ligji respektiv vendas dhe praktika janë përshkruar në çështjet e </w:t>
      </w:r>
      <w:r w:rsidR="00422D4A" w:rsidRPr="00A73E1D">
        <w:rPr>
          <w:i/>
          <w:lang w:val="sq-AL"/>
        </w:rPr>
        <w:t xml:space="preserve">Qufaj Co. </w:t>
      </w:r>
      <w:r w:rsidR="000075B9" w:rsidRPr="00A73E1D">
        <w:rPr>
          <w:i/>
          <w:lang w:val="sq-AL"/>
        </w:rPr>
        <w:t>s</w:t>
      </w:r>
      <w:r w:rsidR="00422D4A" w:rsidRPr="00A73E1D">
        <w:rPr>
          <w:i/>
          <w:lang w:val="sq-AL"/>
        </w:rPr>
        <w:t>h.p.k</w:t>
      </w:r>
      <w:r w:rsidR="00422D4A" w:rsidRPr="009F2D28">
        <w:rPr>
          <w:lang w:val="sq-AL"/>
        </w:rPr>
        <w:t xml:space="preserve">. </w:t>
      </w:r>
      <w:r w:rsidR="00422D4A" w:rsidRPr="00A73E1D">
        <w:rPr>
          <w:i/>
          <w:lang w:val="sq-AL"/>
        </w:rPr>
        <w:t>kundër Shqipërisë</w:t>
      </w:r>
      <w:r w:rsidR="00422D4A" w:rsidRPr="009F2D28">
        <w:rPr>
          <w:lang w:val="sq-AL"/>
        </w:rPr>
        <w:t xml:space="preserve"> (nr. 54268/00, §§ 21-26, 18 </w:t>
      </w:r>
      <w:r w:rsidR="000A11D1">
        <w:rPr>
          <w:lang w:val="sq-AL"/>
        </w:rPr>
        <w:t>n</w:t>
      </w:r>
      <w:r w:rsidR="00422D4A" w:rsidRPr="009F2D28">
        <w:rPr>
          <w:lang w:val="sq-AL"/>
        </w:rPr>
        <w:t xml:space="preserve">ëntor 2004) dhe </w:t>
      </w:r>
      <w:r w:rsidR="00422D4A" w:rsidRPr="00A73E1D">
        <w:rPr>
          <w:i/>
          <w:lang w:val="sq-AL"/>
        </w:rPr>
        <w:t>Gjyli kundër Shqipërisë</w:t>
      </w:r>
      <w:r w:rsidR="00422D4A" w:rsidRPr="009F2D28">
        <w:rPr>
          <w:lang w:val="sq-AL"/>
        </w:rPr>
        <w:t xml:space="preserve"> (nr. 32907/07, §§ 19-28, 29 </w:t>
      </w:r>
      <w:r w:rsidR="000A11D1">
        <w:rPr>
          <w:lang w:val="sq-AL"/>
        </w:rPr>
        <w:t>s</w:t>
      </w:r>
      <w:r w:rsidR="00422D4A" w:rsidRPr="009F2D28">
        <w:rPr>
          <w:lang w:val="sq-AL"/>
        </w:rPr>
        <w:t xml:space="preserve">htator 2009). </w:t>
      </w:r>
    </w:p>
    <w:p w:rsidR="00422D4A" w:rsidRDefault="00422D4A" w:rsidP="000E2691">
      <w:pPr>
        <w:pStyle w:val="Paragrafi"/>
        <w:rPr>
          <w:sz w:val="18"/>
          <w:lang w:val="sq-AL"/>
        </w:rPr>
      </w:pPr>
    </w:p>
    <w:p w:rsidR="007D3FEF" w:rsidRDefault="007D3FEF" w:rsidP="000E2691">
      <w:pPr>
        <w:pStyle w:val="Paragrafi"/>
        <w:rPr>
          <w:sz w:val="18"/>
          <w:lang w:val="sq-AL"/>
        </w:rPr>
      </w:pPr>
    </w:p>
    <w:p w:rsidR="007D3FEF" w:rsidRPr="009E499A" w:rsidRDefault="007D3FEF" w:rsidP="000E2691">
      <w:pPr>
        <w:pStyle w:val="Paragrafi"/>
        <w:rPr>
          <w:sz w:val="18"/>
          <w:lang w:val="sq-AL"/>
        </w:rPr>
      </w:pP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LIGJI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14. </w:t>
      </w:r>
      <w:r w:rsidR="00422D4A" w:rsidRPr="009F2D28">
        <w:rPr>
          <w:lang w:val="sq-AL"/>
        </w:rPr>
        <w:t xml:space="preserve">Ankuesi parashtroi se moszbatimi i vendimit të Gjykatës së Rrethit Tiranë, i datës 19 </w:t>
      </w:r>
      <w:r w:rsidR="000A11D1">
        <w:rPr>
          <w:lang w:val="sq-AL"/>
        </w:rPr>
        <w:t>j</w:t>
      </w:r>
      <w:r w:rsidR="00422D4A" w:rsidRPr="009F2D28">
        <w:rPr>
          <w:lang w:val="sq-AL"/>
        </w:rPr>
        <w:t xml:space="preserve">anar 2004, siç mbështetet edhe nga vendimi i Gjykatës së Lartë, i datës 2 </w:t>
      </w:r>
      <w:r w:rsidR="000A11D1">
        <w:rPr>
          <w:lang w:val="sq-AL"/>
        </w:rPr>
        <w:t>s</w:t>
      </w:r>
      <w:r w:rsidR="00422D4A" w:rsidRPr="009F2D28">
        <w:rPr>
          <w:lang w:val="sq-AL"/>
        </w:rPr>
        <w:t xml:space="preserve">hkurt 2007, ka shkelur të drejtat e tij sipas </w:t>
      </w:r>
      <w:r w:rsidR="000A11D1">
        <w:rPr>
          <w:lang w:val="sq-AL"/>
        </w:rPr>
        <w:t>n</w:t>
      </w:r>
      <w:r w:rsidR="00422D4A" w:rsidRPr="009F2D28">
        <w:rPr>
          <w:lang w:val="sq-AL"/>
        </w:rPr>
        <w:t xml:space="preserve">eneve 6§1 dhe 13 të </w:t>
      </w:r>
      <w:r w:rsidR="004334AE">
        <w:rPr>
          <w:lang w:val="sq-AL"/>
        </w:rPr>
        <w:t>k</w:t>
      </w:r>
      <w:r w:rsidR="00422D4A" w:rsidRPr="009F2D28">
        <w:rPr>
          <w:lang w:val="sq-AL"/>
        </w:rPr>
        <w:t xml:space="preserve">onventës, ashtu si edhe në përputhje me </w:t>
      </w:r>
      <w:r w:rsidR="000A11D1">
        <w:rPr>
          <w:lang w:val="sq-AL"/>
        </w:rPr>
        <w:t>n</w:t>
      </w:r>
      <w:r w:rsidR="00422D4A" w:rsidRPr="009F2D28">
        <w:rPr>
          <w:lang w:val="sq-AL"/>
        </w:rPr>
        <w:t xml:space="preserve">enin 1 të </w:t>
      </w:r>
      <w:r w:rsidR="004334AE">
        <w:rPr>
          <w:lang w:val="sq-AL"/>
        </w:rPr>
        <w:t>p</w:t>
      </w:r>
      <w:r w:rsidR="00422D4A" w:rsidRPr="009F2D28">
        <w:rPr>
          <w:lang w:val="sq-AL"/>
        </w:rPr>
        <w:t xml:space="preserve">rotokollit të </w:t>
      </w:r>
      <w:r w:rsidR="004334AE">
        <w:rPr>
          <w:lang w:val="sq-AL"/>
        </w:rPr>
        <w:t>k</w:t>
      </w:r>
      <w:r w:rsidR="00422D4A" w:rsidRPr="009F2D28">
        <w:rPr>
          <w:lang w:val="sq-AL"/>
        </w:rPr>
        <w:t xml:space="preserve">onventës, të cilët pohojnë si më poshtë: </w:t>
      </w:r>
    </w:p>
    <w:p w:rsidR="00422D4A" w:rsidRPr="009E499A" w:rsidRDefault="00422D4A" w:rsidP="000E2691">
      <w:pPr>
        <w:pStyle w:val="Paragrafi"/>
        <w:rPr>
          <w:sz w:val="16"/>
          <w:lang w:val="sq-AL"/>
        </w:rPr>
      </w:pPr>
    </w:p>
    <w:p w:rsidR="00422D4A" w:rsidRPr="009F2D28" w:rsidRDefault="00422D4A" w:rsidP="008F2B45">
      <w:pPr>
        <w:pStyle w:val="NeniNr"/>
        <w:rPr>
          <w:lang w:val="sq-AL"/>
        </w:rPr>
      </w:pPr>
      <w:r w:rsidRPr="009F2D28">
        <w:rPr>
          <w:lang w:val="sq-AL"/>
        </w:rPr>
        <w:t>Neni 6 § 1</w:t>
      </w:r>
    </w:p>
    <w:p w:rsidR="00422D4A" w:rsidRPr="009E499A" w:rsidRDefault="00422D4A" w:rsidP="000E2691">
      <w:pPr>
        <w:pStyle w:val="Paragrafi"/>
        <w:rPr>
          <w:sz w:val="14"/>
          <w:lang w:val="sq-AL"/>
        </w:rPr>
      </w:pP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“Në përcaktimin e të drejtave dhe detyrimeve të tij civile … çdonjërit i jepet e drejta për t’u dëgjuar … në mënyrë të drejtë … nga një … gjykatë”</w:t>
      </w:r>
    </w:p>
    <w:p w:rsidR="00422D4A" w:rsidRPr="009E499A" w:rsidRDefault="00422D4A" w:rsidP="000E2691">
      <w:pPr>
        <w:pStyle w:val="Paragrafi"/>
        <w:rPr>
          <w:sz w:val="14"/>
          <w:lang w:val="sq-AL"/>
        </w:rPr>
      </w:pPr>
    </w:p>
    <w:p w:rsidR="00422D4A" w:rsidRPr="009F2D28" w:rsidRDefault="00422D4A" w:rsidP="008F2B45">
      <w:pPr>
        <w:pStyle w:val="NeniNr"/>
        <w:rPr>
          <w:lang w:val="sq-AL"/>
        </w:rPr>
      </w:pPr>
      <w:r w:rsidRPr="009F2D28">
        <w:rPr>
          <w:lang w:val="sq-AL"/>
        </w:rPr>
        <w:t>Neni 13</w:t>
      </w:r>
    </w:p>
    <w:p w:rsidR="00422D4A" w:rsidRPr="009E499A" w:rsidRDefault="00422D4A" w:rsidP="000E2691">
      <w:pPr>
        <w:pStyle w:val="Paragrafi"/>
        <w:rPr>
          <w:sz w:val="14"/>
          <w:lang w:val="sq-AL"/>
        </w:rPr>
      </w:pP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“Çdonjëri, të drejtat dhe liritë e të cilit, siç parashtrohen në </w:t>
      </w:r>
      <w:r w:rsidR="004334AE">
        <w:rPr>
          <w:lang w:val="sq-AL"/>
        </w:rPr>
        <w:t>k</w:t>
      </w:r>
      <w:r w:rsidRPr="009F2D28">
        <w:rPr>
          <w:lang w:val="sq-AL"/>
        </w:rPr>
        <w:t>onventë, dhunohen, do të marrë një kompensim përpara një autoriteti kombëtar, pavarësisht faktit se dhunimi mund të jetë bërë nga persona</w:t>
      </w:r>
      <w:r w:rsidR="00A73E1D">
        <w:rPr>
          <w:lang w:val="sq-AL"/>
        </w:rPr>
        <w:t>,</w:t>
      </w:r>
      <w:r w:rsidRPr="009F2D28">
        <w:rPr>
          <w:lang w:val="sq-AL"/>
        </w:rPr>
        <w:t xml:space="preserve"> të cilët veprojnë nën një kompetencë zyrtare.”</w:t>
      </w:r>
    </w:p>
    <w:p w:rsidR="00422D4A" w:rsidRPr="009E499A" w:rsidRDefault="00422D4A" w:rsidP="000E2691">
      <w:pPr>
        <w:pStyle w:val="Paragrafi"/>
        <w:rPr>
          <w:sz w:val="16"/>
          <w:lang w:val="sq-AL"/>
        </w:rPr>
      </w:pPr>
    </w:p>
    <w:p w:rsidR="00422D4A" w:rsidRPr="009F2D28" w:rsidRDefault="00422D4A" w:rsidP="008F2B45">
      <w:pPr>
        <w:pStyle w:val="NeniNr"/>
        <w:rPr>
          <w:lang w:val="sq-AL"/>
        </w:rPr>
      </w:pPr>
      <w:r w:rsidRPr="009F2D28">
        <w:rPr>
          <w:lang w:val="sq-AL"/>
        </w:rPr>
        <w:t xml:space="preserve">Neni 1 i </w:t>
      </w:r>
      <w:r w:rsidR="004334AE">
        <w:rPr>
          <w:lang w:val="sq-AL"/>
        </w:rPr>
        <w:t>p</w:t>
      </w:r>
      <w:r w:rsidRPr="009F2D28">
        <w:rPr>
          <w:lang w:val="sq-AL"/>
        </w:rPr>
        <w:t xml:space="preserve">rotokollit </w:t>
      </w:r>
      <w:r w:rsidR="000A11D1">
        <w:rPr>
          <w:lang w:val="sq-AL"/>
        </w:rPr>
        <w:t>n</w:t>
      </w:r>
      <w:r w:rsidRPr="009F2D28">
        <w:rPr>
          <w:lang w:val="sq-AL"/>
        </w:rPr>
        <w:t>r.</w:t>
      </w:r>
      <w:r w:rsidR="000A11D1">
        <w:rPr>
          <w:lang w:val="sq-AL"/>
        </w:rPr>
        <w:t xml:space="preserve"> </w:t>
      </w:r>
      <w:r w:rsidRPr="009F2D28">
        <w:rPr>
          <w:lang w:val="sq-AL"/>
        </w:rPr>
        <w:t>1</w:t>
      </w:r>
    </w:p>
    <w:p w:rsidR="00422D4A" w:rsidRPr="009E499A" w:rsidRDefault="00422D4A" w:rsidP="000E2691">
      <w:pPr>
        <w:pStyle w:val="Paragrafi"/>
        <w:rPr>
          <w:sz w:val="8"/>
          <w:lang w:val="sq-AL"/>
        </w:rPr>
      </w:pP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“Çdo individ human apo ligjor ka të drejtën të gëzojë pronat e tij. Asnjë nuk privohet nga pronat e tij</w:t>
      </w:r>
      <w:r w:rsidR="00A73E1D">
        <w:rPr>
          <w:lang w:val="sq-AL"/>
        </w:rPr>
        <w:t>,</w:t>
      </w:r>
      <w:r w:rsidRPr="009F2D28">
        <w:rPr>
          <w:lang w:val="sq-AL"/>
        </w:rPr>
        <w:t xml:space="preserve"> përveçse </w:t>
      </w:r>
      <w:r w:rsidR="00A73E1D">
        <w:rPr>
          <w:lang w:val="sq-AL"/>
        </w:rPr>
        <w:t>kur ato janë në interesa publikë</w:t>
      </w:r>
      <w:r w:rsidRPr="009F2D28">
        <w:rPr>
          <w:lang w:val="sq-AL"/>
        </w:rPr>
        <w:t xml:space="preserve"> dhe subjekte të kushteve të parashikuara nga ligji dhe nga parimet e përgjithshme të ligjit ndërkombëtar. 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Megjithatë, parashikimet e mëparshme nuk do të zvogëlojnë të drejtën e një </w:t>
      </w:r>
      <w:r w:rsidR="000A11D1">
        <w:rPr>
          <w:lang w:val="sq-AL"/>
        </w:rPr>
        <w:t>s</w:t>
      </w:r>
      <w:r w:rsidRPr="009F2D28">
        <w:rPr>
          <w:lang w:val="sq-AL"/>
        </w:rPr>
        <w:t>hteti t’i zbatojë këto ligje për aq kohë sa është i nevojshëm kontrolli mbi pronën në përputhje me interesin e përgjithshëm, apo edhe pagesa e taksave, kontributeve apo penaliteteve të tjera.”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I. </w:t>
      </w:r>
      <w:r w:rsidR="00422D4A" w:rsidRPr="009F2D28">
        <w:rPr>
          <w:lang w:val="sq-AL"/>
        </w:rPr>
        <w:t>KËRKESA E QEVERISË PËR TA ANULUAR ÇËSHTJEN E APLIKIMIT SIPAS NENIT 37 TË KONVENTËS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15. </w:t>
      </w:r>
      <w:r w:rsidR="00422D4A" w:rsidRPr="009F2D28">
        <w:rPr>
          <w:lang w:val="sq-AL"/>
        </w:rPr>
        <w:t xml:space="preserve">Me anë të një letre të datës 18 </w:t>
      </w:r>
      <w:r w:rsidR="000A11D1">
        <w:rPr>
          <w:lang w:val="sq-AL"/>
        </w:rPr>
        <w:t>j</w:t>
      </w:r>
      <w:r w:rsidR="00422D4A" w:rsidRPr="009F2D28">
        <w:rPr>
          <w:lang w:val="sq-AL"/>
        </w:rPr>
        <w:t xml:space="preserve">anar 2012, </w:t>
      </w:r>
      <w:r w:rsidR="004334AE">
        <w:rPr>
          <w:lang w:val="sq-AL"/>
        </w:rPr>
        <w:t>q</w:t>
      </w:r>
      <w:r w:rsidR="00422D4A" w:rsidRPr="009F2D28">
        <w:rPr>
          <w:lang w:val="sq-AL"/>
        </w:rPr>
        <w:t xml:space="preserve">everia paraqiti një deklaratë të njëanshme me synimin për të zgjidhur çështjen e ngritur nga aplikimi.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16. </w:t>
      </w:r>
      <w:r w:rsidR="00422D4A" w:rsidRPr="009F2D28">
        <w:rPr>
          <w:lang w:val="sq-AL"/>
        </w:rPr>
        <w:t xml:space="preserve">Ankuesi i kërkoi Gjykatës të kundërshtonte kushtet e paqarta të të deklaratës së njëanshme të </w:t>
      </w:r>
      <w:r w:rsidR="004334AE">
        <w:rPr>
          <w:lang w:val="sq-AL"/>
        </w:rPr>
        <w:t>q</w:t>
      </w:r>
      <w:r w:rsidR="00422D4A" w:rsidRPr="009F2D28">
        <w:rPr>
          <w:lang w:val="sq-AL"/>
        </w:rPr>
        <w:t xml:space="preserve">everisë. </w:t>
      </w:r>
    </w:p>
    <w:p w:rsidR="00422D4A" w:rsidRPr="009F2D28" w:rsidRDefault="008F2B45" w:rsidP="00F00C01">
      <w:pPr>
        <w:pStyle w:val="Paragrafi"/>
        <w:rPr>
          <w:lang w:val="sq-AL"/>
        </w:rPr>
      </w:pPr>
      <w:r w:rsidRPr="009F2D28">
        <w:rPr>
          <w:lang w:val="sq-AL"/>
        </w:rPr>
        <w:t xml:space="preserve">17. </w:t>
      </w:r>
      <w:r w:rsidR="00422D4A" w:rsidRPr="009F2D28">
        <w:rPr>
          <w:lang w:val="sq-AL"/>
        </w:rPr>
        <w:t xml:space="preserve">Pasi studioi kushtet e deklaratës së njëanshme të </w:t>
      </w:r>
      <w:r w:rsidR="004334AE">
        <w:rPr>
          <w:lang w:val="sq-AL"/>
        </w:rPr>
        <w:t>q</w:t>
      </w:r>
      <w:r w:rsidR="00422D4A" w:rsidRPr="009F2D28">
        <w:rPr>
          <w:lang w:val="sq-AL"/>
        </w:rPr>
        <w:t xml:space="preserve">everisë, Gjykata mendon se nën rrethanat specifike të çështjes së ankuesit, ajo nuk ka baza të mjaftueshme për të konkluduar se respekton të drejtat e njeriut, siç përcaktohet në </w:t>
      </w:r>
      <w:r w:rsidR="00A229D6" w:rsidRPr="00F00C01">
        <w:rPr>
          <w:lang w:val="sq-AL"/>
        </w:rPr>
        <w:t>k</w:t>
      </w:r>
      <w:r w:rsidR="00422D4A" w:rsidRPr="00F00C01">
        <w:rPr>
          <w:lang w:val="sq-AL"/>
        </w:rPr>
        <w:t>onventë dhe në</w:t>
      </w:r>
      <w:r w:rsidR="00422D4A" w:rsidRPr="009F2D28">
        <w:rPr>
          <w:lang w:val="sq-AL"/>
        </w:rPr>
        <w:t xml:space="preserve"> </w:t>
      </w:r>
      <w:r w:rsidR="00F00C01">
        <w:rPr>
          <w:lang w:val="sq-AL"/>
        </w:rPr>
        <w:t>p</w:t>
      </w:r>
      <w:r w:rsidR="00422D4A" w:rsidRPr="009F2D28">
        <w:rPr>
          <w:lang w:val="sq-AL"/>
        </w:rPr>
        <w:t>rotokollet e saj, dhe nuk i kërkon asaj që të vazhdojë ekzaminimin e çështjes (shiko, midis të tje</w:t>
      </w:r>
      <w:r w:rsidR="00E444DB">
        <w:rPr>
          <w:lang w:val="sq-AL"/>
        </w:rPr>
        <w:t xml:space="preserve">rëve, </w:t>
      </w:r>
      <w:r w:rsidR="00E444DB" w:rsidRPr="000A235C">
        <w:rPr>
          <w:i/>
          <w:lang w:val="sq-AL"/>
        </w:rPr>
        <w:t>Choumakov kundër Polonisë</w:t>
      </w:r>
      <w:r w:rsidR="00422D4A" w:rsidRPr="009F2D28">
        <w:rPr>
          <w:lang w:val="sq-AL"/>
        </w:rPr>
        <w:t xml:space="preserve"> (nr.</w:t>
      </w:r>
      <w:r w:rsidR="00E64E32">
        <w:rPr>
          <w:lang w:val="sq-AL"/>
        </w:rPr>
        <w:t xml:space="preserve"> </w:t>
      </w:r>
      <w:r w:rsidR="00422D4A" w:rsidRPr="009F2D28">
        <w:rPr>
          <w:lang w:val="sq-AL"/>
        </w:rPr>
        <w:t xml:space="preserve">2), nr. 55/777/08, §§ 37-40, 1 </w:t>
      </w:r>
      <w:r w:rsidR="00836EE9">
        <w:rPr>
          <w:lang w:val="sq-AL"/>
        </w:rPr>
        <w:t>s</w:t>
      </w:r>
      <w:r w:rsidR="00422D4A" w:rsidRPr="009F2D28">
        <w:rPr>
          <w:lang w:val="sq-AL"/>
        </w:rPr>
        <w:t xml:space="preserve">hkurt 2012 dhe </w:t>
      </w:r>
      <w:r w:rsidR="00422D4A" w:rsidRPr="000A235C">
        <w:rPr>
          <w:i/>
          <w:lang w:val="sq-AL"/>
        </w:rPr>
        <w:t>Ruprecht kundër Polonisë</w:t>
      </w:r>
      <w:r w:rsidR="00422D4A" w:rsidRPr="009F2D28">
        <w:rPr>
          <w:lang w:val="sq-AL"/>
        </w:rPr>
        <w:t xml:space="preserve">, nr. 39912/06, §§ 25-27, 21 </w:t>
      </w:r>
      <w:r w:rsidR="00836EE9">
        <w:rPr>
          <w:lang w:val="sq-AL"/>
        </w:rPr>
        <w:t>s</w:t>
      </w:r>
      <w:r w:rsidR="00422D4A" w:rsidRPr="009F2D28">
        <w:rPr>
          <w:lang w:val="sq-AL"/>
        </w:rPr>
        <w:t xml:space="preserve">hkurt 2012).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18. </w:t>
      </w:r>
      <w:r w:rsidR="00422D4A" w:rsidRPr="009F2D28">
        <w:rPr>
          <w:lang w:val="sq-AL"/>
        </w:rPr>
        <w:t xml:space="preserve">Kështu, Gjykata e kundërshton kërkesën e </w:t>
      </w:r>
      <w:r w:rsidR="004334AE">
        <w:rPr>
          <w:lang w:val="sq-AL"/>
        </w:rPr>
        <w:t>q</w:t>
      </w:r>
      <w:r w:rsidR="00422D4A" w:rsidRPr="009F2D28">
        <w:rPr>
          <w:lang w:val="sq-AL"/>
        </w:rPr>
        <w:t xml:space="preserve">everisë për të anuluar aplikimin sipas </w:t>
      </w:r>
      <w:r w:rsidR="004334AE">
        <w:rPr>
          <w:lang w:val="sq-AL"/>
        </w:rPr>
        <w:t>n</w:t>
      </w:r>
      <w:r w:rsidR="00422D4A" w:rsidRPr="009F2D28">
        <w:rPr>
          <w:lang w:val="sq-AL"/>
        </w:rPr>
        <w:t xml:space="preserve">enit 37 të </w:t>
      </w:r>
      <w:r w:rsidR="004334AE">
        <w:rPr>
          <w:lang w:val="sq-AL"/>
        </w:rPr>
        <w:t>k</w:t>
      </w:r>
      <w:r w:rsidR="000A235C">
        <w:rPr>
          <w:lang w:val="sq-AL"/>
        </w:rPr>
        <w:t>onventës dhe do të ndjekë,</w:t>
      </w:r>
      <w:r w:rsidR="00422D4A" w:rsidRPr="009F2D28">
        <w:rPr>
          <w:lang w:val="sq-AL"/>
        </w:rPr>
        <w:t xml:space="preserve"> sipas rastit</w:t>
      </w:r>
      <w:r w:rsidR="000A235C">
        <w:rPr>
          <w:lang w:val="sq-AL"/>
        </w:rPr>
        <w:t>,</w:t>
      </w:r>
      <w:r w:rsidR="00422D4A" w:rsidRPr="009F2D28">
        <w:rPr>
          <w:lang w:val="sq-AL"/>
        </w:rPr>
        <w:t xml:space="preserve"> ekzaminimin e tij të pranueshmërisë dhe të drejtave ligjore të çështjes. </w:t>
      </w:r>
    </w:p>
    <w:p w:rsidR="00422D4A" w:rsidRPr="009F2D28" w:rsidRDefault="008F2B45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II. </w:t>
      </w:r>
      <w:r w:rsidR="00422D4A" w:rsidRPr="009F2D28">
        <w:rPr>
          <w:lang w:val="sq-AL"/>
        </w:rPr>
        <w:t xml:space="preserve">PRETENDIMI PËR DHUNIM TË NENEVE 6 § 1 DHE 13 TË KONVENTËS DHE NENIT 1 TË PROTOKOLLIT NR. 1 TË KONVENTËS </w:t>
      </w:r>
    </w:p>
    <w:p w:rsidR="00422D4A" w:rsidRPr="009F2D28" w:rsidRDefault="00422D4A" w:rsidP="008F2B45">
      <w:pPr>
        <w:pStyle w:val="Paragrafi"/>
        <w:numPr>
          <w:ilvl w:val="0"/>
          <w:numId w:val="4"/>
        </w:numPr>
        <w:rPr>
          <w:b/>
          <w:lang w:val="sq-AL"/>
        </w:rPr>
      </w:pPr>
      <w:r w:rsidRPr="009F2D28">
        <w:rPr>
          <w:b/>
          <w:lang w:val="sq-AL"/>
        </w:rPr>
        <w:t xml:space="preserve">Pranueshmëria </w:t>
      </w:r>
    </w:p>
    <w:p w:rsidR="00422D4A" w:rsidRPr="009F2D28" w:rsidRDefault="00531E55" w:rsidP="000E2691">
      <w:pPr>
        <w:pStyle w:val="Paragrafi"/>
        <w:rPr>
          <w:lang w:val="sq-AL"/>
        </w:rPr>
      </w:pPr>
      <w:r>
        <w:rPr>
          <w:lang w:val="sq-AL"/>
        </w:rPr>
        <w:t xml:space="preserve">19. </w:t>
      </w:r>
      <w:r w:rsidR="000A235C">
        <w:rPr>
          <w:lang w:val="sq-AL"/>
        </w:rPr>
        <w:t>Sipas asaj ç</w:t>
      </w:r>
      <w:r w:rsidR="00422D4A" w:rsidRPr="009F2D28">
        <w:rPr>
          <w:lang w:val="sq-AL"/>
        </w:rPr>
        <w:t xml:space="preserve">ka thuhet në </w:t>
      </w:r>
      <w:r w:rsidR="00836EE9">
        <w:rPr>
          <w:lang w:val="sq-AL"/>
        </w:rPr>
        <w:t>n</w:t>
      </w:r>
      <w:r w:rsidR="00422D4A" w:rsidRPr="009F2D28">
        <w:rPr>
          <w:lang w:val="sq-AL"/>
        </w:rPr>
        <w:t xml:space="preserve">enin 35 § 3 të </w:t>
      </w:r>
      <w:r w:rsidR="00E64E32">
        <w:rPr>
          <w:lang w:val="sq-AL"/>
        </w:rPr>
        <w:t>k</w:t>
      </w:r>
      <w:r w:rsidR="00422D4A" w:rsidRPr="009F2D28">
        <w:rPr>
          <w:lang w:val="sq-AL"/>
        </w:rPr>
        <w:t>onventës, Gjykata vëren se këto ankesa nuk janë të pabaza. Më tej ajo vëren se ato nuk janë të papranueshme në ndonjë pikë të caktuar. Për këtë arsye</w:t>
      </w:r>
      <w:r>
        <w:rPr>
          <w:lang w:val="sq-AL"/>
        </w:rPr>
        <w:t>,</w:t>
      </w:r>
      <w:r w:rsidR="00422D4A" w:rsidRPr="009F2D28">
        <w:rPr>
          <w:lang w:val="sq-AL"/>
        </w:rPr>
        <w:t xml:space="preserve"> ato duhet të deklarohen të pranueshme. </w:t>
      </w:r>
    </w:p>
    <w:p w:rsidR="00422D4A" w:rsidRPr="009F2D28" w:rsidRDefault="008F2B45" w:rsidP="000E2691">
      <w:pPr>
        <w:pStyle w:val="Paragrafi"/>
        <w:rPr>
          <w:b/>
          <w:lang w:val="sq-AL"/>
        </w:rPr>
      </w:pPr>
      <w:r w:rsidRPr="009F2D28">
        <w:rPr>
          <w:b/>
          <w:lang w:val="sq-AL"/>
        </w:rPr>
        <w:t xml:space="preserve">B. </w:t>
      </w:r>
      <w:r w:rsidR="00422D4A" w:rsidRPr="009F2D28">
        <w:rPr>
          <w:b/>
          <w:lang w:val="sq-AL"/>
        </w:rPr>
        <w:t>Përmbajtja e çështjes</w:t>
      </w:r>
    </w:p>
    <w:p w:rsidR="00422D4A" w:rsidRPr="009F2D28" w:rsidRDefault="00B126F0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20. </w:t>
      </w:r>
      <w:r w:rsidR="00422D4A" w:rsidRPr="009F2D28">
        <w:rPr>
          <w:lang w:val="sq-AL"/>
        </w:rPr>
        <w:t xml:space="preserve">Ankuesi parashtroi faktin se zbatimi i vendimit final në favor të tij është shtyrë për një kohë të gjatë, pasi vendimi u zbatua vetëm më 8 </w:t>
      </w:r>
      <w:r w:rsidR="00836EE9">
        <w:rPr>
          <w:lang w:val="sq-AL"/>
        </w:rPr>
        <w:t>m</w:t>
      </w:r>
      <w:r w:rsidR="00422D4A" w:rsidRPr="009F2D28">
        <w:rPr>
          <w:lang w:val="sq-AL"/>
        </w:rPr>
        <w:t>ars 2012. Pavarësisht se ishte përfshirë në listën e pritjes së punëdhënësit, ai deklaroi se mungesa e një kompensimi efektiv dhe rrethanat e çështjes së tij “e detyruan” atë të aplikonte për një tërheqje të hershme nga puna.</w:t>
      </w:r>
    </w:p>
    <w:p w:rsidR="00422D4A" w:rsidRPr="009F2D28" w:rsidRDefault="00B126F0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21. </w:t>
      </w:r>
      <w:r w:rsidR="00422D4A" w:rsidRPr="009F2D28">
        <w:rPr>
          <w:lang w:val="sq-AL"/>
        </w:rPr>
        <w:t xml:space="preserve">Qeveria parashtroi faktin se vendimi u zbatua përfundimisht më 18 </w:t>
      </w:r>
      <w:r w:rsidR="00836EE9">
        <w:rPr>
          <w:lang w:val="sq-AL"/>
        </w:rPr>
        <w:t>j</w:t>
      </w:r>
      <w:r w:rsidR="00422D4A" w:rsidRPr="009F2D28">
        <w:rPr>
          <w:lang w:val="sq-AL"/>
        </w:rPr>
        <w:t xml:space="preserve">anar 2012. Për më tepër, ankuesi ishte përfshirë në listën e pritjes së punëdhënësit që më 1 </w:t>
      </w:r>
      <w:r w:rsidR="00836EE9">
        <w:rPr>
          <w:lang w:val="sq-AL"/>
        </w:rPr>
        <w:t>j</w:t>
      </w:r>
      <w:r w:rsidR="00422D4A" w:rsidRPr="009F2D28">
        <w:rPr>
          <w:lang w:val="sq-AL"/>
        </w:rPr>
        <w:t xml:space="preserve">anar 2006, dhe moszbatimi i vendimit i referohet një periudhe vetëm midis 10 </w:t>
      </w:r>
      <w:r w:rsidR="00836EE9">
        <w:rPr>
          <w:lang w:val="sq-AL"/>
        </w:rPr>
        <w:t>m</w:t>
      </w:r>
      <w:r w:rsidR="00422D4A" w:rsidRPr="009F2D28">
        <w:rPr>
          <w:lang w:val="sq-AL"/>
        </w:rPr>
        <w:t xml:space="preserve">arsit 2003 dhe 1 </w:t>
      </w:r>
      <w:r w:rsidR="00836EE9">
        <w:rPr>
          <w:lang w:val="sq-AL"/>
        </w:rPr>
        <w:t>j</w:t>
      </w:r>
      <w:r w:rsidR="00422D4A" w:rsidRPr="009F2D28">
        <w:rPr>
          <w:lang w:val="sq-AL"/>
        </w:rPr>
        <w:t xml:space="preserve">anarit 2006. </w:t>
      </w:r>
    </w:p>
    <w:p w:rsidR="00422D4A" w:rsidRPr="009F2D28" w:rsidRDefault="00B126F0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22. </w:t>
      </w:r>
      <w:r w:rsidR="00422D4A" w:rsidRPr="009F2D28">
        <w:rPr>
          <w:lang w:val="sq-AL"/>
        </w:rPr>
        <w:t xml:space="preserve">Gjykata vëren se vendimi në favor të ankuesit u zbatua përfundimisht më 8 </w:t>
      </w:r>
      <w:r w:rsidR="00836EE9">
        <w:rPr>
          <w:lang w:val="sq-AL"/>
        </w:rPr>
        <w:t>m</w:t>
      </w:r>
      <w:r w:rsidR="00422D4A" w:rsidRPr="009F2D28">
        <w:rPr>
          <w:lang w:val="sq-AL"/>
        </w:rPr>
        <w:t xml:space="preserve">ars 2012, 5 vite pasi u bë i formës së prerë më 2 </w:t>
      </w:r>
      <w:r w:rsidR="00836EE9">
        <w:rPr>
          <w:lang w:val="sq-AL"/>
        </w:rPr>
        <w:t>s</w:t>
      </w:r>
      <w:r w:rsidR="00422D4A" w:rsidRPr="009F2D28">
        <w:rPr>
          <w:lang w:val="sq-AL"/>
        </w:rPr>
        <w:t xml:space="preserve">hkurt 2007 (shiko </w:t>
      </w:r>
      <w:r w:rsidR="00422D4A" w:rsidRPr="00531E55">
        <w:rPr>
          <w:i/>
          <w:lang w:val="sq-AL"/>
        </w:rPr>
        <w:t>Gjyli</w:t>
      </w:r>
      <w:r w:rsidR="00422D4A" w:rsidRPr="009F2D28">
        <w:rPr>
          <w:lang w:val="sq-AL"/>
        </w:rPr>
        <w:t>, cituar më</w:t>
      </w:r>
      <w:r w:rsidR="00836EE9">
        <w:rPr>
          <w:lang w:val="sq-AL"/>
        </w:rPr>
        <w:t xml:space="preserve"> </w:t>
      </w:r>
      <w:r w:rsidR="00422D4A" w:rsidRPr="009F2D28">
        <w:rPr>
          <w:lang w:val="sq-AL"/>
        </w:rPr>
        <w:t xml:space="preserve">sipër, § 33). Qeveria nuk paraqiti asnjë justifikim të çfarëdolloji për këtë zbatim vendimi të vonuar. </w:t>
      </w:r>
    </w:p>
    <w:p w:rsidR="00422D4A" w:rsidRPr="009F2D28" w:rsidRDefault="00B126F0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23. </w:t>
      </w:r>
      <w:r w:rsidR="00422D4A" w:rsidRPr="009F2D28">
        <w:rPr>
          <w:lang w:val="sq-AL"/>
        </w:rPr>
        <w:t>Për më tepër, Gjykata kujton se nuk ekziston asnjë kompensim vendas për sa ka të bëjë me zbatimin e vonuar të vendimit apo me moszbatimin e një vendimi final të gjykatës (</w:t>
      </w:r>
      <w:r w:rsidR="00422D4A" w:rsidRPr="00531E55">
        <w:rPr>
          <w:i/>
          <w:lang w:val="sq-AL"/>
        </w:rPr>
        <w:t xml:space="preserve">shiko Pluto dhe të </w:t>
      </w:r>
      <w:r w:rsidR="00836EE9" w:rsidRPr="00531E55">
        <w:rPr>
          <w:i/>
          <w:lang w:val="sq-AL"/>
        </w:rPr>
        <w:t>t</w:t>
      </w:r>
      <w:r w:rsidR="00422D4A" w:rsidRPr="00531E55">
        <w:rPr>
          <w:i/>
          <w:lang w:val="sq-AL"/>
        </w:rPr>
        <w:t>jerët kundër Shqipërisë</w:t>
      </w:r>
      <w:r w:rsidR="00422D4A" w:rsidRPr="009F2D28">
        <w:rPr>
          <w:lang w:val="sq-AL"/>
        </w:rPr>
        <w:t xml:space="preserve">, nr. 609/07, §§ 33-35, 20 </w:t>
      </w:r>
      <w:r w:rsidR="00836EE9">
        <w:rPr>
          <w:lang w:val="sq-AL"/>
        </w:rPr>
        <w:t>k</w:t>
      </w:r>
      <w:r w:rsidR="00422D4A" w:rsidRPr="009F2D28">
        <w:rPr>
          <w:lang w:val="sq-AL"/>
        </w:rPr>
        <w:t xml:space="preserve">orrik 2010; dhe </w:t>
      </w:r>
      <w:r w:rsidR="00422D4A" w:rsidRPr="00531E55">
        <w:rPr>
          <w:i/>
          <w:lang w:val="sq-AL"/>
        </w:rPr>
        <w:t>Gjyli</w:t>
      </w:r>
      <w:r w:rsidR="00422D4A" w:rsidRPr="009F2D28">
        <w:rPr>
          <w:lang w:val="sq-AL"/>
        </w:rPr>
        <w:t>, cituar më</w:t>
      </w:r>
      <w:r w:rsidR="00836EE9">
        <w:rPr>
          <w:lang w:val="sq-AL"/>
        </w:rPr>
        <w:t xml:space="preserve"> </w:t>
      </w:r>
      <w:r w:rsidR="00422D4A" w:rsidRPr="009F2D28">
        <w:rPr>
          <w:lang w:val="sq-AL"/>
        </w:rPr>
        <w:t>sipër, §§ 55-60).</w:t>
      </w:r>
    </w:p>
    <w:p w:rsidR="00422D4A" w:rsidRPr="009F2D28" w:rsidRDefault="00B126F0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24. </w:t>
      </w:r>
      <w:r w:rsidR="00422D4A" w:rsidRPr="009F2D28">
        <w:rPr>
          <w:lang w:val="sq-AL"/>
        </w:rPr>
        <w:t>Për</w:t>
      </w:r>
      <w:r w:rsidR="00836EE9">
        <w:rPr>
          <w:lang w:val="sq-AL"/>
        </w:rPr>
        <w:t xml:space="preserve"> </w:t>
      </w:r>
      <w:r w:rsidR="00422D4A" w:rsidRPr="009F2D28">
        <w:rPr>
          <w:lang w:val="sq-AL"/>
        </w:rPr>
        <w:t>sa i përket çështjes së saj ligjore të mirorganizuar mbi këtë rast (</w:t>
      </w:r>
      <w:r w:rsidR="00422D4A" w:rsidRPr="00531E55">
        <w:rPr>
          <w:i/>
          <w:lang w:val="sq-AL"/>
        </w:rPr>
        <w:t xml:space="preserve">Qufaj Co. </w:t>
      </w:r>
      <w:r w:rsidR="00531E55" w:rsidRPr="00531E55">
        <w:rPr>
          <w:i/>
          <w:lang w:val="sq-AL"/>
        </w:rPr>
        <w:t>sh</w:t>
      </w:r>
      <w:r w:rsidR="00422D4A" w:rsidRPr="00531E55">
        <w:rPr>
          <w:i/>
          <w:lang w:val="sq-AL"/>
        </w:rPr>
        <w:t>.p.k</w:t>
      </w:r>
      <w:r w:rsidR="00531E55" w:rsidRPr="00531E55">
        <w:rPr>
          <w:i/>
          <w:lang w:val="sq-AL"/>
        </w:rPr>
        <w:t>.</w:t>
      </w:r>
      <w:r w:rsidR="00422D4A" w:rsidRPr="00531E55">
        <w:rPr>
          <w:i/>
          <w:lang w:val="sq-AL"/>
        </w:rPr>
        <w:t>,</w:t>
      </w:r>
      <w:r w:rsidR="00422D4A" w:rsidRPr="009F2D28">
        <w:rPr>
          <w:lang w:val="sq-AL"/>
        </w:rPr>
        <w:t xml:space="preserve"> cituar më</w:t>
      </w:r>
      <w:r w:rsidR="00836EE9">
        <w:rPr>
          <w:lang w:val="sq-AL"/>
        </w:rPr>
        <w:t xml:space="preserve"> </w:t>
      </w:r>
      <w:r w:rsidR="00422D4A" w:rsidRPr="009F2D28">
        <w:rPr>
          <w:lang w:val="sq-AL"/>
        </w:rPr>
        <w:t xml:space="preserve">sipër; </w:t>
      </w:r>
      <w:r w:rsidR="00422D4A" w:rsidRPr="00531E55">
        <w:rPr>
          <w:i/>
          <w:lang w:val="sq-AL"/>
        </w:rPr>
        <w:t>Gjyli</w:t>
      </w:r>
      <w:r w:rsidR="00422D4A" w:rsidRPr="009F2D28">
        <w:rPr>
          <w:lang w:val="sq-AL"/>
        </w:rPr>
        <w:t>, cituar më</w:t>
      </w:r>
      <w:r w:rsidR="00836EE9">
        <w:rPr>
          <w:lang w:val="sq-AL"/>
        </w:rPr>
        <w:t xml:space="preserve"> </w:t>
      </w:r>
      <w:r w:rsidR="00422D4A" w:rsidRPr="009F2D28">
        <w:rPr>
          <w:lang w:val="sq-AL"/>
        </w:rPr>
        <w:t xml:space="preserve">sipër; dhe </w:t>
      </w:r>
      <w:r w:rsidR="00422D4A" w:rsidRPr="00531E55">
        <w:rPr>
          <w:i/>
          <w:lang w:val="sq-AL"/>
        </w:rPr>
        <w:t xml:space="preserve">Puto dhe të </w:t>
      </w:r>
      <w:r w:rsidR="00836EE9" w:rsidRPr="00531E55">
        <w:rPr>
          <w:i/>
          <w:lang w:val="sq-AL"/>
        </w:rPr>
        <w:t>t</w:t>
      </w:r>
      <w:r w:rsidR="00422D4A" w:rsidRPr="00531E55">
        <w:rPr>
          <w:i/>
          <w:lang w:val="sq-AL"/>
        </w:rPr>
        <w:t>jerët</w:t>
      </w:r>
      <w:r w:rsidR="00422D4A" w:rsidRPr="009F2D28">
        <w:rPr>
          <w:lang w:val="sq-AL"/>
        </w:rPr>
        <w:t>, cituar më</w:t>
      </w:r>
      <w:r w:rsidR="00A229D6">
        <w:rPr>
          <w:lang w:val="sq-AL"/>
        </w:rPr>
        <w:t xml:space="preserve"> </w:t>
      </w:r>
      <w:r w:rsidR="00422D4A" w:rsidRPr="009F2D28">
        <w:rPr>
          <w:lang w:val="sq-AL"/>
        </w:rPr>
        <w:t>sipër), Gjykata konstaton se ka pa</w:t>
      </w:r>
      <w:r w:rsidR="00836EE9">
        <w:rPr>
          <w:lang w:val="sq-AL"/>
        </w:rPr>
        <w:t>s</w:t>
      </w:r>
      <w:r w:rsidR="00422D4A" w:rsidRPr="009F2D28">
        <w:rPr>
          <w:lang w:val="sq-AL"/>
        </w:rPr>
        <w:t xml:space="preserve">ur shkelje të </w:t>
      </w:r>
      <w:r w:rsidR="00836EE9">
        <w:rPr>
          <w:lang w:val="sq-AL"/>
        </w:rPr>
        <w:t>n</w:t>
      </w:r>
      <w:r w:rsidR="00422D4A" w:rsidRPr="009F2D28">
        <w:rPr>
          <w:lang w:val="sq-AL"/>
        </w:rPr>
        <w:t xml:space="preserve">enit 6 § 1 të </w:t>
      </w:r>
      <w:r w:rsidR="004334AE">
        <w:rPr>
          <w:lang w:val="sq-AL"/>
        </w:rPr>
        <w:t>k</w:t>
      </w:r>
      <w:r w:rsidR="00531E55">
        <w:rPr>
          <w:lang w:val="sq-AL"/>
        </w:rPr>
        <w:t>onventës</w:t>
      </w:r>
      <w:r w:rsidR="00422D4A" w:rsidRPr="009F2D28">
        <w:rPr>
          <w:lang w:val="sq-AL"/>
        </w:rPr>
        <w:t xml:space="preserve"> dhe të </w:t>
      </w:r>
      <w:r w:rsidR="00836EE9">
        <w:rPr>
          <w:lang w:val="sq-AL"/>
        </w:rPr>
        <w:t>n</w:t>
      </w:r>
      <w:r w:rsidR="00422D4A" w:rsidRPr="009F2D28">
        <w:rPr>
          <w:lang w:val="sq-AL"/>
        </w:rPr>
        <w:t xml:space="preserve">enit 1 të </w:t>
      </w:r>
      <w:r w:rsidR="004334AE" w:rsidRPr="009F2D28">
        <w:rPr>
          <w:lang w:val="sq-AL"/>
        </w:rPr>
        <w:t>protokollit n</w:t>
      </w:r>
      <w:r w:rsidR="004334AE">
        <w:rPr>
          <w:lang w:val="sq-AL"/>
        </w:rPr>
        <w:t>r</w:t>
      </w:r>
      <w:r w:rsidR="00422D4A" w:rsidRPr="009F2D28">
        <w:rPr>
          <w:lang w:val="sq-AL"/>
        </w:rPr>
        <w:t xml:space="preserve">. 1, në lidhje me zbatimin e vonuar në datën 8 </w:t>
      </w:r>
      <w:r w:rsidR="00836EE9">
        <w:rPr>
          <w:lang w:val="sq-AL"/>
        </w:rPr>
        <w:t>m</w:t>
      </w:r>
      <w:r w:rsidR="00422D4A" w:rsidRPr="009F2D28">
        <w:rPr>
          <w:lang w:val="sq-AL"/>
        </w:rPr>
        <w:t xml:space="preserve">ars 2012 të vendimit të Gjykatës së Lartë të datës 2 </w:t>
      </w:r>
      <w:r w:rsidR="00836EE9">
        <w:rPr>
          <w:lang w:val="sq-AL"/>
        </w:rPr>
        <w:t>s</w:t>
      </w:r>
      <w:r w:rsidR="00422D4A" w:rsidRPr="009F2D28">
        <w:rPr>
          <w:lang w:val="sq-AL"/>
        </w:rPr>
        <w:t xml:space="preserve">hkurt 2007 dhe një shkelje të </w:t>
      </w:r>
      <w:r w:rsidR="00836EE9">
        <w:rPr>
          <w:lang w:val="sq-AL"/>
        </w:rPr>
        <w:t>n</w:t>
      </w:r>
      <w:r w:rsidR="00422D4A" w:rsidRPr="009F2D28">
        <w:rPr>
          <w:lang w:val="sq-AL"/>
        </w:rPr>
        <w:t xml:space="preserve">enit 13 të </w:t>
      </w:r>
      <w:r w:rsidR="004334AE">
        <w:rPr>
          <w:lang w:val="sq-AL"/>
        </w:rPr>
        <w:t>k</w:t>
      </w:r>
      <w:r w:rsidR="00422D4A" w:rsidRPr="009F2D28">
        <w:rPr>
          <w:lang w:val="sq-AL"/>
        </w:rPr>
        <w:t xml:space="preserve">onventës për arsye se ankuesit nuk iu bë një kompensim efektiv vendas për të shlyer dëmin e shkaktuar nga një zbatim i tillë i vonuar. </w:t>
      </w:r>
    </w:p>
    <w:p w:rsidR="00422D4A" w:rsidRPr="009F2D28" w:rsidRDefault="00B126F0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III. </w:t>
      </w:r>
      <w:r w:rsidR="00422D4A" w:rsidRPr="009F2D28">
        <w:rPr>
          <w:lang w:val="sq-AL"/>
        </w:rPr>
        <w:t>ZBATIMI I NENIT 41 TË KONVENTËS</w:t>
      </w:r>
    </w:p>
    <w:p w:rsidR="00422D4A" w:rsidRPr="009F2D28" w:rsidRDefault="00B126F0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25. </w:t>
      </w:r>
      <w:r w:rsidR="00422D4A" w:rsidRPr="009F2D28">
        <w:rPr>
          <w:lang w:val="sq-AL"/>
        </w:rPr>
        <w:t xml:space="preserve">Neni 41 i </w:t>
      </w:r>
      <w:r w:rsidR="00E64E32">
        <w:rPr>
          <w:lang w:val="sq-AL"/>
        </w:rPr>
        <w:t>k</w:t>
      </w:r>
      <w:r w:rsidR="00422D4A" w:rsidRPr="009F2D28">
        <w:rPr>
          <w:lang w:val="sq-AL"/>
        </w:rPr>
        <w:t xml:space="preserve">onventës parashikon: 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>“Nëse Gjykata konstaton se ka pa</w:t>
      </w:r>
      <w:r w:rsidR="00D02CC6">
        <w:rPr>
          <w:lang w:val="sq-AL"/>
        </w:rPr>
        <w:t>s</w:t>
      </w:r>
      <w:r w:rsidRPr="009F2D28">
        <w:rPr>
          <w:lang w:val="sq-AL"/>
        </w:rPr>
        <w:t xml:space="preserve">ur shkelje të </w:t>
      </w:r>
      <w:r w:rsidR="000075B9">
        <w:rPr>
          <w:lang w:val="sq-AL"/>
        </w:rPr>
        <w:t>k</w:t>
      </w:r>
      <w:r w:rsidRPr="009F2D28">
        <w:rPr>
          <w:lang w:val="sq-AL"/>
        </w:rPr>
        <w:t xml:space="preserve">onventës ose të </w:t>
      </w:r>
      <w:r w:rsidR="00D02CC6">
        <w:rPr>
          <w:lang w:val="sq-AL"/>
        </w:rPr>
        <w:t>p</w:t>
      </w:r>
      <w:r w:rsidR="00531E55">
        <w:rPr>
          <w:lang w:val="sq-AL"/>
        </w:rPr>
        <w:t>rotokolleve</w:t>
      </w:r>
      <w:r w:rsidRPr="009F2D28">
        <w:rPr>
          <w:lang w:val="sq-AL"/>
        </w:rPr>
        <w:t xml:space="preserve"> dhe</w:t>
      </w:r>
      <w:r w:rsidR="00531E55">
        <w:rPr>
          <w:lang w:val="sq-AL"/>
        </w:rPr>
        <w:t>,</w:t>
      </w:r>
      <w:r w:rsidRPr="009F2D28">
        <w:rPr>
          <w:lang w:val="sq-AL"/>
        </w:rPr>
        <w:t xml:space="preserve"> nëse ligji i brendshëm i </w:t>
      </w:r>
      <w:r w:rsidR="00D02CC6">
        <w:rPr>
          <w:lang w:val="sq-AL"/>
        </w:rPr>
        <w:t>p</w:t>
      </w:r>
      <w:r w:rsidRPr="009F2D28">
        <w:rPr>
          <w:lang w:val="sq-AL"/>
        </w:rPr>
        <w:t xml:space="preserve">alës së </w:t>
      </w:r>
      <w:r w:rsidR="00D02CC6">
        <w:rPr>
          <w:lang w:val="sq-AL"/>
        </w:rPr>
        <w:t>l</w:t>
      </w:r>
      <w:r w:rsidRPr="009F2D28">
        <w:rPr>
          <w:lang w:val="sq-AL"/>
        </w:rPr>
        <w:t xml:space="preserve">artë </w:t>
      </w:r>
      <w:r w:rsidR="00D02CC6">
        <w:rPr>
          <w:lang w:val="sq-AL"/>
        </w:rPr>
        <w:t>k</w:t>
      </w:r>
      <w:r w:rsidRPr="009F2D28">
        <w:rPr>
          <w:lang w:val="sq-AL"/>
        </w:rPr>
        <w:t>ontraktuese, të lidhur me çështjen, lejon vetëm një shlyerje të pjesshme, nëse është e nevojshme, Gjykata do të sigurojë dëmshpërblim për palë</w:t>
      </w:r>
      <w:r w:rsidR="00D02CC6">
        <w:rPr>
          <w:lang w:val="sq-AL"/>
        </w:rPr>
        <w:t>n</w:t>
      </w:r>
      <w:r w:rsidRPr="009F2D28">
        <w:rPr>
          <w:lang w:val="sq-AL"/>
        </w:rPr>
        <w:t xml:space="preserve"> e dëmtuar.”</w:t>
      </w:r>
      <w:r w:rsidR="00431DFE">
        <w:rPr>
          <w:lang w:val="sq-AL"/>
        </w:rPr>
        <w:t xml:space="preserve"> </w:t>
      </w:r>
    </w:p>
    <w:p w:rsidR="00422D4A" w:rsidRPr="009F2D28" w:rsidRDefault="00B126F0" w:rsidP="000E2691">
      <w:pPr>
        <w:pStyle w:val="Paragrafi"/>
        <w:rPr>
          <w:b/>
          <w:lang w:val="sq-AL"/>
        </w:rPr>
      </w:pPr>
      <w:r w:rsidRPr="009F2D28">
        <w:rPr>
          <w:b/>
          <w:lang w:val="sq-AL"/>
        </w:rPr>
        <w:t xml:space="preserve">A. </w:t>
      </w:r>
      <w:r w:rsidR="00422D4A" w:rsidRPr="009F2D28">
        <w:rPr>
          <w:b/>
          <w:lang w:val="sq-AL"/>
        </w:rPr>
        <w:t>Dëmi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26. </w:t>
      </w:r>
      <w:r w:rsidR="00422D4A" w:rsidRPr="009F2D28">
        <w:rPr>
          <w:lang w:val="sq-AL"/>
        </w:rPr>
        <w:t>Ankuesi kërkoi 13,332 euro (EUR) për</w:t>
      </w:r>
      <w:r w:rsidR="00D02CC6">
        <w:rPr>
          <w:lang w:val="sq-AL"/>
        </w:rPr>
        <w:t xml:space="preserve"> </w:t>
      </w:r>
      <w:r w:rsidR="00422D4A" w:rsidRPr="009F2D28">
        <w:rPr>
          <w:lang w:val="sq-AL"/>
        </w:rPr>
        <w:t>sa i përket dëmit monetar, i cili ishte 7,332 euro për</w:t>
      </w:r>
      <w:r w:rsidR="00D02CC6">
        <w:rPr>
          <w:lang w:val="sq-AL"/>
        </w:rPr>
        <w:t xml:space="preserve"> </w:t>
      </w:r>
      <w:r w:rsidR="00422D4A" w:rsidRPr="009F2D28">
        <w:rPr>
          <w:lang w:val="sq-AL"/>
        </w:rPr>
        <w:t>sa ka të bëjë me humbjen e interes</w:t>
      </w:r>
      <w:r w:rsidR="00D02CC6">
        <w:rPr>
          <w:lang w:val="sq-AL"/>
        </w:rPr>
        <w:t>i</w:t>
      </w:r>
      <w:r w:rsidR="00422D4A" w:rsidRPr="009F2D28">
        <w:rPr>
          <w:lang w:val="sq-AL"/>
        </w:rPr>
        <w:t>t të shtuar, nëse do t’i kishte vendosur p</w:t>
      </w:r>
      <w:r w:rsidR="00531E55">
        <w:rPr>
          <w:lang w:val="sq-AL"/>
        </w:rPr>
        <w:t>aratë në një depozitë kursimesh</w:t>
      </w:r>
      <w:r w:rsidR="00422D4A" w:rsidRPr="009F2D28">
        <w:rPr>
          <w:lang w:val="sq-AL"/>
        </w:rPr>
        <w:t xml:space="preserve"> dhe 6,000 euro për sa ka të bëjë me humbjen e kontributit të pensionit. Më tej, ai kërkoi 9,000 euro për dëmin jomonetar. 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27. </w:t>
      </w:r>
      <w:r w:rsidR="00422D4A" w:rsidRPr="009F2D28">
        <w:rPr>
          <w:lang w:val="sq-AL"/>
        </w:rPr>
        <w:t xml:space="preserve">Qeveria parashtroi se ankuesi nuk dorëzoi një raport nga një ekspert në lidhje me llogaritjen e humbjeve nga interesi i shtuar dhe nga mungesa e pretenduar prej tij e të ardhurave të punës. Dëmi jomonetar ka të bëjë vetëm me periudhën deri më 1 </w:t>
      </w:r>
      <w:r w:rsidR="00E64E32">
        <w:rPr>
          <w:lang w:val="sq-AL"/>
        </w:rPr>
        <w:t>j</w:t>
      </w:r>
      <w:r w:rsidR="00422D4A" w:rsidRPr="009F2D28">
        <w:rPr>
          <w:lang w:val="sq-AL"/>
        </w:rPr>
        <w:t>anar 2006, për arsye se ai nuk ishte më në listën e pritjes së punëdhënësit pas kësaj date.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28. </w:t>
      </w:r>
      <w:r w:rsidR="00422D4A" w:rsidRPr="009F2D28">
        <w:rPr>
          <w:lang w:val="sq-AL"/>
        </w:rPr>
        <w:t xml:space="preserve">Gjykata vëren se ankuesi nxori disa shifra në lidhje me dëmin monetar, por verifikimi i tyre mbeti i paqartë dhe llogaritja e tyre linte vend për </w:t>
      </w:r>
      <w:r w:rsidR="00A229D6" w:rsidRPr="009F2D28">
        <w:rPr>
          <w:lang w:val="sq-AL"/>
        </w:rPr>
        <w:t>spekulime</w:t>
      </w:r>
      <w:r w:rsidR="00422D4A" w:rsidRPr="009F2D28">
        <w:rPr>
          <w:lang w:val="sq-AL"/>
        </w:rPr>
        <w:t>. Prandaj, për këtë pikë ajo nuk lëshon asnjë vendim. Sipas një vlerësimi të paanshëm, më tej Gjykata i akordon ankuesit 2,900 euro në lidhje me dëmin jomonetar, duke pa</w:t>
      </w:r>
      <w:r w:rsidR="00D02CC6">
        <w:rPr>
          <w:lang w:val="sq-AL"/>
        </w:rPr>
        <w:t>s</w:t>
      </w:r>
      <w:r w:rsidR="00422D4A" w:rsidRPr="009F2D28">
        <w:rPr>
          <w:lang w:val="sq-AL"/>
        </w:rPr>
        <w:t xml:space="preserve">ur parasysh zbatimin e vonuar të vendimit dhe shkeljet e gjetura. </w:t>
      </w:r>
    </w:p>
    <w:p w:rsidR="00422D4A" w:rsidRPr="009F2D28" w:rsidRDefault="00C4646D" w:rsidP="000E2691">
      <w:pPr>
        <w:pStyle w:val="Paragrafi"/>
        <w:rPr>
          <w:b/>
          <w:lang w:val="sq-AL"/>
        </w:rPr>
      </w:pPr>
      <w:r w:rsidRPr="009F2D28">
        <w:rPr>
          <w:b/>
          <w:lang w:val="sq-AL"/>
        </w:rPr>
        <w:t xml:space="preserve">B. </w:t>
      </w:r>
      <w:r w:rsidR="00422D4A" w:rsidRPr="009F2D28">
        <w:rPr>
          <w:b/>
          <w:lang w:val="sq-AL"/>
        </w:rPr>
        <w:t>Kostot dhe shpenzimet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29. </w:t>
      </w:r>
      <w:r w:rsidR="00422D4A" w:rsidRPr="009F2D28">
        <w:rPr>
          <w:lang w:val="sq-AL"/>
        </w:rPr>
        <w:t xml:space="preserve">Gjithashtu, ankuesi kërkoi 2,000 euro për kostot dhe shpenzimet e bëra në gjykatat vendase dhe 3,200 euro për shpenzimet e bëra në këtë Gjykatë. 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30. </w:t>
      </w:r>
      <w:r w:rsidR="00422D4A" w:rsidRPr="009F2D28">
        <w:rPr>
          <w:lang w:val="sq-AL"/>
        </w:rPr>
        <w:t xml:space="preserve">Qeveria parashtroi se kërkesat e ankuesit për kostot dhe shpenzimet ishin të pabaza, duke qenë se faturat që ai kishte paraqitur nuk ishin konform kërkesave ligjore vendase. 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31. </w:t>
      </w:r>
      <w:r w:rsidR="00422D4A" w:rsidRPr="009F2D28">
        <w:rPr>
          <w:lang w:val="sq-AL"/>
        </w:rPr>
        <w:t>Duke pa</w:t>
      </w:r>
      <w:r w:rsidR="00D02CC6">
        <w:rPr>
          <w:lang w:val="sq-AL"/>
        </w:rPr>
        <w:t>s</w:t>
      </w:r>
      <w:r w:rsidR="00422D4A" w:rsidRPr="009F2D28">
        <w:rPr>
          <w:lang w:val="sq-AL"/>
        </w:rPr>
        <w:t>ur par</w:t>
      </w:r>
      <w:r w:rsidR="00D02CC6">
        <w:rPr>
          <w:lang w:val="sq-AL"/>
        </w:rPr>
        <w:t>a</w:t>
      </w:r>
      <w:r w:rsidR="00422D4A" w:rsidRPr="009F2D28">
        <w:rPr>
          <w:lang w:val="sq-AL"/>
        </w:rPr>
        <w:t xml:space="preserve">sysh faktin se kjo ishte një çështje ligjore e mirorganizuar dhe se faktet e parashtruara ishin të </w:t>
      </w:r>
      <w:r w:rsidR="00D02CC6" w:rsidRPr="009F2D28">
        <w:rPr>
          <w:lang w:val="sq-AL"/>
        </w:rPr>
        <w:t>drejtpërdrejta</w:t>
      </w:r>
      <w:r w:rsidR="00422D4A" w:rsidRPr="009F2D28">
        <w:rPr>
          <w:lang w:val="sq-AL"/>
        </w:rPr>
        <w:t xml:space="preserve"> dhe në bazë të </w:t>
      </w:r>
      <w:r w:rsidR="00D02CC6" w:rsidRPr="009F2D28">
        <w:rPr>
          <w:lang w:val="sq-AL"/>
        </w:rPr>
        <w:t>dokumenteve</w:t>
      </w:r>
      <w:r w:rsidR="00422D4A" w:rsidRPr="009F2D28">
        <w:rPr>
          <w:lang w:val="sq-AL"/>
        </w:rPr>
        <w:t xml:space="preserve"> të paraqitura nga ankuesi, Gjykata e shikon të arsyeshme që t’i akordojë shumën prej 1,000 eurosh, duke mbuluar kostot për gjithçka. </w:t>
      </w:r>
    </w:p>
    <w:p w:rsidR="00BE7D43" w:rsidRDefault="00BE7D43" w:rsidP="000E2691">
      <w:pPr>
        <w:pStyle w:val="Paragrafi"/>
        <w:rPr>
          <w:b/>
          <w:lang w:val="sq-AL"/>
        </w:rPr>
      </w:pPr>
    </w:p>
    <w:p w:rsidR="00422D4A" w:rsidRPr="009F2D28" w:rsidRDefault="00C4646D" w:rsidP="000E2691">
      <w:pPr>
        <w:pStyle w:val="Paragrafi"/>
        <w:rPr>
          <w:b/>
          <w:lang w:val="sq-AL"/>
        </w:rPr>
      </w:pPr>
      <w:r w:rsidRPr="009F2D28">
        <w:rPr>
          <w:b/>
          <w:lang w:val="sq-AL"/>
        </w:rPr>
        <w:t xml:space="preserve">C. </w:t>
      </w:r>
      <w:r w:rsidR="00422D4A" w:rsidRPr="009F2D28">
        <w:rPr>
          <w:b/>
          <w:lang w:val="sq-AL"/>
        </w:rPr>
        <w:t>Interes i papaguar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32. </w:t>
      </w:r>
      <w:r w:rsidR="00422D4A" w:rsidRPr="009F2D28">
        <w:rPr>
          <w:lang w:val="sq-AL"/>
        </w:rPr>
        <w:t>Gjykata e gjykon si të arsyeshme që norma e interesit të papaguar duhet të bazohet në normën marxhinale të huas së Bankës Qendrore Europiane, dh</w:t>
      </w:r>
      <w:r w:rsidR="000730E9">
        <w:rPr>
          <w:lang w:val="sq-AL"/>
        </w:rPr>
        <w:t>e në fund duhet t’i shtohen pikë tre</w:t>
      </w:r>
      <w:r w:rsidR="00422D4A" w:rsidRPr="009F2D28">
        <w:rPr>
          <w:lang w:val="sq-AL"/>
        </w:rPr>
        <w:t>përqindëshe.</w:t>
      </w:r>
    </w:p>
    <w:p w:rsidR="00422D4A" w:rsidRPr="009F2D28" w:rsidRDefault="00422D4A" w:rsidP="000E2691">
      <w:pPr>
        <w:pStyle w:val="Paragrafi"/>
        <w:rPr>
          <w:lang w:val="sq-AL"/>
        </w:rPr>
      </w:pPr>
    </w:p>
    <w:p w:rsidR="00422D4A" w:rsidRPr="009F2D28" w:rsidRDefault="00422D4A" w:rsidP="00FD3071">
      <w:pPr>
        <w:pStyle w:val="TitulliTitull"/>
        <w:rPr>
          <w:lang w:val="sq-AL"/>
        </w:rPr>
      </w:pPr>
      <w:r w:rsidRPr="009F2D28">
        <w:rPr>
          <w:lang w:val="sq-AL"/>
        </w:rPr>
        <w:t>PËR KËTO ARSYE, NË MËNYRË UNANIME GJYKATA</w:t>
      </w:r>
    </w:p>
    <w:p w:rsidR="00422D4A" w:rsidRPr="009F2D28" w:rsidRDefault="00422D4A" w:rsidP="000E2691">
      <w:pPr>
        <w:pStyle w:val="Paragrafi"/>
        <w:rPr>
          <w:lang w:val="sq-AL"/>
        </w:rPr>
      </w:pP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1. </w:t>
      </w:r>
      <w:r w:rsidR="00422D4A" w:rsidRPr="009F2D28">
        <w:rPr>
          <w:i/>
          <w:lang w:val="sq-AL"/>
        </w:rPr>
        <w:t>Kundërshton</w:t>
      </w:r>
      <w:r w:rsidR="00422D4A" w:rsidRPr="009F2D28">
        <w:rPr>
          <w:lang w:val="sq-AL"/>
        </w:rPr>
        <w:t xml:space="preserve"> kërkesën e </w:t>
      </w:r>
      <w:r w:rsidR="004334AE" w:rsidRPr="009F2D28">
        <w:rPr>
          <w:lang w:val="sq-AL"/>
        </w:rPr>
        <w:t xml:space="preserve">qeverisë </w:t>
      </w:r>
      <w:r w:rsidR="00422D4A" w:rsidRPr="009F2D28">
        <w:rPr>
          <w:lang w:val="sq-AL"/>
        </w:rPr>
        <w:t>p</w:t>
      </w:r>
      <w:r w:rsidR="00D02CC6">
        <w:rPr>
          <w:lang w:val="sq-AL"/>
        </w:rPr>
        <w:t>ër ta anul</w:t>
      </w:r>
      <w:r w:rsidR="00422D4A" w:rsidRPr="009F2D28">
        <w:rPr>
          <w:lang w:val="sq-AL"/>
        </w:rPr>
        <w:t xml:space="preserve">uar aplikimin nga lista; 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2. </w:t>
      </w:r>
      <w:r w:rsidR="00422D4A" w:rsidRPr="009F2D28">
        <w:rPr>
          <w:i/>
          <w:lang w:val="sq-AL"/>
        </w:rPr>
        <w:t>Arrin në përfundimin</w:t>
      </w:r>
      <w:r w:rsidR="00422D4A" w:rsidRPr="009F2D28">
        <w:rPr>
          <w:lang w:val="sq-AL"/>
        </w:rPr>
        <w:t xml:space="preserve"> se ka pa</w:t>
      </w:r>
      <w:r w:rsidR="00D02CC6">
        <w:rPr>
          <w:lang w:val="sq-AL"/>
        </w:rPr>
        <w:t>s</w:t>
      </w:r>
      <w:r w:rsidR="00422D4A" w:rsidRPr="009F2D28">
        <w:rPr>
          <w:lang w:val="sq-AL"/>
        </w:rPr>
        <w:t xml:space="preserve">ur një dhunim të </w:t>
      </w:r>
      <w:r w:rsidR="00D02CC6">
        <w:rPr>
          <w:lang w:val="sq-AL"/>
        </w:rPr>
        <w:t>n</w:t>
      </w:r>
      <w:r w:rsidR="00422D4A" w:rsidRPr="009F2D28">
        <w:rPr>
          <w:lang w:val="sq-AL"/>
        </w:rPr>
        <w:t xml:space="preserve">eneve 6 § 1 dhe 13 të </w:t>
      </w:r>
      <w:r w:rsidR="004334AE">
        <w:rPr>
          <w:lang w:val="sq-AL"/>
        </w:rPr>
        <w:t>k</w:t>
      </w:r>
      <w:r w:rsidR="00422D4A" w:rsidRPr="009F2D28">
        <w:rPr>
          <w:lang w:val="sq-AL"/>
        </w:rPr>
        <w:t xml:space="preserve">onventës në lidhje me zbatimin e vonuar të vendimit të Gjykatës së Lartë të datës 2 </w:t>
      </w:r>
      <w:r w:rsidR="00D02CC6">
        <w:rPr>
          <w:lang w:val="sq-AL"/>
        </w:rPr>
        <w:t>s</w:t>
      </w:r>
      <w:r w:rsidR="00422D4A" w:rsidRPr="009F2D28">
        <w:rPr>
          <w:lang w:val="sq-AL"/>
        </w:rPr>
        <w:t>hkurt 2007;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3. </w:t>
      </w:r>
      <w:r w:rsidR="00422D4A" w:rsidRPr="009F2D28">
        <w:rPr>
          <w:i/>
          <w:lang w:val="sq-AL"/>
        </w:rPr>
        <w:t>Arrin në përfundimin</w:t>
      </w:r>
      <w:r w:rsidR="00422D4A" w:rsidRPr="009F2D28">
        <w:rPr>
          <w:lang w:val="sq-AL"/>
        </w:rPr>
        <w:t xml:space="preserve"> se ka pa</w:t>
      </w:r>
      <w:r w:rsidR="00D02CC6">
        <w:rPr>
          <w:lang w:val="sq-AL"/>
        </w:rPr>
        <w:t>s</w:t>
      </w:r>
      <w:r w:rsidR="00422D4A" w:rsidRPr="009F2D28">
        <w:rPr>
          <w:lang w:val="sq-AL"/>
        </w:rPr>
        <w:t xml:space="preserve">ur shkelje të </w:t>
      </w:r>
      <w:r w:rsidR="00D02CC6">
        <w:rPr>
          <w:lang w:val="sq-AL"/>
        </w:rPr>
        <w:t>n</w:t>
      </w:r>
      <w:r w:rsidR="00422D4A" w:rsidRPr="009F2D28">
        <w:rPr>
          <w:lang w:val="sq-AL"/>
        </w:rPr>
        <w:t xml:space="preserve">enit 1 të </w:t>
      </w:r>
      <w:r w:rsidR="004334AE" w:rsidRPr="009F2D28">
        <w:rPr>
          <w:lang w:val="sq-AL"/>
        </w:rPr>
        <w:t xml:space="preserve">protokollit </w:t>
      </w:r>
      <w:r w:rsidR="004334AE">
        <w:rPr>
          <w:lang w:val="sq-AL"/>
        </w:rPr>
        <w:t>n</w:t>
      </w:r>
      <w:r w:rsidR="004334AE" w:rsidRPr="009F2D28">
        <w:rPr>
          <w:lang w:val="sq-AL"/>
        </w:rPr>
        <w:t>r. 1 të konventës</w:t>
      </w:r>
      <w:r w:rsidR="00422D4A" w:rsidRPr="009F2D28">
        <w:rPr>
          <w:lang w:val="sq-AL"/>
        </w:rPr>
        <w:t xml:space="preserve">; 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4. </w:t>
      </w:r>
      <w:r w:rsidR="00422D4A" w:rsidRPr="009F2D28">
        <w:rPr>
          <w:i/>
          <w:lang w:val="sq-AL"/>
        </w:rPr>
        <w:t>Arrin në përfundimin</w:t>
      </w:r>
      <w:r w:rsidR="00C254F0">
        <w:rPr>
          <w:i/>
          <w:lang w:val="sq-AL"/>
        </w:rPr>
        <w:t>: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a) </w:t>
      </w:r>
      <w:r w:rsidR="00422D4A" w:rsidRPr="009F2D28">
        <w:rPr>
          <w:lang w:val="sq-AL"/>
        </w:rPr>
        <w:t xml:space="preserve">se </w:t>
      </w:r>
      <w:r w:rsidR="004334AE" w:rsidRPr="009F2D28">
        <w:rPr>
          <w:lang w:val="sq-AL"/>
        </w:rPr>
        <w:t xml:space="preserve">shteti </w:t>
      </w:r>
      <w:r w:rsidR="00422D4A" w:rsidRPr="009F2D28">
        <w:rPr>
          <w:lang w:val="sq-AL"/>
        </w:rPr>
        <w:t xml:space="preserve">përgjegjës duhet t’i paguajë aplikantit brenda tre muajve; shumat e mëposhtme, të cilat duhet të konvertohen në vlerën monetare të </w:t>
      </w:r>
      <w:r w:rsidR="000075B9" w:rsidRPr="000075B9">
        <w:rPr>
          <w:lang w:val="sq-AL"/>
        </w:rPr>
        <w:t>s</w:t>
      </w:r>
      <w:r w:rsidR="00422D4A" w:rsidRPr="009F2D28">
        <w:rPr>
          <w:lang w:val="sq-AL"/>
        </w:rPr>
        <w:t>htetit përgjegjës në normën e aplikueshme në datën e shlyerjes: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i) </w:t>
      </w:r>
      <w:r w:rsidR="00422D4A" w:rsidRPr="009F2D28">
        <w:rPr>
          <w:lang w:val="sq-AL"/>
        </w:rPr>
        <w:t>2,900 (dy mijë e nëntë qind euro) EUR plus taksat që mund të vihen në nga</w:t>
      </w:r>
      <w:r w:rsidR="00D02CC6">
        <w:rPr>
          <w:lang w:val="sq-AL"/>
        </w:rPr>
        <w:t>r</w:t>
      </w:r>
      <w:r w:rsidR="00422D4A" w:rsidRPr="009F2D28">
        <w:rPr>
          <w:lang w:val="sq-AL"/>
        </w:rPr>
        <w:t>kesë, për</w:t>
      </w:r>
      <w:r w:rsidR="00D02CC6">
        <w:rPr>
          <w:lang w:val="sq-AL"/>
        </w:rPr>
        <w:t xml:space="preserve"> </w:t>
      </w:r>
      <w:r w:rsidR="00422D4A" w:rsidRPr="009F2D28">
        <w:rPr>
          <w:lang w:val="sq-AL"/>
        </w:rPr>
        <w:t>sa ka të bëjë me dëmin jomonetar;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ii) </w:t>
      </w:r>
      <w:r w:rsidR="00422D4A" w:rsidRPr="009F2D28">
        <w:rPr>
          <w:lang w:val="sq-AL"/>
        </w:rPr>
        <w:t xml:space="preserve">1,000 euro (një mijë euro) EUR për kostot dhe shpenzimet; 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b) </w:t>
      </w:r>
      <w:r w:rsidR="00422D4A" w:rsidRPr="009F2D28">
        <w:rPr>
          <w:lang w:val="sq-AL"/>
        </w:rPr>
        <w:t>se nga moment i përfundimit të tre muajve të përmendur më</w:t>
      </w:r>
      <w:r w:rsidR="00D02CC6">
        <w:rPr>
          <w:lang w:val="sq-AL"/>
        </w:rPr>
        <w:t xml:space="preserve"> </w:t>
      </w:r>
      <w:r w:rsidR="00422D4A" w:rsidRPr="009F2D28">
        <w:rPr>
          <w:lang w:val="sq-AL"/>
        </w:rPr>
        <w:t>sipër deri në momentin e shlyerjes</w:t>
      </w:r>
      <w:r w:rsidR="00C254F0">
        <w:rPr>
          <w:lang w:val="sq-AL"/>
        </w:rPr>
        <w:t>,</w:t>
      </w:r>
      <w:r w:rsidR="00422D4A" w:rsidRPr="009F2D28">
        <w:rPr>
          <w:lang w:val="sq-AL"/>
        </w:rPr>
        <w:t xml:space="preserve"> interesi i thjeshtë do të paguhet për shumat e mësipërme me një normë të njëjtë me normën marxhinale të huas të Bankës Qendrore Europiane gjatë periudhës së mospagesës plus tre për</w:t>
      </w:r>
      <w:r w:rsidR="00D02CC6">
        <w:rPr>
          <w:lang w:val="sq-AL"/>
        </w:rPr>
        <w:t xml:space="preserve"> </w:t>
      </w:r>
      <w:r w:rsidR="00422D4A" w:rsidRPr="009F2D28">
        <w:rPr>
          <w:lang w:val="sq-AL"/>
        </w:rPr>
        <w:t>qind pikë</w:t>
      </w:r>
      <w:r w:rsidR="008463AD">
        <w:rPr>
          <w:lang w:val="sq-AL"/>
        </w:rPr>
        <w:t>.</w:t>
      </w:r>
      <w:r w:rsidR="00431DFE">
        <w:rPr>
          <w:lang w:val="sq-AL"/>
        </w:rPr>
        <w:t xml:space="preserve"> </w:t>
      </w:r>
    </w:p>
    <w:p w:rsidR="00422D4A" w:rsidRPr="009F2D28" w:rsidRDefault="00C4646D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5. </w:t>
      </w:r>
      <w:r w:rsidR="00422D4A" w:rsidRPr="009F2D28">
        <w:rPr>
          <w:i/>
          <w:lang w:val="sq-AL"/>
        </w:rPr>
        <w:t>Kundërshton</w:t>
      </w:r>
      <w:r w:rsidR="00422D4A" w:rsidRPr="009F2D28">
        <w:rPr>
          <w:lang w:val="sq-AL"/>
        </w:rPr>
        <w:t xml:space="preserve"> pjesën tjetër të kërkesës së ankuesit për dëmshpërblim. </w:t>
      </w:r>
    </w:p>
    <w:p w:rsidR="00422D4A" w:rsidRPr="009F2D28" w:rsidRDefault="00422D4A" w:rsidP="000E2691">
      <w:pPr>
        <w:pStyle w:val="Paragrafi"/>
        <w:rPr>
          <w:lang w:val="sq-AL"/>
        </w:rPr>
      </w:pPr>
      <w:r w:rsidRPr="009F2D28">
        <w:rPr>
          <w:lang w:val="sq-AL"/>
        </w:rPr>
        <w:t xml:space="preserve">E hartuar në anglisht, me shkrim më 15 </w:t>
      </w:r>
      <w:r w:rsidR="004334AE" w:rsidRPr="009F2D28">
        <w:rPr>
          <w:lang w:val="sq-AL"/>
        </w:rPr>
        <w:t xml:space="preserve">janar </w:t>
      </w:r>
      <w:r w:rsidRPr="009F2D28">
        <w:rPr>
          <w:lang w:val="sq-AL"/>
        </w:rPr>
        <w:t xml:space="preserve">2013, sipas </w:t>
      </w:r>
      <w:r w:rsidR="00D02CC6">
        <w:rPr>
          <w:lang w:val="sq-AL"/>
        </w:rPr>
        <w:t>r</w:t>
      </w:r>
      <w:r w:rsidRPr="009F2D28">
        <w:rPr>
          <w:lang w:val="sq-AL"/>
        </w:rPr>
        <w:t xml:space="preserve">regullit 77 §§ 2 dhe 3 të </w:t>
      </w:r>
      <w:r w:rsidR="004334AE" w:rsidRPr="009F2D28">
        <w:rPr>
          <w:lang w:val="sq-AL"/>
        </w:rPr>
        <w:t xml:space="preserve">rregullores </w:t>
      </w:r>
      <w:r w:rsidRPr="009F2D28">
        <w:rPr>
          <w:lang w:val="sq-AL"/>
        </w:rPr>
        <w:t xml:space="preserve">së Gjykatës. </w:t>
      </w:r>
    </w:p>
    <w:p w:rsidR="00422D4A" w:rsidRPr="009F2D28" w:rsidRDefault="00422D4A" w:rsidP="000E2691">
      <w:pPr>
        <w:pStyle w:val="Paragrafi"/>
        <w:rPr>
          <w:lang w:val="sq-AL"/>
        </w:rPr>
      </w:pPr>
    </w:p>
    <w:p w:rsidR="00422D4A" w:rsidRPr="009F2D28" w:rsidRDefault="00422D4A" w:rsidP="000E2691">
      <w:pPr>
        <w:pStyle w:val="Paragrafi"/>
        <w:rPr>
          <w:rFonts w:ascii="Times New Roman" w:hAnsi="Times New Roman" w:cs="Times New Roman"/>
          <w:lang w:val="sq-AL"/>
        </w:rPr>
      </w:pPr>
      <w:r w:rsidRPr="009F2D28">
        <w:rPr>
          <w:lang w:val="sq-AL"/>
        </w:rPr>
        <w:t>Fatoş Arac</w:t>
      </w:r>
      <w:r w:rsidR="00B0527A" w:rsidRPr="00C254F0">
        <w:rPr>
          <w:rFonts w:cs="MS Mincho"/>
          <w:vertAlign w:val="superscript"/>
          <w:lang w:val="sq-AL"/>
        </w:rPr>
        <w:t>1)</w:t>
      </w:r>
      <w:r w:rsidR="00431DFE">
        <w:rPr>
          <w:rFonts w:ascii="Times New Roman" w:hAnsi="Times New Roman" w:cs="Times New Roman"/>
          <w:lang w:val="sq-AL"/>
        </w:rPr>
        <w:t xml:space="preserve"> </w:t>
      </w:r>
      <w:r w:rsidR="000075B9">
        <w:rPr>
          <w:rFonts w:ascii="Times New Roman" w:hAnsi="Times New Roman" w:cs="Times New Roman"/>
          <w:lang w:val="sq-AL"/>
        </w:rPr>
        <w:tab/>
      </w:r>
      <w:r w:rsidR="000075B9">
        <w:rPr>
          <w:rFonts w:ascii="Times New Roman" w:hAnsi="Times New Roman" w:cs="Times New Roman"/>
          <w:lang w:val="sq-AL"/>
        </w:rPr>
        <w:tab/>
      </w:r>
      <w:r w:rsidR="000075B9">
        <w:rPr>
          <w:rFonts w:ascii="Times New Roman" w:hAnsi="Times New Roman" w:cs="Times New Roman"/>
          <w:lang w:val="sq-AL"/>
        </w:rPr>
        <w:tab/>
      </w:r>
      <w:r w:rsidR="000075B9">
        <w:rPr>
          <w:rFonts w:ascii="Times New Roman" w:hAnsi="Times New Roman" w:cs="Times New Roman"/>
          <w:lang w:val="sq-AL"/>
        </w:rPr>
        <w:tab/>
      </w:r>
      <w:r w:rsidR="000075B9">
        <w:rPr>
          <w:rFonts w:ascii="Times New Roman" w:hAnsi="Times New Roman" w:cs="Times New Roman"/>
          <w:lang w:val="sq-AL"/>
        </w:rPr>
        <w:tab/>
      </w:r>
      <w:r w:rsidR="000075B9">
        <w:rPr>
          <w:rFonts w:ascii="Times New Roman" w:hAnsi="Times New Roman" w:cs="Times New Roman"/>
          <w:lang w:val="sq-AL"/>
        </w:rPr>
        <w:tab/>
      </w:r>
      <w:r w:rsidR="000075B9">
        <w:rPr>
          <w:rFonts w:ascii="Times New Roman" w:hAnsi="Times New Roman" w:cs="Times New Roman"/>
          <w:lang w:val="sq-AL"/>
        </w:rPr>
        <w:tab/>
      </w:r>
      <w:r w:rsidR="000075B9">
        <w:rPr>
          <w:rFonts w:ascii="Times New Roman" w:hAnsi="Times New Roman" w:cs="Times New Roman"/>
          <w:lang w:val="sq-AL"/>
        </w:rPr>
        <w:tab/>
      </w:r>
      <w:r w:rsidRPr="009F2D28">
        <w:rPr>
          <w:rFonts w:ascii="Times New Roman" w:hAnsi="Times New Roman" w:cs="Times New Roman"/>
          <w:lang w:val="sq-AL"/>
        </w:rPr>
        <w:t xml:space="preserve">George Nicolaou </w:t>
      </w:r>
    </w:p>
    <w:p w:rsidR="00422D4A" w:rsidRPr="009F2D28" w:rsidRDefault="00422D4A" w:rsidP="000E2691">
      <w:pPr>
        <w:pStyle w:val="Paragrafi"/>
        <w:rPr>
          <w:b/>
          <w:lang w:val="sq-AL"/>
        </w:rPr>
      </w:pPr>
      <w:r w:rsidRPr="009F2D28">
        <w:rPr>
          <w:b/>
          <w:lang w:val="sq-AL"/>
        </w:rPr>
        <w:t>Zëvendës</w:t>
      </w:r>
      <w:r w:rsidR="004334AE">
        <w:rPr>
          <w:b/>
          <w:lang w:val="sq-AL"/>
        </w:rPr>
        <w:t>s</w:t>
      </w:r>
      <w:r w:rsidRPr="009F2D28">
        <w:rPr>
          <w:b/>
          <w:lang w:val="sq-AL"/>
        </w:rPr>
        <w:t>ekretar</w:t>
      </w:r>
      <w:r w:rsidR="00431DFE">
        <w:rPr>
          <w:b/>
          <w:lang w:val="sq-AL"/>
        </w:rPr>
        <w:t xml:space="preserve"> </w:t>
      </w:r>
      <w:r w:rsidR="004334AE">
        <w:rPr>
          <w:b/>
          <w:lang w:val="sq-AL"/>
        </w:rPr>
        <w:tab/>
      </w:r>
      <w:r w:rsidR="000075B9">
        <w:rPr>
          <w:b/>
          <w:lang w:val="sq-AL"/>
        </w:rPr>
        <w:tab/>
      </w:r>
      <w:r w:rsidR="000075B9">
        <w:rPr>
          <w:b/>
          <w:lang w:val="sq-AL"/>
        </w:rPr>
        <w:tab/>
      </w:r>
      <w:r w:rsidR="000075B9">
        <w:rPr>
          <w:b/>
          <w:lang w:val="sq-AL"/>
        </w:rPr>
        <w:tab/>
      </w:r>
      <w:r w:rsidR="000075B9">
        <w:rPr>
          <w:b/>
          <w:lang w:val="sq-AL"/>
        </w:rPr>
        <w:tab/>
      </w:r>
      <w:r w:rsidR="000075B9">
        <w:rPr>
          <w:b/>
          <w:lang w:val="sq-AL"/>
        </w:rPr>
        <w:tab/>
      </w:r>
      <w:r w:rsidR="000075B9">
        <w:rPr>
          <w:b/>
          <w:lang w:val="sq-AL"/>
        </w:rPr>
        <w:tab/>
      </w:r>
      <w:r w:rsidR="000075B9">
        <w:rPr>
          <w:b/>
          <w:lang w:val="sq-AL"/>
        </w:rPr>
        <w:tab/>
      </w:r>
      <w:r w:rsidRPr="009F2D28">
        <w:rPr>
          <w:b/>
          <w:lang w:val="sq-AL"/>
        </w:rPr>
        <w:t>President</w:t>
      </w:r>
    </w:p>
    <w:p w:rsidR="00422D4A" w:rsidRPr="009F2D28" w:rsidRDefault="00422D4A" w:rsidP="000E2691">
      <w:pPr>
        <w:pStyle w:val="Paragrafi"/>
        <w:rPr>
          <w:lang w:val="sq-AL"/>
        </w:rPr>
      </w:pPr>
    </w:p>
    <w:p w:rsidR="00CA38C3" w:rsidRPr="009F2D28" w:rsidRDefault="00CA38C3" w:rsidP="000E2691">
      <w:pPr>
        <w:pStyle w:val="Paragrafi"/>
        <w:rPr>
          <w:lang w:val="sq-AL"/>
        </w:rPr>
      </w:pPr>
    </w:p>
    <w:p w:rsidR="00C172B4" w:rsidRPr="009F2D28" w:rsidRDefault="00C172B4" w:rsidP="007D3FEF">
      <w:pPr>
        <w:pStyle w:val="Paragrafi"/>
        <w:ind w:firstLine="0"/>
        <w:rPr>
          <w:lang w:val="sq-AL"/>
        </w:rPr>
      </w:pPr>
    </w:p>
    <w:sectPr w:rsidR="00C172B4" w:rsidRPr="009F2D28" w:rsidSect="007D3FEF">
      <w:headerReference w:type="even" r:id="rId7"/>
      <w:headerReference w:type="default" r:id="rId8"/>
      <w:type w:val="continuous"/>
      <w:pgSz w:w="11907" w:h="16840" w:code="9"/>
      <w:pgMar w:top="1418" w:right="1418" w:bottom="1418" w:left="1418" w:header="576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8BA" w:rsidRDefault="00F458BA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458BA" w:rsidRDefault="00F458BA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8BA" w:rsidRDefault="00F458BA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458BA" w:rsidRDefault="00F458BA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B9" w:rsidRDefault="000075B9" w:rsidP="0039754A">
    <w:pPr>
      <w:pStyle w:val="Header"/>
      <w:tabs>
        <w:tab w:val="clear" w:pos="9360"/>
      </w:tabs>
      <w:ind w:left="-1418" w:right="-141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B9" w:rsidRDefault="000075B9" w:rsidP="0039754A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4ED34D3"/>
    <w:multiLevelType w:val="hybridMultilevel"/>
    <w:tmpl w:val="63FE8E66"/>
    <w:lvl w:ilvl="0" w:tplc="BC3CF6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0E6BD2"/>
    <w:multiLevelType w:val="hybridMultilevel"/>
    <w:tmpl w:val="F262374E"/>
    <w:lvl w:ilvl="0" w:tplc="AADC3350">
      <w:start w:val="1"/>
      <w:numFmt w:val="upperLetter"/>
      <w:lvlText w:val="%1."/>
      <w:lvlJc w:val="left"/>
      <w:pPr>
        <w:ind w:left="274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3">
    <w:nsid w:val="0F962387"/>
    <w:multiLevelType w:val="hybridMultilevel"/>
    <w:tmpl w:val="AA9CC010"/>
    <w:lvl w:ilvl="0" w:tplc="4E441A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35DEA"/>
    <w:multiLevelType w:val="hybridMultilevel"/>
    <w:tmpl w:val="CDA84902"/>
    <w:lvl w:ilvl="0" w:tplc="0A50E2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54756"/>
    <w:multiLevelType w:val="hybridMultilevel"/>
    <w:tmpl w:val="D18A47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11773"/>
    <w:multiLevelType w:val="hybridMultilevel"/>
    <w:tmpl w:val="EC44AA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E2BBB"/>
    <w:multiLevelType w:val="hybridMultilevel"/>
    <w:tmpl w:val="AC70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FE3509"/>
    <w:multiLevelType w:val="hybridMultilevel"/>
    <w:tmpl w:val="71E24F9E"/>
    <w:lvl w:ilvl="0" w:tplc="0A74402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761BB2"/>
    <w:multiLevelType w:val="hybridMultilevel"/>
    <w:tmpl w:val="2482E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8763A8"/>
    <w:multiLevelType w:val="hybridMultilevel"/>
    <w:tmpl w:val="E88A7854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7A0915"/>
    <w:multiLevelType w:val="hybridMultilevel"/>
    <w:tmpl w:val="140ECD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827BA"/>
    <w:multiLevelType w:val="hybridMultilevel"/>
    <w:tmpl w:val="454CE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3712CB"/>
    <w:multiLevelType w:val="hybridMultilevel"/>
    <w:tmpl w:val="A2D65E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72F302B"/>
    <w:multiLevelType w:val="hybridMultilevel"/>
    <w:tmpl w:val="38AC6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162E8C"/>
    <w:multiLevelType w:val="hybridMultilevel"/>
    <w:tmpl w:val="1878F908"/>
    <w:lvl w:ilvl="0" w:tplc="F738BCCA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29203E"/>
    <w:multiLevelType w:val="hybridMultilevel"/>
    <w:tmpl w:val="D2F80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624BF5"/>
    <w:multiLevelType w:val="hybridMultilevel"/>
    <w:tmpl w:val="5338E0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9D68F3"/>
    <w:multiLevelType w:val="hybridMultilevel"/>
    <w:tmpl w:val="58EA9442"/>
    <w:lvl w:ilvl="0" w:tplc="05248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1608FD"/>
    <w:multiLevelType w:val="hybridMultilevel"/>
    <w:tmpl w:val="4D922788"/>
    <w:lvl w:ilvl="0" w:tplc="079C35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6CE0999"/>
    <w:multiLevelType w:val="hybridMultilevel"/>
    <w:tmpl w:val="7632B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114794"/>
    <w:multiLevelType w:val="hybridMultilevel"/>
    <w:tmpl w:val="C82CEC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20"/>
  </w:num>
  <w:num w:numId="4">
    <w:abstractNumId w:val="1"/>
  </w:num>
  <w:num w:numId="5">
    <w:abstractNumId w:val="7"/>
  </w:num>
  <w:num w:numId="6">
    <w:abstractNumId w:val="17"/>
  </w:num>
  <w:num w:numId="7">
    <w:abstractNumId w:val="11"/>
  </w:num>
  <w:num w:numId="8">
    <w:abstractNumId w:val="19"/>
  </w:num>
  <w:num w:numId="9">
    <w:abstractNumId w:val="5"/>
  </w:num>
  <w:num w:numId="10">
    <w:abstractNumId w:val="6"/>
  </w:num>
  <w:num w:numId="11">
    <w:abstractNumId w:val="13"/>
  </w:num>
  <w:num w:numId="12">
    <w:abstractNumId w:val="15"/>
  </w:num>
  <w:num w:numId="13">
    <w:abstractNumId w:val="22"/>
  </w:num>
  <w:num w:numId="14">
    <w:abstractNumId w:val="21"/>
  </w:num>
  <w:num w:numId="15">
    <w:abstractNumId w:val="3"/>
  </w:num>
  <w:num w:numId="16">
    <w:abstractNumId w:val="12"/>
  </w:num>
  <w:num w:numId="17">
    <w:abstractNumId w:val="4"/>
  </w:num>
  <w:num w:numId="18">
    <w:abstractNumId w:val="8"/>
  </w:num>
  <w:num w:numId="19">
    <w:abstractNumId w:val="18"/>
  </w:num>
  <w:num w:numId="20">
    <w:abstractNumId w:val="2"/>
  </w:num>
  <w:num w:numId="21">
    <w:abstractNumId w:val="9"/>
  </w:num>
  <w:num w:numId="22">
    <w:abstractNumId w:val="10"/>
  </w:num>
  <w:num w:numId="23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spelling="clean" w:grammar="clean"/>
  <w:defaultTabStop w:val="720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07C"/>
    <w:rsid w:val="000075B9"/>
    <w:rsid w:val="000477EE"/>
    <w:rsid w:val="0004799A"/>
    <w:rsid w:val="00051F6B"/>
    <w:rsid w:val="00067B48"/>
    <w:rsid w:val="00072860"/>
    <w:rsid w:val="000730E9"/>
    <w:rsid w:val="000A11D1"/>
    <w:rsid w:val="000A235C"/>
    <w:rsid w:val="000B1276"/>
    <w:rsid w:val="000B785D"/>
    <w:rsid w:val="000C48ED"/>
    <w:rsid w:val="000C6CBD"/>
    <w:rsid w:val="000D0E53"/>
    <w:rsid w:val="000E2691"/>
    <w:rsid w:val="001049DD"/>
    <w:rsid w:val="00126793"/>
    <w:rsid w:val="001302D1"/>
    <w:rsid w:val="001659FA"/>
    <w:rsid w:val="001674A9"/>
    <w:rsid w:val="00181450"/>
    <w:rsid w:val="001A2BA0"/>
    <w:rsid w:val="001D5148"/>
    <w:rsid w:val="001E38D7"/>
    <w:rsid w:val="00202EDD"/>
    <w:rsid w:val="00213E18"/>
    <w:rsid w:val="00213FDE"/>
    <w:rsid w:val="00233A49"/>
    <w:rsid w:val="002340BC"/>
    <w:rsid w:val="00240677"/>
    <w:rsid w:val="00250254"/>
    <w:rsid w:val="00251027"/>
    <w:rsid w:val="00257505"/>
    <w:rsid w:val="00265F62"/>
    <w:rsid w:val="00275AA8"/>
    <w:rsid w:val="00290C5C"/>
    <w:rsid w:val="002B2A62"/>
    <w:rsid w:val="002C3F15"/>
    <w:rsid w:val="002D5F75"/>
    <w:rsid w:val="002F7003"/>
    <w:rsid w:val="00312E0C"/>
    <w:rsid w:val="003204D2"/>
    <w:rsid w:val="00324FE2"/>
    <w:rsid w:val="00326B0C"/>
    <w:rsid w:val="00333B05"/>
    <w:rsid w:val="003620E5"/>
    <w:rsid w:val="00365EF7"/>
    <w:rsid w:val="003745B0"/>
    <w:rsid w:val="00376AA6"/>
    <w:rsid w:val="00391A03"/>
    <w:rsid w:val="0039754A"/>
    <w:rsid w:val="003B2EFB"/>
    <w:rsid w:val="003B329D"/>
    <w:rsid w:val="003C7C6D"/>
    <w:rsid w:val="003D44CD"/>
    <w:rsid w:val="003E3217"/>
    <w:rsid w:val="003F4FF5"/>
    <w:rsid w:val="004101E2"/>
    <w:rsid w:val="00412F60"/>
    <w:rsid w:val="00422D4A"/>
    <w:rsid w:val="00424F62"/>
    <w:rsid w:val="00431DFE"/>
    <w:rsid w:val="004334AE"/>
    <w:rsid w:val="00435581"/>
    <w:rsid w:val="004379D8"/>
    <w:rsid w:val="004464EE"/>
    <w:rsid w:val="0045042C"/>
    <w:rsid w:val="00462CC4"/>
    <w:rsid w:val="004648FB"/>
    <w:rsid w:val="00464CA3"/>
    <w:rsid w:val="0047338A"/>
    <w:rsid w:val="004865DE"/>
    <w:rsid w:val="00496D6B"/>
    <w:rsid w:val="004A730B"/>
    <w:rsid w:val="004C340A"/>
    <w:rsid w:val="004F7A09"/>
    <w:rsid w:val="00501C46"/>
    <w:rsid w:val="0050543B"/>
    <w:rsid w:val="00507BAC"/>
    <w:rsid w:val="00523391"/>
    <w:rsid w:val="00531E55"/>
    <w:rsid w:val="00541BDD"/>
    <w:rsid w:val="005460E0"/>
    <w:rsid w:val="00554CD9"/>
    <w:rsid w:val="005660E4"/>
    <w:rsid w:val="00572063"/>
    <w:rsid w:val="0057561B"/>
    <w:rsid w:val="00592E0E"/>
    <w:rsid w:val="00595D7E"/>
    <w:rsid w:val="005B3974"/>
    <w:rsid w:val="005B7541"/>
    <w:rsid w:val="005C630B"/>
    <w:rsid w:val="005F6FD5"/>
    <w:rsid w:val="00613502"/>
    <w:rsid w:val="00622F48"/>
    <w:rsid w:val="006559B3"/>
    <w:rsid w:val="0065652B"/>
    <w:rsid w:val="0067465B"/>
    <w:rsid w:val="0068025E"/>
    <w:rsid w:val="00684220"/>
    <w:rsid w:val="0069087C"/>
    <w:rsid w:val="006D34FE"/>
    <w:rsid w:val="006D5BAA"/>
    <w:rsid w:val="006E4DB0"/>
    <w:rsid w:val="0070662E"/>
    <w:rsid w:val="00711BE6"/>
    <w:rsid w:val="00724D1E"/>
    <w:rsid w:val="00726052"/>
    <w:rsid w:val="00734A8D"/>
    <w:rsid w:val="00740FC3"/>
    <w:rsid w:val="0074584B"/>
    <w:rsid w:val="00760BD9"/>
    <w:rsid w:val="007616DE"/>
    <w:rsid w:val="00770A3D"/>
    <w:rsid w:val="00782174"/>
    <w:rsid w:val="007855F8"/>
    <w:rsid w:val="007975AA"/>
    <w:rsid w:val="007D2A90"/>
    <w:rsid w:val="007D3FEF"/>
    <w:rsid w:val="007D47F4"/>
    <w:rsid w:val="007E0E05"/>
    <w:rsid w:val="007E1A4A"/>
    <w:rsid w:val="007E459D"/>
    <w:rsid w:val="007F2478"/>
    <w:rsid w:val="00812E25"/>
    <w:rsid w:val="0082201D"/>
    <w:rsid w:val="00836EE9"/>
    <w:rsid w:val="008463AD"/>
    <w:rsid w:val="0085486D"/>
    <w:rsid w:val="00857A64"/>
    <w:rsid w:val="00865ED3"/>
    <w:rsid w:val="00866A94"/>
    <w:rsid w:val="0088207C"/>
    <w:rsid w:val="00895F95"/>
    <w:rsid w:val="008F2B45"/>
    <w:rsid w:val="008F43AA"/>
    <w:rsid w:val="008F51BF"/>
    <w:rsid w:val="008F75E5"/>
    <w:rsid w:val="00901227"/>
    <w:rsid w:val="009073CF"/>
    <w:rsid w:val="009230C0"/>
    <w:rsid w:val="0094402A"/>
    <w:rsid w:val="00947EE5"/>
    <w:rsid w:val="00951404"/>
    <w:rsid w:val="0095190A"/>
    <w:rsid w:val="00964315"/>
    <w:rsid w:val="009B4B3F"/>
    <w:rsid w:val="009C5E5A"/>
    <w:rsid w:val="009C6DDA"/>
    <w:rsid w:val="009E499A"/>
    <w:rsid w:val="009F2D28"/>
    <w:rsid w:val="00A0512E"/>
    <w:rsid w:val="00A15476"/>
    <w:rsid w:val="00A229D6"/>
    <w:rsid w:val="00A42599"/>
    <w:rsid w:val="00A604C0"/>
    <w:rsid w:val="00A73E1D"/>
    <w:rsid w:val="00A84E86"/>
    <w:rsid w:val="00A97EEF"/>
    <w:rsid w:val="00AB4899"/>
    <w:rsid w:val="00AC06B8"/>
    <w:rsid w:val="00AC76A2"/>
    <w:rsid w:val="00AD11C9"/>
    <w:rsid w:val="00AE7784"/>
    <w:rsid w:val="00AF6F98"/>
    <w:rsid w:val="00B0527A"/>
    <w:rsid w:val="00B0651D"/>
    <w:rsid w:val="00B06D47"/>
    <w:rsid w:val="00B126F0"/>
    <w:rsid w:val="00B14C46"/>
    <w:rsid w:val="00B21640"/>
    <w:rsid w:val="00B23644"/>
    <w:rsid w:val="00B43F26"/>
    <w:rsid w:val="00B511D2"/>
    <w:rsid w:val="00BA12AE"/>
    <w:rsid w:val="00BC3909"/>
    <w:rsid w:val="00BE1B84"/>
    <w:rsid w:val="00BE7D43"/>
    <w:rsid w:val="00BF5FAA"/>
    <w:rsid w:val="00C172B4"/>
    <w:rsid w:val="00C254F0"/>
    <w:rsid w:val="00C30DFD"/>
    <w:rsid w:val="00C445F4"/>
    <w:rsid w:val="00C4646D"/>
    <w:rsid w:val="00C71B4C"/>
    <w:rsid w:val="00CA38C3"/>
    <w:rsid w:val="00CD1411"/>
    <w:rsid w:val="00CD2E8F"/>
    <w:rsid w:val="00CE6F22"/>
    <w:rsid w:val="00CF689A"/>
    <w:rsid w:val="00D02CC6"/>
    <w:rsid w:val="00D1051E"/>
    <w:rsid w:val="00D31818"/>
    <w:rsid w:val="00D34BF9"/>
    <w:rsid w:val="00D42D58"/>
    <w:rsid w:val="00D62947"/>
    <w:rsid w:val="00D64DB1"/>
    <w:rsid w:val="00D76E7C"/>
    <w:rsid w:val="00DB3D2B"/>
    <w:rsid w:val="00DC5099"/>
    <w:rsid w:val="00E444DB"/>
    <w:rsid w:val="00E51779"/>
    <w:rsid w:val="00E55401"/>
    <w:rsid w:val="00E64E32"/>
    <w:rsid w:val="00E766C1"/>
    <w:rsid w:val="00E81EAB"/>
    <w:rsid w:val="00EA604E"/>
    <w:rsid w:val="00EC0CC8"/>
    <w:rsid w:val="00ED2133"/>
    <w:rsid w:val="00ED2C0C"/>
    <w:rsid w:val="00F00C01"/>
    <w:rsid w:val="00F02A7C"/>
    <w:rsid w:val="00F036D5"/>
    <w:rsid w:val="00F10D74"/>
    <w:rsid w:val="00F41E09"/>
    <w:rsid w:val="00F424B2"/>
    <w:rsid w:val="00F458BA"/>
    <w:rsid w:val="00F72B49"/>
    <w:rsid w:val="00F823DD"/>
    <w:rsid w:val="00F872BD"/>
    <w:rsid w:val="00F93223"/>
    <w:rsid w:val="00F97A4A"/>
    <w:rsid w:val="00FA48F7"/>
    <w:rsid w:val="00FC07D3"/>
    <w:rsid w:val="00FD3071"/>
    <w:rsid w:val="00FE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2977D2E8-CB76-4530-8AE3-11C65F29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027"/>
    <w:rPr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2510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251027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251027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251027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51027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027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1027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251027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51027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link w:val="Heading1"/>
    <w:locked/>
    <w:rsid w:val="00251027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251027"/>
    <w:rPr>
      <w:rFonts w:ascii="Trebuchet MS" w:eastAsia="MS Mincho" w:hAnsi="Trebuchet MS" w:cs="Trebuchet MS"/>
      <w:b/>
      <w:b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251027"/>
    <w:rPr>
      <w:rFonts w:ascii="Trebuchet MS" w:eastAsia="MS Mincho" w:hAnsi="Trebuchet MS" w:cs="Trebuchet MS"/>
      <w:b/>
      <w:bCs/>
      <w:sz w:val="24"/>
      <w:szCs w:val="24"/>
      <w:lang w:val="en-US" w:eastAsia="en-US"/>
    </w:rPr>
  </w:style>
  <w:style w:type="character" w:customStyle="1" w:styleId="Heading4Char">
    <w:name w:val="Heading 4 Char"/>
    <w:link w:val="Heading4"/>
    <w:uiPriority w:val="9"/>
    <w:semiHidden/>
    <w:locked/>
    <w:rsid w:val="00251027"/>
    <w:rPr>
      <w:rFonts w:ascii="Cambria" w:hAnsi="Cambria" w:cs="Cambria"/>
      <w:b/>
      <w:bCs/>
      <w:i/>
      <w:iCs/>
      <w:sz w:val="24"/>
      <w:szCs w:val="24"/>
      <w:lang w:val="en-US" w:eastAsia="en-US"/>
    </w:rPr>
  </w:style>
  <w:style w:type="character" w:customStyle="1" w:styleId="Heading5Char">
    <w:name w:val="Heading 5 Char"/>
    <w:link w:val="Heading5"/>
    <w:uiPriority w:val="9"/>
    <w:semiHidden/>
    <w:locked/>
    <w:rsid w:val="00251027"/>
    <w:rPr>
      <w:rFonts w:ascii="Cambria" w:hAnsi="Cambria" w:cs="Cambria"/>
      <w:b/>
      <w:bCs/>
      <w:color w:val="7F7F7F"/>
      <w:sz w:val="24"/>
      <w:szCs w:val="24"/>
      <w:lang w:val="en-US" w:eastAsia="en-US"/>
    </w:rPr>
  </w:style>
  <w:style w:type="character" w:customStyle="1" w:styleId="Heading6Char">
    <w:name w:val="Heading 6 Char"/>
    <w:link w:val="Heading6"/>
    <w:uiPriority w:val="9"/>
    <w:semiHidden/>
    <w:locked/>
    <w:rsid w:val="00251027"/>
    <w:rPr>
      <w:rFonts w:ascii="Cambria" w:hAnsi="Cambria" w:cs="Cambria"/>
      <w:b/>
      <w:bCs/>
      <w:i/>
      <w:iCs/>
      <w:color w:val="7F7F7F"/>
      <w:sz w:val="24"/>
      <w:szCs w:val="24"/>
      <w:lang w:val="en-US" w:eastAsia="en-US"/>
    </w:rPr>
  </w:style>
  <w:style w:type="character" w:customStyle="1" w:styleId="Heading7Char">
    <w:name w:val="Heading 7 Char"/>
    <w:link w:val="Heading7"/>
    <w:uiPriority w:val="9"/>
    <w:semiHidden/>
    <w:locked/>
    <w:rsid w:val="00251027"/>
    <w:rPr>
      <w:rFonts w:ascii="Cambria" w:hAnsi="Cambria" w:cs="Cambria"/>
      <w:i/>
      <w:iCs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locked/>
    <w:rsid w:val="00251027"/>
    <w:rPr>
      <w:rFonts w:ascii="Cambria" w:hAnsi="Cambria" w:cs="Cambria"/>
      <w:lang w:val="en-US" w:eastAsia="en-US"/>
    </w:rPr>
  </w:style>
  <w:style w:type="character" w:customStyle="1" w:styleId="Heading9Char">
    <w:name w:val="Heading 9 Char"/>
    <w:link w:val="Heading9"/>
    <w:uiPriority w:val="9"/>
    <w:semiHidden/>
    <w:locked/>
    <w:rsid w:val="00251027"/>
    <w:rPr>
      <w:rFonts w:ascii="Cambria" w:hAnsi="Cambria" w:cs="Cambria"/>
      <w:i/>
      <w:iCs/>
      <w:spacing w:val="5"/>
      <w:lang w:val="en-US" w:eastAsia="en-US"/>
    </w:rPr>
  </w:style>
  <w:style w:type="character" w:customStyle="1" w:styleId="Heading2Char1">
    <w:name w:val="Heading 2 Char1"/>
    <w:link w:val="Heading2"/>
    <w:uiPriority w:val="9"/>
    <w:locked/>
    <w:rsid w:val="00251027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1">
    <w:name w:val="Heading 3 Char1"/>
    <w:link w:val="Heading3"/>
    <w:uiPriority w:val="9"/>
    <w:locked/>
    <w:rsid w:val="00251027"/>
    <w:rPr>
      <w:rFonts w:ascii="Cambria" w:hAnsi="Cambria" w:cs="Cambria"/>
      <w:b/>
      <w:bCs/>
      <w:sz w:val="24"/>
      <w:szCs w:val="24"/>
      <w:lang w:val="en-US" w:eastAsia="en-US"/>
    </w:rPr>
  </w:style>
  <w:style w:type="character" w:customStyle="1" w:styleId="mediumtext1">
    <w:name w:val="medium_text1"/>
    <w:uiPriority w:val="99"/>
    <w:rsid w:val="00251027"/>
    <w:rPr>
      <w:sz w:val="17"/>
      <w:szCs w:val="17"/>
    </w:rPr>
  </w:style>
  <w:style w:type="paragraph" w:customStyle="1" w:styleId="ADDRESS">
    <w:name w:val="ADDRESS"/>
    <w:basedOn w:val="Normal"/>
    <w:rsid w:val="0025102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51027"/>
    <w:pPr>
      <w:jc w:val="center"/>
    </w:pPr>
    <w:rPr>
      <w:rFonts w:ascii="CG Times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51027"/>
    <w:pPr>
      <w:keepNext/>
      <w:widowControl w:val="0"/>
      <w:jc w:val="right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51027"/>
    <w:pPr>
      <w:widowControl w:val="0"/>
      <w:jc w:val="right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rsid w:val="00251027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251027"/>
    <w:pPr>
      <w:keepNext/>
      <w:widowControl w:val="0"/>
      <w:ind w:firstLine="720"/>
      <w:jc w:val="both"/>
    </w:pPr>
    <w:rPr>
      <w:rFonts w:ascii="CG Times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251027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5102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51027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51027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251027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251027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rsid w:val="00251027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251027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251027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2510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25102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251027"/>
    <w:pPr>
      <w:widowControl w:val="0"/>
      <w:outlineLvl w:val="2"/>
    </w:pPr>
    <w:rPr>
      <w:rFonts w:ascii="CG Times" w:hAnsi="CG Times" w:cs="CG Times"/>
      <w:sz w:val="22"/>
      <w:szCs w:val="22"/>
    </w:rPr>
  </w:style>
  <w:style w:type="paragraph" w:customStyle="1" w:styleId="footnote">
    <w:name w:val="footnote"/>
    <w:basedOn w:val="Normal"/>
    <w:rsid w:val="0025102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rsid w:val="00251027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251027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51027"/>
    <w:pPr>
      <w:pageBreakBefore/>
    </w:pPr>
    <w:rPr>
      <w:rFonts w:ascii="CG Times" w:hAnsi="CG Times" w:cs="CG Times"/>
      <w:b/>
      <w:bCs/>
      <w:sz w:val="22"/>
      <w:szCs w:val="22"/>
    </w:rPr>
  </w:style>
  <w:style w:type="paragraph" w:customStyle="1" w:styleId="KapitulliNr">
    <w:name w:val="Kap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25102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251027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25102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251027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251027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251027"/>
    <w:pPr>
      <w:keepNext/>
      <w:widowControl w:val="0"/>
      <w:jc w:val="center"/>
    </w:pPr>
    <w:rPr>
      <w:rFonts w:ascii="CG Times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251027"/>
    <w:pPr>
      <w:keepNext/>
      <w:widowControl w:val="0"/>
      <w:jc w:val="center"/>
    </w:pPr>
    <w:rPr>
      <w:rFonts w:ascii="CG Times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51027"/>
    <w:pPr>
      <w:keepNext/>
      <w:widowControl w:val="0"/>
      <w:jc w:val="center"/>
      <w:outlineLvl w:val="2"/>
    </w:pPr>
    <w:rPr>
      <w:rFonts w:ascii="CG Times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251027"/>
    <w:pPr>
      <w:ind w:firstLine="720"/>
    </w:pPr>
    <w:rPr>
      <w:rFonts w:ascii="CG Times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251027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251027"/>
    <w:pPr>
      <w:tabs>
        <w:tab w:val="num" w:pos="1800"/>
      </w:tabs>
      <w:spacing w:after="120"/>
      <w:jc w:val="both"/>
    </w:pPr>
    <w:rPr>
      <w:rFonts w:ascii="Arial" w:hAnsi="Arial" w:cs="Arial"/>
      <w:lang w:val="en-GB"/>
    </w:rPr>
  </w:style>
  <w:style w:type="paragraph" w:customStyle="1" w:styleId="NumriData">
    <w:name w:val="Numri_Data"/>
    <w:next w:val="Normal"/>
    <w:link w:val="NumriData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251027"/>
    <w:rPr>
      <w:rFonts w:ascii="CG Times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251027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rsid w:val="00251027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251027"/>
    <w:rPr>
      <w:rFonts w:ascii="CG Times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25102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251027"/>
    <w:pPr>
      <w:ind w:left="720"/>
    </w:pPr>
  </w:style>
  <w:style w:type="paragraph" w:customStyle="1" w:styleId="Pas">
    <w:name w:val="Pas"/>
    <w:basedOn w:val="Normal"/>
    <w:rsid w:val="00251027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paragraph" w:customStyle="1" w:styleId="PikeKreu">
    <w:name w:val="Pike_Kreu"/>
    <w:basedOn w:val="Heading1"/>
    <w:rsid w:val="00251027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251027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25102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251027"/>
    <w:pPr>
      <w:widowControl w:val="0"/>
      <w:jc w:val="both"/>
    </w:pPr>
    <w:rPr>
      <w:rFonts w:ascii="CG Times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25102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Caption">
    <w:name w:val="Style Caption"/>
    <w:basedOn w:val="Normal"/>
    <w:rsid w:val="00251027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rsid w:val="00251027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251027"/>
    <w:pPr>
      <w:spacing w:before="60" w:after="120"/>
    </w:pPr>
    <w:rPr>
      <w:rFonts w:ascii="Arial" w:hAnsi="Arial" w:cs="Arial"/>
      <w:sz w:val="22"/>
      <w:szCs w:val="22"/>
    </w:rPr>
  </w:style>
  <w:style w:type="paragraph" w:customStyle="1" w:styleId="tabela">
    <w:name w:val="tabela"/>
    <w:basedOn w:val="Normal"/>
    <w:rsid w:val="00251027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25102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251027"/>
    <w:pPr>
      <w:spacing w:after="120"/>
    </w:pPr>
  </w:style>
  <w:style w:type="character" w:customStyle="1" w:styleId="BodyTextChar">
    <w:name w:val="Body Text Char"/>
    <w:link w:val="BodyText"/>
    <w:locked/>
    <w:rsid w:val="00251027"/>
    <w:rPr>
      <w:sz w:val="24"/>
      <w:szCs w:val="24"/>
      <w:lang w:val="en-US" w:eastAsia="en-US"/>
    </w:rPr>
  </w:style>
  <w:style w:type="paragraph" w:customStyle="1" w:styleId="TableFootnote">
    <w:name w:val="Table Footnote"/>
    <w:basedOn w:val="Normal"/>
    <w:rsid w:val="00251027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251027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251027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251027"/>
    <w:pPr>
      <w:keepNext/>
      <w:widowControl w:val="0"/>
      <w:jc w:val="center"/>
      <w:outlineLvl w:val="1"/>
    </w:pPr>
    <w:rPr>
      <w:rFonts w:ascii="CG Times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rsid w:val="00251027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251027"/>
    <w:pPr>
      <w:keepNext/>
      <w:widowControl w:val="0"/>
      <w:jc w:val="center"/>
      <w:outlineLvl w:val="0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251027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5102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251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25102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2510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5102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25102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25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25102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251027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251027"/>
  </w:style>
  <w:style w:type="paragraph" w:customStyle="1" w:styleId="msolistparagraphcxsplast">
    <w:name w:val="msolistparagraphcxsplast"/>
    <w:basedOn w:val="Normal"/>
    <w:uiPriority w:val="99"/>
    <w:rsid w:val="00251027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251027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locked/>
    <w:rsid w:val="00251027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27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link w:val="Subtitle"/>
    <w:uiPriority w:val="11"/>
    <w:locked/>
    <w:rsid w:val="00251027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Strong">
    <w:name w:val="Strong"/>
    <w:uiPriority w:val="22"/>
    <w:qFormat/>
    <w:rsid w:val="00251027"/>
    <w:rPr>
      <w:b/>
      <w:bCs/>
    </w:rPr>
  </w:style>
  <w:style w:type="character" w:styleId="Emphasis">
    <w:name w:val="Emphasis"/>
    <w:uiPriority w:val="20"/>
    <w:qFormat/>
    <w:rsid w:val="00251027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251027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51027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link w:val="MediumGrid2-Accent21"/>
    <w:uiPriority w:val="99"/>
    <w:locked/>
    <w:rsid w:val="00251027"/>
    <w:rPr>
      <w:i/>
      <w:iCs/>
      <w:sz w:val="24"/>
      <w:szCs w:val="24"/>
      <w:lang w:val="en-US" w:eastAsia="en-US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5102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link w:val="MediumGrid3-Accent21"/>
    <w:uiPriority w:val="99"/>
    <w:locked/>
    <w:rsid w:val="00251027"/>
    <w:rPr>
      <w:b/>
      <w:bCs/>
      <w:i/>
      <w:iCs/>
      <w:sz w:val="24"/>
      <w:szCs w:val="24"/>
      <w:lang w:val="en-US" w:eastAsia="en-US"/>
    </w:rPr>
  </w:style>
  <w:style w:type="character" w:customStyle="1" w:styleId="SubtleEmphasis1">
    <w:name w:val="Subtle Emphasis1"/>
    <w:uiPriority w:val="99"/>
    <w:rsid w:val="00251027"/>
    <w:rPr>
      <w:i/>
      <w:iCs/>
    </w:rPr>
  </w:style>
  <w:style w:type="character" w:customStyle="1" w:styleId="IntenseEmphasis1">
    <w:name w:val="Intense Emphasis1"/>
    <w:uiPriority w:val="99"/>
    <w:rsid w:val="00251027"/>
    <w:rPr>
      <w:b/>
      <w:bCs/>
    </w:rPr>
  </w:style>
  <w:style w:type="character" w:customStyle="1" w:styleId="SubtleReference1">
    <w:name w:val="Subtle Reference1"/>
    <w:uiPriority w:val="99"/>
    <w:rsid w:val="00251027"/>
    <w:rPr>
      <w:smallCaps/>
    </w:rPr>
  </w:style>
  <w:style w:type="character" w:customStyle="1" w:styleId="IntenseReference1">
    <w:name w:val="Intense Reference1"/>
    <w:uiPriority w:val="99"/>
    <w:rsid w:val="00251027"/>
    <w:rPr>
      <w:smallCaps/>
      <w:spacing w:val="5"/>
      <w:u w:val="single"/>
    </w:rPr>
  </w:style>
  <w:style w:type="character" w:customStyle="1" w:styleId="BookTitle1">
    <w:name w:val="Book Title1"/>
    <w:uiPriority w:val="99"/>
    <w:rsid w:val="00251027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2510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25102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251027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251027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2510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25102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2510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uiPriority w:val="99"/>
    <w:rsid w:val="00251027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251027"/>
  </w:style>
  <w:style w:type="character" w:customStyle="1" w:styleId="longtext">
    <w:name w:val="long_text"/>
    <w:basedOn w:val="DefaultParagraphFont"/>
    <w:uiPriority w:val="99"/>
    <w:rsid w:val="00251027"/>
  </w:style>
  <w:style w:type="paragraph" w:styleId="FootnoteText">
    <w:name w:val="footnote text"/>
    <w:basedOn w:val="Normal"/>
    <w:link w:val="FootnoteTextChar"/>
    <w:uiPriority w:val="99"/>
    <w:semiHidden/>
    <w:rsid w:val="00251027"/>
    <w:rPr>
      <w:sz w:val="20"/>
      <w:szCs w:val="20"/>
      <w:lang w:val="sq-AL"/>
    </w:rPr>
  </w:style>
  <w:style w:type="character" w:customStyle="1" w:styleId="FootnoteTextChar">
    <w:name w:val="Footnote Text Char"/>
    <w:link w:val="FootnoteText"/>
    <w:uiPriority w:val="99"/>
    <w:semiHidden/>
    <w:rsid w:val="00DC2205"/>
    <w:rPr>
      <w:sz w:val="20"/>
      <w:szCs w:val="20"/>
    </w:rPr>
  </w:style>
  <w:style w:type="character" w:styleId="FootnoteReference">
    <w:name w:val="footnote reference"/>
    <w:uiPriority w:val="99"/>
    <w:semiHidden/>
    <w:rsid w:val="00251027"/>
    <w:rPr>
      <w:vertAlign w:val="superscript"/>
    </w:rPr>
  </w:style>
  <w:style w:type="character" w:customStyle="1" w:styleId="apple-style-span">
    <w:name w:val="apple-style-span"/>
    <w:basedOn w:val="DefaultParagraphFont"/>
    <w:rsid w:val="00251027"/>
  </w:style>
  <w:style w:type="character" w:customStyle="1" w:styleId="apple-converted-space">
    <w:name w:val="apple-converted-space"/>
    <w:basedOn w:val="DefaultParagraphFont"/>
    <w:rsid w:val="00251027"/>
  </w:style>
  <w:style w:type="paragraph" w:styleId="BalloonText">
    <w:name w:val="Balloon Text"/>
    <w:basedOn w:val="Normal"/>
    <w:link w:val="BalloonTextChar"/>
    <w:uiPriority w:val="99"/>
    <w:rsid w:val="002510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251027"/>
    <w:rPr>
      <w:rFonts w:ascii="Lucida Grande" w:hAnsi="Lucida Grande" w:cs="Lucida Grande"/>
      <w:sz w:val="18"/>
      <w:szCs w:val="18"/>
    </w:rPr>
  </w:style>
  <w:style w:type="paragraph" w:customStyle="1" w:styleId="Char">
    <w:name w:val="Char"/>
    <w:basedOn w:val="Normal"/>
    <w:rsid w:val="00251027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7206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572063"/>
    <w:rPr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72063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57206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AC76A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AC76A2"/>
    <w:rPr>
      <w:rFonts w:eastAsia="Times New Roman"/>
      <w:sz w:val="24"/>
      <w:szCs w:val="22"/>
    </w:rPr>
  </w:style>
  <w:style w:type="character" w:customStyle="1" w:styleId="TitulliChar">
    <w:name w:val="Titulli Char"/>
    <w:link w:val="Titulli"/>
    <w:rsid w:val="00AC76A2"/>
    <w:rPr>
      <w:rFonts w:ascii="CG Times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rsid w:val="00AC76A2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AC76A2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AC76A2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AC76A2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uiPriority w:val="99"/>
    <w:unhideWhenUsed/>
    <w:rsid w:val="00AC76A2"/>
    <w:rPr>
      <w:color w:val="0000FF"/>
      <w:u w:val="single"/>
    </w:rPr>
  </w:style>
  <w:style w:type="character" w:customStyle="1" w:styleId="NeniNrChar">
    <w:name w:val="Neni_Nr Char"/>
    <w:link w:val="NeniNr"/>
    <w:rsid w:val="00AC76A2"/>
    <w:rPr>
      <w:rFonts w:ascii="CG Times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AC76A2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AC76A2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AC76A2"/>
  </w:style>
  <w:style w:type="character" w:customStyle="1" w:styleId="atn">
    <w:name w:val="atn"/>
    <w:basedOn w:val="DefaultParagraphFont"/>
    <w:rsid w:val="00AC76A2"/>
  </w:style>
  <w:style w:type="character" w:customStyle="1" w:styleId="gt-icon-text1">
    <w:name w:val="gt-icon-text1"/>
    <w:basedOn w:val="DefaultParagraphFont"/>
    <w:rsid w:val="00AC76A2"/>
  </w:style>
  <w:style w:type="paragraph" w:customStyle="1" w:styleId="CM4">
    <w:name w:val="CM4"/>
    <w:basedOn w:val="Normal"/>
    <w:next w:val="Normal"/>
    <w:rsid w:val="00AC76A2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AC76A2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locked/>
    <w:rsid w:val="00AC76A2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rsid w:val="00AC76A2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95190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0">
    <w:name w:val="a0"/>
    <w:basedOn w:val="Normal"/>
    <w:rsid w:val="0095190A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95190A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95190A"/>
  </w:style>
  <w:style w:type="paragraph" w:customStyle="1" w:styleId="akti0">
    <w:name w:val="akti"/>
    <w:basedOn w:val="Normal"/>
    <w:rsid w:val="0095190A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95190A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95190A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95190A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95190A"/>
  </w:style>
  <w:style w:type="paragraph" w:customStyle="1" w:styleId="betreff">
    <w:name w:val="betreff"/>
    <w:basedOn w:val="Normal"/>
    <w:next w:val="anrede"/>
    <w:rsid w:val="0095190A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95190A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95190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95190A"/>
    <w:rPr>
      <w:i/>
      <w:iCs/>
      <w:smallCaps/>
      <w:spacing w:val="5"/>
    </w:rPr>
  </w:style>
  <w:style w:type="paragraph" w:customStyle="1" w:styleId="briefkopf">
    <w:name w:val="briefkopf"/>
    <w:basedOn w:val="Normal"/>
    <w:rsid w:val="0095190A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locked/>
    <w:rsid w:val="0095190A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rsid w:val="0095190A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95190A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rsid w:val="0095190A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95190A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95190A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95190A"/>
    <w:rPr>
      <w:sz w:val="20"/>
      <w:szCs w:val="20"/>
    </w:rPr>
  </w:style>
  <w:style w:type="paragraph" w:customStyle="1" w:styleId="ecxmsonormal">
    <w:name w:val="ecxmsonormal"/>
    <w:basedOn w:val="Normal"/>
    <w:rsid w:val="0095190A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95190A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95190A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95190A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95190A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rsid w:val="0095190A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rsid w:val="0095190A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95190A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95190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90A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styleId="IntenseReference">
    <w:name w:val="Intense Reference"/>
    <w:uiPriority w:val="32"/>
    <w:qFormat/>
    <w:rsid w:val="0095190A"/>
    <w:rPr>
      <w:smallCaps/>
      <w:spacing w:val="5"/>
      <w:u w:val="single"/>
    </w:rPr>
  </w:style>
  <w:style w:type="paragraph" w:customStyle="1" w:styleId="JuPara">
    <w:name w:val="Ju_Para"/>
    <w:aliases w:val="Left"/>
    <w:basedOn w:val="Normal"/>
    <w:rsid w:val="0095190A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95190A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95190A"/>
  </w:style>
  <w:style w:type="character" w:customStyle="1" w:styleId="ju--005fpara----char--char">
    <w:name w:val="ju--005fpara----char--char"/>
    <w:basedOn w:val="DefaultParagraphFont"/>
    <w:rsid w:val="0095190A"/>
  </w:style>
  <w:style w:type="character" w:customStyle="1" w:styleId="longtext1">
    <w:name w:val="long_text1"/>
    <w:rsid w:val="0095190A"/>
    <w:rPr>
      <w:sz w:val="20"/>
      <w:szCs w:val="20"/>
    </w:rPr>
  </w:style>
  <w:style w:type="character" w:customStyle="1" w:styleId="mediumtext">
    <w:name w:val="medium_text"/>
    <w:basedOn w:val="DefaultParagraphFont"/>
    <w:rsid w:val="0095190A"/>
  </w:style>
  <w:style w:type="paragraph" w:customStyle="1" w:styleId="neninr0">
    <w:name w:val="neninr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95190A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95190A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95190A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95190A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95190A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9519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95190A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95190A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shorttext">
    <w:name w:val="short_text"/>
    <w:basedOn w:val="DefaultParagraphFont"/>
    <w:rsid w:val="0095190A"/>
  </w:style>
  <w:style w:type="paragraph" w:customStyle="1" w:styleId="Standard1">
    <w:name w:val="Standard1"/>
    <w:basedOn w:val="Normal"/>
    <w:rsid w:val="0095190A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95190A"/>
    <w:pPr>
      <w:widowControl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Style4">
    <w:name w:val="Style 4"/>
    <w:rsid w:val="0095190A"/>
    <w:pPr>
      <w:widowControl w:val="0"/>
      <w:autoSpaceDE w:val="0"/>
      <w:autoSpaceDN w:val="0"/>
      <w:spacing w:before="108"/>
      <w:ind w:left="288" w:hanging="288"/>
    </w:pPr>
    <w:rPr>
      <w:rFonts w:eastAsia="SimSun"/>
      <w:sz w:val="18"/>
      <w:szCs w:val="18"/>
      <w:lang w:eastAsia="zh-CN"/>
    </w:rPr>
  </w:style>
  <w:style w:type="paragraph" w:customStyle="1" w:styleId="Style8">
    <w:name w:val="Style 8"/>
    <w:rsid w:val="0095190A"/>
    <w:pPr>
      <w:widowControl w:val="0"/>
      <w:autoSpaceDE w:val="0"/>
      <w:autoSpaceDN w:val="0"/>
      <w:spacing w:before="72" w:line="307" w:lineRule="auto"/>
    </w:pPr>
    <w:rPr>
      <w:rFonts w:eastAsia="SimSun"/>
      <w:sz w:val="18"/>
      <w:szCs w:val="18"/>
      <w:lang w:eastAsia="zh-CN"/>
    </w:rPr>
  </w:style>
  <w:style w:type="paragraph" w:customStyle="1" w:styleId="style5">
    <w:name w:val="style5"/>
    <w:basedOn w:val="Normal"/>
    <w:rsid w:val="0095190A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95190A"/>
    <w:rPr>
      <w:i/>
      <w:iCs/>
    </w:rPr>
  </w:style>
  <w:style w:type="character" w:styleId="SubtleReference">
    <w:name w:val="Subtle Reference"/>
    <w:uiPriority w:val="31"/>
    <w:qFormat/>
    <w:rsid w:val="0095190A"/>
    <w:rPr>
      <w:smallCaps/>
    </w:rPr>
  </w:style>
  <w:style w:type="paragraph" w:customStyle="1" w:styleId="Tabellenberschrift">
    <w:name w:val="Tabellenüberschrift"/>
    <w:basedOn w:val="Normal"/>
    <w:rsid w:val="0095190A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95190A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95190A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95190A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rsid w:val="0095190A"/>
    <w:pPr>
      <w:spacing w:after="120"/>
    </w:pPr>
    <w:rPr>
      <w:sz w:val="16"/>
      <w:szCs w:val="16"/>
      <w:lang w:val="en-GB"/>
    </w:rPr>
  </w:style>
  <w:style w:type="paragraph" w:styleId="BodyTextIndent">
    <w:name w:val="Body Text Indent"/>
    <w:basedOn w:val="Normal"/>
    <w:rsid w:val="0095190A"/>
    <w:pPr>
      <w:spacing w:after="120"/>
      <w:ind w:left="360"/>
    </w:pPr>
    <w:rPr>
      <w:sz w:val="20"/>
      <w:szCs w:val="20"/>
      <w:lang w:val="en-GB"/>
    </w:rPr>
  </w:style>
  <w:style w:type="character" w:styleId="CommentReference">
    <w:name w:val="annotation reference"/>
    <w:semiHidden/>
    <w:unhideWhenUsed/>
    <w:rsid w:val="0095190A"/>
    <w:rPr>
      <w:sz w:val="16"/>
      <w:szCs w:val="16"/>
    </w:rPr>
  </w:style>
  <w:style w:type="paragraph" w:styleId="CommentText">
    <w:name w:val="annotation text"/>
    <w:basedOn w:val="Normal"/>
    <w:semiHidden/>
    <w:unhideWhenUsed/>
    <w:rsid w:val="0095190A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semiHidden/>
    <w:unhideWhenUsed/>
    <w:rsid w:val="0095190A"/>
    <w:rPr>
      <w:b/>
      <w:bCs/>
    </w:rPr>
  </w:style>
  <w:style w:type="paragraph" w:customStyle="1" w:styleId="Corpodeltesto">
    <w:name w:val="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95190A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95190A"/>
  </w:style>
  <w:style w:type="paragraph" w:customStyle="1" w:styleId="Normale">
    <w:name w:val="Normale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95190A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95190A"/>
  </w:style>
  <w:style w:type="character" w:customStyle="1" w:styleId="subtitle0">
    <w:name w:val="subtitle"/>
    <w:basedOn w:val="DefaultParagraphFont"/>
    <w:rsid w:val="0095190A"/>
  </w:style>
  <w:style w:type="paragraph" w:customStyle="1" w:styleId="Titolo1">
    <w:name w:val="Titolo 1"/>
    <w:basedOn w:val="Default"/>
    <w:next w:val="Default"/>
    <w:rsid w:val="0095190A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95190A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95190A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95190A"/>
    <w:rPr>
      <w:rFonts w:eastAsia="Times New Roman"/>
      <w:color w:val="auto"/>
    </w:rPr>
  </w:style>
  <w:style w:type="character" w:customStyle="1" w:styleId="vi">
    <w:name w:val="vi"/>
    <w:basedOn w:val="DefaultParagraphFont"/>
    <w:rsid w:val="0095190A"/>
  </w:style>
  <w:style w:type="character" w:customStyle="1" w:styleId="actsnumber">
    <w:name w:val="actsnumber"/>
    <w:basedOn w:val="DefaultParagraphFont"/>
    <w:rsid w:val="0095190A"/>
  </w:style>
  <w:style w:type="character" w:customStyle="1" w:styleId="actscontent">
    <w:name w:val="actscontent"/>
    <w:basedOn w:val="DefaultParagraphFont"/>
    <w:rsid w:val="0095190A"/>
  </w:style>
  <w:style w:type="character" w:styleId="FollowedHyperlink">
    <w:name w:val="FollowedHyperlink"/>
    <w:rsid w:val="0095190A"/>
    <w:rPr>
      <w:color w:val="800080"/>
      <w:u w:val="single"/>
    </w:rPr>
  </w:style>
  <w:style w:type="paragraph" w:customStyle="1" w:styleId="Char0">
    <w:name w:val=" Char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A38C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semiHidden/>
    <w:unhideWhenUsed/>
    <w:rsid w:val="00CA38C3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CA38C3"/>
    <w:rPr>
      <w:vertAlign w:val="superscript"/>
    </w:rPr>
  </w:style>
  <w:style w:type="character" w:customStyle="1" w:styleId="AutoritetiChar">
    <w:name w:val="Autoriteti Char"/>
    <w:link w:val="Autoriteti"/>
    <w:locked/>
    <w:rsid w:val="00CA38C3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A38C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A38C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A38C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A38C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A38C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A38C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link w:val="Akti"/>
    <w:rsid w:val="00CA38C3"/>
    <w:rPr>
      <w:rFonts w:ascii="CG Times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QuoteChar">
    <w:name w:val="Quote Char"/>
    <w:link w:val="Quote"/>
    <w:uiPriority w:val="29"/>
    <w:rsid w:val="00F02A7C"/>
    <w:rPr>
      <w:rFonts w:ascii="Arial" w:hAnsi="Arial" w:cs="Arial"/>
      <w:i/>
      <w:iCs/>
      <w:sz w:val="24"/>
      <w:szCs w:val="24"/>
      <w:lang w:val="de-DE" w:eastAsia="de-DE"/>
    </w:rPr>
  </w:style>
  <w:style w:type="character" w:customStyle="1" w:styleId="IntenseQuoteChar">
    <w:name w:val="Intense Quote Char"/>
    <w:link w:val="IntenseQuote"/>
    <w:uiPriority w:val="30"/>
    <w:rsid w:val="00F02A7C"/>
    <w:rPr>
      <w:rFonts w:ascii="Arial" w:hAnsi="Arial" w:cs="Arial"/>
      <w:b/>
      <w:bCs/>
      <w:i/>
      <w:iCs/>
      <w:sz w:val="24"/>
      <w:szCs w:val="24"/>
      <w:lang w:val="de-DE" w:eastAsia="de-DE"/>
    </w:rPr>
  </w:style>
  <w:style w:type="character" w:customStyle="1" w:styleId="JuParaChar">
    <w:name w:val="Ju_Para Char"/>
    <w:rsid w:val="000E2691"/>
    <w:rPr>
      <w:rFonts w:ascii="Times New Roman" w:eastAsia="Times New Roman" w:hAnsi="Times New Roman"/>
      <w:sz w:val="24"/>
      <w:lang w:val="en-GB" w:eastAsia="fr-FR"/>
    </w:rPr>
  </w:style>
  <w:style w:type="paragraph" w:customStyle="1" w:styleId="JuJudges">
    <w:name w:val="Ju_Judges"/>
    <w:basedOn w:val="Normal"/>
    <w:link w:val="JuJudgesChar"/>
    <w:rsid w:val="000E2691"/>
    <w:pPr>
      <w:tabs>
        <w:tab w:val="left" w:pos="567"/>
        <w:tab w:val="left" w:pos="1134"/>
      </w:tabs>
      <w:suppressAutoHyphens/>
    </w:pPr>
    <w:rPr>
      <w:rFonts w:eastAsia="Times New Roman"/>
      <w:szCs w:val="20"/>
      <w:lang w:val="en-GB" w:eastAsia="fr-FR"/>
    </w:rPr>
  </w:style>
  <w:style w:type="character" w:customStyle="1" w:styleId="JuJudgesChar">
    <w:name w:val="Ju_Judges Char"/>
    <w:link w:val="JuJudges"/>
    <w:locked/>
    <w:rsid w:val="000E2691"/>
    <w:rPr>
      <w:rFonts w:eastAsia="Times New Roman"/>
      <w:sz w:val="24"/>
      <w:lang w:val="en-GB" w:eastAsia="fr-FR"/>
    </w:rPr>
  </w:style>
  <w:style w:type="paragraph" w:customStyle="1" w:styleId="JuCase">
    <w:name w:val="Ju_Case"/>
    <w:basedOn w:val="Normal"/>
    <w:next w:val="Normal"/>
    <w:link w:val="JuCaseChar"/>
    <w:rsid w:val="000E2691"/>
    <w:pPr>
      <w:ind w:firstLine="284"/>
      <w:jc w:val="both"/>
    </w:pPr>
    <w:rPr>
      <w:rFonts w:eastAsia="Times New Roman"/>
      <w:b/>
      <w:szCs w:val="20"/>
      <w:lang w:val="en-GB" w:eastAsia="fr-FR"/>
    </w:rPr>
  </w:style>
  <w:style w:type="character" w:customStyle="1" w:styleId="JuCaseChar">
    <w:name w:val="Ju_Case Char"/>
    <w:link w:val="JuCase"/>
    <w:rsid w:val="000E2691"/>
    <w:rPr>
      <w:rFonts w:eastAsia="Times New Roman"/>
      <w:b/>
      <w:sz w:val="24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76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v.pacrami</dc:creator>
  <cp:keywords/>
  <cp:lastModifiedBy>QBZ Admin</cp:lastModifiedBy>
  <cp:revision>2</cp:revision>
  <cp:lastPrinted>2013-02-27T14:20:00Z</cp:lastPrinted>
  <dcterms:created xsi:type="dcterms:W3CDTF">2019-03-18T14:32:00Z</dcterms:created>
  <dcterms:modified xsi:type="dcterms:W3CDTF">2019-03-18T14:32:00Z</dcterms:modified>
</cp:coreProperties>
</file>