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F0B" w:rsidRPr="00F52A19" w:rsidRDefault="007B2F0B" w:rsidP="007B2F0B">
      <w:pPr>
        <w:pStyle w:val="NeniNr"/>
        <w:keepNext w:val="0"/>
        <w:rPr>
          <w:lang w:val="sq-AL"/>
        </w:rPr>
      </w:pPr>
      <w:bookmarkStart w:id="0" w:name="_GoBack"/>
      <w:bookmarkEnd w:id="0"/>
      <w:r w:rsidRPr="00F52A19">
        <w:rPr>
          <w:lang w:val="sq-AL"/>
        </w:rPr>
        <w:t>GJYKATA EVROPIANE E TË DREJTAVE TË NJERIUT</w:t>
      </w:r>
    </w:p>
    <w:p w:rsidR="007B2F0B" w:rsidRPr="00F52A19" w:rsidRDefault="007B2F0B" w:rsidP="007B2F0B">
      <w:pPr>
        <w:pStyle w:val="NeniNr"/>
        <w:keepNext w:val="0"/>
        <w:rPr>
          <w:lang w:val="sq-AL"/>
        </w:rPr>
      </w:pPr>
      <w:r w:rsidRPr="00F52A19">
        <w:rPr>
          <w:lang w:val="sq-AL"/>
        </w:rPr>
        <w:t>SEKSIONI I PARË</w:t>
      </w:r>
    </w:p>
    <w:p w:rsidR="007B2F0B" w:rsidRPr="00F52A19" w:rsidRDefault="007B2F0B" w:rsidP="007B2F0B">
      <w:pPr>
        <w:pStyle w:val="NeniNr"/>
        <w:keepNext w:val="0"/>
        <w:rPr>
          <w:sz w:val="14"/>
          <w:lang w:val="sq-AL"/>
        </w:rPr>
      </w:pPr>
    </w:p>
    <w:p w:rsidR="007B2F0B" w:rsidRPr="00F52A19" w:rsidRDefault="007B2F0B" w:rsidP="007B2F0B">
      <w:pPr>
        <w:pStyle w:val="NeniTitull"/>
        <w:keepNext w:val="0"/>
        <w:rPr>
          <w:lang w:val="sq-AL"/>
        </w:rPr>
      </w:pPr>
      <w:r w:rsidRPr="00F52A19">
        <w:rPr>
          <w:lang w:val="sq-AL"/>
        </w:rPr>
        <w:t>ÇËSHTJA KARAGJOZI DHE TË TJERËT KUNDËR SHQIPËRISË</w:t>
      </w:r>
    </w:p>
    <w:p w:rsidR="007B2F0B" w:rsidRPr="00F52A19" w:rsidRDefault="007B2F0B" w:rsidP="007B2F0B">
      <w:pPr>
        <w:pStyle w:val="NeniNr"/>
        <w:keepNext w:val="0"/>
        <w:rPr>
          <w:i/>
          <w:lang w:val="sq-AL"/>
        </w:rPr>
      </w:pPr>
      <w:r w:rsidRPr="00F52A19">
        <w:rPr>
          <w:i/>
          <w:lang w:val="sq-AL"/>
        </w:rPr>
        <w:t xml:space="preserve">(Ankimi </w:t>
      </w:r>
      <w:r>
        <w:rPr>
          <w:i/>
          <w:lang w:val="sq-AL"/>
        </w:rPr>
        <w:t xml:space="preserve">nr. </w:t>
      </w:r>
      <w:r w:rsidRPr="00F52A19">
        <w:rPr>
          <w:i/>
          <w:lang w:val="sq-AL"/>
        </w:rPr>
        <w:t>32382/11)</w:t>
      </w:r>
    </w:p>
    <w:p w:rsidR="007B2F0B" w:rsidRPr="00F52A19" w:rsidRDefault="007B2F0B" w:rsidP="007B2F0B">
      <w:pPr>
        <w:pStyle w:val="NeniNr"/>
        <w:keepNext w:val="0"/>
        <w:rPr>
          <w:i/>
          <w:sz w:val="14"/>
          <w:lang w:val="sq-AL"/>
        </w:rPr>
      </w:pPr>
    </w:p>
    <w:p w:rsidR="007B2F0B" w:rsidRPr="00F52A19" w:rsidRDefault="007B2F0B" w:rsidP="007B2F0B">
      <w:pPr>
        <w:pStyle w:val="NeniTitull"/>
        <w:keepNext w:val="0"/>
        <w:rPr>
          <w:lang w:val="sq-AL"/>
        </w:rPr>
      </w:pPr>
      <w:r w:rsidRPr="00F52A19">
        <w:rPr>
          <w:lang w:val="sq-AL"/>
        </w:rPr>
        <w:t>VENDIM</w:t>
      </w:r>
    </w:p>
    <w:p w:rsidR="007B2F0B" w:rsidRPr="00F52A19" w:rsidRDefault="007B2F0B" w:rsidP="007B2F0B">
      <w:pPr>
        <w:pStyle w:val="NeniNr"/>
        <w:keepNext w:val="0"/>
        <w:rPr>
          <w:i/>
          <w:lang w:val="sq-AL"/>
        </w:rPr>
      </w:pPr>
      <w:r w:rsidRPr="00F52A19">
        <w:rPr>
          <w:i/>
          <w:lang w:val="sq-AL"/>
        </w:rPr>
        <w:t xml:space="preserve">Ky version u korrigjua më 26 prill 2016 </w:t>
      </w:r>
    </w:p>
    <w:p w:rsidR="007B2F0B" w:rsidRPr="00F52A19" w:rsidRDefault="007B2F0B" w:rsidP="007B2F0B">
      <w:pPr>
        <w:pStyle w:val="NeniNr"/>
        <w:keepNext w:val="0"/>
        <w:rPr>
          <w:i/>
          <w:lang w:val="sq-AL"/>
        </w:rPr>
      </w:pPr>
      <w:r w:rsidRPr="00F52A19">
        <w:rPr>
          <w:i/>
          <w:lang w:val="sq-AL"/>
        </w:rPr>
        <w:t>sipas rregullit 81 të rregullores së Gjykatës</w:t>
      </w:r>
    </w:p>
    <w:p w:rsidR="007B2F0B" w:rsidRPr="00F52A19" w:rsidRDefault="007B2F0B" w:rsidP="007B2F0B">
      <w:pPr>
        <w:pStyle w:val="NeniNr"/>
        <w:keepNext w:val="0"/>
        <w:rPr>
          <w:lang w:val="sq-AL"/>
        </w:rPr>
      </w:pPr>
      <w:r w:rsidRPr="00F52A19">
        <w:rPr>
          <w:lang w:val="sq-AL"/>
        </w:rPr>
        <w:t>STRASBURG</w:t>
      </w:r>
    </w:p>
    <w:p w:rsidR="007B2F0B" w:rsidRPr="00F52A19" w:rsidRDefault="007B2F0B" w:rsidP="007B2F0B">
      <w:pPr>
        <w:pStyle w:val="NeniNr"/>
        <w:keepNext w:val="0"/>
        <w:rPr>
          <w:lang w:val="sq-AL"/>
        </w:rPr>
      </w:pPr>
      <w:r w:rsidRPr="00F52A19">
        <w:rPr>
          <w:lang w:val="sq-AL"/>
        </w:rPr>
        <w:t>7 prill 2016</w:t>
      </w:r>
    </w:p>
    <w:p w:rsidR="007B2F0B" w:rsidRPr="00F52A19" w:rsidRDefault="007B2F0B" w:rsidP="007B2F0B">
      <w:pPr>
        <w:pStyle w:val="NeniNr"/>
        <w:keepNext w:val="0"/>
        <w:rPr>
          <w:sz w:val="14"/>
          <w:lang w:val="sq-AL"/>
        </w:rPr>
      </w:pPr>
    </w:p>
    <w:p w:rsidR="007B2F0B" w:rsidRPr="00F52A19" w:rsidRDefault="007B2F0B" w:rsidP="007B2F0B">
      <w:pPr>
        <w:pStyle w:val="Paragrafi"/>
        <w:jc w:val="center"/>
        <w:rPr>
          <w:i/>
          <w:lang w:val="sq-AL"/>
        </w:rPr>
      </w:pPr>
      <w:r w:rsidRPr="00F52A19">
        <w:rPr>
          <w:i/>
          <w:lang w:val="sq-AL"/>
        </w:rPr>
        <w:t>Ky vendim është i formës së prerë. Ai mund t’i nënshtrohet rishikimit redaktues.</w:t>
      </w:r>
    </w:p>
    <w:p w:rsidR="007B2F0B" w:rsidRPr="00F52A19" w:rsidRDefault="007B2F0B" w:rsidP="007B2F0B">
      <w:pPr>
        <w:pStyle w:val="Paragrafi"/>
        <w:rPr>
          <w:sz w:val="14"/>
          <w:lang w:val="sq-AL"/>
        </w:rPr>
      </w:pPr>
    </w:p>
    <w:p w:rsidR="007B2F0B" w:rsidRPr="00F52A19" w:rsidRDefault="007B2F0B" w:rsidP="007B2F0B">
      <w:pPr>
        <w:pStyle w:val="Paragrafi"/>
        <w:rPr>
          <w:b/>
          <w:lang w:val="sq-AL"/>
        </w:rPr>
      </w:pPr>
      <w:r w:rsidRPr="00F52A19">
        <w:rPr>
          <w:b/>
          <w:lang w:val="sq-AL"/>
        </w:rPr>
        <w:t xml:space="preserve">Në çështjen Karagjozi dhe të tjerët kundër Shqipërisë, </w:t>
      </w:r>
    </w:p>
    <w:p w:rsidR="007B2F0B" w:rsidRPr="00F52A19" w:rsidRDefault="007B2F0B" w:rsidP="007B2F0B">
      <w:pPr>
        <w:pStyle w:val="Paragrafi"/>
        <w:rPr>
          <w:spacing w:val="-4"/>
          <w:lang w:val="sq-AL"/>
        </w:rPr>
      </w:pPr>
      <w:r w:rsidRPr="00F52A19">
        <w:rPr>
          <w:spacing w:val="-4"/>
          <w:lang w:val="sq-AL"/>
        </w:rPr>
        <w:t xml:space="preserve">Gjykata Evropiane e të Drejtave të Njeriut (Seksioni i Parë), e mbledhur si një Komitet i përbërë nga: </w:t>
      </w:r>
    </w:p>
    <w:p w:rsidR="007B2F0B" w:rsidRPr="00F52A19" w:rsidRDefault="007B2F0B" w:rsidP="007B2F0B">
      <w:pPr>
        <w:pStyle w:val="Paragrafi"/>
        <w:rPr>
          <w:spacing w:val="-4"/>
          <w:lang w:val="sq-AL"/>
        </w:rPr>
      </w:pPr>
      <w:r w:rsidRPr="00F52A19">
        <w:rPr>
          <w:spacing w:val="-4"/>
          <w:lang w:val="sq-AL"/>
        </w:rPr>
        <w:t xml:space="preserve">Kristina Pardalos, </w:t>
      </w:r>
      <w:r w:rsidRPr="00F52A19">
        <w:rPr>
          <w:i/>
          <w:spacing w:val="-4"/>
          <w:lang w:val="sq-AL"/>
        </w:rPr>
        <w:t>kryetare</w:t>
      </w:r>
    </w:p>
    <w:p w:rsidR="007B2F0B" w:rsidRPr="00F52A19" w:rsidRDefault="007B2F0B" w:rsidP="007B2F0B">
      <w:pPr>
        <w:pStyle w:val="Paragrafi"/>
        <w:rPr>
          <w:spacing w:val="-4"/>
          <w:lang w:val="sq-AL"/>
        </w:rPr>
      </w:pPr>
      <w:r w:rsidRPr="00F52A19">
        <w:rPr>
          <w:spacing w:val="-4"/>
          <w:lang w:val="sq-AL"/>
        </w:rPr>
        <w:t>Paul Mahoney,</w:t>
      </w:r>
    </w:p>
    <w:p w:rsidR="007B2F0B" w:rsidRPr="00F52A19" w:rsidRDefault="007B2F0B" w:rsidP="007B2F0B">
      <w:pPr>
        <w:pStyle w:val="Paragrafi"/>
        <w:rPr>
          <w:spacing w:val="-4"/>
          <w:lang w:val="sq-AL"/>
        </w:rPr>
      </w:pPr>
      <w:r w:rsidRPr="00F52A19">
        <w:rPr>
          <w:spacing w:val="-4"/>
          <w:lang w:val="sq-AL"/>
        </w:rPr>
        <w:t xml:space="preserve">Pauliine Koskelo, </w:t>
      </w:r>
      <w:r w:rsidRPr="00F52A19">
        <w:rPr>
          <w:i/>
          <w:spacing w:val="-4"/>
          <w:lang w:val="sq-AL"/>
        </w:rPr>
        <w:t>gjyqtarë</w:t>
      </w:r>
      <w:r w:rsidRPr="00F52A19">
        <w:rPr>
          <w:spacing w:val="-4"/>
          <w:lang w:val="sq-AL"/>
        </w:rPr>
        <w:t xml:space="preserve">, </w:t>
      </w:r>
    </w:p>
    <w:p w:rsidR="007B2F0B" w:rsidRPr="00F52A19" w:rsidRDefault="007B2F0B" w:rsidP="007B2F0B">
      <w:pPr>
        <w:pStyle w:val="Paragrafi"/>
        <w:rPr>
          <w:spacing w:val="-4"/>
          <w:lang w:val="sq-AL"/>
        </w:rPr>
      </w:pPr>
      <w:r w:rsidRPr="00F52A19">
        <w:rPr>
          <w:spacing w:val="-4"/>
          <w:lang w:val="sq-AL"/>
        </w:rPr>
        <w:t xml:space="preserve">dhe André Wampach, </w:t>
      </w:r>
      <w:r w:rsidRPr="00F52A19">
        <w:rPr>
          <w:i/>
          <w:spacing w:val="-4"/>
          <w:lang w:val="sq-AL"/>
        </w:rPr>
        <w:t>zëvendësregjistrar</w:t>
      </w:r>
      <w:r w:rsidRPr="00F52A19">
        <w:rPr>
          <w:spacing w:val="-4"/>
          <w:lang w:val="sq-AL"/>
        </w:rPr>
        <w:t xml:space="preserve"> </w:t>
      </w:r>
      <w:r w:rsidRPr="00F52A19">
        <w:rPr>
          <w:i/>
          <w:spacing w:val="-4"/>
          <w:lang w:val="sq-AL"/>
        </w:rPr>
        <w:t>i Seksionit</w:t>
      </w:r>
      <w:r w:rsidRPr="00F52A19">
        <w:rPr>
          <w:spacing w:val="-4"/>
          <w:lang w:val="sq-AL"/>
        </w:rPr>
        <w:t xml:space="preserve">, </w:t>
      </w:r>
    </w:p>
    <w:p w:rsidR="007B2F0B" w:rsidRPr="00F52A19" w:rsidRDefault="007B2F0B" w:rsidP="007B2F0B">
      <w:pPr>
        <w:pStyle w:val="Paragrafi"/>
        <w:rPr>
          <w:spacing w:val="-4"/>
          <w:lang w:val="sq-AL"/>
        </w:rPr>
      </w:pPr>
      <w:r w:rsidRPr="00F52A19">
        <w:rPr>
          <w:spacing w:val="-4"/>
          <w:lang w:val="sq-AL"/>
        </w:rPr>
        <w:t>pasi ka diskutuar me dyer të mbyllura më 15 mars 2016,</w:t>
      </w:r>
    </w:p>
    <w:p w:rsidR="007B2F0B" w:rsidRPr="00F52A19" w:rsidRDefault="007B2F0B" w:rsidP="007B2F0B">
      <w:pPr>
        <w:pStyle w:val="Paragrafi"/>
        <w:rPr>
          <w:spacing w:val="-4"/>
          <w:lang w:val="sq-AL"/>
        </w:rPr>
      </w:pPr>
      <w:r w:rsidRPr="00F52A19">
        <w:rPr>
          <w:spacing w:val="-4"/>
          <w:lang w:val="sq-AL"/>
        </w:rPr>
        <w:t xml:space="preserve">pasi ka vërejtur se çështja ligjore në fjalë në ankesën e mëposhtme, tashmë është objekt i praktikës gjyqësore të mirëpërcaktuar të Gjykatës (shiko </w:t>
      </w:r>
      <w:r w:rsidRPr="00F52A19">
        <w:rPr>
          <w:i/>
          <w:spacing w:val="-4"/>
          <w:lang w:val="sq-AL"/>
        </w:rPr>
        <w:t>Manushaqe Puto dhe të tjerët kundër Shqipërisë</w:t>
      </w:r>
      <w:r w:rsidRPr="00F52A19">
        <w:rPr>
          <w:spacing w:val="-4"/>
          <w:lang w:val="sq-AL"/>
        </w:rPr>
        <w:t xml:space="preserve">, </w:t>
      </w:r>
      <w:r>
        <w:rPr>
          <w:spacing w:val="-4"/>
          <w:lang w:val="sq-AL"/>
        </w:rPr>
        <w:t xml:space="preserve">nr. </w:t>
      </w:r>
      <w:r w:rsidRPr="00F52A19">
        <w:rPr>
          <w:spacing w:val="-4"/>
          <w:lang w:val="sq-AL"/>
        </w:rPr>
        <w:t xml:space="preserve">604/07, 43628/07, 46684/07 dhe 34770/09, § 31 korrik 2012), </w:t>
      </w:r>
    </w:p>
    <w:p w:rsidR="007B2F0B" w:rsidRPr="00F52A19" w:rsidRDefault="007B2F0B" w:rsidP="007B2F0B">
      <w:pPr>
        <w:pStyle w:val="Paragrafi"/>
        <w:rPr>
          <w:spacing w:val="-4"/>
          <w:lang w:val="sq-AL"/>
        </w:rPr>
      </w:pPr>
      <w:r w:rsidRPr="00F52A19">
        <w:rPr>
          <w:spacing w:val="-4"/>
          <w:lang w:val="sq-AL"/>
        </w:rPr>
        <w:t>lëshon vendimin e mëposhtëm, i cili u miratua në po atë ditë:</w:t>
      </w:r>
    </w:p>
    <w:p w:rsidR="007B2F0B" w:rsidRPr="00F52A19" w:rsidRDefault="007B2F0B" w:rsidP="007B2F0B">
      <w:pPr>
        <w:pStyle w:val="Paragrafi"/>
        <w:rPr>
          <w:spacing w:val="-4"/>
          <w:lang w:val="sq-AL"/>
        </w:rPr>
      </w:pPr>
      <w:r w:rsidRPr="00F52A19">
        <w:rPr>
          <w:spacing w:val="-4"/>
          <w:lang w:val="sq-AL"/>
        </w:rPr>
        <w:t>PROCEDURA</w:t>
      </w:r>
    </w:p>
    <w:p w:rsidR="007B2F0B" w:rsidRPr="00F52A19" w:rsidRDefault="007B2F0B" w:rsidP="007B2F0B">
      <w:pPr>
        <w:pStyle w:val="Paragrafi"/>
        <w:rPr>
          <w:spacing w:val="-4"/>
          <w:lang w:val="sq-AL"/>
        </w:rPr>
      </w:pPr>
      <w:r w:rsidRPr="00F52A19">
        <w:rPr>
          <w:spacing w:val="-4"/>
          <w:lang w:val="sq-AL"/>
        </w:rPr>
        <w:t>1. Çështja filloi me një ankim (</w:t>
      </w:r>
      <w:r>
        <w:rPr>
          <w:spacing w:val="-4"/>
          <w:lang w:val="sq-AL"/>
        </w:rPr>
        <w:t xml:space="preserve">nr. </w:t>
      </w:r>
      <w:r w:rsidRPr="00F52A19">
        <w:rPr>
          <w:spacing w:val="-4"/>
          <w:lang w:val="sq-AL"/>
        </w:rPr>
        <w:t xml:space="preserve">32382/11) kundër Republikës së Shqipërisë, dorëzuar në Gjykatë, sipas nenit 34 të Konventës për Mbrojtjen e të Drejtave të Njeriut dhe Lirive Themelore (Konventa), nga 21 shtetas shqiptarë. Detajet e ankuesve përcaktohen në shtojcën </w:t>
      </w:r>
      <w:r>
        <w:rPr>
          <w:spacing w:val="-4"/>
          <w:lang w:val="sq-AL"/>
        </w:rPr>
        <w:t xml:space="preserve">nr. </w:t>
      </w:r>
      <w:r w:rsidRPr="00F52A19">
        <w:rPr>
          <w:spacing w:val="-4"/>
          <w:lang w:val="sq-AL"/>
        </w:rPr>
        <w:t xml:space="preserve">1, bashkë-lidhur me vendimin. </w:t>
      </w:r>
    </w:p>
    <w:p w:rsidR="007B2F0B" w:rsidRPr="00F52A19" w:rsidRDefault="007B2F0B" w:rsidP="007B2F0B">
      <w:pPr>
        <w:pStyle w:val="Paragrafi"/>
        <w:rPr>
          <w:spacing w:val="-4"/>
          <w:lang w:val="sq-AL"/>
        </w:rPr>
      </w:pPr>
      <w:r w:rsidRPr="00F52A19">
        <w:rPr>
          <w:spacing w:val="-4"/>
          <w:lang w:val="sq-AL"/>
        </w:rPr>
        <w:t>2. Ankuesit u përfaqësuan nga z. S. Puto, avokat që ushtron profesionin në Tiranë. Qeveria shqiptare (Qeveria) u përfaqësua nga agjentja e saj, znj. A. Hicka nga Zyra e Avokatit të Shtetit.</w:t>
      </w:r>
    </w:p>
    <w:p w:rsidR="007B2F0B" w:rsidRPr="00F52A19" w:rsidRDefault="007B2F0B" w:rsidP="007B2F0B">
      <w:pPr>
        <w:pStyle w:val="Paragrafi"/>
        <w:rPr>
          <w:lang w:val="sq-AL"/>
        </w:rPr>
      </w:pPr>
      <w:r w:rsidRPr="00F52A19">
        <w:rPr>
          <w:spacing w:val="-4"/>
          <w:lang w:val="sq-AL"/>
        </w:rPr>
        <w:t>3. Më 20 dhjetor 2013, ankimi iu komunikua</w:t>
      </w:r>
      <w:r w:rsidRPr="00F52A19">
        <w:rPr>
          <w:lang w:val="sq-AL"/>
        </w:rPr>
        <w:t xml:space="preserve"> Qeverisë. </w:t>
      </w:r>
    </w:p>
    <w:p w:rsidR="007B2F0B" w:rsidRPr="00F52A19" w:rsidRDefault="007B2F0B" w:rsidP="007B2F0B">
      <w:pPr>
        <w:pStyle w:val="Paragrafi"/>
        <w:rPr>
          <w:spacing w:val="-4"/>
          <w:lang w:val="sq-AL"/>
        </w:rPr>
      </w:pPr>
      <w:r w:rsidRPr="00F52A19">
        <w:rPr>
          <w:spacing w:val="-4"/>
          <w:lang w:val="sq-AL"/>
        </w:rPr>
        <w:t xml:space="preserve">FAKTET </w:t>
      </w:r>
    </w:p>
    <w:p w:rsidR="007B2F0B" w:rsidRPr="00F52A19" w:rsidRDefault="007B2F0B" w:rsidP="007B2F0B">
      <w:pPr>
        <w:pStyle w:val="Paragrafi"/>
        <w:rPr>
          <w:spacing w:val="-4"/>
          <w:lang w:val="sq-AL"/>
        </w:rPr>
      </w:pPr>
      <w:r w:rsidRPr="00F52A19">
        <w:rPr>
          <w:spacing w:val="-4"/>
          <w:lang w:val="sq-AL"/>
        </w:rPr>
        <w:t>I. RRETHANAT E ÇËSHTJES</w:t>
      </w:r>
    </w:p>
    <w:p w:rsidR="007B2F0B" w:rsidRPr="00F52A19" w:rsidRDefault="007B2F0B" w:rsidP="007B2F0B">
      <w:pPr>
        <w:pStyle w:val="Paragrafi"/>
        <w:rPr>
          <w:spacing w:val="-4"/>
          <w:lang w:val="sq-AL"/>
        </w:rPr>
      </w:pPr>
      <w:r w:rsidRPr="00F52A19">
        <w:rPr>
          <w:spacing w:val="-4"/>
          <w:lang w:val="sq-AL"/>
        </w:rPr>
        <w:t>4. Më 28 korrik 2006, Komisioni i Vlorës, midis të tjerave, i njohu ankuesve të drejtat për pronë të trashëguar për një sipërfaqe toke me përmasat 640,000 m</w:t>
      </w:r>
      <w:r w:rsidRPr="00F52A19">
        <w:rPr>
          <w:spacing w:val="-4"/>
          <w:vertAlign w:val="superscript"/>
          <w:lang w:val="sq-AL"/>
        </w:rPr>
        <w:t>2</w:t>
      </w:r>
      <w:r w:rsidRPr="00F52A19">
        <w:rPr>
          <w:spacing w:val="-4"/>
          <w:lang w:val="sq-AL"/>
        </w:rPr>
        <w:t>. Duke qenë se sipërfaqja e tokës ishte e zënë, ankuesit do të kompensoheshin në një nga mënyrat e parashikuara me ligj. Komisioni pohoi se toka kishte ndryshuar natyrën, nga tokë bujqësore në tokë për ndërtim. Një shënim me shkrim dore nga kryetari i Komisionit, deklaron se vendimi u bë i formës së prerë më 2 tetor 2006. Më 18 shkurt 2013, me kërkesë të ankuesve për të marrë informacion nëse prona e tyre ishte ende e zënë, Ministria e Drejtësisë konfirmoi se toka ishte e zënë nga ushtria.</w:t>
      </w:r>
      <w:r>
        <w:rPr>
          <w:spacing w:val="-4"/>
          <w:lang w:val="sq-AL"/>
        </w:rPr>
        <w:t xml:space="preserve"> </w:t>
      </w:r>
    </w:p>
    <w:p w:rsidR="007B2F0B" w:rsidRPr="00F52A19" w:rsidRDefault="007B2F0B" w:rsidP="007B2F0B">
      <w:pPr>
        <w:pStyle w:val="Paragrafi"/>
        <w:rPr>
          <w:spacing w:val="-4"/>
          <w:lang w:val="sq-AL"/>
        </w:rPr>
      </w:pPr>
      <w:r w:rsidRPr="00F52A19">
        <w:rPr>
          <w:spacing w:val="-4"/>
          <w:lang w:val="sq-AL"/>
        </w:rPr>
        <w:t>5. Deri më sot, nuk është paguar asnjë kompensim.</w:t>
      </w:r>
    </w:p>
    <w:p w:rsidR="007B2F0B" w:rsidRPr="00F52A19" w:rsidRDefault="007B2F0B" w:rsidP="007B2F0B">
      <w:pPr>
        <w:pStyle w:val="Paragrafi"/>
        <w:rPr>
          <w:spacing w:val="-4"/>
          <w:lang w:val="sq-AL"/>
        </w:rPr>
      </w:pPr>
      <w:r w:rsidRPr="00F52A19">
        <w:rPr>
          <w:spacing w:val="-4"/>
          <w:lang w:val="sq-AL"/>
        </w:rPr>
        <w:t>II. LIGJI PËRKATËS VENDAS</w:t>
      </w:r>
    </w:p>
    <w:p w:rsidR="007B2F0B" w:rsidRPr="00F52A19" w:rsidRDefault="007B2F0B" w:rsidP="007B2F0B">
      <w:pPr>
        <w:pStyle w:val="Paragrafi"/>
        <w:rPr>
          <w:spacing w:val="-4"/>
          <w:lang w:val="sq-AL"/>
        </w:rPr>
      </w:pPr>
      <w:r w:rsidRPr="00F52A19">
        <w:rPr>
          <w:spacing w:val="-4"/>
          <w:lang w:val="sq-AL"/>
        </w:rPr>
        <w:t xml:space="preserve">6. Ligji dhe praktika përkatëse vendase përshkruhen në detaje, </w:t>
      </w:r>
      <w:r w:rsidRPr="00F52A19">
        <w:rPr>
          <w:i/>
          <w:spacing w:val="-4"/>
          <w:lang w:val="sq-AL"/>
        </w:rPr>
        <w:t>inter alia</w:t>
      </w:r>
      <w:r w:rsidRPr="00F52A19">
        <w:rPr>
          <w:spacing w:val="-4"/>
          <w:lang w:val="sq-AL"/>
        </w:rPr>
        <w:t xml:space="preserve">, në vendimin </w:t>
      </w:r>
      <w:r w:rsidRPr="00F52A19">
        <w:rPr>
          <w:i/>
          <w:spacing w:val="-4"/>
          <w:lang w:val="sq-AL"/>
        </w:rPr>
        <w:t>Ramadhi kundër Shqipërisë</w:t>
      </w:r>
      <w:r w:rsidRPr="00F52A19">
        <w:rPr>
          <w:spacing w:val="-4"/>
          <w:lang w:val="sq-AL"/>
        </w:rPr>
        <w:t xml:space="preserve"> (</w:t>
      </w:r>
      <w:r>
        <w:rPr>
          <w:spacing w:val="-4"/>
          <w:lang w:val="sq-AL"/>
        </w:rPr>
        <w:t xml:space="preserve">nr. </w:t>
      </w:r>
      <w:r w:rsidRPr="00F52A19">
        <w:rPr>
          <w:spacing w:val="-4"/>
          <w:lang w:val="sq-AL"/>
        </w:rPr>
        <w:t xml:space="preserve">38222/02, 13 nëntor 2007); </w:t>
      </w:r>
      <w:r w:rsidRPr="00F52A19">
        <w:rPr>
          <w:i/>
          <w:spacing w:val="-4"/>
          <w:lang w:val="sq-AL"/>
        </w:rPr>
        <w:t>Manushaqe Puto dhe të tjerët kundër Shqipërisë</w:t>
      </w:r>
      <w:r w:rsidRPr="00F52A19">
        <w:rPr>
          <w:spacing w:val="-4"/>
          <w:lang w:val="sq-AL"/>
        </w:rPr>
        <w:t xml:space="preserve"> (</w:t>
      </w:r>
      <w:r>
        <w:rPr>
          <w:spacing w:val="-4"/>
          <w:lang w:val="sq-AL"/>
        </w:rPr>
        <w:t xml:space="preserve">nr. </w:t>
      </w:r>
      <w:r w:rsidRPr="00F52A19">
        <w:rPr>
          <w:spacing w:val="-4"/>
          <w:lang w:val="sq-AL"/>
        </w:rPr>
        <w:t xml:space="preserve">604/07, 43628/07, 46684/07 dhe 34770/09, §§ 23-53, 31 korrik 2012) dhe i kohëve të fundit, </w:t>
      </w:r>
      <w:r w:rsidRPr="00F52A19">
        <w:rPr>
          <w:i/>
          <w:spacing w:val="-4"/>
          <w:lang w:val="sq-AL"/>
        </w:rPr>
        <w:t>Sharra dhe të tjerët kundër Shqipërisë</w:t>
      </w:r>
      <w:r w:rsidRPr="00F52A19">
        <w:rPr>
          <w:spacing w:val="-4"/>
          <w:lang w:val="sq-AL"/>
        </w:rPr>
        <w:t xml:space="preserve"> [Komiteti] (</w:t>
      </w:r>
      <w:r>
        <w:rPr>
          <w:spacing w:val="-4"/>
          <w:lang w:val="sq-AL"/>
        </w:rPr>
        <w:t xml:space="preserve">nr. </w:t>
      </w:r>
      <w:r w:rsidRPr="00F52A19">
        <w:rPr>
          <w:spacing w:val="-4"/>
          <w:lang w:val="sq-AL"/>
        </w:rPr>
        <w:t xml:space="preserve">25038/08, 64376/09, 64399/09, 347/10, 1376/10, 4036/10, 12889/10, 20240/10, 29442/10, 29617/10, 33154/11 dhe 2032/12, §§ 33-43, 10 nëntor 2015). </w:t>
      </w:r>
    </w:p>
    <w:p w:rsidR="007B2F0B" w:rsidRPr="00F52A19" w:rsidRDefault="007B2F0B" w:rsidP="007B2F0B">
      <w:pPr>
        <w:pStyle w:val="Paragrafi"/>
        <w:rPr>
          <w:spacing w:val="-4"/>
          <w:lang w:val="sq-AL"/>
        </w:rPr>
      </w:pPr>
      <w:r w:rsidRPr="00F52A19">
        <w:rPr>
          <w:spacing w:val="-4"/>
          <w:lang w:val="sq-AL"/>
        </w:rPr>
        <w:t>III. MATERIALET E KËSHILLIT TË EVROPËS</w:t>
      </w:r>
    </w:p>
    <w:p w:rsidR="007B2F0B" w:rsidRPr="00F52A19" w:rsidRDefault="007B2F0B" w:rsidP="007B2F0B">
      <w:pPr>
        <w:pStyle w:val="Paragrafi"/>
        <w:rPr>
          <w:spacing w:val="-4"/>
          <w:lang w:val="sq-AL"/>
        </w:rPr>
      </w:pPr>
      <w:r w:rsidRPr="00F52A19">
        <w:rPr>
          <w:spacing w:val="-4"/>
          <w:lang w:val="sq-AL"/>
        </w:rPr>
        <w:t xml:space="preserve">7. Materiale të lidhura me çështjen u referuan nga vendimet e kësaj Gjykate në çështjet </w:t>
      </w:r>
      <w:r w:rsidRPr="00F52A19">
        <w:rPr>
          <w:i/>
          <w:spacing w:val="-4"/>
          <w:lang w:val="sq-AL"/>
        </w:rPr>
        <w:t>Sharra dhe të tjerët</w:t>
      </w:r>
      <w:r w:rsidRPr="00F52A19">
        <w:rPr>
          <w:spacing w:val="-4"/>
          <w:lang w:val="sq-AL"/>
        </w:rPr>
        <w:t xml:space="preserve">, cituar më sipër, § 44, </w:t>
      </w:r>
      <w:r w:rsidRPr="00F52A19">
        <w:rPr>
          <w:i/>
          <w:spacing w:val="-4"/>
          <w:lang w:val="sq-AL"/>
        </w:rPr>
        <w:t>Metalla dhe të tjerët kundër Shqipërisë</w:t>
      </w:r>
      <w:r w:rsidRPr="00F52A19">
        <w:rPr>
          <w:spacing w:val="-4"/>
          <w:lang w:val="sq-AL"/>
        </w:rPr>
        <w:t xml:space="preserve"> [Komiteti] (</w:t>
      </w:r>
      <w:r>
        <w:rPr>
          <w:spacing w:val="-4"/>
          <w:lang w:val="sq-AL"/>
        </w:rPr>
        <w:t xml:space="preserve">nr. </w:t>
      </w:r>
      <w:r w:rsidRPr="00F52A19">
        <w:rPr>
          <w:spacing w:val="-4"/>
          <w:lang w:val="sq-AL"/>
        </w:rPr>
        <w:t xml:space="preserve">30264/08, 42129/08, 54403/08 dhe 54411/08, §§ 15–17, 16 korrik 2015); </w:t>
      </w:r>
      <w:r w:rsidRPr="00F52A19">
        <w:rPr>
          <w:i/>
          <w:spacing w:val="-4"/>
          <w:lang w:val="sq-AL"/>
        </w:rPr>
        <w:t>Siliqi dhe të tjerët kundër Shqipërisë</w:t>
      </w:r>
      <w:r w:rsidRPr="00F52A19">
        <w:rPr>
          <w:spacing w:val="-4"/>
          <w:lang w:val="sq-AL"/>
        </w:rPr>
        <w:t xml:space="preserve"> [Komiteti] (</w:t>
      </w:r>
      <w:r>
        <w:rPr>
          <w:spacing w:val="-4"/>
          <w:lang w:val="sq-AL"/>
        </w:rPr>
        <w:t xml:space="preserve">nr. </w:t>
      </w:r>
      <w:r w:rsidRPr="00F52A19">
        <w:rPr>
          <w:spacing w:val="-4"/>
          <w:lang w:val="sq-AL"/>
        </w:rPr>
        <w:t xml:space="preserve">37295/05 dhe 42228/05, §§ 12–13, 10 maj 2015); dhe </w:t>
      </w:r>
      <w:r w:rsidRPr="00F52A19">
        <w:rPr>
          <w:i/>
          <w:spacing w:val="-4"/>
          <w:lang w:val="sq-AL"/>
        </w:rPr>
        <w:t>Karagjozi dhe të tjerët kundër Shqipërisë</w:t>
      </w:r>
      <w:r w:rsidRPr="00F52A19">
        <w:rPr>
          <w:spacing w:val="-4"/>
          <w:lang w:val="sq-AL"/>
        </w:rPr>
        <w:t xml:space="preserve"> [Komiteti] (</w:t>
      </w:r>
      <w:r>
        <w:rPr>
          <w:spacing w:val="-4"/>
          <w:lang w:val="sq-AL"/>
        </w:rPr>
        <w:t xml:space="preserve">nr. </w:t>
      </w:r>
      <w:r w:rsidRPr="00F52A19">
        <w:rPr>
          <w:spacing w:val="-4"/>
          <w:lang w:val="sq-AL"/>
        </w:rPr>
        <w:t>25408/06, 37419/06, 49121/06, 1504/07, 19772/07, 46685/07, 49411/07, 27242/08, 61912/08 dhe 15075/09, §§36–38, 8 prill 2014).</w:t>
      </w:r>
    </w:p>
    <w:p w:rsidR="007B2F0B" w:rsidRPr="00F52A19" w:rsidRDefault="007B2F0B" w:rsidP="007B2F0B">
      <w:pPr>
        <w:pStyle w:val="Paragrafi"/>
        <w:rPr>
          <w:spacing w:val="-4"/>
          <w:lang w:val="sq-AL"/>
        </w:rPr>
      </w:pPr>
    </w:p>
    <w:p w:rsidR="007B2F0B" w:rsidRPr="00F52A19" w:rsidRDefault="007B2F0B" w:rsidP="007B2F0B">
      <w:pPr>
        <w:pStyle w:val="Paragrafi"/>
        <w:rPr>
          <w:spacing w:val="-4"/>
          <w:lang w:val="sq-AL"/>
        </w:rPr>
      </w:pPr>
    </w:p>
    <w:p w:rsidR="007B2F0B" w:rsidRPr="00F52A19" w:rsidRDefault="007B2F0B" w:rsidP="007B2F0B">
      <w:pPr>
        <w:pStyle w:val="Paragrafi"/>
        <w:rPr>
          <w:spacing w:val="-4"/>
          <w:lang w:val="sq-AL"/>
        </w:rPr>
      </w:pPr>
    </w:p>
    <w:p w:rsidR="007B2F0B" w:rsidRPr="00F52A19" w:rsidRDefault="007B2F0B" w:rsidP="007B2F0B">
      <w:pPr>
        <w:pStyle w:val="Paragrafi"/>
        <w:rPr>
          <w:spacing w:val="-4"/>
          <w:lang w:val="sq-AL"/>
        </w:rPr>
      </w:pPr>
    </w:p>
    <w:p w:rsidR="007B2F0B" w:rsidRPr="00F52A19" w:rsidRDefault="007B2F0B" w:rsidP="007B2F0B">
      <w:pPr>
        <w:pStyle w:val="Paragrafi"/>
        <w:rPr>
          <w:spacing w:val="-4"/>
          <w:lang w:val="sq-AL"/>
        </w:rPr>
      </w:pPr>
    </w:p>
    <w:p w:rsidR="007B2F0B" w:rsidRPr="00F52A19" w:rsidRDefault="007B2F0B" w:rsidP="007B2F0B">
      <w:pPr>
        <w:pStyle w:val="Paragrafi"/>
        <w:rPr>
          <w:spacing w:val="-4"/>
          <w:lang w:val="sq-AL"/>
        </w:rPr>
      </w:pPr>
    </w:p>
    <w:p w:rsidR="007B2F0B" w:rsidRPr="00F52A19" w:rsidRDefault="007B2F0B" w:rsidP="007B2F0B">
      <w:pPr>
        <w:pStyle w:val="Paragrafi"/>
        <w:rPr>
          <w:spacing w:val="-4"/>
          <w:lang w:val="sq-AL"/>
        </w:rPr>
      </w:pPr>
      <w:r w:rsidRPr="00F52A19">
        <w:rPr>
          <w:spacing w:val="-4"/>
          <w:lang w:val="sq-AL"/>
        </w:rPr>
        <w:t xml:space="preserve">LIGJI </w:t>
      </w:r>
    </w:p>
    <w:p w:rsidR="007B2F0B" w:rsidRPr="00F52A19" w:rsidRDefault="007B2F0B" w:rsidP="007B2F0B">
      <w:pPr>
        <w:pStyle w:val="Paragrafi"/>
        <w:rPr>
          <w:spacing w:val="-4"/>
          <w:lang w:val="sq-AL"/>
        </w:rPr>
      </w:pPr>
      <w:r w:rsidRPr="00F52A19">
        <w:rPr>
          <w:spacing w:val="-4"/>
          <w:lang w:val="sq-AL"/>
        </w:rPr>
        <w:t xml:space="preserve">I. SHKELJET E PRETENDUARA TË NENEVE 6§1 DHE 13 TË KONVENTËS, SI EDHE TË NENIT 1 TË PROTOKOLLIT </w:t>
      </w:r>
      <w:r>
        <w:rPr>
          <w:spacing w:val="-4"/>
          <w:lang w:val="sq-AL"/>
        </w:rPr>
        <w:t xml:space="preserve">NR. </w:t>
      </w:r>
      <w:r w:rsidRPr="00F52A19">
        <w:rPr>
          <w:spacing w:val="-4"/>
          <w:lang w:val="sq-AL"/>
        </w:rPr>
        <w:t>1 TË KONVENTËS NË LIDHJE ME MOSZBATIMIN E VENDIMEVE TË FORMËS SË PRERË</w:t>
      </w:r>
    </w:p>
    <w:p w:rsidR="007B2F0B" w:rsidRPr="00F52A19" w:rsidRDefault="007B2F0B" w:rsidP="007B2F0B">
      <w:pPr>
        <w:pStyle w:val="Paragrafi"/>
        <w:rPr>
          <w:spacing w:val="-4"/>
          <w:lang w:val="sq-AL"/>
        </w:rPr>
      </w:pPr>
      <w:r w:rsidRPr="00F52A19">
        <w:rPr>
          <w:spacing w:val="-4"/>
          <w:lang w:val="sq-AL"/>
        </w:rPr>
        <w:t xml:space="preserve">8. Ankuesit pretendonin se ka pasur një shkelje të neneve 6§1 dhe 13 të Konventës, si edhe të nenit 1 të protokollit </w:t>
      </w:r>
      <w:r>
        <w:rPr>
          <w:spacing w:val="-4"/>
          <w:lang w:val="sq-AL"/>
        </w:rPr>
        <w:t xml:space="preserve">nr. </w:t>
      </w:r>
      <w:r w:rsidRPr="00F52A19">
        <w:rPr>
          <w:spacing w:val="-4"/>
          <w:lang w:val="sq-AL"/>
        </w:rPr>
        <w:t xml:space="preserve">1 të Konventës në lidhje me moszbatimin e vendimeve vendase të formës së prerë, të cilat i akordonin atyre kompensim në vend të rikthimit të pronave të tyre. </w:t>
      </w:r>
    </w:p>
    <w:p w:rsidR="007B2F0B" w:rsidRPr="00F52A19" w:rsidRDefault="007B2F0B" w:rsidP="007B2F0B">
      <w:pPr>
        <w:pStyle w:val="Paragrafi"/>
        <w:rPr>
          <w:spacing w:val="-4"/>
          <w:lang w:val="sq-AL"/>
        </w:rPr>
      </w:pPr>
      <w:r w:rsidRPr="00F52A19">
        <w:rPr>
          <w:spacing w:val="-4"/>
          <w:lang w:val="sq-AL"/>
        </w:rPr>
        <w:t xml:space="preserve">Neni 6§1 i Konventës, për sa ka të bëjë me çështjen, parashikon si më poshtë: </w:t>
      </w:r>
    </w:p>
    <w:p w:rsidR="007B2F0B" w:rsidRPr="00F52A19" w:rsidRDefault="007B2F0B" w:rsidP="007B2F0B">
      <w:pPr>
        <w:pStyle w:val="Paragrafi"/>
        <w:rPr>
          <w:spacing w:val="-4"/>
          <w:sz w:val="20"/>
          <w:szCs w:val="20"/>
          <w:lang w:val="sq-AL"/>
        </w:rPr>
      </w:pPr>
      <w:r w:rsidRPr="00F52A19">
        <w:rPr>
          <w:spacing w:val="-4"/>
          <w:sz w:val="20"/>
          <w:szCs w:val="20"/>
          <w:lang w:val="sq-AL"/>
        </w:rPr>
        <w:t>“Në përcaktimin e të drejtave civile dhe detyrimeve ... çdo njeri ka të drejtën për një seancë... dëgjimore... nga [një] ... tribunal...”</w:t>
      </w:r>
    </w:p>
    <w:p w:rsidR="007B2F0B" w:rsidRPr="00E3235B" w:rsidRDefault="007B2F0B" w:rsidP="007B2F0B">
      <w:pPr>
        <w:pStyle w:val="Paragrafi"/>
        <w:rPr>
          <w:spacing w:val="-4"/>
          <w:szCs w:val="24"/>
          <w:lang w:val="sq-AL"/>
        </w:rPr>
      </w:pPr>
      <w:r w:rsidRPr="00E3235B">
        <w:rPr>
          <w:spacing w:val="-4"/>
          <w:szCs w:val="24"/>
          <w:lang w:val="sq-AL"/>
        </w:rPr>
        <w:t>Neni 13 i Konventës parashikon si më poshtë:</w:t>
      </w:r>
    </w:p>
    <w:p w:rsidR="007B2F0B" w:rsidRPr="00F52A19" w:rsidRDefault="007B2F0B" w:rsidP="007B2F0B">
      <w:pPr>
        <w:pStyle w:val="Paragrafi"/>
        <w:rPr>
          <w:spacing w:val="-4"/>
          <w:sz w:val="20"/>
          <w:szCs w:val="20"/>
          <w:lang w:val="sq-AL"/>
        </w:rPr>
      </w:pPr>
      <w:r w:rsidRPr="00F52A19">
        <w:rPr>
          <w:spacing w:val="-4"/>
          <w:sz w:val="20"/>
          <w:szCs w:val="20"/>
          <w:lang w:val="sq-AL"/>
        </w:rPr>
        <w:t>“Çdonjëri të drejtat dhe liritë e të cilit, siç parashikohen në Konventë, janë thyer, do të përfitojë një kompensim efektiv përpara një autoriteti kombëtar, pavarësisht faktit se thyerja mund të jetë bërë nga persona me një pozicion zyrtar.”</w:t>
      </w:r>
    </w:p>
    <w:p w:rsidR="007B2F0B" w:rsidRPr="00F52A19" w:rsidRDefault="007B2F0B" w:rsidP="007B2F0B">
      <w:pPr>
        <w:pStyle w:val="Paragrafi"/>
        <w:rPr>
          <w:spacing w:val="-4"/>
          <w:lang w:val="sq-AL"/>
        </w:rPr>
      </w:pPr>
      <w:r w:rsidRPr="00F52A19">
        <w:rPr>
          <w:spacing w:val="-4"/>
          <w:lang w:val="sq-AL"/>
        </w:rPr>
        <w:t xml:space="preserve">Neni 1 i protokollit </w:t>
      </w:r>
      <w:r>
        <w:rPr>
          <w:spacing w:val="-4"/>
          <w:lang w:val="sq-AL"/>
        </w:rPr>
        <w:t xml:space="preserve">nr. </w:t>
      </w:r>
      <w:r w:rsidRPr="00F52A19">
        <w:rPr>
          <w:spacing w:val="-4"/>
          <w:lang w:val="sq-AL"/>
        </w:rPr>
        <w:t xml:space="preserve">1 i Konventës parashikon si më poshtë: </w:t>
      </w:r>
    </w:p>
    <w:p w:rsidR="007B2F0B" w:rsidRPr="00F52A19" w:rsidRDefault="007B2F0B" w:rsidP="007B2F0B">
      <w:pPr>
        <w:pStyle w:val="Paragrafi"/>
        <w:rPr>
          <w:spacing w:val="-4"/>
          <w:sz w:val="20"/>
          <w:szCs w:val="20"/>
          <w:lang w:val="sq-AL"/>
        </w:rPr>
      </w:pPr>
      <w:r w:rsidRPr="00F52A19">
        <w:rPr>
          <w:spacing w:val="-4"/>
          <w:sz w:val="20"/>
          <w:szCs w:val="20"/>
          <w:lang w:val="sq-AL"/>
        </w:rPr>
        <w:t xml:space="preserve">“Çdo person fizik ose juridik ka të drejtën e gëzimit paqësor të pasurisë së tij. Askush nuk mund të privohet nga prona e tij, përveçse për arsye të interesit publik dhe për kushtet e parashikuara nga ligji dhe nga parimet e përgjithshme të së drejtës ndërkombëtare. </w:t>
      </w:r>
    </w:p>
    <w:p w:rsidR="007B2F0B" w:rsidRPr="00F52A19" w:rsidRDefault="007B2F0B" w:rsidP="007B2F0B">
      <w:pPr>
        <w:pStyle w:val="Paragrafi"/>
        <w:rPr>
          <w:spacing w:val="-4"/>
          <w:sz w:val="20"/>
          <w:szCs w:val="20"/>
          <w:lang w:val="sq-AL"/>
        </w:rPr>
      </w:pPr>
      <w:r w:rsidRPr="00F52A19">
        <w:rPr>
          <w:spacing w:val="-4"/>
          <w:sz w:val="20"/>
          <w:szCs w:val="20"/>
          <w:lang w:val="sq-AL"/>
        </w:rPr>
        <w:t>Megjithatë, dispozitat e mëparshme nuk cenojnë të drejtën e një Shteti për të zbatuar ligje, që ai i çmon të nevojshme për të rregulluar përdorimin e pasurive në përputhje me interesin e përgjithshëm ose për të siguruar pagimin e taksave ose të kontributeve ose të gjobave të tjera.”</w:t>
      </w:r>
    </w:p>
    <w:p w:rsidR="007B2F0B" w:rsidRPr="00F52A19" w:rsidRDefault="007B2F0B" w:rsidP="007B2F0B">
      <w:pPr>
        <w:pStyle w:val="Paragrafi"/>
        <w:rPr>
          <w:b/>
          <w:spacing w:val="-4"/>
          <w:lang w:val="sq-AL"/>
        </w:rPr>
      </w:pPr>
      <w:r w:rsidRPr="00F52A19">
        <w:rPr>
          <w:b/>
          <w:spacing w:val="-4"/>
          <w:lang w:val="sq-AL"/>
        </w:rPr>
        <w:t>A. PRANUESHMËRIA</w:t>
      </w:r>
    </w:p>
    <w:p w:rsidR="007B2F0B" w:rsidRPr="00F52A19" w:rsidRDefault="007B2F0B" w:rsidP="007B2F0B">
      <w:pPr>
        <w:pStyle w:val="Paragrafi"/>
        <w:rPr>
          <w:spacing w:val="-4"/>
          <w:lang w:val="sq-AL"/>
        </w:rPr>
      </w:pPr>
      <w:r w:rsidRPr="00F52A19">
        <w:rPr>
          <w:spacing w:val="-4"/>
          <w:lang w:val="sq-AL"/>
        </w:rPr>
        <w:t xml:space="preserve">9. Qeveria parashtroi se ankuesit kishin kërkuar rishikimin e vendimit të Komisionit dhe se ato procedime ishin ende pezull. Qeveria debatoi kundër ankimit të procedurës së praktikës gjyqësore të mirëpërcaktuar. Ankuesit argumentuan se në përputhje me letrën e Ministrisë së Mbrojtjes, të datës 18 shkurt 2013, sipërfaqet e tokës ishin të zëna dhe në përputhje me këtë po përdoreshin për qëllime ushtarake. </w:t>
      </w:r>
    </w:p>
    <w:p w:rsidR="007B2F0B" w:rsidRPr="00F52A19" w:rsidRDefault="007B2F0B" w:rsidP="007B2F0B">
      <w:pPr>
        <w:pStyle w:val="Paragrafi"/>
        <w:rPr>
          <w:spacing w:val="-4"/>
          <w:lang w:val="sq-AL"/>
        </w:rPr>
      </w:pPr>
      <w:r w:rsidRPr="00F52A19">
        <w:rPr>
          <w:spacing w:val="-4"/>
          <w:lang w:val="sq-AL"/>
        </w:rPr>
        <w:t xml:space="preserve">10. Sipas dosjes së çështjes, rezulton se në shkurt 2013, ankuesit paraqitën një kërkesë për informacion tek autoritetet. Një letër e datës 7 nëntor 2014, nga drejtori i Agjencisë për Rikthimin dhe Kompensimin e Pronës (drejtori i Agjencisë), e cila u dorëzua nga Qeveria dhe pohonte se dosja e një çështje të re me </w:t>
      </w:r>
      <w:r>
        <w:rPr>
          <w:spacing w:val="-4"/>
          <w:lang w:val="sq-AL"/>
        </w:rPr>
        <w:t xml:space="preserve">nr. </w:t>
      </w:r>
      <w:r w:rsidRPr="00F52A19">
        <w:rPr>
          <w:spacing w:val="-4"/>
          <w:lang w:val="sq-AL"/>
        </w:rPr>
        <w:t>404, e datës 5 maj 2011, lidhur me vendimin e Komisionit të datës 28 korrik 2006, kishte mbetur pezull për t’u shqyrtuar, nuk mund të përbënte provën e duhur se procedimet kishin mbetur pezull në mungesë të dokumenteve mbështetës. Qeveria nuk mundi të mbështetej në këtë deklaratë dhe të dorëzonte bazë të mjaftue</w:t>
      </w:r>
      <w:r>
        <w:rPr>
          <w:spacing w:val="-4"/>
          <w:lang w:val="sq-AL"/>
        </w:rPr>
        <w:t>-</w:t>
      </w:r>
      <w:r w:rsidRPr="00F52A19">
        <w:rPr>
          <w:spacing w:val="-4"/>
          <w:lang w:val="sq-AL"/>
        </w:rPr>
        <w:t xml:space="preserve">shme të dhënash në vërejtjet e saj të mëtejshme, më 12 janar 2015. Më tej, Qeveria përsërit se në vitin 2010 dhe 2011, Gjykata Kushtetuese shfuqizoi një sërë parashikimesh të Aktit të Pronës të vitit 2004, të ndryshuara, duke e autorizuar drejtorin e Agjencisë të rishqyrtonte vendimet e anuluese dhe shfuqizuese </w:t>
      </w:r>
      <w:r w:rsidRPr="00F52A19">
        <w:rPr>
          <w:i/>
          <w:spacing w:val="-4"/>
          <w:lang w:val="sq-AL"/>
        </w:rPr>
        <w:t>ex officio</w:t>
      </w:r>
      <w:r w:rsidRPr="00F52A19">
        <w:rPr>
          <w:spacing w:val="-4"/>
          <w:lang w:val="sq-AL"/>
        </w:rPr>
        <w:t xml:space="preserve"> të Komisionit (shiko </w:t>
      </w:r>
      <w:r w:rsidRPr="00F52A19">
        <w:rPr>
          <w:i/>
          <w:spacing w:val="-4"/>
          <w:lang w:val="sq-AL"/>
        </w:rPr>
        <w:t>Manushaqe Puto dhe të tjerët kundër Shqipërisë</w:t>
      </w:r>
      <w:r w:rsidRPr="00F52A19">
        <w:rPr>
          <w:spacing w:val="-4"/>
          <w:lang w:val="sq-AL"/>
        </w:rPr>
        <w:t xml:space="preserve"> (</w:t>
      </w:r>
      <w:r>
        <w:rPr>
          <w:spacing w:val="-4"/>
          <w:lang w:val="sq-AL"/>
        </w:rPr>
        <w:t xml:space="preserve">nr. </w:t>
      </w:r>
      <w:r w:rsidRPr="00F52A19">
        <w:rPr>
          <w:spacing w:val="-4"/>
          <w:lang w:val="sq-AL"/>
        </w:rPr>
        <w:t>604/07, 43628/07, 46684/07 dhe 34770/09, §§ 32, 31 korrik 2012). Në të tilla rrethana, Gjykata mendon se vendimi i Komisionit i datës 28 korrik 2006, për të cilin ankohen ankuesit, mbetet i pandryshuar dhe i pazbatuar. Për këtë arsye, Gjykata e hedh poshtë këtë kundërshtim dhe gjykon se çështjet e ngritura nga ky ankim janë objekt i praktikës gjyqësore të mirëthemeluar.</w:t>
      </w:r>
    </w:p>
    <w:p w:rsidR="007B2F0B" w:rsidRPr="00F52A19" w:rsidRDefault="007B2F0B" w:rsidP="007B2F0B">
      <w:pPr>
        <w:pStyle w:val="Paragrafi"/>
        <w:rPr>
          <w:spacing w:val="-4"/>
          <w:lang w:val="sq-AL"/>
        </w:rPr>
      </w:pPr>
      <w:r w:rsidRPr="00F52A19">
        <w:rPr>
          <w:spacing w:val="-4"/>
          <w:lang w:val="sq-AL"/>
        </w:rPr>
        <w:t xml:space="preserve">11. Gjykata vëren se këto ankesa nuk janë të pabazuara, sipas kuptimit të nenit 35§3(a) të Konventës. Më tej ajo vëren se ato nuk janë të papranueshme për ndonjë shkak tjetër. Për këtë arsye, ato duhen deklaruar të pranueshme. </w:t>
      </w:r>
    </w:p>
    <w:p w:rsidR="007B2F0B" w:rsidRPr="00F52A19" w:rsidRDefault="007B2F0B" w:rsidP="007B2F0B">
      <w:pPr>
        <w:pStyle w:val="Paragrafi"/>
        <w:rPr>
          <w:b/>
          <w:spacing w:val="-4"/>
          <w:lang w:val="sq-AL"/>
        </w:rPr>
      </w:pPr>
      <w:r w:rsidRPr="00F52A19">
        <w:rPr>
          <w:b/>
          <w:spacing w:val="-4"/>
          <w:lang w:val="sq-AL"/>
        </w:rPr>
        <w:t>B. Cilësitë</w:t>
      </w:r>
    </w:p>
    <w:p w:rsidR="007B2F0B" w:rsidRPr="00F52A19" w:rsidRDefault="007B2F0B" w:rsidP="007B2F0B">
      <w:pPr>
        <w:pStyle w:val="Paragrafi"/>
        <w:rPr>
          <w:spacing w:val="-4"/>
          <w:lang w:val="sq-AL"/>
        </w:rPr>
      </w:pPr>
      <w:r w:rsidRPr="00F52A19">
        <w:rPr>
          <w:spacing w:val="-4"/>
          <w:lang w:val="sq-AL"/>
        </w:rPr>
        <w:t>12. Qeveria nuk i diskutoi cilësitë e pakëna</w:t>
      </w:r>
      <w:r>
        <w:rPr>
          <w:spacing w:val="-4"/>
          <w:lang w:val="sq-AL"/>
        </w:rPr>
        <w:t>-</w:t>
      </w:r>
      <w:r w:rsidRPr="00F52A19">
        <w:rPr>
          <w:spacing w:val="-4"/>
          <w:lang w:val="sq-AL"/>
        </w:rPr>
        <w:t>qësive të ankuesve.</w:t>
      </w:r>
    </w:p>
    <w:p w:rsidR="007B2F0B" w:rsidRPr="00F52A19" w:rsidRDefault="007B2F0B" w:rsidP="007B2F0B">
      <w:pPr>
        <w:pStyle w:val="Paragrafi"/>
        <w:rPr>
          <w:spacing w:val="-4"/>
          <w:lang w:val="sq-AL"/>
        </w:rPr>
      </w:pPr>
      <w:r w:rsidRPr="00F52A19">
        <w:rPr>
          <w:spacing w:val="-4"/>
          <w:lang w:val="sq-AL"/>
        </w:rPr>
        <w:t xml:space="preserve">13. Për sa i përket gjetjeve të saj në çështjet e mëparshme kundër Shqipërisë, për të cilat Qeveria nuk paraqiti ndonjë argument për të garantuar distancimin e saj nga to (shiko midis të tjerave, </w:t>
      </w:r>
      <w:r w:rsidRPr="00F52A19">
        <w:rPr>
          <w:i/>
          <w:spacing w:val="-4"/>
          <w:lang w:val="sq-AL"/>
        </w:rPr>
        <w:t>Manushaqe Puto dhe të tjerët</w:t>
      </w:r>
      <w:r w:rsidRPr="00F52A19">
        <w:rPr>
          <w:spacing w:val="-4"/>
          <w:lang w:val="sq-AL"/>
        </w:rPr>
        <w:t xml:space="preserve">, cituar më sipër, §§93–97 dhe referencat cituar në të; dhe së fundmi </w:t>
      </w:r>
      <w:r w:rsidRPr="00F52A19">
        <w:rPr>
          <w:i/>
          <w:spacing w:val="-4"/>
          <w:lang w:val="sq-AL"/>
        </w:rPr>
        <w:t>Sharra dhe të tjerët</w:t>
      </w:r>
      <w:r w:rsidRPr="00F52A19">
        <w:rPr>
          <w:spacing w:val="-4"/>
          <w:lang w:val="sq-AL"/>
        </w:rPr>
        <w:t xml:space="preserve">, cituar më sipër, §§ 49–51; </w:t>
      </w:r>
      <w:r w:rsidRPr="00F52A19">
        <w:rPr>
          <w:i/>
          <w:spacing w:val="-4"/>
          <w:lang w:val="sq-AL"/>
        </w:rPr>
        <w:t>Metalla dhe të tjerët</w:t>
      </w:r>
      <w:r w:rsidRPr="00F52A19">
        <w:rPr>
          <w:spacing w:val="-4"/>
          <w:lang w:val="sq-AL"/>
        </w:rPr>
        <w:t xml:space="preserve">, cituar më sipër, §§ 29–31; </w:t>
      </w:r>
      <w:r w:rsidRPr="00F52A19">
        <w:rPr>
          <w:i/>
          <w:spacing w:val="-4"/>
          <w:lang w:val="sq-AL"/>
        </w:rPr>
        <w:t>Siliqi dhe të tjerët</w:t>
      </w:r>
      <w:r w:rsidRPr="00F52A19">
        <w:rPr>
          <w:spacing w:val="-4"/>
          <w:lang w:val="sq-AL"/>
        </w:rPr>
        <w:t xml:space="preserve">, cituar më sipër, §§19), Gjykata konstaton se moszbatimi i vendimeve vendase të formës së prerë për kaq shumë vite nga ana e autoriteteve vendase, shkelte të drejtat e ankuesve sipas nenit 6§1 dhe sipas nenit 1 të protokollit </w:t>
      </w:r>
      <w:r>
        <w:rPr>
          <w:spacing w:val="-4"/>
          <w:lang w:val="sq-AL"/>
        </w:rPr>
        <w:t xml:space="preserve">nr. </w:t>
      </w:r>
      <w:r w:rsidRPr="00F52A19">
        <w:rPr>
          <w:spacing w:val="-4"/>
          <w:lang w:val="sq-AL"/>
        </w:rPr>
        <w:t xml:space="preserve">1 të Konventës. </w:t>
      </w:r>
    </w:p>
    <w:p w:rsidR="007B2F0B" w:rsidRPr="00F52A19" w:rsidRDefault="007B2F0B" w:rsidP="007B2F0B">
      <w:pPr>
        <w:pStyle w:val="Paragrafi"/>
        <w:rPr>
          <w:spacing w:val="-4"/>
          <w:lang w:val="sq-AL"/>
        </w:rPr>
      </w:pPr>
      <w:r w:rsidRPr="00F52A19">
        <w:rPr>
          <w:spacing w:val="-4"/>
          <w:lang w:val="sq-AL"/>
        </w:rPr>
        <w:t xml:space="preserve">14. Gjithashtu, Gjykata arrin në përfundimin se nuk ka pasur dhe se vazhdon të mos ketë asnjë kompensim efikas vendas që do të mundësonte një korrigjim të përshtatshëm dhe të mjaftueshëm për mozsbatimin e tejzgjatur të vendimeve vendase të formës së prerë të cilat akordonin kompensim. Kështu, ka pasur një shkelje të nenit 13 të Konventës (shiko </w:t>
      </w:r>
      <w:r w:rsidRPr="00F52A19">
        <w:rPr>
          <w:i/>
          <w:spacing w:val="-4"/>
          <w:lang w:val="sq-AL"/>
        </w:rPr>
        <w:t>Manushaqe Puton dhe të tjerët</w:t>
      </w:r>
      <w:r w:rsidRPr="00F52A19">
        <w:rPr>
          <w:spacing w:val="-4"/>
          <w:lang w:val="sq-AL"/>
        </w:rPr>
        <w:t>, cituar më sipër, §§72–84 dhe referencat cituar në të).</w:t>
      </w:r>
    </w:p>
    <w:p w:rsidR="007B2F0B" w:rsidRPr="00F52A19" w:rsidRDefault="007B2F0B" w:rsidP="007B2F0B">
      <w:pPr>
        <w:pStyle w:val="Paragrafi"/>
        <w:rPr>
          <w:spacing w:val="-4"/>
          <w:lang w:val="sq-AL"/>
        </w:rPr>
      </w:pPr>
      <w:r w:rsidRPr="00F52A19">
        <w:rPr>
          <w:spacing w:val="-4"/>
          <w:lang w:val="sq-AL"/>
        </w:rPr>
        <w:t xml:space="preserve">II. SHKELJE E PRETENDUAR E NENIT 6§1 E KONVENTËS NË LIDHJE ME </w:t>
      </w:r>
      <w:r w:rsidRPr="00F52A19">
        <w:rPr>
          <w:spacing w:val="-4"/>
          <w:lang w:val="sq-AL"/>
        </w:rPr>
        <w:lastRenderedPageBreak/>
        <w:t>KOHËZGJATJEN E PROCEDIMEVE</w:t>
      </w:r>
    </w:p>
    <w:p w:rsidR="007B2F0B" w:rsidRPr="00F52A19" w:rsidRDefault="007B2F0B" w:rsidP="007B2F0B">
      <w:pPr>
        <w:pStyle w:val="Paragrafi"/>
        <w:rPr>
          <w:spacing w:val="-4"/>
          <w:lang w:val="sq-AL"/>
        </w:rPr>
      </w:pPr>
      <w:r w:rsidRPr="00F52A19">
        <w:rPr>
          <w:spacing w:val="-4"/>
          <w:lang w:val="sq-AL"/>
        </w:rPr>
        <w:t>15. Ankuesit u ankuan sipas nenit 6§1 për kohëzgjatjen e procedurave si rezultat i moszba</w:t>
      </w:r>
      <w:r>
        <w:rPr>
          <w:spacing w:val="-4"/>
          <w:lang w:val="sq-AL"/>
        </w:rPr>
        <w:t>-</w:t>
      </w:r>
      <w:r w:rsidRPr="00F52A19">
        <w:rPr>
          <w:spacing w:val="-4"/>
          <w:lang w:val="sq-AL"/>
        </w:rPr>
        <w:t xml:space="preserve">timit të vendimit të Komisionit. </w:t>
      </w:r>
    </w:p>
    <w:p w:rsidR="007B2F0B" w:rsidRPr="00F52A19" w:rsidRDefault="007B2F0B" w:rsidP="007B2F0B">
      <w:pPr>
        <w:pStyle w:val="Paragrafi"/>
        <w:rPr>
          <w:spacing w:val="-4"/>
          <w:lang w:val="sq-AL"/>
        </w:rPr>
      </w:pPr>
      <w:r w:rsidRPr="00F52A19">
        <w:rPr>
          <w:spacing w:val="-4"/>
          <w:lang w:val="sq-AL"/>
        </w:rPr>
        <w:t xml:space="preserve">16. Gjykata vëren se kjo ankesë nuk është e pabazuar sipas interpretimit të nenit 35§3(a) të Konventës. Më tej ajo vëren se nuk është e papranueshme në ndonjë argument tjetër dhe për këtë arsye e deklaron atë të pranueshëm. </w:t>
      </w:r>
    </w:p>
    <w:p w:rsidR="007B2F0B" w:rsidRPr="00F52A19" w:rsidRDefault="007B2F0B" w:rsidP="007B2F0B">
      <w:pPr>
        <w:pStyle w:val="Paragrafi"/>
        <w:rPr>
          <w:spacing w:val="-4"/>
          <w:lang w:val="sq-AL"/>
        </w:rPr>
      </w:pPr>
      <w:r w:rsidRPr="00F52A19">
        <w:rPr>
          <w:spacing w:val="-4"/>
          <w:lang w:val="sq-AL"/>
        </w:rPr>
        <w:t xml:space="preserve">17. Gjykata argumenton se sipas gjetjeve në paragrafët 13–14 më sipër, çështja e kohëzgjatjes së procedurave duhet të konsiderohet se është përfshirë në çështjen e moszbatimit (shiko, për shembull, </w:t>
      </w:r>
      <w:r w:rsidRPr="00F52A19">
        <w:rPr>
          <w:i/>
          <w:spacing w:val="-4"/>
          <w:lang w:val="sq-AL"/>
        </w:rPr>
        <w:t>Kutić kundër Kroacisë</w:t>
      </w:r>
      <w:r w:rsidRPr="00F52A19">
        <w:rPr>
          <w:spacing w:val="-4"/>
          <w:lang w:val="sq-AL"/>
        </w:rPr>
        <w:t xml:space="preserve">, </w:t>
      </w:r>
      <w:r>
        <w:rPr>
          <w:spacing w:val="-4"/>
          <w:lang w:val="sq-AL"/>
        </w:rPr>
        <w:t xml:space="preserve">nr. </w:t>
      </w:r>
      <w:r w:rsidRPr="00F52A19">
        <w:rPr>
          <w:spacing w:val="-4"/>
          <w:lang w:val="sq-AL"/>
        </w:rPr>
        <w:t xml:space="preserve">48778/99, § 34, GJEDNJ 2002–II, dhe </w:t>
      </w:r>
      <w:r w:rsidRPr="00F52A19">
        <w:rPr>
          <w:i/>
          <w:spacing w:val="-4"/>
          <w:lang w:val="sq-AL"/>
        </w:rPr>
        <w:t>Popova kundër Rusisë</w:t>
      </w:r>
      <w:r w:rsidRPr="00F52A19">
        <w:rPr>
          <w:spacing w:val="-4"/>
          <w:lang w:val="sq-AL"/>
        </w:rPr>
        <w:t xml:space="preserve">, </w:t>
      </w:r>
      <w:r>
        <w:rPr>
          <w:spacing w:val="-4"/>
          <w:lang w:val="sq-AL"/>
        </w:rPr>
        <w:t xml:space="preserve">nr. </w:t>
      </w:r>
      <w:r w:rsidRPr="00F52A19">
        <w:rPr>
          <w:spacing w:val="-4"/>
          <w:lang w:val="sq-AL"/>
        </w:rPr>
        <w:t xml:space="preserve">23697/02, §44, 21 dhjetor 2006). Për këtë arsye, gjykata mendon se nuk është e nevojshme ta shqyrtojë këtë ankesë më veçantë. </w:t>
      </w:r>
    </w:p>
    <w:p w:rsidR="007B2F0B" w:rsidRPr="00F52A19" w:rsidRDefault="007B2F0B" w:rsidP="007B2F0B">
      <w:pPr>
        <w:pStyle w:val="Paragrafi"/>
        <w:rPr>
          <w:spacing w:val="-4"/>
          <w:lang w:val="sq-AL"/>
        </w:rPr>
      </w:pPr>
      <w:r w:rsidRPr="00F52A19">
        <w:rPr>
          <w:spacing w:val="-4"/>
          <w:lang w:val="sq-AL"/>
        </w:rPr>
        <w:t>III. ZBATIMI I NENIT 41 TË KON-VENTËS</w:t>
      </w:r>
    </w:p>
    <w:p w:rsidR="007B2F0B" w:rsidRPr="00F52A19" w:rsidRDefault="007B2F0B" w:rsidP="007B2F0B">
      <w:pPr>
        <w:pStyle w:val="Paragrafi"/>
        <w:rPr>
          <w:spacing w:val="-4"/>
          <w:lang w:val="sq-AL"/>
        </w:rPr>
      </w:pPr>
      <w:r w:rsidRPr="00F52A19">
        <w:rPr>
          <w:spacing w:val="-4"/>
          <w:lang w:val="sq-AL"/>
        </w:rPr>
        <w:t xml:space="preserve">18. Neni 41 i Konventës parashikon: </w:t>
      </w:r>
    </w:p>
    <w:p w:rsidR="007B2F0B" w:rsidRPr="00F52A19" w:rsidRDefault="007B2F0B" w:rsidP="007B2F0B">
      <w:pPr>
        <w:pStyle w:val="Paragrafi"/>
        <w:rPr>
          <w:spacing w:val="-4"/>
          <w:sz w:val="20"/>
          <w:szCs w:val="20"/>
          <w:lang w:val="sq-AL"/>
        </w:rPr>
      </w:pPr>
      <w:r w:rsidRPr="00F52A19">
        <w:rPr>
          <w:spacing w:val="-4"/>
          <w:sz w:val="20"/>
          <w:szCs w:val="20"/>
          <w:lang w:val="sq-AL"/>
        </w:rPr>
        <w:t>“Nëse Gjykata konstaton se ka pasur një shkelje të Konventës ose të Protokolleve në të, dhe nëse ligji i brendshëm i Palës së Lartë Kontraktuese në fjalë lejon që të bëhet vetëm kompensim i pjesshëm, nëse është e nevojshme, Gjykata duhet të ofrojë kompensim të drejtë për palën e dëmtuar.”</w:t>
      </w:r>
    </w:p>
    <w:p w:rsidR="007B2F0B" w:rsidRPr="00F52A19" w:rsidRDefault="007B2F0B" w:rsidP="007B2F0B">
      <w:pPr>
        <w:pStyle w:val="Paragrafi"/>
        <w:rPr>
          <w:b/>
          <w:spacing w:val="-4"/>
          <w:lang w:val="sq-AL"/>
        </w:rPr>
      </w:pPr>
      <w:r w:rsidRPr="00F52A19">
        <w:rPr>
          <w:b/>
          <w:spacing w:val="-4"/>
          <w:lang w:val="sq-AL"/>
        </w:rPr>
        <w:t>A. DËMI</w:t>
      </w:r>
    </w:p>
    <w:p w:rsidR="007B2F0B" w:rsidRPr="00F52A19" w:rsidRDefault="007B2F0B" w:rsidP="007B2F0B">
      <w:pPr>
        <w:pStyle w:val="Paragrafi"/>
        <w:rPr>
          <w:i/>
          <w:spacing w:val="-4"/>
          <w:lang w:val="sq-AL"/>
        </w:rPr>
      </w:pPr>
      <w:r w:rsidRPr="00F52A19">
        <w:rPr>
          <w:i/>
          <w:spacing w:val="-4"/>
          <w:lang w:val="sq-AL"/>
        </w:rPr>
        <w:t>1. Parashtrimet e palëve</w:t>
      </w:r>
    </w:p>
    <w:p w:rsidR="007B2F0B" w:rsidRPr="00F52A19" w:rsidRDefault="007B2F0B" w:rsidP="007B2F0B">
      <w:pPr>
        <w:pStyle w:val="Paragrafi"/>
        <w:rPr>
          <w:b/>
          <w:spacing w:val="-4"/>
          <w:lang w:val="sq-AL"/>
        </w:rPr>
      </w:pPr>
      <w:r w:rsidRPr="00F52A19">
        <w:rPr>
          <w:b/>
          <w:spacing w:val="-4"/>
          <w:lang w:val="sq-AL"/>
        </w:rPr>
        <w:t>a) Ankuesit</w:t>
      </w:r>
    </w:p>
    <w:p w:rsidR="007B2F0B" w:rsidRPr="00F52A19" w:rsidRDefault="007B2F0B" w:rsidP="007B2F0B">
      <w:pPr>
        <w:pStyle w:val="Paragrafi"/>
        <w:rPr>
          <w:spacing w:val="-4"/>
          <w:lang w:val="sq-AL"/>
        </w:rPr>
      </w:pPr>
      <w:r w:rsidRPr="00F52A19">
        <w:rPr>
          <w:spacing w:val="-4"/>
          <w:lang w:val="sq-AL"/>
        </w:rPr>
        <w:t>19. Ankuesit bënë të njëjtat parashtrime si ato të përmbledhura në këtë vendim të Gjykatës në çështjen Sharra dhe të tjerët, cituar më sipër, §§57–58. Më specifikisht, ata kërkuan 7,054,285 euro (EUR) për vlerën e pronës së sipërfaqes së tokës me përmasë 640,000 m</w:t>
      </w:r>
      <w:r w:rsidRPr="00F52A19">
        <w:rPr>
          <w:spacing w:val="-4"/>
          <w:vertAlign w:val="superscript"/>
          <w:lang w:val="sq-AL"/>
        </w:rPr>
        <w:t>2</w:t>
      </w:r>
      <w:r w:rsidRPr="00F52A19">
        <w:rPr>
          <w:spacing w:val="-4"/>
          <w:lang w:val="sq-AL"/>
        </w:rPr>
        <w:t>, bazuar në hartat e vlerësimit të vitit 2013. Ata kërkuan të aplikohej çmimi i referencës prej 1,646 lekësh shqiptarë (TË GJITHË)/m</w:t>
      </w:r>
      <w:r w:rsidRPr="00F52A19">
        <w:rPr>
          <w:spacing w:val="-4"/>
          <w:vertAlign w:val="superscript"/>
          <w:lang w:val="sq-AL"/>
        </w:rPr>
        <w:t>2</w:t>
      </w:r>
      <w:r w:rsidRPr="00F52A19">
        <w:rPr>
          <w:spacing w:val="-4"/>
          <w:lang w:val="sq-AL"/>
        </w:rPr>
        <w:t>, siç tregohet në hartat e vlerësimit të vitit 2013. Ata parashtruan se zotëronin pesëmbë-dhjetë të gjashtëmbëdhjetat e tokës me përmasë 640,000 m</w:t>
      </w:r>
      <w:r w:rsidRPr="00F52A19">
        <w:rPr>
          <w:spacing w:val="-4"/>
          <w:vertAlign w:val="superscript"/>
          <w:lang w:val="sq-AL"/>
        </w:rPr>
        <w:t>2</w:t>
      </w:r>
      <w:r w:rsidRPr="00F52A19">
        <w:rPr>
          <w:spacing w:val="-4"/>
          <w:lang w:val="sq-AL"/>
        </w:rPr>
        <w:t xml:space="preserve">. Ata kërkuan 315,000 euro për dëmin jomonetar. </w:t>
      </w:r>
    </w:p>
    <w:p w:rsidR="007B2F0B" w:rsidRPr="00F52A19" w:rsidRDefault="007B2F0B" w:rsidP="007B2F0B">
      <w:pPr>
        <w:pStyle w:val="Paragrafi"/>
        <w:rPr>
          <w:b/>
          <w:spacing w:val="-4"/>
          <w:lang w:val="sq-AL"/>
        </w:rPr>
      </w:pPr>
      <w:r w:rsidRPr="00F52A19">
        <w:rPr>
          <w:b/>
          <w:spacing w:val="-4"/>
          <w:lang w:val="sq-AL"/>
        </w:rPr>
        <w:t xml:space="preserve">b) Qeveria </w:t>
      </w:r>
    </w:p>
    <w:p w:rsidR="007B2F0B" w:rsidRPr="00F52A19" w:rsidRDefault="007B2F0B" w:rsidP="007B2F0B">
      <w:pPr>
        <w:pStyle w:val="Paragrafi"/>
        <w:rPr>
          <w:spacing w:val="-4"/>
          <w:lang w:val="sq-AL"/>
        </w:rPr>
      </w:pPr>
      <w:r w:rsidRPr="00F52A19">
        <w:rPr>
          <w:spacing w:val="-4"/>
          <w:lang w:val="sq-AL"/>
        </w:rPr>
        <w:t xml:space="preserve">20. Qeveria bëri të njëjtat parashtrime si ato të përmbledhura në vendimin e kësaj Gjykate në çështjen </w:t>
      </w:r>
      <w:r w:rsidRPr="00F52A19">
        <w:rPr>
          <w:i/>
          <w:spacing w:val="-4"/>
          <w:lang w:val="sq-AL"/>
        </w:rPr>
        <w:t>Sharra dhe të tjerët</w:t>
      </w:r>
      <w:r w:rsidRPr="00F52A19">
        <w:rPr>
          <w:spacing w:val="-4"/>
          <w:lang w:val="sq-AL"/>
        </w:rPr>
        <w:t>, cituar më sipër, §§69–71. Duke pasur parasysh faktin se në kohën e konfiskimit, sipërfaqja e tokës kishte qenë bujqësore, Qeveria propozoi se bazuar në hartat e vlerësimit të vitit 2014, duhej zbatuar çmimi i referencës për tokën bujqësore. Duke qenë se zona kadestrale ku pozicionohej prona nuk pasqyronte ndonjë çmim reference për tokën bujqësore, duhet të zbatohet çmimi i referencës për tokën bujqësore për një zonë tjetër kadestrale më të afërt, që është 281 TË GJITHË/m</w:t>
      </w:r>
      <w:r w:rsidRPr="00F52A19">
        <w:rPr>
          <w:spacing w:val="-4"/>
          <w:vertAlign w:val="superscript"/>
          <w:lang w:val="sq-AL"/>
        </w:rPr>
        <w:t>2</w:t>
      </w:r>
      <w:r w:rsidRPr="00F52A19">
        <w:rPr>
          <w:spacing w:val="-4"/>
          <w:lang w:val="sq-AL"/>
        </w:rPr>
        <w:t>. Qeveria konfirmoi se ankuesit kishin të drejtë mbi pesëmbëdhjetë të gjashtëmbëdhjetat</w:t>
      </w:r>
      <w:r>
        <w:rPr>
          <w:spacing w:val="-4"/>
          <w:lang w:val="sq-AL"/>
        </w:rPr>
        <w:t xml:space="preserve"> </w:t>
      </w:r>
      <w:r w:rsidRPr="00F52A19">
        <w:rPr>
          <w:spacing w:val="-4"/>
          <w:lang w:val="sq-AL"/>
        </w:rPr>
        <w:t>e pronës.</w:t>
      </w:r>
      <w:r>
        <w:rPr>
          <w:spacing w:val="-4"/>
          <w:lang w:val="sq-AL"/>
        </w:rPr>
        <w:t xml:space="preserve"> </w:t>
      </w:r>
    </w:p>
    <w:p w:rsidR="007B2F0B" w:rsidRPr="00F52A19" w:rsidRDefault="007B2F0B" w:rsidP="007B2F0B">
      <w:pPr>
        <w:pStyle w:val="Paragrafi"/>
        <w:rPr>
          <w:i/>
          <w:spacing w:val="-4"/>
          <w:lang w:val="sq-AL"/>
        </w:rPr>
      </w:pPr>
      <w:r w:rsidRPr="00F52A19">
        <w:rPr>
          <w:i/>
          <w:spacing w:val="-4"/>
          <w:lang w:val="sq-AL"/>
        </w:rPr>
        <w:t>2. Vlerësimi i Gjykatës</w:t>
      </w:r>
    </w:p>
    <w:p w:rsidR="007B2F0B" w:rsidRPr="00F52A19" w:rsidRDefault="007B2F0B" w:rsidP="007B2F0B">
      <w:pPr>
        <w:pStyle w:val="Paragrafi"/>
        <w:rPr>
          <w:spacing w:val="-4"/>
          <w:lang w:val="sq-AL"/>
        </w:rPr>
      </w:pPr>
      <w:r w:rsidRPr="00F52A19">
        <w:rPr>
          <w:spacing w:val="-4"/>
          <w:lang w:val="sq-AL"/>
        </w:rPr>
        <w:t xml:space="preserve">21. Gjykata shqyrtoi të njëjtat parashtrime të bëra nga palët në vendimin e saj në çështjen </w:t>
      </w:r>
      <w:r w:rsidRPr="00F52A19">
        <w:rPr>
          <w:i/>
          <w:spacing w:val="-4"/>
          <w:lang w:val="sq-AL"/>
        </w:rPr>
        <w:t>Sharra dhe të tjerët</w:t>
      </w:r>
      <w:r w:rsidRPr="00F52A19">
        <w:rPr>
          <w:spacing w:val="-4"/>
          <w:lang w:val="sq-AL"/>
        </w:rPr>
        <w:t xml:space="preserve">, cituar më sipër, §§78–87. Gjykata arriti në përfundimin se dëmi monetar duhet të përcaktohet bazuar në hartat e vlerësimit të pronës të vitit 2008 (shiko </w:t>
      </w:r>
      <w:r w:rsidRPr="00F52A19">
        <w:rPr>
          <w:i/>
          <w:spacing w:val="-4"/>
          <w:lang w:val="sq-AL"/>
        </w:rPr>
        <w:t>Sharra dhe të tjerët</w:t>
      </w:r>
      <w:r w:rsidRPr="00F52A19">
        <w:rPr>
          <w:spacing w:val="-4"/>
          <w:lang w:val="sq-AL"/>
        </w:rPr>
        <w:t xml:space="preserve">, cituar më sipër, §90; </w:t>
      </w:r>
      <w:r w:rsidRPr="00F52A19">
        <w:rPr>
          <w:i/>
          <w:spacing w:val="-4"/>
          <w:lang w:val="sq-AL"/>
        </w:rPr>
        <w:t>Manushaqe Puto dhe të tjerët</w:t>
      </w:r>
      <w:r w:rsidRPr="00F52A19">
        <w:rPr>
          <w:spacing w:val="-4"/>
          <w:lang w:val="sq-AL"/>
        </w:rPr>
        <w:t xml:space="preserve">, cituar më sipër, §125; dhe </w:t>
      </w:r>
      <w:r w:rsidRPr="00F52A19">
        <w:rPr>
          <w:i/>
          <w:spacing w:val="-4"/>
          <w:lang w:val="sq-AL"/>
        </w:rPr>
        <w:t>Vrioni dhe të tjerët kundër Shqipërisë</w:t>
      </w:r>
      <w:r w:rsidRPr="00F52A19">
        <w:rPr>
          <w:spacing w:val="-4"/>
          <w:lang w:val="sq-AL"/>
        </w:rPr>
        <w:t xml:space="preserve"> (kompensim i drejtë), </w:t>
      </w:r>
      <w:r>
        <w:rPr>
          <w:spacing w:val="-4"/>
          <w:lang w:val="sq-AL"/>
        </w:rPr>
        <w:t xml:space="preserve">nr. </w:t>
      </w:r>
      <w:r w:rsidRPr="00F52A19">
        <w:rPr>
          <w:spacing w:val="-4"/>
          <w:lang w:val="sq-AL"/>
        </w:rPr>
        <w:t xml:space="preserve">35720/04 dhe 42832/06, §§33–39, 7 dhjetor 2010). Gjykata nuk gjen asnjë arsye për t’u distancuar nga këto gjetje. </w:t>
      </w:r>
    </w:p>
    <w:p w:rsidR="007B2F0B" w:rsidRPr="00F52A19" w:rsidRDefault="007B2F0B" w:rsidP="007B2F0B">
      <w:pPr>
        <w:pStyle w:val="Paragrafi"/>
        <w:rPr>
          <w:spacing w:val="-4"/>
          <w:lang w:val="sq-AL"/>
        </w:rPr>
      </w:pPr>
      <w:r w:rsidRPr="00F52A19">
        <w:rPr>
          <w:spacing w:val="-4"/>
          <w:lang w:val="sq-AL"/>
        </w:rPr>
        <w:t xml:space="preserve">22. Gjykata vëren se autoritetet njohën të drejtën e ankuesve për kompensim në lidhje me tokën e ndërtimit dhe jo për tokën bujqësore, siç u kundërshtua nga Qeveria. </w:t>
      </w:r>
    </w:p>
    <w:p w:rsidR="007B2F0B" w:rsidRPr="00F52A19" w:rsidRDefault="007B2F0B" w:rsidP="007B2F0B">
      <w:pPr>
        <w:pStyle w:val="Paragrafi"/>
        <w:rPr>
          <w:spacing w:val="-4"/>
          <w:lang w:val="sq-AL"/>
        </w:rPr>
      </w:pPr>
      <w:r w:rsidRPr="00F52A19">
        <w:rPr>
          <w:spacing w:val="-4"/>
          <w:lang w:val="sq-AL"/>
        </w:rPr>
        <w:t xml:space="preserve">23. Në lidhje me materialin në pronësi të saj, Gjykata e shikon të arsyeshme t’i akordojë ankuesve EUR 5,919,000 (pesë milionë e nëntëqind e nëntëmbëdhjetë mijë) për dëmin monetar dhe jomonetar. </w:t>
      </w:r>
    </w:p>
    <w:p w:rsidR="007B2F0B" w:rsidRPr="00F52A19" w:rsidRDefault="007B2F0B" w:rsidP="007B2F0B">
      <w:pPr>
        <w:pStyle w:val="Paragrafi"/>
        <w:rPr>
          <w:b/>
          <w:spacing w:val="-4"/>
          <w:lang w:val="sq-AL"/>
        </w:rPr>
      </w:pPr>
      <w:r w:rsidRPr="00F52A19">
        <w:rPr>
          <w:b/>
          <w:spacing w:val="-4"/>
          <w:lang w:val="sq-AL"/>
        </w:rPr>
        <w:t>B. Kostot dhe shpenzimet</w:t>
      </w:r>
    </w:p>
    <w:p w:rsidR="007B2F0B" w:rsidRPr="00F52A19" w:rsidRDefault="007B2F0B" w:rsidP="007B2F0B">
      <w:pPr>
        <w:pStyle w:val="Paragrafi"/>
        <w:rPr>
          <w:spacing w:val="-4"/>
          <w:lang w:val="sq-AL"/>
        </w:rPr>
      </w:pPr>
      <w:r w:rsidRPr="00F52A19">
        <w:rPr>
          <w:spacing w:val="-4"/>
          <w:lang w:val="sq-AL"/>
        </w:rPr>
        <w:t>24. Ankuesit kërkuan 1,000 euro për kostot dhe shpenzimet. Ata dorëzuan faturat përkatëse.</w:t>
      </w:r>
      <w:r>
        <w:rPr>
          <w:spacing w:val="-4"/>
          <w:lang w:val="sq-AL"/>
        </w:rPr>
        <w:t xml:space="preserve"> </w:t>
      </w:r>
    </w:p>
    <w:p w:rsidR="007B2F0B" w:rsidRPr="00F52A19" w:rsidRDefault="007B2F0B" w:rsidP="007B2F0B">
      <w:pPr>
        <w:pStyle w:val="Paragrafi"/>
        <w:rPr>
          <w:spacing w:val="-4"/>
          <w:lang w:val="sq-AL"/>
        </w:rPr>
      </w:pPr>
      <w:r w:rsidRPr="00F52A19">
        <w:rPr>
          <w:spacing w:val="-4"/>
          <w:lang w:val="sq-AL"/>
        </w:rPr>
        <w:t xml:space="preserve">25. Duke cituar </w:t>
      </w:r>
      <w:r w:rsidRPr="00F52A19">
        <w:rPr>
          <w:i/>
          <w:spacing w:val="-4"/>
          <w:lang w:val="sq-AL"/>
        </w:rPr>
        <w:t>Gjyli kundër Shqipërisë</w:t>
      </w:r>
      <w:r w:rsidRPr="00F52A19">
        <w:rPr>
          <w:spacing w:val="-4"/>
          <w:lang w:val="sq-AL"/>
        </w:rPr>
        <w:t xml:space="preserve"> (</w:t>
      </w:r>
      <w:r>
        <w:rPr>
          <w:spacing w:val="-4"/>
          <w:lang w:val="sq-AL"/>
        </w:rPr>
        <w:t xml:space="preserve">nr. </w:t>
      </w:r>
      <w:r w:rsidRPr="00F52A19">
        <w:rPr>
          <w:spacing w:val="-4"/>
          <w:lang w:val="sq-AL"/>
        </w:rPr>
        <w:t xml:space="preserve">32907/07, § 72, 29 shtator 2009), sipas së cilës kostot dhe shpenzimet duhet jenë të paguara faktikisht dhe domosdoshmërish dhe të jenë të arsyeshme, Qeveria ia la çështjen në mirëbesim Gjykatës për të vendosur shumën që do të akordohet për këtë rast. </w:t>
      </w:r>
    </w:p>
    <w:p w:rsidR="007B2F0B" w:rsidRPr="00F52A19" w:rsidRDefault="007B2F0B" w:rsidP="007B2F0B">
      <w:pPr>
        <w:pStyle w:val="Paragrafi"/>
        <w:rPr>
          <w:spacing w:val="-4"/>
          <w:lang w:val="sq-AL"/>
        </w:rPr>
      </w:pPr>
      <w:r w:rsidRPr="00F52A19">
        <w:rPr>
          <w:spacing w:val="-4"/>
          <w:lang w:val="sq-AL"/>
        </w:rPr>
        <w:t xml:space="preserve">26. Sipas praktikës gjyqësore të Gjykatës, “një ankues ka të drejtën të rimbursohet për kostot dhe shpenzimet vetëm për aq kohë sa tregohet se këto janë bërë në të vërtetë dhe sepse kanë qenë të nevojshme, dhe se janë të arsyeshme për çdo shumë” (shiko </w:t>
      </w:r>
      <w:r w:rsidRPr="00F52A19">
        <w:rPr>
          <w:i/>
          <w:spacing w:val="-4"/>
          <w:lang w:val="sq-AL"/>
        </w:rPr>
        <w:t>Gjyli kundër Shqipërisë</w:t>
      </w:r>
      <w:r w:rsidRPr="00F52A19">
        <w:rPr>
          <w:spacing w:val="-4"/>
          <w:lang w:val="sq-AL"/>
        </w:rPr>
        <w:t xml:space="preserve">, cituar më sipër, §72). Në këtë këndvështrim, rregulli 60§§2 dhe 3 i rregullores së Gjykatës parashikon se ankuesit duhet të bashkëlidhin me kërkesat e tyre për kompensim të drejtë “çdo dokument mbështetës të lidhur me çështjen”. Nëse kjo gjë nuk realizohet, Gjykata “mund t’i kundërshtojë kërkesat plotësisht ose pjesërisht”. </w:t>
      </w:r>
    </w:p>
    <w:p w:rsidR="007B2F0B" w:rsidRPr="00F52A19" w:rsidRDefault="007B2F0B" w:rsidP="007B2F0B">
      <w:pPr>
        <w:pStyle w:val="Paragrafi"/>
        <w:rPr>
          <w:spacing w:val="-4"/>
          <w:lang w:val="sq-AL"/>
        </w:rPr>
      </w:pPr>
      <w:r w:rsidRPr="00F52A19">
        <w:rPr>
          <w:spacing w:val="-4"/>
          <w:lang w:val="sq-AL"/>
        </w:rPr>
        <w:t xml:space="preserve">27. Në lidhje me gjetjet e saj në paragrafët 13–14, natyra e përsëritur e ankesave të ngritura në ankimin e mësipërm, përfaqësimi i disa prej ankuesve nga i njëjti avokat dhe këndvështrimi i Gjykatës se shumica e kostove dhe shpenzimeve të kërkuara nuk ishin të justifikueshme për shumën, Gjykata e gjykon të arsyeshme t’i akordojë ankuesve 850 euro për kostot dhe shpenzimet. </w:t>
      </w:r>
    </w:p>
    <w:p w:rsidR="007B2F0B" w:rsidRPr="00F52A19" w:rsidRDefault="007B2F0B" w:rsidP="007B2F0B">
      <w:pPr>
        <w:pStyle w:val="Paragrafi"/>
        <w:rPr>
          <w:b/>
          <w:spacing w:val="-4"/>
          <w:lang w:val="sq-AL"/>
        </w:rPr>
      </w:pPr>
      <w:r w:rsidRPr="00F52A19">
        <w:rPr>
          <w:b/>
          <w:spacing w:val="-4"/>
          <w:lang w:val="sq-AL"/>
        </w:rPr>
        <w:lastRenderedPageBreak/>
        <w:t xml:space="preserve">C. Interesi i papaguar </w:t>
      </w:r>
    </w:p>
    <w:p w:rsidR="007B2F0B" w:rsidRPr="00F52A19" w:rsidRDefault="007B2F0B" w:rsidP="007B2F0B">
      <w:pPr>
        <w:pStyle w:val="Paragrafi"/>
        <w:rPr>
          <w:spacing w:val="-4"/>
          <w:lang w:val="sq-AL"/>
        </w:rPr>
      </w:pPr>
      <w:r w:rsidRPr="00F52A19">
        <w:rPr>
          <w:spacing w:val="-4"/>
          <w:lang w:val="sq-AL"/>
        </w:rPr>
        <w:t xml:space="preserve">28. Gjykata e konsideron si të përshtatshme që norma e interesit të papaguar duhet të bazohet në normën marxhinale huadhënëse të Bankës Qendrore Evropiane, së cilës duhet t’i shtohen tre për qind. </w:t>
      </w:r>
    </w:p>
    <w:p w:rsidR="007B2F0B" w:rsidRPr="00F52A19" w:rsidRDefault="007B2F0B" w:rsidP="007B2F0B">
      <w:pPr>
        <w:pStyle w:val="Paragrafi"/>
        <w:rPr>
          <w:spacing w:val="-4"/>
          <w:sz w:val="10"/>
          <w:lang w:val="sq-AL"/>
        </w:rPr>
      </w:pPr>
    </w:p>
    <w:p w:rsidR="007B2F0B" w:rsidRPr="00F52A19" w:rsidRDefault="007B2F0B" w:rsidP="007B2F0B">
      <w:pPr>
        <w:pStyle w:val="Paragrafi"/>
        <w:jc w:val="center"/>
        <w:rPr>
          <w:spacing w:val="-4"/>
          <w:lang w:val="sq-AL"/>
        </w:rPr>
      </w:pPr>
      <w:r w:rsidRPr="00F52A19">
        <w:rPr>
          <w:spacing w:val="-4"/>
          <w:lang w:val="sq-AL"/>
        </w:rPr>
        <w:t>PËR KËTO ARSYE, GJYKATA, NË MËNYRË UNANIME,</w:t>
      </w:r>
    </w:p>
    <w:p w:rsidR="007B2F0B" w:rsidRPr="00F52A19" w:rsidRDefault="007B2F0B" w:rsidP="007B2F0B">
      <w:pPr>
        <w:pStyle w:val="Paragrafi"/>
        <w:rPr>
          <w:spacing w:val="-4"/>
          <w:sz w:val="10"/>
          <w:lang w:val="sq-AL"/>
        </w:rPr>
      </w:pPr>
    </w:p>
    <w:p w:rsidR="007B2F0B" w:rsidRPr="00F52A19" w:rsidRDefault="007B2F0B" w:rsidP="007B2F0B">
      <w:pPr>
        <w:pStyle w:val="Paragrafi"/>
        <w:rPr>
          <w:spacing w:val="-4"/>
          <w:lang w:val="sq-AL"/>
        </w:rPr>
      </w:pPr>
      <w:r w:rsidRPr="00F52A19">
        <w:rPr>
          <w:spacing w:val="-4"/>
          <w:lang w:val="sq-AL"/>
        </w:rPr>
        <w:t xml:space="preserve">1. </w:t>
      </w:r>
      <w:r w:rsidRPr="00F52A19">
        <w:rPr>
          <w:i/>
          <w:spacing w:val="-4"/>
          <w:lang w:val="sq-AL"/>
        </w:rPr>
        <w:t>I deklaron</w:t>
      </w:r>
      <w:r w:rsidRPr="00F52A19">
        <w:rPr>
          <w:spacing w:val="-4"/>
          <w:lang w:val="sq-AL"/>
        </w:rPr>
        <w:t xml:space="preserve"> ankimet e mbetura bazuar në nenet 6§1 dhe 13 të Konventës, si edhe të nenit 1 të protokollit </w:t>
      </w:r>
      <w:r>
        <w:rPr>
          <w:spacing w:val="-4"/>
          <w:lang w:val="sq-AL"/>
        </w:rPr>
        <w:t xml:space="preserve">nr. </w:t>
      </w:r>
      <w:r w:rsidRPr="00F52A19">
        <w:rPr>
          <w:spacing w:val="-4"/>
          <w:lang w:val="sq-AL"/>
        </w:rPr>
        <w:t xml:space="preserve">1 të Konventës në lidhje me moszbatimin e vendimit vendas të formës së prerë dhe kohëzgjatjen e procedurave të pranueshme; </w:t>
      </w:r>
    </w:p>
    <w:p w:rsidR="007B2F0B" w:rsidRPr="00F52A19" w:rsidRDefault="007B2F0B" w:rsidP="007B2F0B">
      <w:pPr>
        <w:pStyle w:val="Paragrafi"/>
        <w:rPr>
          <w:spacing w:val="-4"/>
          <w:lang w:val="sq-AL"/>
        </w:rPr>
      </w:pPr>
      <w:r w:rsidRPr="00F52A19">
        <w:rPr>
          <w:spacing w:val="-4"/>
          <w:lang w:val="sq-AL"/>
        </w:rPr>
        <w:t xml:space="preserve">2. </w:t>
      </w:r>
      <w:r w:rsidRPr="00F52A19">
        <w:rPr>
          <w:i/>
          <w:spacing w:val="-4"/>
          <w:lang w:val="sq-AL"/>
        </w:rPr>
        <w:t>Gjykon</w:t>
      </w:r>
      <w:r w:rsidRPr="00F52A19">
        <w:rPr>
          <w:spacing w:val="-4"/>
          <w:lang w:val="sq-AL"/>
        </w:rPr>
        <w:t xml:space="preserve"> se ka pasur një shkelje të neneve 6§1 dhe 13 të Konventës, si edhe të nenit 1 të protokollit </w:t>
      </w:r>
      <w:r>
        <w:rPr>
          <w:spacing w:val="-4"/>
          <w:lang w:val="sq-AL"/>
        </w:rPr>
        <w:t xml:space="preserve">nr. </w:t>
      </w:r>
      <w:r w:rsidRPr="00F52A19">
        <w:rPr>
          <w:spacing w:val="-4"/>
          <w:lang w:val="sq-AL"/>
        </w:rPr>
        <w:t>1 të Konventës në lidhje me mos-zbatimin e vendimeve vendase të formës së prerë;</w:t>
      </w:r>
      <w:r>
        <w:rPr>
          <w:spacing w:val="-4"/>
          <w:lang w:val="sq-AL"/>
        </w:rPr>
        <w:t xml:space="preserve"> </w:t>
      </w:r>
    </w:p>
    <w:p w:rsidR="007B2F0B" w:rsidRPr="00F52A19" w:rsidRDefault="007B2F0B" w:rsidP="007B2F0B">
      <w:pPr>
        <w:pStyle w:val="Paragrafi"/>
        <w:rPr>
          <w:spacing w:val="-4"/>
          <w:lang w:val="sq-AL"/>
        </w:rPr>
      </w:pPr>
      <w:r w:rsidRPr="00F52A19">
        <w:rPr>
          <w:spacing w:val="-4"/>
          <w:lang w:val="sq-AL"/>
        </w:rPr>
        <w:t xml:space="preserve">3. </w:t>
      </w:r>
      <w:r w:rsidRPr="00F52A19">
        <w:rPr>
          <w:i/>
          <w:spacing w:val="-4"/>
          <w:lang w:val="sq-AL"/>
        </w:rPr>
        <w:t>Gjykon</w:t>
      </w:r>
      <w:r w:rsidRPr="00F52A19">
        <w:rPr>
          <w:spacing w:val="-4"/>
          <w:lang w:val="sq-AL"/>
        </w:rPr>
        <w:t xml:space="preserve"> se nuk është e nevojshme të shqyrtohet ankesa sipas kuptimit të nenit 6§1 të Konventës në lidhje me kohëzgjatjen e proce-durave; </w:t>
      </w:r>
    </w:p>
    <w:p w:rsidR="007B2F0B" w:rsidRPr="00F52A19" w:rsidRDefault="007B2F0B" w:rsidP="007B2F0B">
      <w:pPr>
        <w:pStyle w:val="Paragrafi"/>
        <w:rPr>
          <w:spacing w:val="-4"/>
          <w:lang w:val="sq-AL"/>
        </w:rPr>
      </w:pPr>
      <w:r w:rsidRPr="00F52A19">
        <w:rPr>
          <w:spacing w:val="-4"/>
          <w:lang w:val="sq-AL"/>
        </w:rPr>
        <w:t xml:space="preserve">4. </w:t>
      </w:r>
      <w:r w:rsidRPr="00F52A19">
        <w:rPr>
          <w:i/>
          <w:spacing w:val="-4"/>
          <w:lang w:val="sq-AL"/>
        </w:rPr>
        <w:t>Gjykon</w:t>
      </w:r>
      <w:r w:rsidRPr="00F52A19">
        <w:rPr>
          <w:spacing w:val="-4"/>
          <w:lang w:val="sq-AL"/>
        </w:rPr>
        <w:t>:</w:t>
      </w:r>
    </w:p>
    <w:p w:rsidR="007B2F0B" w:rsidRPr="00F52A19" w:rsidRDefault="007B2F0B" w:rsidP="007B2F0B">
      <w:pPr>
        <w:pStyle w:val="Paragrafi"/>
        <w:rPr>
          <w:spacing w:val="-4"/>
          <w:lang w:val="sq-AL"/>
        </w:rPr>
      </w:pPr>
      <w:r w:rsidRPr="00F52A19">
        <w:rPr>
          <w:spacing w:val="-4"/>
          <w:lang w:val="sq-AL"/>
        </w:rPr>
        <w:t>a) Se Shteti i paditur duhet t’i paguajë bashkërisht ankuesit, brenda tre muajve</w:t>
      </w:r>
      <w:r w:rsidRPr="00F52A19">
        <w:rPr>
          <w:spacing w:val="-4"/>
          <w:vertAlign w:val="superscript"/>
          <w:lang w:val="sq-AL"/>
        </w:rPr>
        <w:footnoteReference w:id="1"/>
      </w:r>
      <w:r w:rsidRPr="00F52A19">
        <w:rPr>
          <w:spacing w:val="-4"/>
          <w:lang w:val="sq-AL"/>
        </w:rPr>
        <w:t xml:space="preserve">, shumat e mëposhtme që duhet të konvertohen në vlerën monetare të Shtetit të paditur në normën e zbatueshme në datën e kompensimit: </w:t>
      </w:r>
    </w:p>
    <w:p w:rsidR="007B2F0B" w:rsidRPr="00F52A19" w:rsidRDefault="007B2F0B" w:rsidP="007B2F0B">
      <w:pPr>
        <w:pStyle w:val="Paragrafi"/>
        <w:rPr>
          <w:spacing w:val="-6"/>
          <w:lang w:val="sq-AL"/>
        </w:rPr>
      </w:pPr>
      <w:r w:rsidRPr="00F52A19">
        <w:rPr>
          <w:spacing w:val="-6"/>
          <w:lang w:val="sq-AL"/>
        </w:rPr>
        <w:t>i) 5,919,000 euro (pesë milion e nëntëqind e nëntëmbëdhjetë mijë) plus çdo taksë që mund të jetë e tarifueshme</w:t>
      </w:r>
      <w:r w:rsidRPr="00F52A19">
        <w:rPr>
          <w:spacing w:val="-6"/>
          <w:vertAlign w:val="superscript"/>
          <w:lang w:val="sq-AL"/>
        </w:rPr>
        <w:footnoteReference w:id="2"/>
      </w:r>
      <w:r w:rsidRPr="00F52A19">
        <w:rPr>
          <w:spacing w:val="-6"/>
          <w:lang w:val="sq-AL"/>
        </w:rPr>
        <w:t xml:space="preserve"> për dëmin monetar dhe jomonetar; </w:t>
      </w:r>
    </w:p>
    <w:p w:rsidR="007B2F0B" w:rsidRPr="00F52A19" w:rsidRDefault="007B2F0B" w:rsidP="007B2F0B">
      <w:pPr>
        <w:pStyle w:val="Paragrafi"/>
        <w:rPr>
          <w:spacing w:val="-4"/>
          <w:lang w:val="sq-AL"/>
        </w:rPr>
      </w:pPr>
      <w:r w:rsidRPr="00F52A19">
        <w:rPr>
          <w:spacing w:val="-4"/>
          <w:lang w:val="sq-AL"/>
        </w:rPr>
        <w:t xml:space="preserve">ii) 850 euro (tetëqind e pesëdhjetë) plus çdo taksë që mund të jetë e tarifueshme për kostot dhe shpenzimet; </w:t>
      </w:r>
    </w:p>
    <w:p w:rsidR="007B2F0B" w:rsidRPr="00F52A19" w:rsidRDefault="007B2F0B" w:rsidP="007B2F0B">
      <w:pPr>
        <w:pStyle w:val="Paragrafi"/>
        <w:rPr>
          <w:spacing w:val="-4"/>
          <w:lang w:val="sq-AL"/>
        </w:rPr>
      </w:pPr>
      <w:r w:rsidRPr="00F52A19">
        <w:rPr>
          <w:spacing w:val="-4"/>
          <w:lang w:val="sq-AL"/>
        </w:rPr>
        <w:t xml:space="preserve">b) Se që nga përfundimi i periudhës tremujore të përmendur më sipër deri në kompensim, interesi i thjeshtë duhet të paguhet në shumat e mësipërme në një normë të barasvlershme me normën huadhënëse marxhinale të Bankës Qendrore Evropiane gjatë periudhës së vonesës plus pikë tre për qind; </w:t>
      </w:r>
    </w:p>
    <w:p w:rsidR="007B2F0B" w:rsidRPr="00F52A19" w:rsidRDefault="007B2F0B" w:rsidP="007B2F0B">
      <w:pPr>
        <w:pStyle w:val="Paragrafi"/>
        <w:rPr>
          <w:spacing w:val="-4"/>
          <w:lang w:val="sq-AL"/>
        </w:rPr>
      </w:pPr>
      <w:r w:rsidRPr="00F52A19">
        <w:rPr>
          <w:spacing w:val="-4"/>
          <w:lang w:val="sq-AL"/>
        </w:rPr>
        <w:t xml:space="preserve">5. </w:t>
      </w:r>
      <w:r w:rsidRPr="00F52A19">
        <w:rPr>
          <w:i/>
          <w:spacing w:val="-4"/>
          <w:lang w:val="sq-AL"/>
        </w:rPr>
        <w:t>Rrëzon</w:t>
      </w:r>
      <w:r w:rsidRPr="00F52A19">
        <w:rPr>
          <w:spacing w:val="-4"/>
          <w:lang w:val="sq-AL"/>
        </w:rPr>
        <w:t xml:space="preserve"> pjesën e mbetur të kërkesës së ankuesve për kompensim të drejtë. </w:t>
      </w:r>
    </w:p>
    <w:p w:rsidR="007B2F0B" w:rsidRPr="00F52A19" w:rsidRDefault="007B2F0B" w:rsidP="007B2F0B">
      <w:pPr>
        <w:pStyle w:val="Paragrafi"/>
        <w:rPr>
          <w:spacing w:val="-4"/>
          <w:lang w:val="sq-AL"/>
        </w:rPr>
      </w:pPr>
      <w:r w:rsidRPr="00F52A19">
        <w:rPr>
          <w:spacing w:val="-4"/>
          <w:lang w:val="sq-AL"/>
        </w:rPr>
        <w:t xml:space="preserve">Përgatitur në anglisht dhe njoftuar me shkrim, më 7 prill 2016, sipas rregullit 77§§2 dhe 3 të rregullores së Gjykatës. </w:t>
      </w:r>
    </w:p>
    <w:p w:rsidR="007B2F0B" w:rsidRPr="00F52A19" w:rsidRDefault="007B2F0B" w:rsidP="007B2F0B">
      <w:pPr>
        <w:pStyle w:val="Paragrafi"/>
        <w:rPr>
          <w:spacing w:val="-4"/>
          <w:sz w:val="1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4"/>
        <w:gridCol w:w="1904"/>
      </w:tblGrid>
      <w:tr w:rsidR="007B2F0B" w:rsidRPr="00F52A19" w:rsidTr="003D15E4">
        <w:tc>
          <w:tcPr>
            <w:tcW w:w="2904" w:type="dxa"/>
          </w:tcPr>
          <w:p w:rsidR="007B2F0B" w:rsidRPr="00C246D9" w:rsidRDefault="007B2F0B" w:rsidP="003D15E4">
            <w:pPr>
              <w:pStyle w:val="Paragrafi"/>
              <w:ind w:firstLine="0"/>
              <w:jc w:val="center"/>
              <w:rPr>
                <w:b/>
                <w:spacing w:val="-4"/>
                <w:sz w:val="20"/>
                <w:lang w:val="sq-AL"/>
              </w:rPr>
            </w:pPr>
            <w:r w:rsidRPr="00C246D9">
              <w:rPr>
                <w:b/>
                <w:spacing w:val="-4"/>
                <w:sz w:val="20"/>
                <w:lang w:val="sq-AL"/>
              </w:rPr>
              <w:t>André Wampach</w:t>
            </w:r>
          </w:p>
        </w:tc>
        <w:tc>
          <w:tcPr>
            <w:tcW w:w="1904" w:type="dxa"/>
          </w:tcPr>
          <w:p w:rsidR="007B2F0B" w:rsidRPr="00C246D9" w:rsidRDefault="007B2F0B" w:rsidP="003D15E4">
            <w:pPr>
              <w:pStyle w:val="Paragrafi"/>
              <w:ind w:firstLine="0"/>
              <w:jc w:val="center"/>
              <w:rPr>
                <w:b/>
                <w:spacing w:val="-4"/>
                <w:sz w:val="20"/>
                <w:lang w:val="sq-AL"/>
              </w:rPr>
            </w:pPr>
            <w:r w:rsidRPr="00C246D9">
              <w:rPr>
                <w:b/>
                <w:spacing w:val="-4"/>
                <w:sz w:val="20"/>
                <w:lang w:val="sq-AL"/>
              </w:rPr>
              <w:t>Kristina Pardalos</w:t>
            </w:r>
          </w:p>
        </w:tc>
      </w:tr>
      <w:tr w:rsidR="007B2F0B" w:rsidRPr="00F52A19" w:rsidTr="003D15E4">
        <w:tc>
          <w:tcPr>
            <w:tcW w:w="2904" w:type="dxa"/>
          </w:tcPr>
          <w:p w:rsidR="007B2F0B" w:rsidRPr="00C246D9" w:rsidRDefault="007B2F0B" w:rsidP="003D15E4">
            <w:pPr>
              <w:pStyle w:val="Paragrafi"/>
              <w:ind w:firstLine="0"/>
              <w:jc w:val="center"/>
              <w:rPr>
                <w:spacing w:val="-4"/>
                <w:sz w:val="20"/>
                <w:lang w:val="sq-AL"/>
              </w:rPr>
            </w:pPr>
            <w:r w:rsidRPr="00C246D9">
              <w:rPr>
                <w:spacing w:val="-4"/>
                <w:sz w:val="20"/>
                <w:lang w:val="sq-AL"/>
              </w:rPr>
              <w:t>ZËVENDËSREGJISTRAR</w:t>
            </w:r>
          </w:p>
        </w:tc>
        <w:tc>
          <w:tcPr>
            <w:tcW w:w="1904" w:type="dxa"/>
          </w:tcPr>
          <w:p w:rsidR="007B2F0B" w:rsidRPr="00C246D9" w:rsidRDefault="007B2F0B" w:rsidP="003D15E4">
            <w:pPr>
              <w:pStyle w:val="Paragrafi"/>
              <w:ind w:firstLine="0"/>
              <w:jc w:val="center"/>
              <w:rPr>
                <w:spacing w:val="-4"/>
                <w:sz w:val="20"/>
                <w:lang w:val="sq-AL"/>
              </w:rPr>
            </w:pPr>
            <w:r w:rsidRPr="00C246D9">
              <w:rPr>
                <w:spacing w:val="-4"/>
                <w:sz w:val="20"/>
                <w:lang w:val="sq-AL"/>
              </w:rPr>
              <w:t>PRESIDENTE</w:t>
            </w:r>
          </w:p>
          <w:p w:rsidR="007B2F0B" w:rsidRPr="00C246D9" w:rsidRDefault="007B2F0B" w:rsidP="003D15E4">
            <w:pPr>
              <w:pStyle w:val="Paragrafi"/>
              <w:ind w:firstLine="0"/>
              <w:jc w:val="center"/>
              <w:rPr>
                <w:spacing w:val="-4"/>
                <w:sz w:val="20"/>
                <w:lang w:val="sq-AL"/>
              </w:rPr>
            </w:pPr>
          </w:p>
        </w:tc>
      </w:tr>
    </w:tbl>
    <w:p w:rsidR="007B2F0B" w:rsidRPr="00F52A19" w:rsidRDefault="007B2F0B" w:rsidP="007B2F0B">
      <w:pPr>
        <w:pStyle w:val="Paragrafi"/>
        <w:ind w:firstLine="0"/>
        <w:jc w:val="center"/>
        <w:rPr>
          <w:lang w:val="sq-AL"/>
        </w:rPr>
        <w:sectPr w:rsidR="007B2F0B" w:rsidRPr="00F52A19" w:rsidSect="005E13A2">
          <w:pgSz w:w="11907" w:h="16840" w:code="9"/>
          <w:pgMar w:top="720" w:right="1134" w:bottom="720" w:left="1134" w:header="851" w:footer="851" w:gutter="0"/>
          <w:cols w:space="454"/>
          <w:docGrid w:linePitch="360"/>
        </w:sectPr>
      </w:pPr>
    </w:p>
    <w:p w:rsidR="007B2F0B" w:rsidRPr="00F52A19" w:rsidRDefault="007B2F0B" w:rsidP="007B2F0B">
      <w:pPr>
        <w:pStyle w:val="Paragrafi"/>
        <w:rPr>
          <w:lang w:val="sq-AL"/>
        </w:rPr>
      </w:pPr>
      <w:r>
        <w:rPr>
          <w:noProof/>
        </w:rPr>
        <w:lastRenderedPageBreak/>
        <mc:AlternateContent>
          <mc:Choice Requires="wps">
            <w:drawing>
              <wp:anchor distT="0" distB="0" distL="114300" distR="114300" simplePos="0" relativeHeight="251659264" behindDoc="0" locked="0" layoutInCell="1" allowOverlap="1">
                <wp:simplePos x="0" y="0"/>
                <wp:positionH relativeFrom="column">
                  <wp:posOffset>-50800</wp:posOffset>
                </wp:positionH>
                <wp:positionV relativeFrom="paragraph">
                  <wp:posOffset>90805</wp:posOffset>
                </wp:positionV>
                <wp:extent cx="6400800" cy="5214620"/>
                <wp:effectExtent l="12065" t="5715" r="6985" b="889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5214620"/>
                        </a:xfrm>
                        <a:prstGeom prst="rect">
                          <a:avLst/>
                        </a:prstGeom>
                        <a:solidFill>
                          <a:srgbClr val="FFFFFF"/>
                        </a:solidFill>
                        <a:ln w="9525">
                          <a:solidFill>
                            <a:schemeClr val="bg1">
                              <a:lumMod val="100000"/>
                              <a:lumOff val="0"/>
                            </a:schemeClr>
                          </a:solidFill>
                          <a:miter lim="800000"/>
                          <a:headEnd/>
                          <a:tailEnd/>
                        </a:ln>
                      </wps:spPr>
                      <wps:txbx>
                        <w:txbxContent>
                          <w:p w:rsidR="007B2F0B" w:rsidRDefault="007B2F0B" w:rsidP="007B2F0B">
                            <w:pPr>
                              <w:pStyle w:val="Paragrafi"/>
                              <w:ind w:firstLine="0"/>
                              <w:jc w:val="center"/>
                              <w:rPr>
                                <w:lang w:val="sq-AL"/>
                              </w:rPr>
                            </w:pPr>
                            <w:r w:rsidRPr="00C4207C">
                              <w:rPr>
                                <w:lang w:val="sq-AL"/>
                              </w:rPr>
                              <w:t>SHTOJCA 1</w:t>
                            </w:r>
                          </w:p>
                          <w:p w:rsidR="007B2F0B" w:rsidRPr="00C4207C" w:rsidRDefault="007B2F0B" w:rsidP="007B2F0B">
                            <w:pPr>
                              <w:pStyle w:val="Paragrafi"/>
                              <w:ind w:firstLine="0"/>
                              <w:jc w:val="center"/>
                              <w:rPr>
                                <w:lang w:val="sq-AL"/>
                              </w:rPr>
                            </w:pPr>
                            <w:r w:rsidRPr="00C4207C">
                              <w:rPr>
                                <w:lang w:val="sq-AL"/>
                              </w:rPr>
                              <w:t>LISTA E ANKUESVE</w:t>
                            </w:r>
                          </w:p>
                          <w:tbl>
                            <w:tblPr>
                              <w:tblW w:w="9854" w:type="dxa"/>
                              <w:jc w:val="center"/>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82"/>
                              <w:gridCol w:w="2708"/>
                              <w:gridCol w:w="2160"/>
                              <w:gridCol w:w="1620"/>
                              <w:gridCol w:w="1484"/>
                            </w:tblGrid>
                            <w:tr w:rsidR="007B2F0B" w:rsidRPr="00C4207C" w:rsidTr="00AD2DDC">
                              <w:trPr>
                                <w:jc w:val="center"/>
                              </w:trPr>
                              <w:tc>
                                <w:tcPr>
                                  <w:tcW w:w="1882" w:type="dxa"/>
                                </w:tcPr>
                                <w:p w:rsidR="007B2F0B" w:rsidRPr="00C4207C" w:rsidRDefault="007B2F0B" w:rsidP="00AD2DDC">
                                  <w:pPr>
                                    <w:pStyle w:val="Paragrafi"/>
                                    <w:ind w:firstLine="0"/>
                                    <w:jc w:val="center"/>
                                    <w:rPr>
                                      <w:b/>
                                      <w:sz w:val="20"/>
                                      <w:szCs w:val="20"/>
                                      <w:lang w:val="sq-AL"/>
                                    </w:rPr>
                                  </w:pPr>
                                  <w:r w:rsidRPr="00C4207C">
                                    <w:rPr>
                                      <w:b/>
                                      <w:sz w:val="20"/>
                                      <w:szCs w:val="20"/>
                                      <w:lang w:val="sq-AL"/>
                                    </w:rPr>
                                    <w:t>Emri dhe numri i çështjes</w:t>
                                  </w:r>
                                </w:p>
                              </w:tc>
                              <w:tc>
                                <w:tcPr>
                                  <w:tcW w:w="2708" w:type="dxa"/>
                                </w:tcPr>
                                <w:p w:rsidR="007B2F0B" w:rsidRDefault="007B2F0B" w:rsidP="00AD2DDC">
                                  <w:pPr>
                                    <w:pStyle w:val="Paragrafi"/>
                                    <w:ind w:firstLine="0"/>
                                    <w:jc w:val="center"/>
                                    <w:rPr>
                                      <w:b/>
                                      <w:sz w:val="20"/>
                                      <w:szCs w:val="20"/>
                                      <w:lang w:val="sq-AL"/>
                                    </w:rPr>
                                  </w:pPr>
                                  <w:r w:rsidRPr="00C4207C">
                                    <w:rPr>
                                      <w:b/>
                                      <w:sz w:val="20"/>
                                      <w:szCs w:val="20"/>
                                      <w:lang w:val="sq-AL"/>
                                    </w:rPr>
                                    <w:t xml:space="preserve">Emri i ankuesit </w:t>
                                  </w:r>
                                </w:p>
                                <w:p w:rsidR="007B2F0B" w:rsidRPr="00C4207C" w:rsidRDefault="007B2F0B" w:rsidP="00AD2DDC">
                                  <w:pPr>
                                    <w:pStyle w:val="Paragrafi"/>
                                    <w:ind w:firstLine="0"/>
                                    <w:jc w:val="center"/>
                                    <w:rPr>
                                      <w:b/>
                                      <w:sz w:val="20"/>
                                      <w:szCs w:val="20"/>
                                      <w:lang w:val="sq-AL"/>
                                    </w:rPr>
                                  </w:pPr>
                                  <w:r w:rsidRPr="00C4207C">
                                    <w:rPr>
                                      <w:b/>
                                      <w:sz w:val="20"/>
                                      <w:szCs w:val="20"/>
                                      <w:lang w:val="sq-AL"/>
                                    </w:rPr>
                                    <w:t>(viti i lindjes)</w:t>
                                  </w:r>
                                </w:p>
                              </w:tc>
                              <w:tc>
                                <w:tcPr>
                                  <w:tcW w:w="2160" w:type="dxa"/>
                                </w:tcPr>
                                <w:p w:rsidR="007B2F0B" w:rsidRPr="00C4207C" w:rsidRDefault="007B2F0B" w:rsidP="00AD2DDC">
                                  <w:pPr>
                                    <w:pStyle w:val="Paragrafi"/>
                                    <w:ind w:firstLine="0"/>
                                    <w:jc w:val="center"/>
                                    <w:rPr>
                                      <w:b/>
                                      <w:sz w:val="20"/>
                                      <w:szCs w:val="20"/>
                                      <w:lang w:val="sq-AL"/>
                                    </w:rPr>
                                  </w:pPr>
                                  <w:r w:rsidRPr="00C4207C">
                                    <w:rPr>
                                      <w:b/>
                                      <w:sz w:val="20"/>
                                      <w:szCs w:val="20"/>
                                      <w:lang w:val="sq-AL"/>
                                    </w:rPr>
                                    <w:t>Shteti ku banojnë</w:t>
                                  </w:r>
                                </w:p>
                              </w:tc>
                              <w:tc>
                                <w:tcPr>
                                  <w:tcW w:w="1620" w:type="dxa"/>
                                </w:tcPr>
                                <w:p w:rsidR="007B2F0B" w:rsidRPr="00C4207C" w:rsidRDefault="007B2F0B" w:rsidP="00AD2DDC">
                                  <w:pPr>
                                    <w:pStyle w:val="Paragrafi"/>
                                    <w:ind w:firstLine="0"/>
                                    <w:jc w:val="center"/>
                                    <w:rPr>
                                      <w:b/>
                                      <w:sz w:val="20"/>
                                      <w:szCs w:val="20"/>
                                      <w:lang w:val="sq-AL"/>
                                    </w:rPr>
                                  </w:pPr>
                                  <w:r w:rsidRPr="00C4207C">
                                    <w:rPr>
                                      <w:b/>
                                      <w:sz w:val="20"/>
                                      <w:szCs w:val="20"/>
                                      <w:lang w:val="sq-AL"/>
                                    </w:rPr>
                                    <w:t>Përfaqësuar nga</w:t>
                                  </w:r>
                                  <w:r>
                                    <w:rPr>
                                      <w:b/>
                                      <w:sz w:val="20"/>
                                      <w:szCs w:val="20"/>
                                      <w:lang w:val="sq-AL"/>
                                    </w:rPr>
                                    <w:t>:</w:t>
                                  </w:r>
                                </w:p>
                              </w:tc>
                              <w:tc>
                                <w:tcPr>
                                  <w:tcW w:w="1484" w:type="dxa"/>
                                </w:tcPr>
                                <w:p w:rsidR="007B2F0B" w:rsidRPr="00C4207C" w:rsidRDefault="007B2F0B" w:rsidP="00AD2DDC">
                                  <w:pPr>
                                    <w:pStyle w:val="Paragrafi"/>
                                    <w:ind w:firstLine="0"/>
                                    <w:jc w:val="center"/>
                                    <w:rPr>
                                      <w:b/>
                                      <w:sz w:val="20"/>
                                      <w:szCs w:val="20"/>
                                      <w:lang w:val="sq-AL"/>
                                    </w:rPr>
                                  </w:pPr>
                                  <w:r w:rsidRPr="00C4207C">
                                    <w:rPr>
                                      <w:b/>
                                      <w:sz w:val="20"/>
                                      <w:szCs w:val="20"/>
                                      <w:lang w:val="sq-AL"/>
                                    </w:rPr>
                                    <w:t>Data e prezantimit</w:t>
                                  </w:r>
                                </w:p>
                              </w:tc>
                            </w:tr>
                            <w:tr w:rsidR="007B2F0B" w:rsidRPr="00C4207C" w:rsidTr="00AD2DDC">
                              <w:trPr>
                                <w:jc w:val="center"/>
                              </w:trPr>
                              <w:tc>
                                <w:tcPr>
                                  <w:tcW w:w="1882" w:type="dxa"/>
                                </w:tcPr>
                                <w:p w:rsidR="007B2F0B" w:rsidRPr="00C4207C" w:rsidRDefault="007B2F0B" w:rsidP="00AD2DDC">
                                  <w:pPr>
                                    <w:pStyle w:val="Paragrafi"/>
                                    <w:ind w:firstLine="0"/>
                                    <w:jc w:val="left"/>
                                    <w:rPr>
                                      <w:sz w:val="20"/>
                                      <w:szCs w:val="20"/>
                                      <w:lang w:val="sq-AL"/>
                                    </w:rPr>
                                  </w:pPr>
                                  <w:r w:rsidRPr="003B6059">
                                    <w:rPr>
                                      <w:i/>
                                      <w:sz w:val="20"/>
                                      <w:szCs w:val="20"/>
                                      <w:lang w:val="sq-AL"/>
                                    </w:rPr>
                                    <w:t>Karagjozi dhe të tjerët</w:t>
                                  </w:r>
                                  <w:r w:rsidRPr="00C4207C">
                                    <w:rPr>
                                      <w:sz w:val="20"/>
                                      <w:szCs w:val="20"/>
                                      <w:lang w:val="sq-AL"/>
                                    </w:rPr>
                                    <w:t xml:space="preserve"> </w:t>
                                  </w:r>
                                  <w:r>
                                    <w:rPr>
                                      <w:sz w:val="20"/>
                                      <w:szCs w:val="20"/>
                                      <w:lang w:val="sq-AL"/>
                                    </w:rPr>
                                    <w:t xml:space="preserve">nr. </w:t>
                                  </w:r>
                                  <w:r w:rsidRPr="00C4207C">
                                    <w:rPr>
                                      <w:sz w:val="20"/>
                                      <w:szCs w:val="20"/>
                                      <w:lang w:val="sq-AL"/>
                                    </w:rPr>
                                    <w:t>32382/11</w:t>
                                  </w:r>
                                </w:p>
                              </w:tc>
                              <w:tc>
                                <w:tcPr>
                                  <w:tcW w:w="2708" w:type="dxa"/>
                                </w:tcPr>
                                <w:p w:rsidR="007B2F0B" w:rsidRPr="00C4207C" w:rsidRDefault="007B2F0B" w:rsidP="00AD2DDC">
                                  <w:pPr>
                                    <w:pStyle w:val="Paragrafi"/>
                                    <w:ind w:firstLine="0"/>
                                    <w:jc w:val="left"/>
                                    <w:rPr>
                                      <w:sz w:val="20"/>
                                      <w:szCs w:val="20"/>
                                      <w:lang w:val="sq-AL"/>
                                    </w:rPr>
                                  </w:pPr>
                                  <w:r w:rsidRPr="00C4207C">
                                    <w:rPr>
                                      <w:sz w:val="20"/>
                                      <w:szCs w:val="20"/>
                                      <w:lang w:val="sq-AL"/>
                                    </w:rPr>
                                    <w:t>Eni Kokona (1976)</w:t>
                                  </w:r>
                                </w:p>
                                <w:p w:rsidR="007B2F0B" w:rsidRPr="00C4207C" w:rsidRDefault="007B2F0B" w:rsidP="00AD2DDC">
                                  <w:pPr>
                                    <w:pStyle w:val="Paragrafi"/>
                                    <w:ind w:firstLine="0"/>
                                    <w:jc w:val="left"/>
                                    <w:rPr>
                                      <w:sz w:val="20"/>
                                      <w:szCs w:val="20"/>
                                      <w:lang w:val="sq-AL"/>
                                    </w:rPr>
                                  </w:pPr>
                                  <w:r w:rsidRPr="00C4207C">
                                    <w:rPr>
                                      <w:sz w:val="20"/>
                                      <w:szCs w:val="20"/>
                                      <w:lang w:val="sq-AL"/>
                                    </w:rPr>
                                    <w:t>Lindita Kokona (1948)</w:t>
                                  </w:r>
                                </w:p>
                                <w:p w:rsidR="007B2F0B" w:rsidRPr="00C4207C" w:rsidRDefault="007B2F0B" w:rsidP="00AD2DDC">
                                  <w:pPr>
                                    <w:pStyle w:val="Paragrafi"/>
                                    <w:ind w:firstLine="0"/>
                                    <w:jc w:val="left"/>
                                    <w:rPr>
                                      <w:sz w:val="20"/>
                                      <w:szCs w:val="20"/>
                                      <w:lang w:val="sq-AL"/>
                                    </w:rPr>
                                  </w:pPr>
                                  <w:r w:rsidRPr="00C4207C">
                                    <w:rPr>
                                      <w:sz w:val="20"/>
                                      <w:szCs w:val="20"/>
                                      <w:lang w:val="sq-AL"/>
                                    </w:rPr>
                                    <w:t>Xhejni Kokona (1978)</w:t>
                                  </w:r>
                                </w:p>
                                <w:p w:rsidR="007B2F0B" w:rsidRPr="00C4207C" w:rsidRDefault="007B2F0B" w:rsidP="00AD2DDC">
                                  <w:pPr>
                                    <w:pStyle w:val="Paragrafi"/>
                                    <w:ind w:firstLine="0"/>
                                    <w:jc w:val="left"/>
                                    <w:rPr>
                                      <w:sz w:val="20"/>
                                      <w:szCs w:val="20"/>
                                      <w:lang w:val="sq-AL"/>
                                    </w:rPr>
                                  </w:pPr>
                                  <w:r w:rsidRPr="00C4207C">
                                    <w:rPr>
                                      <w:sz w:val="20"/>
                                      <w:szCs w:val="20"/>
                                      <w:lang w:val="sq-AL"/>
                                    </w:rPr>
                                    <w:t>Nirvana Rradheshi (1951)</w:t>
                                  </w:r>
                                </w:p>
                                <w:p w:rsidR="007B2F0B" w:rsidRPr="00C4207C" w:rsidRDefault="007B2F0B" w:rsidP="00AD2DDC">
                                  <w:pPr>
                                    <w:pStyle w:val="Paragrafi"/>
                                    <w:ind w:firstLine="0"/>
                                    <w:jc w:val="left"/>
                                    <w:rPr>
                                      <w:sz w:val="20"/>
                                      <w:szCs w:val="20"/>
                                      <w:lang w:val="sq-AL"/>
                                    </w:rPr>
                                  </w:pPr>
                                  <w:r w:rsidRPr="00C4207C">
                                    <w:rPr>
                                      <w:sz w:val="20"/>
                                      <w:szCs w:val="20"/>
                                      <w:lang w:val="sq-AL"/>
                                    </w:rPr>
                                    <w:t>Shpresa Halimi (1969)</w:t>
                                  </w:r>
                                </w:p>
                                <w:p w:rsidR="007B2F0B" w:rsidRPr="00C4207C" w:rsidRDefault="007B2F0B" w:rsidP="00AD2DDC">
                                  <w:pPr>
                                    <w:pStyle w:val="Paragrafi"/>
                                    <w:ind w:firstLine="0"/>
                                    <w:jc w:val="left"/>
                                    <w:rPr>
                                      <w:sz w:val="20"/>
                                      <w:szCs w:val="20"/>
                                      <w:lang w:val="sq-AL"/>
                                    </w:rPr>
                                  </w:pPr>
                                </w:p>
                                <w:p w:rsidR="007B2F0B" w:rsidRPr="00C4207C" w:rsidRDefault="007B2F0B" w:rsidP="00AD2DDC">
                                  <w:pPr>
                                    <w:pStyle w:val="Paragrafi"/>
                                    <w:ind w:firstLine="0"/>
                                    <w:jc w:val="left"/>
                                    <w:rPr>
                                      <w:sz w:val="20"/>
                                      <w:szCs w:val="20"/>
                                      <w:lang w:val="sq-AL"/>
                                    </w:rPr>
                                  </w:pPr>
                                  <w:r w:rsidRPr="00C4207C">
                                    <w:rPr>
                                      <w:sz w:val="20"/>
                                      <w:szCs w:val="20"/>
                                      <w:lang w:val="sq-AL"/>
                                    </w:rPr>
                                    <w:t>Dhurata Bungo mbiemri i vajzërisë Karagjozi (1937)</w:t>
                                  </w:r>
                                </w:p>
                                <w:p w:rsidR="007B2F0B" w:rsidRPr="00C4207C" w:rsidRDefault="007B2F0B" w:rsidP="00AD2DDC">
                                  <w:pPr>
                                    <w:pStyle w:val="Paragrafi"/>
                                    <w:ind w:firstLine="0"/>
                                    <w:jc w:val="left"/>
                                    <w:rPr>
                                      <w:sz w:val="20"/>
                                      <w:szCs w:val="20"/>
                                      <w:lang w:val="sq-AL"/>
                                    </w:rPr>
                                  </w:pPr>
                                  <w:r w:rsidRPr="00C4207C">
                                    <w:rPr>
                                      <w:sz w:val="20"/>
                                      <w:szCs w:val="20"/>
                                      <w:lang w:val="sq-AL"/>
                                    </w:rPr>
                                    <w:t>Deshira Efovia</w:t>
                                  </w:r>
                                </w:p>
                                <w:p w:rsidR="007B2F0B" w:rsidRPr="00C4207C" w:rsidRDefault="007B2F0B" w:rsidP="00AD2DDC">
                                  <w:pPr>
                                    <w:pStyle w:val="Paragrafi"/>
                                    <w:ind w:firstLine="0"/>
                                    <w:jc w:val="left"/>
                                    <w:rPr>
                                      <w:sz w:val="20"/>
                                      <w:szCs w:val="20"/>
                                      <w:lang w:val="sq-AL"/>
                                    </w:rPr>
                                  </w:pPr>
                                  <w:r w:rsidRPr="00C4207C">
                                    <w:rPr>
                                      <w:sz w:val="20"/>
                                      <w:szCs w:val="20"/>
                                      <w:lang w:val="sq-AL"/>
                                    </w:rPr>
                                    <w:t>mbiemri i vajzërisë Karagjozi (1936)</w:t>
                                  </w:r>
                                </w:p>
                                <w:p w:rsidR="007B2F0B" w:rsidRPr="00C4207C" w:rsidRDefault="007B2F0B" w:rsidP="00AD2DDC">
                                  <w:pPr>
                                    <w:pStyle w:val="Paragrafi"/>
                                    <w:ind w:firstLine="0"/>
                                    <w:jc w:val="left"/>
                                    <w:rPr>
                                      <w:sz w:val="20"/>
                                      <w:szCs w:val="20"/>
                                      <w:lang w:val="sq-AL"/>
                                    </w:rPr>
                                  </w:pPr>
                                  <w:r w:rsidRPr="00C4207C">
                                    <w:rPr>
                                      <w:sz w:val="20"/>
                                      <w:szCs w:val="20"/>
                                      <w:lang w:val="sq-AL"/>
                                    </w:rPr>
                                    <w:t>Suzana Gjebrea mbiemri i vajzërisë Çami (1958)</w:t>
                                  </w:r>
                                </w:p>
                                <w:p w:rsidR="007B2F0B" w:rsidRPr="00C4207C" w:rsidRDefault="007B2F0B" w:rsidP="00AD2DDC">
                                  <w:pPr>
                                    <w:pStyle w:val="Paragrafi"/>
                                    <w:ind w:firstLine="0"/>
                                    <w:jc w:val="left"/>
                                    <w:rPr>
                                      <w:sz w:val="20"/>
                                      <w:szCs w:val="20"/>
                                      <w:lang w:val="sq-AL"/>
                                    </w:rPr>
                                  </w:pPr>
                                  <w:r w:rsidRPr="00C4207C">
                                    <w:rPr>
                                      <w:sz w:val="20"/>
                                      <w:szCs w:val="20"/>
                                      <w:lang w:val="sq-AL"/>
                                    </w:rPr>
                                    <w:t>Hiqmet Çami (1924)</w:t>
                                  </w:r>
                                </w:p>
                                <w:p w:rsidR="007B2F0B" w:rsidRPr="00C4207C" w:rsidRDefault="007B2F0B" w:rsidP="00AD2DDC">
                                  <w:pPr>
                                    <w:pStyle w:val="Paragrafi"/>
                                    <w:ind w:firstLine="0"/>
                                    <w:jc w:val="left"/>
                                    <w:rPr>
                                      <w:sz w:val="20"/>
                                      <w:szCs w:val="20"/>
                                      <w:lang w:val="sq-AL"/>
                                    </w:rPr>
                                  </w:pPr>
                                  <w:r w:rsidRPr="00C4207C">
                                    <w:rPr>
                                      <w:sz w:val="20"/>
                                      <w:szCs w:val="20"/>
                                      <w:lang w:val="sq-AL"/>
                                    </w:rPr>
                                    <w:t>Hasibe Kulla mbiemri i vajzërisë Çami(1966)</w:t>
                                  </w:r>
                                </w:p>
                                <w:p w:rsidR="007B2F0B" w:rsidRPr="00C4207C" w:rsidRDefault="007B2F0B" w:rsidP="00AD2DDC">
                                  <w:pPr>
                                    <w:pStyle w:val="Paragrafi"/>
                                    <w:ind w:firstLine="0"/>
                                    <w:jc w:val="left"/>
                                    <w:rPr>
                                      <w:sz w:val="20"/>
                                      <w:szCs w:val="20"/>
                                      <w:lang w:val="sq-AL"/>
                                    </w:rPr>
                                  </w:pPr>
                                  <w:r w:rsidRPr="00C4207C">
                                    <w:rPr>
                                      <w:sz w:val="20"/>
                                      <w:szCs w:val="20"/>
                                      <w:lang w:val="sq-AL"/>
                                    </w:rPr>
                                    <w:t>Besnik Çami (1961)</w:t>
                                  </w:r>
                                </w:p>
                                <w:p w:rsidR="007B2F0B" w:rsidRPr="00C4207C" w:rsidRDefault="007B2F0B" w:rsidP="00AD2DDC">
                                  <w:pPr>
                                    <w:pStyle w:val="Paragrafi"/>
                                    <w:ind w:firstLine="0"/>
                                    <w:jc w:val="left"/>
                                    <w:rPr>
                                      <w:sz w:val="20"/>
                                      <w:szCs w:val="20"/>
                                      <w:lang w:val="sq-AL"/>
                                    </w:rPr>
                                  </w:pPr>
                                  <w:r w:rsidRPr="00C4207C">
                                    <w:rPr>
                                      <w:sz w:val="20"/>
                                      <w:szCs w:val="20"/>
                                      <w:lang w:val="sq-AL"/>
                                    </w:rPr>
                                    <w:t>Agim Karagjozi (1927)</w:t>
                                  </w:r>
                                </w:p>
                                <w:p w:rsidR="007B2F0B" w:rsidRPr="00C4207C" w:rsidRDefault="007B2F0B" w:rsidP="00AD2DDC">
                                  <w:pPr>
                                    <w:pStyle w:val="Paragrafi"/>
                                    <w:ind w:firstLine="0"/>
                                    <w:jc w:val="left"/>
                                    <w:rPr>
                                      <w:sz w:val="20"/>
                                      <w:szCs w:val="20"/>
                                      <w:lang w:val="sq-AL"/>
                                    </w:rPr>
                                  </w:pPr>
                                  <w:r w:rsidRPr="00C4207C">
                                    <w:rPr>
                                      <w:sz w:val="20"/>
                                      <w:szCs w:val="20"/>
                                      <w:lang w:val="sq-AL"/>
                                    </w:rPr>
                                    <w:t>Albert Karagjozi (1934)</w:t>
                                  </w:r>
                                </w:p>
                                <w:p w:rsidR="007B2F0B" w:rsidRPr="00C4207C" w:rsidRDefault="007B2F0B" w:rsidP="00AD2DDC">
                                  <w:pPr>
                                    <w:pStyle w:val="Paragrafi"/>
                                    <w:ind w:firstLine="0"/>
                                    <w:jc w:val="left"/>
                                    <w:rPr>
                                      <w:sz w:val="20"/>
                                      <w:szCs w:val="20"/>
                                      <w:lang w:val="sq-AL"/>
                                    </w:rPr>
                                  </w:pPr>
                                  <w:r w:rsidRPr="00C4207C">
                                    <w:rPr>
                                      <w:sz w:val="20"/>
                                      <w:szCs w:val="20"/>
                                      <w:lang w:val="sq-AL"/>
                                    </w:rPr>
                                    <w:t>Vesim Karagjozi (1931)</w:t>
                                  </w:r>
                                </w:p>
                                <w:p w:rsidR="007B2F0B" w:rsidRPr="00C4207C" w:rsidRDefault="007B2F0B" w:rsidP="00AD2DDC">
                                  <w:pPr>
                                    <w:pStyle w:val="Paragrafi"/>
                                    <w:ind w:firstLine="0"/>
                                    <w:jc w:val="left"/>
                                    <w:rPr>
                                      <w:sz w:val="20"/>
                                      <w:szCs w:val="20"/>
                                      <w:lang w:val="sq-AL"/>
                                    </w:rPr>
                                  </w:pPr>
                                  <w:r w:rsidRPr="00C4207C">
                                    <w:rPr>
                                      <w:sz w:val="20"/>
                                      <w:szCs w:val="20"/>
                                      <w:lang w:val="sq-AL"/>
                                    </w:rPr>
                                    <w:t>Bukuroshe Dobi mbiemri i vajzërisë Karagjozi (1929)</w:t>
                                  </w:r>
                                </w:p>
                                <w:p w:rsidR="007B2F0B" w:rsidRPr="00C4207C" w:rsidRDefault="007B2F0B" w:rsidP="00AD2DDC">
                                  <w:pPr>
                                    <w:pStyle w:val="Paragrafi"/>
                                    <w:ind w:firstLine="0"/>
                                    <w:jc w:val="left"/>
                                    <w:rPr>
                                      <w:sz w:val="20"/>
                                      <w:szCs w:val="20"/>
                                      <w:lang w:val="sq-AL"/>
                                    </w:rPr>
                                  </w:pPr>
                                  <w:r w:rsidRPr="00C4207C">
                                    <w:rPr>
                                      <w:sz w:val="20"/>
                                      <w:szCs w:val="20"/>
                                      <w:lang w:val="sq-AL"/>
                                    </w:rPr>
                                    <w:t>Armand Viçani (1958)</w:t>
                                  </w:r>
                                </w:p>
                                <w:p w:rsidR="007B2F0B" w:rsidRPr="00C4207C" w:rsidRDefault="007B2F0B" w:rsidP="00AD2DDC">
                                  <w:pPr>
                                    <w:pStyle w:val="Paragrafi"/>
                                    <w:ind w:firstLine="0"/>
                                    <w:jc w:val="left"/>
                                    <w:rPr>
                                      <w:sz w:val="20"/>
                                      <w:szCs w:val="20"/>
                                      <w:lang w:val="sq-AL"/>
                                    </w:rPr>
                                  </w:pPr>
                                </w:p>
                                <w:p w:rsidR="007B2F0B" w:rsidRPr="00C4207C" w:rsidRDefault="007B2F0B" w:rsidP="00AD2DDC">
                                  <w:pPr>
                                    <w:pStyle w:val="Paragrafi"/>
                                    <w:ind w:firstLine="0"/>
                                    <w:jc w:val="left"/>
                                    <w:rPr>
                                      <w:sz w:val="20"/>
                                      <w:szCs w:val="20"/>
                                      <w:lang w:val="sq-AL"/>
                                    </w:rPr>
                                  </w:pPr>
                                  <w:r w:rsidRPr="00C4207C">
                                    <w:rPr>
                                      <w:sz w:val="20"/>
                                      <w:szCs w:val="20"/>
                                      <w:lang w:val="sq-AL"/>
                                    </w:rPr>
                                    <w:t>Miranda Viçani mbiemri i vajzërisë Telegrafi (1949)</w:t>
                                  </w:r>
                                </w:p>
                                <w:p w:rsidR="007B2F0B" w:rsidRPr="00C4207C" w:rsidRDefault="007B2F0B" w:rsidP="00AD2DDC">
                                  <w:pPr>
                                    <w:pStyle w:val="Paragrafi"/>
                                    <w:ind w:firstLine="0"/>
                                    <w:jc w:val="left"/>
                                    <w:rPr>
                                      <w:sz w:val="20"/>
                                      <w:szCs w:val="20"/>
                                      <w:lang w:val="sq-AL"/>
                                    </w:rPr>
                                  </w:pPr>
                                  <w:r w:rsidRPr="00C4207C">
                                    <w:rPr>
                                      <w:sz w:val="20"/>
                                      <w:szCs w:val="20"/>
                                      <w:lang w:val="sq-AL"/>
                                    </w:rPr>
                                    <w:t>Diana Kaltani mbiemri i vajzërisë Halimi (1936)</w:t>
                                  </w:r>
                                </w:p>
                                <w:p w:rsidR="007B2F0B" w:rsidRPr="00C4207C" w:rsidRDefault="007B2F0B" w:rsidP="00AD2DDC">
                                  <w:pPr>
                                    <w:pStyle w:val="Paragrafi"/>
                                    <w:ind w:firstLine="0"/>
                                    <w:jc w:val="left"/>
                                    <w:rPr>
                                      <w:sz w:val="20"/>
                                      <w:szCs w:val="20"/>
                                      <w:lang w:val="sq-AL"/>
                                    </w:rPr>
                                  </w:pPr>
                                  <w:r w:rsidRPr="00C4207C">
                                    <w:rPr>
                                      <w:sz w:val="20"/>
                                      <w:szCs w:val="20"/>
                                      <w:lang w:val="sq-AL"/>
                                    </w:rPr>
                                    <w:t>Ermal Halimi (1959)</w:t>
                                  </w:r>
                                </w:p>
                                <w:p w:rsidR="007B2F0B" w:rsidRPr="00C4207C" w:rsidRDefault="007B2F0B" w:rsidP="00AD2DDC">
                                  <w:pPr>
                                    <w:pStyle w:val="Paragrafi"/>
                                    <w:ind w:firstLine="0"/>
                                    <w:jc w:val="left"/>
                                    <w:rPr>
                                      <w:sz w:val="20"/>
                                      <w:szCs w:val="20"/>
                                      <w:lang w:val="sq-AL"/>
                                    </w:rPr>
                                  </w:pPr>
                                  <w:r w:rsidRPr="00C4207C">
                                    <w:rPr>
                                      <w:sz w:val="20"/>
                                      <w:szCs w:val="20"/>
                                      <w:lang w:val="sq-AL"/>
                                    </w:rPr>
                                    <w:t>Karolina Halimi (1935)</w:t>
                                  </w:r>
                                </w:p>
                                <w:p w:rsidR="007B2F0B" w:rsidRPr="00C4207C" w:rsidRDefault="007B2F0B" w:rsidP="00AD2DDC">
                                  <w:pPr>
                                    <w:pStyle w:val="Paragrafi"/>
                                    <w:ind w:firstLine="0"/>
                                    <w:jc w:val="left"/>
                                    <w:rPr>
                                      <w:sz w:val="20"/>
                                      <w:szCs w:val="20"/>
                                      <w:lang w:val="sq-AL"/>
                                    </w:rPr>
                                  </w:pPr>
                                  <w:r w:rsidRPr="00C4207C">
                                    <w:rPr>
                                      <w:sz w:val="20"/>
                                      <w:szCs w:val="20"/>
                                      <w:lang w:val="sq-AL"/>
                                    </w:rPr>
                                    <w:t xml:space="preserve">Ariel Halimi (1963) </w:t>
                                  </w:r>
                                </w:p>
                              </w:tc>
                              <w:tc>
                                <w:tcPr>
                                  <w:tcW w:w="2160" w:type="dxa"/>
                                </w:tcPr>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Shtetet e Bashkuara të Amerikës</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Kanada</w:t>
                                  </w:r>
                                </w:p>
                                <w:p w:rsidR="007B2F0B" w:rsidRPr="00C4207C" w:rsidRDefault="007B2F0B" w:rsidP="00AD2DDC">
                                  <w:pPr>
                                    <w:pStyle w:val="Paragrafi"/>
                                    <w:ind w:firstLine="0"/>
                                    <w:jc w:val="left"/>
                                    <w:rPr>
                                      <w:sz w:val="20"/>
                                      <w:szCs w:val="20"/>
                                      <w:lang w:val="sq-AL"/>
                                    </w:rPr>
                                  </w:pPr>
                                  <w:r w:rsidRPr="00C4207C">
                                    <w:rPr>
                                      <w:sz w:val="20"/>
                                      <w:szCs w:val="20"/>
                                      <w:lang w:val="sq-AL"/>
                                    </w:rPr>
                                    <w:t>Kanada</w:t>
                                  </w:r>
                                </w:p>
                                <w:p w:rsidR="007B2F0B" w:rsidRPr="00C4207C" w:rsidRDefault="007B2F0B" w:rsidP="00AD2DDC">
                                  <w:pPr>
                                    <w:pStyle w:val="Paragrafi"/>
                                    <w:ind w:firstLine="0"/>
                                    <w:jc w:val="left"/>
                                    <w:rPr>
                                      <w:sz w:val="20"/>
                                      <w:szCs w:val="20"/>
                                      <w:lang w:val="sq-AL"/>
                                    </w:rPr>
                                  </w:pPr>
                                  <w:r w:rsidRPr="00C4207C">
                                    <w:rPr>
                                      <w:sz w:val="20"/>
                                      <w:szCs w:val="20"/>
                                      <w:lang w:val="sq-AL"/>
                                    </w:rPr>
                                    <w:t>Shtetet e Bashkuara të Amerikës</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Shtetet e Bashkuara të Amerikës</w:t>
                                  </w:r>
                                </w:p>
                                <w:p w:rsidR="007B2F0B" w:rsidRPr="00C4207C" w:rsidRDefault="007B2F0B" w:rsidP="00AD2DDC">
                                  <w:pPr>
                                    <w:pStyle w:val="Paragrafi"/>
                                    <w:ind w:firstLine="0"/>
                                    <w:jc w:val="left"/>
                                    <w:rPr>
                                      <w:sz w:val="20"/>
                                      <w:szCs w:val="20"/>
                                      <w:lang w:val="sq-AL"/>
                                    </w:rPr>
                                  </w:pPr>
                                  <w:r w:rsidRPr="00C4207C">
                                    <w:rPr>
                                      <w:sz w:val="20"/>
                                      <w:szCs w:val="20"/>
                                      <w:lang w:val="sq-AL"/>
                                    </w:rPr>
                                    <w:t>Shtetet e Bashkuara të Amerikës</w:t>
                                  </w:r>
                                </w:p>
                                <w:p w:rsidR="007B2F0B" w:rsidRPr="00C4207C" w:rsidRDefault="007B2F0B" w:rsidP="00AD2DDC">
                                  <w:pPr>
                                    <w:pStyle w:val="Paragrafi"/>
                                    <w:ind w:firstLine="0"/>
                                    <w:jc w:val="left"/>
                                    <w:rPr>
                                      <w:sz w:val="20"/>
                                      <w:szCs w:val="20"/>
                                      <w:lang w:val="sq-AL"/>
                                    </w:rPr>
                                  </w:pPr>
                                  <w:r w:rsidRPr="00C4207C">
                                    <w:rPr>
                                      <w:sz w:val="20"/>
                                      <w:szCs w:val="20"/>
                                      <w:lang w:val="sq-AL"/>
                                    </w:rPr>
                                    <w:t>Shtetet e Bashkuara të Amerikës</w:t>
                                  </w:r>
                                </w:p>
                                <w:p w:rsidR="007B2F0B" w:rsidRPr="00C4207C" w:rsidRDefault="007B2F0B" w:rsidP="00AD2DDC">
                                  <w:pPr>
                                    <w:pStyle w:val="Paragrafi"/>
                                    <w:ind w:firstLine="0"/>
                                    <w:jc w:val="left"/>
                                    <w:rPr>
                                      <w:sz w:val="20"/>
                                      <w:szCs w:val="20"/>
                                      <w:lang w:val="sq-AL"/>
                                    </w:rPr>
                                  </w:pPr>
                                  <w:r w:rsidRPr="00C4207C">
                                    <w:rPr>
                                      <w:sz w:val="20"/>
                                      <w:szCs w:val="20"/>
                                      <w:lang w:val="sq-AL"/>
                                    </w:rPr>
                                    <w:t>Shtetet e Bashkuara të Amerikës</w:t>
                                  </w:r>
                                </w:p>
                                <w:p w:rsidR="007B2F0B" w:rsidRPr="00C4207C" w:rsidRDefault="007B2F0B" w:rsidP="00AD2DDC">
                                  <w:pPr>
                                    <w:pStyle w:val="Paragrafi"/>
                                    <w:ind w:firstLine="0"/>
                                    <w:jc w:val="left"/>
                                    <w:rPr>
                                      <w:sz w:val="20"/>
                                      <w:szCs w:val="20"/>
                                      <w:lang w:val="sq-AL"/>
                                    </w:rPr>
                                  </w:pPr>
                                  <w:r w:rsidRPr="00C4207C">
                                    <w:rPr>
                                      <w:sz w:val="20"/>
                                      <w:szCs w:val="20"/>
                                      <w:lang w:val="sq-AL"/>
                                    </w:rPr>
                                    <w:t>Kanada</w:t>
                                  </w:r>
                                </w:p>
                                <w:p w:rsidR="007B2F0B" w:rsidRPr="00C4207C" w:rsidRDefault="007B2F0B" w:rsidP="00AD2DDC">
                                  <w:pPr>
                                    <w:pStyle w:val="Paragrafi"/>
                                    <w:ind w:firstLine="0"/>
                                    <w:jc w:val="left"/>
                                    <w:rPr>
                                      <w:sz w:val="20"/>
                                      <w:szCs w:val="20"/>
                                      <w:lang w:val="sq-AL"/>
                                    </w:rPr>
                                  </w:pP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tc>
                              <w:tc>
                                <w:tcPr>
                                  <w:tcW w:w="1620" w:type="dxa"/>
                                </w:tcPr>
                                <w:p w:rsidR="007B2F0B" w:rsidRPr="00C4207C" w:rsidRDefault="007B2F0B" w:rsidP="00AD2DDC">
                                  <w:pPr>
                                    <w:pStyle w:val="Paragrafi"/>
                                    <w:ind w:firstLine="0"/>
                                    <w:rPr>
                                      <w:sz w:val="20"/>
                                      <w:szCs w:val="20"/>
                                      <w:lang w:val="sq-AL"/>
                                    </w:rPr>
                                  </w:pPr>
                                  <w:r w:rsidRPr="00C4207C">
                                    <w:rPr>
                                      <w:sz w:val="20"/>
                                      <w:szCs w:val="20"/>
                                      <w:lang w:val="sq-AL"/>
                                    </w:rPr>
                                    <w:t xml:space="preserve">S. Puto, avokat </w:t>
                                  </w:r>
                                </w:p>
                              </w:tc>
                              <w:tc>
                                <w:tcPr>
                                  <w:tcW w:w="1484" w:type="dxa"/>
                                </w:tcPr>
                                <w:p w:rsidR="007B2F0B" w:rsidRPr="00C4207C" w:rsidRDefault="007B2F0B" w:rsidP="00AD2DDC">
                                  <w:pPr>
                                    <w:pStyle w:val="Paragrafi"/>
                                    <w:ind w:firstLine="0"/>
                                    <w:rPr>
                                      <w:sz w:val="20"/>
                                      <w:szCs w:val="20"/>
                                      <w:lang w:val="sq-AL"/>
                                    </w:rPr>
                                  </w:pPr>
                                  <w:r w:rsidRPr="00C4207C">
                                    <w:rPr>
                                      <w:sz w:val="20"/>
                                      <w:szCs w:val="20"/>
                                      <w:lang w:val="sq-AL"/>
                                    </w:rPr>
                                    <w:t xml:space="preserve">14 </w:t>
                                  </w:r>
                                  <w:r>
                                    <w:rPr>
                                      <w:sz w:val="20"/>
                                      <w:szCs w:val="20"/>
                                      <w:lang w:val="sq-AL"/>
                                    </w:rPr>
                                    <w:t>m</w:t>
                                  </w:r>
                                  <w:r w:rsidRPr="00C4207C">
                                    <w:rPr>
                                      <w:sz w:val="20"/>
                                      <w:szCs w:val="20"/>
                                      <w:lang w:val="sq-AL"/>
                                    </w:rPr>
                                    <w:t>ars 2011</w:t>
                                  </w:r>
                                </w:p>
                              </w:tc>
                            </w:tr>
                          </w:tbl>
                          <w:p w:rsidR="007B2F0B" w:rsidRDefault="007B2F0B" w:rsidP="007B2F0B">
                            <w:pPr>
                              <w:spacing w:after="0" w:line="240" w:lineRule="auto"/>
                              <w:ind w:firstLine="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4pt;margin-top:7.15pt;width:7in;height:41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" strokecolor="white [3212]">
                <v:textbox>
                  <w:txbxContent>
                    <w:p w:rsidR="007B2F0B" w:rsidRDefault="007B2F0B" w:rsidP="007B2F0B">
                      <w:pPr>
                        <w:pStyle w:val="Paragrafi"/>
                        <w:ind w:firstLine="0"/>
                        <w:jc w:val="center"/>
                        <w:rPr>
                          <w:lang w:val="sq-AL"/>
                        </w:rPr>
                      </w:pPr>
                      <w:r w:rsidRPr="00C4207C">
                        <w:rPr>
                          <w:lang w:val="sq-AL"/>
                        </w:rPr>
                        <w:t>SHTOJCA 1</w:t>
                      </w:r>
                    </w:p>
                    <w:p w:rsidR="007B2F0B" w:rsidRPr="00C4207C" w:rsidRDefault="007B2F0B" w:rsidP="007B2F0B">
                      <w:pPr>
                        <w:pStyle w:val="Paragrafi"/>
                        <w:ind w:firstLine="0"/>
                        <w:jc w:val="center"/>
                        <w:rPr>
                          <w:lang w:val="sq-AL"/>
                        </w:rPr>
                      </w:pPr>
                      <w:r w:rsidRPr="00C4207C">
                        <w:rPr>
                          <w:lang w:val="sq-AL"/>
                        </w:rPr>
                        <w:t>LISTA E ANKUESVE</w:t>
                      </w:r>
                    </w:p>
                    <w:tbl>
                      <w:tblPr>
                        <w:tblW w:w="9854" w:type="dxa"/>
                        <w:jc w:val="center"/>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82"/>
                        <w:gridCol w:w="2708"/>
                        <w:gridCol w:w="2160"/>
                        <w:gridCol w:w="1620"/>
                        <w:gridCol w:w="1484"/>
                      </w:tblGrid>
                      <w:tr w:rsidR="007B2F0B" w:rsidRPr="00C4207C" w:rsidTr="00AD2DDC">
                        <w:trPr>
                          <w:jc w:val="center"/>
                        </w:trPr>
                        <w:tc>
                          <w:tcPr>
                            <w:tcW w:w="1882" w:type="dxa"/>
                          </w:tcPr>
                          <w:p w:rsidR="007B2F0B" w:rsidRPr="00C4207C" w:rsidRDefault="007B2F0B" w:rsidP="00AD2DDC">
                            <w:pPr>
                              <w:pStyle w:val="Paragrafi"/>
                              <w:ind w:firstLine="0"/>
                              <w:jc w:val="center"/>
                              <w:rPr>
                                <w:b/>
                                <w:sz w:val="20"/>
                                <w:szCs w:val="20"/>
                                <w:lang w:val="sq-AL"/>
                              </w:rPr>
                            </w:pPr>
                            <w:r w:rsidRPr="00C4207C">
                              <w:rPr>
                                <w:b/>
                                <w:sz w:val="20"/>
                                <w:szCs w:val="20"/>
                                <w:lang w:val="sq-AL"/>
                              </w:rPr>
                              <w:t>Emri dhe numri i çështjes</w:t>
                            </w:r>
                          </w:p>
                        </w:tc>
                        <w:tc>
                          <w:tcPr>
                            <w:tcW w:w="2708" w:type="dxa"/>
                          </w:tcPr>
                          <w:p w:rsidR="007B2F0B" w:rsidRDefault="007B2F0B" w:rsidP="00AD2DDC">
                            <w:pPr>
                              <w:pStyle w:val="Paragrafi"/>
                              <w:ind w:firstLine="0"/>
                              <w:jc w:val="center"/>
                              <w:rPr>
                                <w:b/>
                                <w:sz w:val="20"/>
                                <w:szCs w:val="20"/>
                                <w:lang w:val="sq-AL"/>
                              </w:rPr>
                            </w:pPr>
                            <w:r w:rsidRPr="00C4207C">
                              <w:rPr>
                                <w:b/>
                                <w:sz w:val="20"/>
                                <w:szCs w:val="20"/>
                                <w:lang w:val="sq-AL"/>
                              </w:rPr>
                              <w:t xml:space="preserve">Emri i ankuesit </w:t>
                            </w:r>
                          </w:p>
                          <w:p w:rsidR="007B2F0B" w:rsidRPr="00C4207C" w:rsidRDefault="007B2F0B" w:rsidP="00AD2DDC">
                            <w:pPr>
                              <w:pStyle w:val="Paragrafi"/>
                              <w:ind w:firstLine="0"/>
                              <w:jc w:val="center"/>
                              <w:rPr>
                                <w:b/>
                                <w:sz w:val="20"/>
                                <w:szCs w:val="20"/>
                                <w:lang w:val="sq-AL"/>
                              </w:rPr>
                            </w:pPr>
                            <w:r w:rsidRPr="00C4207C">
                              <w:rPr>
                                <w:b/>
                                <w:sz w:val="20"/>
                                <w:szCs w:val="20"/>
                                <w:lang w:val="sq-AL"/>
                              </w:rPr>
                              <w:t>(viti i lindjes)</w:t>
                            </w:r>
                          </w:p>
                        </w:tc>
                        <w:tc>
                          <w:tcPr>
                            <w:tcW w:w="2160" w:type="dxa"/>
                          </w:tcPr>
                          <w:p w:rsidR="007B2F0B" w:rsidRPr="00C4207C" w:rsidRDefault="007B2F0B" w:rsidP="00AD2DDC">
                            <w:pPr>
                              <w:pStyle w:val="Paragrafi"/>
                              <w:ind w:firstLine="0"/>
                              <w:jc w:val="center"/>
                              <w:rPr>
                                <w:b/>
                                <w:sz w:val="20"/>
                                <w:szCs w:val="20"/>
                                <w:lang w:val="sq-AL"/>
                              </w:rPr>
                            </w:pPr>
                            <w:r w:rsidRPr="00C4207C">
                              <w:rPr>
                                <w:b/>
                                <w:sz w:val="20"/>
                                <w:szCs w:val="20"/>
                                <w:lang w:val="sq-AL"/>
                              </w:rPr>
                              <w:t>Shteti ku banojnë</w:t>
                            </w:r>
                          </w:p>
                        </w:tc>
                        <w:tc>
                          <w:tcPr>
                            <w:tcW w:w="1620" w:type="dxa"/>
                          </w:tcPr>
                          <w:p w:rsidR="007B2F0B" w:rsidRPr="00C4207C" w:rsidRDefault="007B2F0B" w:rsidP="00AD2DDC">
                            <w:pPr>
                              <w:pStyle w:val="Paragrafi"/>
                              <w:ind w:firstLine="0"/>
                              <w:jc w:val="center"/>
                              <w:rPr>
                                <w:b/>
                                <w:sz w:val="20"/>
                                <w:szCs w:val="20"/>
                                <w:lang w:val="sq-AL"/>
                              </w:rPr>
                            </w:pPr>
                            <w:r w:rsidRPr="00C4207C">
                              <w:rPr>
                                <w:b/>
                                <w:sz w:val="20"/>
                                <w:szCs w:val="20"/>
                                <w:lang w:val="sq-AL"/>
                              </w:rPr>
                              <w:t>Përfaqësuar nga</w:t>
                            </w:r>
                            <w:r>
                              <w:rPr>
                                <w:b/>
                                <w:sz w:val="20"/>
                                <w:szCs w:val="20"/>
                                <w:lang w:val="sq-AL"/>
                              </w:rPr>
                              <w:t>:</w:t>
                            </w:r>
                          </w:p>
                        </w:tc>
                        <w:tc>
                          <w:tcPr>
                            <w:tcW w:w="1484" w:type="dxa"/>
                          </w:tcPr>
                          <w:p w:rsidR="007B2F0B" w:rsidRPr="00C4207C" w:rsidRDefault="007B2F0B" w:rsidP="00AD2DDC">
                            <w:pPr>
                              <w:pStyle w:val="Paragrafi"/>
                              <w:ind w:firstLine="0"/>
                              <w:jc w:val="center"/>
                              <w:rPr>
                                <w:b/>
                                <w:sz w:val="20"/>
                                <w:szCs w:val="20"/>
                                <w:lang w:val="sq-AL"/>
                              </w:rPr>
                            </w:pPr>
                            <w:r w:rsidRPr="00C4207C">
                              <w:rPr>
                                <w:b/>
                                <w:sz w:val="20"/>
                                <w:szCs w:val="20"/>
                                <w:lang w:val="sq-AL"/>
                              </w:rPr>
                              <w:t>Data e prezantimit</w:t>
                            </w:r>
                          </w:p>
                        </w:tc>
                      </w:tr>
                      <w:tr w:rsidR="007B2F0B" w:rsidRPr="00C4207C" w:rsidTr="00AD2DDC">
                        <w:trPr>
                          <w:jc w:val="center"/>
                        </w:trPr>
                        <w:tc>
                          <w:tcPr>
                            <w:tcW w:w="1882" w:type="dxa"/>
                          </w:tcPr>
                          <w:p w:rsidR="007B2F0B" w:rsidRPr="00C4207C" w:rsidRDefault="007B2F0B" w:rsidP="00AD2DDC">
                            <w:pPr>
                              <w:pStyle w:val="Paragrafi"/>
                              <w:ind w:firstLine="0"/>
                              <w:jc w:val="left"/>
                              <w:rPr>
                                <w:sz w:val="20"/>
                                <w:szCs w:val="20"/>
                                <w:lang w:val="sq-AL"/>
                              </w:rPr>
                            </w:pPr>
                            <w:r w:rsidRPr="003B6059">
                              <w:rPr>
                                <w:i/>
                                <w:sz w:val="20"/>
                                <w:szCs w:val="20"/>
                                <w:lang w:val="sq-AL"/>
                              </w:rPr>
                              <w:t>Karagjozi dhe të tjerët</w:t>
                            </w:r>
                            <w:r w:rsidRPr="00C4207C">
                              <w:rPr>
                                <w:sz w:val="20"/>
                                <w:szCs w:val="20"/>
                                <w:lang w:val="sq-AL"/>
                              </w:rPr>
                              <w:t xml:space="preserve"> </w:t>
                            </w:r>
                            <w:r>
                              <w:rPr>
                                <w:sz w:val="20"/>
                                <w:szCs w:val="20"/>
                                <w:lang w:val="sq-AL"/>
                              </w:rPr>
                              <w:t xml:space="preserve">nr. </w:t>
                            </w:r>
                            <w:r w:rsidRPr="00C4207C">
                              <w:rPr>
                                <w:sz w:val="20"/>
                                <w:szCs w:val="20"/>
                                <w:lang w:val="sq-AL"/>
                              </w:rPr>
                              <w:t>32382/11</w:t>
                            </w:r>
                          </w:p>
                        </w:tc>
                        <w:tc>
                          <w:tcPr>
                            <w:tcW w:w="2708" w:type="dxa"/>
                          </w:tcPr>
                          <w:p w:rsidR="007B2F0B" w:rsidRPr="00C4207C" w:rsidRDefault="007B2F0B" w:rsidP="00AD2DDC">
                            <w:pPr>
                              <w:pStyle w:val="Paragrafi"/>
                              <w:ind w:firstLine="0"/>
                              <w:jc w:val="left"/>
                              <w:rPr>
                                <w:sz w:val="20"/>
                                <w:szCs w:val="20"/>
                                <w:lang w:val="sq-AL"/>
                              </w:rPr>
                            </w:pPr>
                            <w:r w:rsidRPr="00C4207C">
                              <w:rPr>
                                <w:sz w:val="20"/>
                                <w:szCs w:val="20"/>
                                <w:lang w:val="sq-AL"/>
                              </w:rPr>
                              <w:t>Eni Kokona (1976)</w:t>
                            </w:r>
                          </w:p>
                          <w:p w:rsidR="007B2F0B" w:rsidRPr="00C4207C" w:rsidRDefault="007B2F0B" w:rsidP="00AD2DDC">
                            <w:pPr>
                              <w:pStyle w:val="Paragrafi"/>
                              <w:ind w:firstLine="0"/>
                              <w:jc w:val="left"/>
                              <w:rPr>
                                <w:sz w:val="20"/>
                                <w:szCs w:val="20"/>
                                <w:lang w:val="sq-AL"/>
                              </w:rPr>
                            </w:pPr>
                            <w:r w:rsidRPr="00C4207C">
                              <w:rPr>
                                <w:sz w:val="20"/>
                                <w:szCs w:val="20"/>
                                <w:lang w:val="sq-AL"/>
                              </w:rPr>
                              <w:t>Lindita Kokona (1948)</w:t>
                            </w:r>
                          </w:p>
                          <w:p w:rsidR="007B2F0B" w:rsidRPr="00C4207C" w:rsidRDefault="007B2F0B" w:rsidP="00AD2DDC">
                            <w:pPr>
                              <w:pStyle w:val="Paragrafi"/>
                              <w:ind w:firstLine="0"/>
                              <w:jc w:val="left"/>
                              <w:rPr>
                                <w:sz w:val="20"/>
                                <w:szCs w:val="20"/>
                                <w:lang w:val="sq-AL"/>
                              </w:rPr>
                            </w:pPr>
                            <w:r w:rsidRPr="00C4207C">
                              <w:rPr>
                                <w:sz w:val="20"/>
                                <w:szCs w:val="20"/>
                                <w:lang w:val="sq-AL"/>
                              </w:rPr>
                              <w:t>Xhejni Kokona (1978)</w:t>
                            </w:r>
                          </w:p>
                          <w:p w:rsidR="007B2F0B" w:rsidRPr="00C4207C" w:rsidRDefault="007B2F0B" w:rsidP="00AD2DDC">
                            <w:pPr>
                              <w:pStyle w:val="Paragrafi"/>
                              <w:ind w:firstLine="0"/>
                              <w:jc w:val="left"/>
                              <w:rPr>
                                <w:sz w:val="20"/>
                                <w:szCs w:val="20"/>
                                <w:lang w:val="sq-AL"/>
                              </w:rPr>
                            </w:pPr>
                            <w:r w:rsidRPr="00C4207C">
                              <w:rPr>
                                <w:sz w:val="20"/>
                                <w:szCs w:val="20"/>
                                <w:lang w:val="sq-AL"/>
                              </w:rPr>
                              <w:t>Nirvana Rradheshi (1951)</w:t>
                            </w:r>
                          </w:p>
                          <w:p w:rsidR="007B2F0B" w:rsidRPr="00C4207C" w:rsidRDefault="007B2F0B" w:rsidP="00AD2DDC">
                            <w:pPr>
                              <w:pStyle w:val="Paragrafi"/>
                              <w:ind w:firstLine="0"/>
                              <w:jc w:val="left"/>
                              <w:rPr>
                                <w:sz w:val="20"/>
                                <w:szCs w:val="20"/>
                                <w:lang w:val="sq-AL"/>
                              </w:rPr>
                            </w:pPr>
                            <w:r w:rsidRPr="00C4207C">
                              <w:rPr>
                                <w:sz w:val="20"/>
                                <w:szCs w:val="20"/>
                                <w:lang w:val="sq-AL"/>
                              </w:rPr>
                              <w:t>Shpresa Halimi (1969)</w:t>
                            </w:r>
                          </w:p>
                          <w:p w:rsidR="007B2F0B" w:rsidRPr="00C4207C" w:rsidRDefault="007B2F0B" w:rsidP="00AD2DDC">
                            <w:pPr>
                              <w:pStyle w:val="Paragrafi"/>
                              <w:ind w:firstLine="0"/>
                              <w:jc w:val="left"/>
                              <w:rPr>
                                <w:sz w:val="20"/>
                                <w:szCs w:val="20"/>
                                <w:lang w:val="sq-AL"/>
                              </w:rPr>
                            </w:pPr>
                          </w:p>
                          <w:p w:rsidR="007B2F0B" w:rsidRPr="00C4207C" w:rsidRDefault="007B2F0B" w:rsidP="00AD2DDC">
                            <w:pPr>
                              <w:pStyle w:val="Paragrafi"/>
                              <w:ind w:firstLine="0"/>
                              <w:jc w:val="left"/>
                              <w:rPr>
                                <w:sz w:val="20"/>
                                <w:szCs w:val="20"/>
                                <w:lang w:val="sq-AL"/>
                              </w:rPr>
                            </w:pPr>
                            <w:r w:rsidRPr="00C4207C">
                              <w:rPr>
                                <w:sz w:val="20"/>
                                <w:szCs w:val="20"/>
                                <w:lang w:val="sq-AL"/>
                              </w:rPr>
                              <w:t>Dhurata Bungo mbiemri i vajzërisë Karagjozi (1937)</w:t>
                            </w:r>
                          </w:p>
                          <w:p w:rsidR="007B2F0B" w:rsidRPr="00C4207C" w:rsidRDefault="007B2F0B" w:rsidP="00AD2DDC">
                            <w:pPr>
                              <w:pStyle w:val="Paragrafi"/>
                              <w:ind w:firstLine="0"/>
                              <w:jc w:val="left"/>
                              <w:rPr>
                                <w:sz w:val="20"/>
                                <w:szCs w:val="20"/>
                                <w:lang w:val="sq-AL"/>
                              </w:rPr>
                            </w:pPr>
                            <w:r w:rsidRPr="00C4207C">
                              <w:rPr>
                                <w:sz w:val="20"/>
                                <w:szCs w:val="20"/>
                                <w:lang w:val="sq-AL"/>
                              </w:rPr>
                              <w:t>Deshira Efovia</w:t>
                            </w:r>
                          </w:p>
                          <w:p w:rsidR="007B2F0B" w:rsidRPr="00C4207C" w:rsidRDefault="007B2F0B" w:rsidP="00AD2DDC">
                            <w:pPr>
                              <w:pStyle w:val="Paragrafi"/>
                              <w:ind w:firstLine="0"/>
                              <w:jc w:val="left"/>
                              <w:rPr>
                                <w:sz w:val="20"/>
                                <w:szCs w:val="20"/>
                                <w:lang w:val="sq-AL"/>
                              </w:rPr>
                            </w:pPr>
                            <w:r w:rsidRPr="00C4207C">
                              <w:rPr>
                                <w:sz w:val="20"/>
                                <w:szCs w:val="20"/>
                                <w:lang w:val="sq-AL"/>
                              </w:rPr>
                              <w:t>mbiemri i vajzërisë Karagjozi (1936)</w:t>
                            </w:r>
                          </w:p>
                          <w:p w:rsidR="007B2F0B" w:rsidRPr="00C4207C" w:rsidRDefault="007B2F0B" w:rsidP="00AD2DDC">
                            <w:pPr>
                              <w:pStyle w:val="Paragrafi"/>
                              <w:ind w:firstLine="0"/>
                              <w:jc w:val="left"/>
                              <w:rPr>
                                <w:sz w:val="20"/>
                                <w:szCs w:val="20"/>
                                <w:lang w:val="sq-AL"/>
                              </w:rPr>
                            </w:pPr>
                            <w:r w:rsidRPr="00C4207C">
                              <w:rPr>
                                <w:sz w:val="20"/>
                                <w:szCs w:val="20"/>
                                <w:lang w:val="sq-AL"/>
                              </w:rPr>
                              <w:t>Suzana Gjebrea mbiemri i vajzërisë Çami (1958)</w:t>
                            </w:r>
                          </w:p>
                          <w:p w:rsidR="007B2F0B" w:rsidRPr="00C4207C" w:rsidRDefault="007B2F0B" w:rsidP="00AD2DDC">
                            <w:pPr>
                              <w:pStyle w:val="Paragrafi"/>
                              <w:ind w:firstLine="0"/>
                              <w:jc w:val="left"/>
                              <w:rPr>
                                <w:sz w:val="20"/>
                                <w:szCs w:val="20"/>
                                <w:lang w:val="sq-AL"/>
                              </w:rPr>
                            </w:pPr>
                            <w:r w:rsidRPr="00C4207C">
                              <w:rPr>
                                <w:sz w:val="20"/>
                                <w:szCs w:val="20"/>
                                <w:lang w:val="sq-AL"/>
                              </w:rPr>
                              <w:t>Hiqmet Çami (1924)</w:t>
                            </w:r>
                          </w:p>
                          <w:p w:rsidR="007B2F0B" w:rsidRPr="00C4207C" w:rsidRDefault="007B2F0B" w:rsidP="00AD2DDC">
                            <w:pPr>
                              <w:pStyle w:val="Paragrafi"/>
                              <w:ind w:firstLine="0"/>
                              <w:jc w:val="left"/>
                              <w:rPr>
                                <w:sz w:val="20"/>
                                <w:szCs w:val="20"/>
                                <w:lang w:val="sq-AL"/>
                              </w:rPr>
                            </w:pPr>
                            <w:r w:rsidRPr="00C4207C">
                              <w:rPr>
                                <w:sz w:val="20"/>
                                <w:szCs w:val="20"/>
                                <w:lang w:val="sq-AL"/>
                              </w:rPr>
                              <w:t>Hasibe Kulla mbiemri i vajzërisë Çami(1966)</w:t>
                            </w:r>
                          </w:p>
                          <w:p w:rsidR="007B2F0B" w:rsidRPr="00C4207C" w:rsidRDefault="007B2F0B" w:rsidP="00AD2DDC">
                            <w:pPr>
                              <w:pStyle w:val="Paragrafi"/>
                              <w:ind w:firstLine="0"/>
                              <w:jc w:val="left"/>
                              <w:rPr>
                                <w:sz w:val="20"/>
                                <w:szCs w:val="20"/>
                                <w:lang w:val="sq-AL"/>
                              </w:rPr>
                            </w:pPr>
                            <w:r w:rsidRPr="00C4207C">
                              <w:rPr>
                                <w:sz w:val="20"/>
                                <w:szCs w:val="20"/>
                                <w:lang w:val="sq-AL"/>
                              </w:rPr>
                              <w:t>Besnik Çami (1961)</w:t>
                            </w:r>
                          </w:p>
                          <w:p w:rsidR="007B2F0B" w:rsidRPr="00C4207C" w:rsidRDefault="007B2F0B" w:rsidP="00AD2DDC">
                            <w:pPr>
                              <w:pStyle w:val="Paragrafi"/>
                              <w:ind w:firstLine="0"/>
                              <w:jc w:val="left"/>
                              <w:rPr>
                                <w:sz w:val="20"/>
                                <w:szCs w:val="20"/>
                                <w:lang w:val="sq-AL"/>
                              </w:rPr>
                            </w:pPr>
                            <w:r w:rsidRPr="00C4207C">
                              <w:rPr>
                                <w:sz w:val="20"/>
                                <w:szCs w:val="20"/>
                                <w:lang w:val="sq-AL"/>
                              </w:rPr>
                              <w:t>Agim Karagjozi (1927)</w:t>
                            </w:r>
                          </w:p>
                          <w:p w:rsidR="007B2F0B" w:rsidRPr="00C4207C" w:rsidRDefault="007B2F0B" w:rsidP="00AD2DDC">
                            <w:pPr>
                              <w:pStyle w:val="Paragrafi"/>
                              <w:ind w:firstLine="0"/>
                              <w:jc w:val="left"/>
                              <w:rPr>
                                <w:sz w:val="20"/>
                                <w:szCs w:val="20"/>
                                <w:lang w:val="sq-AL"/>
                              </w:rPr>
                            </w:pPr>
                            <w:r w:rsidRPr="00C4207C">
                              <w:rPr>
                                <w:sz w:val="20"/>
                                <w:szCs w:val="20"/>
                                <w:lang w:val="sq-AL"/>
                              </w:rPr>
                              <w:t>Albert Karagjozi (1934)</w:t>
                            </w:r>
                          </w:p>
                          <w:p w:rsidR="007B2F0B" w:rsidRPr="00C4207C" w:rsidRDefault="007B2F0B" w:rsidP="00AD2DDC">
                            <w:pPr>
                              <w:pStyle w:val="Paragrafi"/>
                              <w:ind w:firstLine="0"/>
                              <w:jc w:val="left"/>
                              <w:rPr>
                                <w:sz w:val="20"/>
                                <w:szCs w:val="20"/>
                                <w:lang w:val="sq-AL"/>
                              </w:rPr>
                            </w:pPr>
                            <w:r w:rsidRPr="00C4207C">
                              <w:rPr>
                                <w:sz w:val="20"/>
                                <w:szCs w:val="20"/>
                                <w:lang w:val="sq-AL"/>
                              </w:rPr>
                              <w:t>Vesim Karagjozi (1931)</w:t>
                            </w:r>
                          </w:p>
                          <w:p w:rsidR="007B2F0B" w:rsidRPr="00C4207C" w:rsidRDefault="007B2F0B" w:rsidP="00AD2DDC">
                            <w:pPr>
                              <w:pStyle w:val="Paragrafi"/>
                              <w:ind w:firstLine="0"/>
                              <w:jc w:val="left"/>
                              <w:rPr>
                                <w:sz w:val="20"/>
                                <w:szCs w:val="20"/>
                                <w:lang w:val="sq-AL"/>
                              </w:rPr>
                            </w:pPr>
                            <w:r w:rsidRPr="00C4207C">
                              <w:rPr>
                                <w:sz w:val="20"/>
                                <w:szCs w:val="20"/>
                                <w:lang w:val="sq-AL"/>
                              </w:rPr>
                              <w:t>Bukuroshe Dobi mbiemri i vajzërisë Karagjozi (1929)</w:t>
                            </w:r>
                          </w:p>
                          <w:p w:rsidR="007B2F0B" w:rsidRPr="00C4207C" w:rsidRDefault="007B2F0B" w:rsidP="00AD2DDC">
                            <w:pPr>
                              <w:pStyle w:val="Paragrafi"/>
                              <w:ind w:firstLine="0"/>
                              <w:jc w:val="left"/>
                              <w:rPr>
                                <w:sz w:val="20"/>
                                <w:szCs w:val="20"/>
                                <w:lang w:val="sq-AL"/>
                              </w:rPr>
                            </w:pPr>
                            <w:r w:rsidRPr="00C4207C">
                              <w:rPr>
                                <w:sz w:val="20"/>
                                <w:szCs w:val="20"/>
                                <w:lang w:val="sq-AL"/>
                              </w:rPr>
                              <w:t>Armand Viçani (1958)</w:t>
                            </w:r>
                          </w:p>
                          <w:p w:rsidR="007B2F0B" w:rsidRPr="00C4207C" w:rsidRDefault="007B2F0B" w:rsidP="00AD2DDC">
                            <w:pPr>
                              <w:pStyle w:val="Paragrafi"/>
                              <w:ind w:firstLine="0"/>
                              <w:jc w:val="left"/>
                              <w:rPr>
                                <w:sz w:val="20"/>
                                <w:szCs w:val="20"/>
                                <w:lang w:val="sq-AL"/>
                              </w:rPr>
                            </w:pPr>
                          </w:p>
                          <w:p w:rsidR="007B2F0B" w:rsidRPr="00C4207C" w:rsidRDefault="007B2F0B" w:rsidP="00AD2DDC">
                            <w:pPr>
                              <w:pStyle w:val="Paragrafi"/>
                              <w:ind w:firstLine="0"/>
                              <w:jc w:val="left"/>
                              <w:rPr>
                                <w:sz w:val="20"/>
                                <w:szCs w:val="20"/>
                                <w:lang w:val="sq-AL"/>
                              </w:rPr>
                            </w:pPr>
                            <w:r w:rsidRPr="00C4207C">
                              <w:rPr>
                                <w:sz w:val="20"/>
                                <w:szCs w:val="20"/>
                                <w:lang w:val="sq-AL"/>
                              </w:rPr>
                              <w:t>Miranda Viçani mbiemri i vajzërisë Telegrafi (1949)</w:t>
                            </w:r>
                          </w:p>
                          <w:p w:rsidR="007B2F0B" w:rsidRPr="00C4207C" w:rsidRDefault="007B2F0B" w:rsidP="00AD2DDC">
                            <w:pPr>
                              <w:pStyle w:val="Paragrafi"/>
                              <w:ind w:firstLine="0"/>
                              <w:jc w:val="left"/>
                              <w:rPr>
                                <w:sz w:val="20"/>
                                <w:szCs w:val="20"/>
                                <w:lang w:val="sq-AL"/>
                              </w:rPr>
                            </w:pPr>
                            <w:r w:rsidRPr="00C4207C">
                              <w:rPr>
                                <w:sz w:val="20"/>
                                <w:szCs w:val="20"/>
                                <w:lang w:val="sq-AL"/>
                              </w:rPr>
                              <w:t>Diana Kaltani mbiemri i vajzërisë Halimi (1936)</w:t>
                            </w:r>
                          </w:p>
                          <w:p w:rsidR="007B2F0B" w:rsidRPr="00C4207C" w:rsidRDefault="007B2F0B" w:rsidP="00AD2DDC">
                            <w:pPr>
                              <w:pStyle w:val="Paragrafi"/>
                              <w:ind w:firstLine="0"/>
                              <w:jc w:val="left"/>
                              <w:rPr>
                                <w:sz w:val="20"/>
                                <w:szCs w:val="20"/>
                                <w:lang w:val="sq-AL"/>
                              </w:rPr>
                            </w:pPr>
                            <w:r w:rsidRPr="00C4207C">
                              <w:rPr>
                                <w:sz w:val="20"/>
                                <w:szCs w:val="20"/>
                                <w:lang w:val="sq-AL"/>
                              </w:rPr>
                              <w:t>Ermal Halimi (1959)</w:t>
                            </w:r>
                          </w:p>
                          <w:p w:rsidR="007B2F0B" w:rsidRPr="00C4207C" w:rsidRDefault="007B2F0B" w:rsidP="00AD2DDC">
                            <w:pPr>
                              <w:pStyle w:val="Paragrafi"/>
                              <w:ind w:firstLine="0"/>
                              <w:jc w:val="left"/>
                              <w:rPr>
                                <w:sz w:val="20"/>
                                <w:szCs w:val="20"/>
                                <w:lang w:val="sq-AL"/>
                              </w:rPr>
                            </w:pPr>
                            <w:r w:rsidRPr="00C4207C">
                              <w:rPr>
                                <w:sz w:val="20"/>
                                <w:szCs w:val="20"/>
                                <w:lang w:val="sq-AL"/>
                              </w:rPr>
                              <w:t>Karolina Halimi (1935)</w:t>
                            </w:r>
                          </w:p>
                          <w:p w:rsidR="007B2F0B" w:rsidRPr="00C4207C" w:rsidRDefault="007B2F0B" w:rsidP="00AD2DDC">
                            <w:pPr>
                              <w:pStyle w:val="Paragrafi"/>
                              <w:ind w:firstLine="0"/>
                              <w:jc w:val="left"/>
                              <w:rPr>
                                <w:sz w:val="20"/>
                                <w:szCs w:val="20"/>
                                <w:lang w:val="sq-AL"/>
                              </w:rPr>
                            </w:pPr>
                            <w:r w:rsidRPr="00C4207C">
                              <w:rPr>
                                <w:sz w:val="20"/>
                                <w:szCs w:val="20"/>
                                <w:lang w:val="sq-AL"/>
                              </w:rPr>
                              <w:t xml:space="preserve">Ariel Halimi (1963) </w:t>
                            </w:r>
                          </w:p>
                        </w:tc>
                        <w:tc>
                          <w:tcPr>
                            <w:tcW w:w="2160" w:type="dxa"/>
                          </w:tcPr>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Shtetet e Bashkuara të Amerikës</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Kanada</w:t>
                            </w:r>
                          </w:p>
                          <w:p w:rsidR="007B2F0B" w:rsidRPr="00C4207C" w:rsidRDefault="007B2F0B" w:rsidP="00AD2DDC">
                            <w:pPr>
                              <w:pStyle w:val="Paragrafi"/>
                              <w:ind w:firstLine="0"/>
                              <w:jc w:val="left"/>
                              <w:rPr>
                                <w:sz w:val="20"/>
                                <w:szCs w:val="20"/>
                                <w:lang w:val="sq-AL"/>
                              </w:rPr>
                            </w:pPr>
                            <w:r w:rsidRPr="00C4207C">
                              <w:rPr>
                                <w:sz w:val="20"/>
                                <w:szCs w:val="20"/>
                                <w:lang w:val="sq-AL"/>
                              </w:rPr>
                              <w:t>Kanada</w:t>
                            </w:r>
                          </w:p>
                          <w:p w:rsidR="007B2F0B" w:rsidRPr="00C4207C" w:rsidRDefault="007B2F0B" w:rsidP="00AD2DDC">
                            <w:pPr>
                              <w:pStyle w:val="Paragrafi"/>
                              <w:ind w:firstLine="0"/>
                              <w:jc w:val="left"/>
                              <w:rPr>
                                <w:sz w:val="20"/>
                                <w:szCs w:val="20"/>
                                <w:lang w:val="sq-AL"/>
                              </w:rPr>
                            </w:pPr>
                            <w:r w:rsidRPr="00C4207C">
                              <w:rPr>
                                <w:sz w:val="20"/>
                                <w:szCs w:val="20"/>
                                <w:lang w:val="sq-AL"/>
                              </w:rPr>
                              <w:t>Shtetet e Bashkuara të Amerikës</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Shtetet e Bashkuara të Amerikës</w:t>
                            </w:r>
                          </w:p>
                          <w:p w:rsidR="007B2F0B" w:rsidRPr="00C4207C" w:rsidRDefault="007B2F0B" w:rsidP="00AD2DDC">
                            <w:pPr>
                              <w:pStyle w:val="Paragrafi"/>
                              <w:ind w:firstLine="0"/>
                              <w:jc w:val="left"/>
                              <w:rPr>
                                <w:sz w:val="20"/>
                                <w:szCs w:val="20"/>
                                <w:lang w:val="sq-AL"/>
                              </w:rPr>
                            </w:pPr>
                            <w:r w:rsidRPr="00C4207C">
                              <w:rPr>
                                <w:sz w:val="20"/>
                                <w:szCs w:val="20"/>
                                <w:lang w:val="sq-AL"/>
                              </w:rPr>
                              <w:t>Shtetet e Bashkuara të Amerikës</w:t>
                            </w:r>
                          </w:p>
                          <w:p w:rsidR="007B2F0B" w:rsidRPr="00C4207C" w:rsidRDefault="007B2F0B" w:rsidP="00AD2DDC">
                            <w:pPr>
                              <w:pStyle w:val="Paragrafi"/>
                              <w:ind w:firstLine="0"/>
                              <w:jc w:val="left"/>
                              <w:rPr>
                                <w:sz w:val="20"/>
                                <w:szCs w:val="20"/>
                                <w:lang w:val="sq-AL"/>
                              </w:rPr>
                            </w:pPr>
                            <w:r w:rsidRPr="00C4207C">
                              <w:rPr>
                                <w:sz w:val="20"/>
                                <w:szCs w:val="20"/>
                                <w:lang w:val="sq-AL"/>
                              </w:rPr>
                              <w:t>Shtetet e Bashkuara të Amerikës</w:t>
                            </w:r>
                          </w:p>
                          <w:p w:rsidR="007B2F0B" w:rsidRPr="00C4207C" w:rsidRDefault="007B2F0B" w:rsidP="00AD2DDC">
                            <w:pPr>
                              <w:pStyle w:val="Paragrafi"/>
                              <w:ind w:firstLine="0"/>
                              <w:jc w:val="left"/>
                              <w:rPr>
                                <w:sz w:val="20"/>
                                <w:szCs w:val="20"/>
                                <w:lang w:val="sq-AL"/>
                              </w:rPr>
                            </w:pPr>
                            <w:r w:rsidRPr="00C4207C">
                              <w:rPr>
                                <w:sz w:val="20"/>
                                <w:szCs w:val="20"/>
                                <w:lang w:val="sq-AL"/>
                              </w:rPr>
                              <w:t>Shtetet e Bashkuara të Amerikës</w:t>
                            </w:r>
                          </w:p>
                          <w:p w:rsidR="007B2F0B" w:rsidRPr="00C4207C" w:rsidRDefault="007B2F0B" w:rsidP="00AD2DDC">
                            <w:pPr>
                              <w:pStyle w:val="Paragrafi"/>
                              <w:ind w:firstLine="0"/>
                              <w:jc w:val="left"/>
                              <w:rPr>
                                <w:sz w:val="20"/>
                                <w:szCs w:val="20"/>
                                <w:lang w:val="sq-AL"/>
                              </w:rPr>
                            </w:pPr>
                            <w:r w:rsidRPr="00C4207C">
                              <w:rPr>
                                <w:sz w:val="20"/>
                                <w:szCs w:val="20"/>
                                <w:lang w:val="sq-AL"/>
                              </w:rPr>
                              <w:t>Kanada</w:t>
                            </w:r>
                          </w:p>
                          <w:p w:rsidR="007B2F0B" w:rsidRPr="00C4207C" w:rsidRDefault="007B2F0B" w:rsidP="00AD2DDC">
                            <w:pPr>
                              <w:pStyle w:val="Paragrafi"/>
                              <w:ind w:firstLine="0"/>
                              <w:jc w:val="left"/>
                              <w:rPr>
                                <w:sz w:val="20"/>
                                <w:szCs w:val="20"/>
                                <w:lang w:val="sq-AL"/>
                              </w:rPr>
                            </w:pP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p w:rsidR="007B2F0B" w:rsidRPr="00C4207C" w:rsidRDefault="007B2F0B" w:rsidP="00AD2DDC">
                            <w:pPr>
                              <w:pStyle w:val="Paragrafi"/>
                              <w:ind w:firstLine="0"/>
                              <w:jc w:val="left"/>
                              <w:rPr>
                                <w:sz w:val="20"/>
                                <w:szCs w:val="20"/>
                                <w:lang w:val="sq-AL"/>
                              </w:rPr>
                            </w:pPr>
                            <w:r w:rsidRPr="00C4207C">
                              <w:rPr>
                                <w:sz w:val="20"/>
                                <w:szCs w:val="20"/>
                                <w:lang w:val="sq-AL"/>
                              </w:rPr>
                              <w:t>Shqipëri</w:t>
                            </w:r>
                          </w:p>
                        </w:tc>
                        <w:tc>
                          <w:tcPr>
                            <w:tcW w:w="1620" w:type="dxa"/>
                          </w:tcPr>
                          <w:p w:rsidR="007B2F0B" w:rsidRPr="00C4207C" w:rsidRDefault="007B2F0B" w:rsidP="00AD2DDC">
                            <w:pPr>
                              <w:pStyle w:val="Paragrafi"/>
                              <w:ind w:firstLine="0"/>
                              <w:rPr>
                                <w:sz w:val="20"/>
                                <w:szCs w:val="20"/>
                                <w:lang w:val="sq-AL"/>
                              </w:rPr>
                            </w:pPr>
                            <w:r w:rsidRPr="00C4207C">
                              <w:rPr>
                                <w:sz w:val="20"/>
                                <w:szCs w:val="20"/>
                                <w:lang w:val="sq-AL"/>
                              </w:rPr>
                              <w:t xml:space="preserve">S. Puto, avokat </w:t>
                            </w:r>
                          </w:p>
                        </w:tc>
                        <w:tc>
                          <w:tcPr>
                            <w:tcW w:w="1484" w:type="dxa"/>
                          </w:tcPr>
                          <w:p w:rsidR="007B2F0B" w:rsidRPr="00C4207C" w:rsidRDefault="007B2F0B" w:rsidP="00AD2DDC">
                            <w:pPr>
                              <w:pStyle w:val="Paragrafi"/>
                              <w:ind w:firstLine="0"/>
                              <w:rPr>
                                <w:sz w:val="20"/>
                                <w:szCs w:val="20"/>
                                <w:lang w:val="sq-AL"/>
                              </w:rPr>
                            </w:pPr>
                            <w:r w:rsidRPr="00C4207C">
                              <w:rPr>
                                <w:sz w:val="20"/>
                                <w:szCs w:val="20"/>
                                <w:lang w:val="sq-AL"/>
                              </w:rPr>
                              <w:t xml:space="preserve">14 </w:t>
                            </w:r>
                            <w:r>
                              <w:rPr>
                                <w:sz w:val="20"/>
                                <w:szCs w:val="20"/>
                                <w:lang w:val="sq-AL"/>
                              </w:rPr>
                              <w:t>m</w:t>
                            </w:r>
                            <w:r w:rsidRPr="00C4207C">
                              <w:rPr>
                                <w:sz w:val="20"/>
                                <w:szCs w:val="20"/>
                                <w:lang w:val="sq-AL"/>
                              </w:rPr>
                              <w:t>ars 2011</w:t>
                            </w:r>
                          </w:p>
                        </w:tc>
                      </w:tr>
                    </w:tbl>
                    <w:p w:rsidR="007B2F0B" w:rsidRDefault="007B2F0B" w:rsidP="007B2F0B">
                      <w:pPr>
                        <w:spacing w:after="0" w:line="240" w:lineRule="auto"/>
                        <w:ind w:firstLine="0"/>
                      </w:pPr>
                    </w:p>
                  </w:txbxContent>
                </v:textbox>
              </v:rect>
            </w:pict>
          </mc:Fallback>
        </mc:AlternateContent>
      </w:r>
    </w:p>
    <w:p w:rsidR="007B2F0B" w:rsidRPr="00F52A19" w:rsidRDefault="007B2F0B" w:rsidP="007B2F0B">
      <w:pPr>
        <w:pStyle w:val="Paragrafi"/>
        <w:rPr>
          <w:lang w:val="sq-AL"/>
        </w:rPr>
      </w:pPr>
    </w:p>
    <w:p w:rsidR="007B2F0B" w:rsidRPr="00F52A19" w:rsidRDefault="007B2F0B" w:rsidP="007B2F0B">
      <w:pPr>
        <w:pStyle w:val="BodyText3"/>
        <w:widowControl w:val="0"/>
        <w:tabs>
          <w:tab w:val="left" w:pos="5434"/>
        </w:tabs>
        <w:spacing w:after="0"/>
        <w:rPr>
          <w:rFonts w:ascii="Garamond" w:hAnsi="Garamond"/>
          <w:b/>
          <w:sz w:val="24"/>
          <w:szCs w:val="24"/>
          <w:lang w:val="sq-AL"/>
        </w:rPr>
      </w:pPr>
    </w:p>
    <w:p w:rsidR="007B2F0B" w:rsidRPr="00F52A19" w:rsidRDefault="007B2F0B" w:rsidP="007B2F0B">
      <w:pPr>
        <w:pStyle w:val="Paragrafi"/>
        <w:rPr>
          <w:lang w:val="sq-AL"/>
        </w:rPr>
      </w:pPr>
      <w:r w:rsidRPr="00F52A19">
        <w:rPr>
          <w:lang w:val="sq-AL"/>
        </w:rPr>
        <w:t xml:space="preserve"> </w:t>
      </w: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7B2F0B" w:rsidRPr="00F52A19" w:rsidRDefault="007B2F0B" w:rsidP="007B2F0B">
      <w:pPr>
        <w:pStyle w:val="Paragrafi"/>
        <w:rPr>
          <w:lang w:val="sq-AL"/>
        </w:rPr>
      </w:pPr>
    </w:p>
    <w:p w:rsidR="00A370B3" w:rsidRDefault="00A370B3"/>
    <w:sectPr w:rsidR="00A370B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F0B" w:rsidRDefault="007B2F0B" w:rsidP="007B2F0B">
      <w:pPr>
        <w:spacing w:after="0" w:line="240" w:lineRule="auto"/>
      </w:pPr>
      <w:r>
        <w:separator/>
      </w:r>
    </w:p>
  </w:endnote>
  <w:endnote w:type="continuationSeparator" w:id="0">
    <w:p w:rsidR="007B2F0B" w:rsidRDefault="007B2F0B" w:rsidP="007B2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F0B" w:rsidRDefault="007B2F0B" w:rsidP="007B2F0B">
      <w:pPr>
        <w:spacing w:after="0" w:line="240" w:lineRule="auto"/>
      </w:pPr>
      <w:r>
        <w:separator/>
      </w:r>
    </w:p>
  </w:footnote>
  <w:footnote w:type="continuationSeparator" w:id="0">
    <w:p w:rsidR="007B2F0B" w:rsidRDefault="007B2F0B" w:rsidP="007B2F0B">
      <w:pPr>
        <w:spacing w:after="0" w:line="240" w:lineRule="auto"/>
      </w:pPr>
      <w:r>
        <w:continuationSeparator/>
      </w:r>
    </w:p>
  </w:footnote>
  <w:footnote w:id="1">
    <w:p w:rsidR="007B2F0B" w:rsidRPr="00D82872" w:rsidRDefault="007B2F0B" w:rsidP="007B2F0B">
      <w:pPr>
        <w:pStyle w:val="NoSpacing"/>
        <w:jc w:val="both"/>
        <w:rPr>
          <w:rFonts w:ascii="Garamond" w:hAnsi="Garamond"/>
          <w:sz w:val="20"/>
          <w:szCs w:val="20"/>
        </w:rPr>
      </w:pPr>
      <w:r w:rsidRPr="00D82872">
        <w:rPr>
          <w:rStyle w:val="FootnoteReference"/>
          <w:rFonts w:ascii="Garamond" w:hAnsi="Garamond"/>
          <w:sz w:val="20"/>
          <w:szCs w:val="20"/>
        </w:rPr>
        <w:footnoteRef/>
      </w:r>
      <w:r w:rsidRPr="00D82872">
        <w:rPr>
          <w:rFonts w:ascii="Garamond" w:hAnsi="Garamond"/>
          <w:sz w:val="20"/>
          <w:szCs w:val="20"/>
        </w:rPr>
        <w:t xml:space="preserve"> Korrigjuar më 26 </w:t>
      </w:r>
      <w:r>
        <w:rPr>
          <w:rFonts w:ascii="Garamond" w:hAnsi="Garamond"/>
          <w:sz w:val="20"/>
          <w:szCs w:val="20"/>
        </w:rPr>
        <w:t>p</w:t>
      </w:r>
      <w:r w:rsidRPr="00D82872">
        <w:rPr>
          <w:rFonts w:ascii="Garamond" w:hAnsi="Garamond"/>
          <w:sz w:val="20"/>
          <w:szCs w:val="20"/>
        </w:rPr>
        <w:t xml:space="preserve">rill 2016: është hequr pjesa “që nga data në të cilën vendimi bëhet i formës së prerë në përputhje me </w:t>
      </w:r>
      <w:r>
        <w:rPr>
          <w:rFonts w:ascii="Garamond" w:hAnsi="Garamond"/>
          <w:sz w:val="20"/>
          <w:szCs w:val="20"/>
        </w:rPr>
        <w:t>n</w:t>
      </w:r>
      <w:r w:rsidRPr="00D82872">
        <w:rPr>
          <w:rFonts w:ascii="Garamond" w:hAnsi="Garamond"/>
          <w:sz w:val="20"/>
          <w:szCs w:val="20"/>
        </w:rPr>
        <w:t xml:space="preserve">enin 44§2 të Konventës”. </w:t>
      </w:r>
    </w:p>
  </w:footnote>
  <w:footnote w:id="2">
    <w:p w:rsidR="007B2F0B" w:rsidRDefault="007B2F0B" w:rsidP="007B2F0B">
      <w:pPr>
        <w:pStyle w:val="NoSpacing"/>
        <w:jc w:val="both"/>
        <w:rPr>
          <w:rFonts w:ascii="Garamond" w:hAnsi="Garamond"/>
          <w:sz w:val="18"/>
          <w:szCs w:val="18"/>
        </w:rPr>
      </w:pPr>
      <w:r w:rsidRPr="00CF5319">
        <w:rPr>
          <w:rStyle w:val="FootnoteReference"/>
          <w:rFonts w:ascii="Garamond" w:hAnsi="Garamond"/>
          <w:sz w:val="18"/>
          <w:szCs w:val="18"/>
        </w:rPr>
        <w:footnoteRef/>
      </w:r>
      <w:r w:rsidRPr="00CF5319">
        <w:rPr>
          <w:rFonts w:ascii="Garamond" w:hAnsi="Garamond"/>
          <w:sz w:val="18"/>
          <w:szCs w:val="18"/>
        </w:rPr>
        <w:t xml:space="preserve"> Korrigjuar më 26 prill 2016: ësh</w:t>
      </w:r>
      <w:r>
        <w:rPr>
          <w:rFonts w:ascii="Garamond" w:hAnsi="Garamond"/>
          <w:sz w:val="18"/>
          <w:szCs w:val="18"/>
        </w:rPr>
        <w:t>të shtuar pjesa “plus çdo taksë</w:t>
      </w:r>
    </w:p>
    <w:p w:rsidR="007B2F0B" w:rsidRPr="00CF5319" w:rsidRDefault="007B2F0B" w:rsidP="007B2F0B">
      <w:pPr>
        <w:pStyle w:val="NoSpacing"/>
        <w:jc w:val="both"/>
        <w:rPr>
          <w:rFonts w:ascii="Garamond" w:hAnsi="Garamond"/>
          <w:sz w:val="18"/>
          <w:szCs w:val="18"/>
        </w:rPr>
      </w:pPr>
      <w:r w:rsidRPr="00CF5319">
        <w:rPr>
          <w:rFonts w:ascii="Garamond" w:hAnsi="Garamond"/>
          <w:sz w:val="18"/>
          <w:szCs w:val="18"/>
        </w:rPr>
        <w:t xml:space="preserve">që mund të jetë e tarifueshme”.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F0B"/>
    <w:rsid w:val="005E13A2"/>
    <w:rsid w:val="007B2F0B"/>
    <w:rsid w:val="00A370B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F0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B2F0B"/>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7B2F0B"/>
    <w:rPr>
      <w:rFonts w:ascii="Times New Roman" w:eastAsia="Times New Roman" w:hAnsi="Times New Roman" w:cs="Times New Roman"/>
      <w:sz w:val="24"/>
      <w:szCs w:val="24"/>
    </w:rPr>
  </w:style>
  <w:style w:type="paragraph" w:customStyle="1" w:styleId="Paragrafi">
    <w:name w:val="Paragrafi"/>
    <w:link w:val="ParagrafiChar"/>
    <w:rsid w:val="007B2F0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B2F0B"/>
    <w:rPr>
      <w:rFonts w:ascii="Garamond" w:eastAsia="MS Mincho" w:hAnsi="Garamond" w:cs="CG Times"/>
      <w:sz w:val="24"/>
      <w:lang w:val="en-US"/>
    </w:rPr>
  </w:style>
  <w:style w:type="paragraph" w:customStyle="1" w:styleId="NeniNr">
    <w:name w:val="Neni_Nr"/>
    <w:next w:val="Normal"/>
    <w:link w:val="NeniNrChar"/>
    <w:rsid w:val="007B2F0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B2F0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B2F0B"/>
    <w:rPr>
      <w:rFonts w:ascii="Garamond" w:eastAsia="MS Mincho" w:hAnsi="Garamond" w:cs="CG Times"/>
      <w:sz w:val="24"/>
      <w:lang w:val="en-GB"/>
    </w:rPr>
  </w:style>
  <w:style w:type="table" w:styleId="TableGrid">
    <w:name w:val="Table Grid"/>
    <w:basedOn w:val="TableNormal"/>
    <w:uiPriority w:val="59"/>
    <w:rsid w:val="007B2F0B"/>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rsid w:val="007B2F0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B2F0B"/>
    <w:rPr>
      <w:rFonts w:ascii="Times New Roman" w:eastAsia="Times New Roman" w:hAnsi="Times New Roman" w:cs="Times New Roman"/>
      <w:sz w:val="16"/>
      <w:szCs w:val="16"/>
      <w:lang w:val="en-US"/>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7B2F0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F0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B2F0B"/>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7B2F0B"/>
    <w:rPr>
      <w:rFonts w:ascii="Times New Roman" w:eastAsia="Times New Roman" w:hAnsi="Times New Roman" w:cs="Times New Roman"/>
      <w:sz w:val="24"/>
      <w:szCs w:val="24"/>
    </w:rPr>
  </w:style>
  <w:style w:type="paragraph" w:customStyle="1" w:styleId="Paragrafi">
    <w:name w:val="Paragrafi"/>
    <w:link w:val="ParagrafiChar"/>
    <w:rsid w:val="007B2F0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B2F0B"/>
    <w:rPr>
      <w:rFonts w:ascii="Garamond" w:eastAsia="MS Mincho" w:hAnsi="Garamond" w:cs="CG Times"/>
      <w:sz w:val="24"/>
      <w:lang w:val="en-US"/>
    </w:rPr>
  </w:style>
  <w:style w:type="paragraph" w:customStyle="1" w:styleId="NeniNr">
    <w:name w:val="Neni_Nr"/>
    <w:next w:val="Normal"/>
    <w:link w:val="NeniNrChar"/>
    <w:rsid w:val="007B2F0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B2F0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B2F0B"/>
    <w:rPr>
      <w:rFonts w:ascii="Garamond" w:eastAsia="MS Mincho" w:hAnsi="Garamond" w:cs="CG Times"/>
      <w:sz w:val="24"/>
      <w:lang w:val="en-GB"/>
    </w:rPr>
  </w:style>
  <w:style w:type="table" w:styleId="TableGrid">
    <w:name w:val="Table Grid"/>
    <w:basedOn w:val="TableNormal"/>
    <w:uiPriority w:val="59"/>
    <w:rsid w:val="007B2F0B"/>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rsid w:val="007B2F0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B2F0B"/>
    <w:rPr>
      <w:rFonts w:ascii="Times New Roman" w:eastAsia="Times New Roman" w:hAnsi="Times New Roman" w:cs="Times New Roman"/>
      <w:sz w:val="16"/>
      <w:szCs w:val="16"/>
      <w:lang w:val="en-US"/>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7B2F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2239</Words>
  <Characters>12766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2016-06-20T11:56:00Z</dcterms:created>
  <dcterms:modified xsi:type="dcterms:W3CDTF">2018-01-19T12:08:00Z</dcterms:modified>
</cp:coreProperties>
</file>