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14F" w:rsidRPr="00E5632B" w:rsidRDefault="00BF314F" w:rsidP="00BF314F">
      <w:pPr>
        <w:pStyle w:val="NeniTitull"/>
        <w:rPr>
          <w:spacing w:val="-4"/>
          <w:lang w:val="sq-AL"/>
        </w:rPr>
      </w:pPr>
      <w:bookmarkStart w:id="0" w:name="To"/>
      <w:bookmarkStart w:id="1" w:name="_GoBack"/>
      <w:bookmarkEnd w:id="1"/>
      <w:r w:rsidRPr="00E5632B">
        <w:rPr>
          <w:spacing w:val="-4"/>
          <w:lang w:val="sq-AL"/>
        </w:rPr>
        <w:t xml:space="preserve">ÇËSHTJA </w:t>
      </w:r>
      <w:bookmarkEnd w:id="0"/>
      <w:r w:rsidRPr="00E5632B">
        <w:rPr>
          <w:spacing w:val="-4"/>
          <w:lang w:val="sq-AL"/>
        </w:rPr>
        <w:t>QERIMI DHE CANAJ kundër SHQIPËRISË</w:t>
      </w:r>
    </w:p>
    <w:p w:rsidR="00BF314F" w:rsidRPr="00E5632B" w:rsidRDefault="00BF314F" w:rsidP="00BF314F">
      <w:pPr>
        <w:pStyle w:val="NeniTitull"/>
        <w:rPr>
          <w:spacing w:val="-4"/>
          <w:lang w:val="sq-AL"/>
        </w:rPr>
      </w:pPr>
      <w:r w:rsidRPr="00E5632B">
        <w:rPr>
          <w:spacing w:val="-4"/>
          <w:lang w:val="sq-AL"/>
        </w:rPr>
        <w:t>(Ankimet nr. 12878/10 dhe 74858/12)</w:t>
      </w:r>
    </w:p>
    <w:p w:rsidR="00BF314F" w:rsidRPr="00E5632B" w:rsidRDefault="00BF314F" w:rsidP="00BF314F">
      <w:pPr>
        <w:pStyle w:val="Hapesira7"/>
        <w:rPr>
          <w:lang w:val="sq-AL"/>
        </w:rPr>
      </w:pPr>
    </w:p>
    <w:p w:rsidR="00BF314F" w:rsidRPr="00E5632B" w:rsidRDefault="00BF314F" w:rsidP="00BF314F">
      <w:pPr>
        <w:pStyle w:val="NeniTitull"/>
        <w:rPr>
          <w:spacing w:val="-4"/>
          <w:lang w:val="sq-AL"/>
        </w:rPr>
      </w:pPr>
      <w:r w:rsidRPr="00E5632B">
        <w:rPr>
          <w:spacing w:val="-4"/>
          <w:lang w:val="sq-AL"/>
        </w:rPr>
        <w:t>VENDIM</w:t>
      </w:r>
    </w:p>
    <w:p w:rsidR="00BF314F" w:rsidRPr="00E5632B" w:rsidRDefault="00BF314F" w:rsidP="00BF314F">
      <w:pPr>
        <w:pStyle w:val="NeniTitull"/>
        <w:rPr>
          <w:spacing w:val="-4"/>
          <w:lang w:val="sq-AL"/>
        </w:rPr>
      </w:pPr>
      <w:r w:rsidRPr="00E5632B">
        <w:rPr>
          <w:spacing w:val="-4"/>
          <w:lang w:val="sq-AL"/>
        </w:rPr>
        <w:t>STRASBURG</w:t>
      </w:r>
    </w:p>
    <w:p w:rsidR="00BF314F" w:rsidRPr="00E5632B" w:rsidRDefault="00BF314F" w:rsidP="00BF314F">
      <w:pPr>
        <w:pStyle w:val="NeniTitull"/>
        <w:rPr>
          <w:spacing w:val="-4"/>
          <w:lang w:val="sq-AL"/>
        </w:rPr>
      </w:pPr>
      <w:r w:rsidRPr="00E5632B">
        <w:rPr>
          <w:spacing w:val="-4"/>
          <w:lang w:val="sq-AL"/>
        </w:rPr>
        <w:t>8 shtator 2016</w:t>
      </w:r>
    </w:p>
    <w:p w:rsidR="00BF314F" w:rsidRPr="00E5632B" w:rsidRDefault="00BF314F" w:rsidP="00BF314F">
      <w:pPr>
        <w:pStyle w:val="Hapesira7"/>
        <w:rPr>
          <w:lang w:val="sq-AL"/>
        </w:rPr>
      </w:pP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Ky vendim është i formës së prerë, por mund të bëhet objekt për rishikim redaktues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Në çështjen Qerimi dhe Canaj kundër Shqipërisë,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Gjykata Evropiane e të Drejtave të Njeriut (Seksioni i Parë), e mbledhur si një Komitet i përbërë nga: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ab/>
        <w:t xml:space="preserve">Aleš Pejchal, </w:t>
      </w:r>
      <w:r w:rsidRPr="00E5632B">
        <w:rPr>
          <w:i/>
          <w:spacing w:val="-4"/>
          <w:lang w:val="sq-AL"/>
        </w:rPr>
        <w:t>president</w:t>
      </w:r>
      <w:r w:rsidRPr="00E5632B">
        <w:rPr>
          <w:spacing w:val="-4"/>
          <w:lang w:val="sq-AL"/>
        </w:rPr>
        <w:t>,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Ledi Bianku,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Armen Harutyunyan, </w:t>
      </w:r>
      <w:r w:rsidRPr="00E5632B">
        <w:rPr>
          <w:i/>
          <w:spacing w:val="-4"/>
          <w:lang w:val="sq-AL"/>
        </w:rPr>
        <w:t>gjyqtarë</w:t>
      </w:r>
      <w:r w:rsidRPr="00E5632B">
        <w:rPr>
          <w:spacing w:val="-4"/>
          <w:lang w:val="sq-AL"/>
        </w:rPr>
        <w:t>,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dhe Abel Campos, </w:t>
      </w:r>
      <w:r w:rsidRPr="00E5632B">
        <w:rPr>
          <w:i/>
          <w:spacing w:val="-4"/>
          <w:lang w:val="sq-AL"/>
        </w:rPr>
        <w:t>regjistrues</w:t>
      </w:r>
      <w:r w:rsidRPr="00E5632B">
        <w:rPr>
          <w:spacing w:val="-4"/>
          <w:lang w:val="sq-AL"/>
        </w:rPr>
        <w:t xml:space="preserve"> i Seksionit,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Pasi kanë diskutuar me dyer të mbyllura, më 10 maj 2016,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Pasi kanë vërejtur se çështja ligjore në ankesat e mëposhtme tashmë është objekt i një praktike gjyqësore të mirëpërcaktuar të Gjykatës (shiko </w:t>
      </w:r>
      <w:r w:rsidRPr="00E5632B">
        <w:rPr>
          <w:i/>
          <w:spacing w:val="-4"/>
          <w:lang w:val="sq-AL"/>
        </w:rPr>
        <w:t>Manushaqe Puto dhe të tjerët kundër Shqipërisë</w:t>
      </w:r>
      <w:r w:rsidRPr="00E5632B">
        <w:rPr>
          <w:spacing w:val="-4"/>
          <w:lang w:val="sq-AL"/>
        </w:rPr>
        <w:t>, nr. 604/07, 43628/07, 46684/07 dhe 34770/09, § 31 korrik 2012),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Lëshon vendimin e mëposhtëm, i cili u miratua në po atë datë: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PROCEDURA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fldChar w:fldCharType="begin"/>
      </w:r>
      <w:r w:rsidRPr="00E5632B">
        <w:rPr>
          <w:spacing w:val="-4"/>
          <w:lang w:val="sq-AL"/>
        </w:rPr>
        <w:instrText xml:space="preserve"> SEQ level0 \*arabic </w:instrText>
      </w:r>
      <w:r w:rsidRPr="00E5632B">
        <w:rPr>
          <w:spacing w:val="-4"/>
          <w:lang w:val="sq-AL"/>
        </w:rPr>
        <w:fldChar w:fldCharType="separate"/>
      </w:r>
      <w:r w:rsidR="00731E15">
        <w:rPr>
          <w:noProof/>
          <w:spacing w:val="-4"/>
          <w:lang w:val="sq-AL"/>
        </w:rPr>
        <w:t>1</w:t>
      </w:r>
      <w:r w:rsidRPr="00E5632B">
        <w:rPr>
          <w:spacing w:val="-4"/>
          <w:lang w:val="sq-AL"/>
        </w:rPr>
        <w:fldChar w:fldCharType="end"/>
      </w:r>
      <w:r w:rsidRPr="00E5632B">
        <w:rPr>
          <w:spacing w:val="-4"/>
          <w:lang w:val="sq-AL"/>
        </w:rPr>
        <w:t xml:space="preserve">.  Çështja filloi me dy ankime (nr. 12878/10 dhe 74858/12), kundër Republikës së Shqipërisë paraqitur në Gjykatë nga dy shtetas shqiptarë sipas nenit 34 të Konventës për Mbrojtjen e të Drejtave të Njeriut dhe Lirive Themelore (“Konventa”). Detajet e ankuesve përcaktohen në shtojcën nr. 1, bashkangjitur vendimit.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fldChar w:fldCharType="begin"/>
      </w:r>
      <w:r w:rsidRPr="00E5632B">
        <w:rPr>
          <w:spacing w:val="-4"/>
          <w:lang w:val="sq-AL"/>
        </w:rPr>
        <w:instrText xml:space="preserve"> SEQ level0 \*arabic </w:instrText>
      </w:r>
      <w:r w:rsidRPr="00E5632B">
        <w:rPr>
          <w:spacing w:val="-4"/>
          <w:lang w:val="sq-AL"/>
        </w:rPr>
        <w:fldChar w:fldCharType="separate"/>
      </w:r>
      <w:r w:rsidR="00731E15">
        <w:rPr>
          <w:noProof/>
          <w:spacing w:val="-4"/>
          <w:lang w:val="sq-AL"/>
        </w:rPr>
        <w:t>2</w:t>
      </w:r>
      <w:r w:rsidRPr="00E5632B">
        <w:rPr>
          <w:spacing w:val="-4"/>
          <w:lang w:val="sq-AL"/>
        </w:rPr>
        <w:fldChar w:fldCharType="end"/>
      </w:r>
      <w:r w:rsidRPr="00E5632B">
        <w:rPr>
          <w:spacing w:val="-4"/>
          <w:lang w:val="sq-AL"/>
        </w:rPr>
        <w:t xml:space="preserve">.  Qeveria e Shqipërisë (“Qeveria”) u përfaqësua nga Agjentja e saj e asaj kohe, znj. A. Hicka nga Zyra e Avokatit të Popullit.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fldChar w:fldCharType="begin"/>
      </w:r>
      <w:r w:rsidRPr="00E5632B">
        <w:rPr>
          <w:spacing w:val="-4"/>
          <w:lang w:val="sq-AL"/>
        </w:rPr>
        <w:instrText xml:space="preserve"> SEQ level0 \*arabic </w:instrText>
      </w:r>
      <w:r w:rsidRPr="00E5632B">
        <w:rPr>
          <w:spacing w:val="-4"/>
          <w:lang w:val="sq-AL"/>
        </w:rPr>
        <w:fldChar w:fldCharType="separate"/>
      </w:r>
      <w:r w:rsidR="00731E15">
        <w:rPr>
          <w:noProof/>
          <w:spacing w:val="-4"/>
          <w:lang w:val="sq-AL"/>
        </w:rPr>
        <w:t>3</w:t>
      </w:r>
      <w:r w:rsidRPr="00E5632B">
        <w:rPr>
          <w:spacing w:val="-4"/>
          <w:lang w:val="sq-AL"/>
        </w:rPr>
        <w:fldChar w:fldCharType="end"/>
      </w:r>
      <w:r w:rsidRPr="00E5632B">
        <w:rPr>
          <w:spacing w:val="-4"/>
          <w:lang w:val="sq-AL"/>
        </w:rPr>
        <w:t>.  Më 20 dhjetor 2013, ankimet iu komunikuan Qeverisë.</w:t>
      </w:r>
    </w:p>
    <w:bookmarkStart w:id="2" w:name="Gvtfailure"/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fldChar w:fldCharType="begin"/>
      </w:r>
      <w:r w:rsidRPr="00E5632B">
        <w:rPr>
          <w:spacing w:val="-4"/>
          <w:lang w:val="sq-AL"/>
        </w:rPr>
        <w:instrText xml:space="preserve"> SEQ level0 \*arabic </w:instrText>
      </w:r>
      <w:r w:rsidRPr="00E5632B">
        <w:rPr>
          <w:spacing w:val="-4"/>
          <w:lang w:val="sq-AL"/>
        </w:rPr>
        <w:fldChar w:fldCharType="separate"/>
      </w:r>
      <w:r w:rsidR="00731E15">
        <w:rPr>
          <w:noProof/>
          <w:spacing w:val="-4"/>
          <w:lang w:val="sq-AL"/>
        </w:rPr>
        <w:t>4</w:t>
      </w:r>
      <w:r w:rsidRPr="00E5632B">
        <w:rPr>
          <w:spacing w:val="-4"/>
          <w:lang w:val="sq-AL"/>
        </w:rPr>
        <w:fldChar w:fldCharType="end"/>
      </w:r>
      <w:bookmarkEnd w:id="2"/>
      <w:r w:rsidRPr="00E5632B">
        <w:rPr>
          <w:spacing w:val="-4"/>
          <w:lang w:val="sq-AL"/>
        </w:rPr>
        <w:t>.  Ankuesit nuk paraqitën pretendime për kompensim të drejtë brenda afatit kohor të lejuar (Rregulli 60 i Rregullores së Gjykatës).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FAKTET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I.  RRETHANAT E ÇËSHTJES</w:t>
      </w:r>
    </w:p>
    <w:p w:rsidR="00BF314F" w:rsidRPr="00E5632B" w:rsidRDefault="00BF314F" w:rsidP="00BF314F">
      <w:pPr>
        <w:pStyle w:val="Paragrafi"/>
        <w:rPr>
          <w:b/>
          <w:spacing w:val="-4"/>
          <w:lang w:val="sq-AL"/>
        </w:rPr>
      </w:pPr>
      <w:r w:rsidRPr="00E5632B">
        <w:rPr>
          <w:b/>
          <w:spacing w:val="-4"/>
          <w:lang w:val="sq-AL"/>
        </w:rPr>
        <w:t>A.  Ankimi nr. 12878/10: Qerimi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fldChar w:fldCharType="begin"/>
      </w:r>
      <w:r w:rsidRPr="00E5632B">
        <w:rPr>
          <w:spacing w:val="-4"/>
          <w:lang w:val="sq-AL"/>
        </w:rPr>
        <w:instrText xml:space="preserve"> SEQ level0 \*arabic </w:instrText>
      </w:r>
      <w:r w:rsidRPr="00E5632B">
        <w:rPr>
          <w:spacing w:val="-4"/>
          <w:lang w:val="sq-AL"/>
        </w:rPr>
        <w:fldChar w:fldCharType="separate"/>
      </w:r>
      <w:r w:rsidR="00731E15">
        <w:rPr>
          <w:noProof/>
          <w:spacing w:val="-4"/>
          <w:lang w:val="sq-AL"/>
        </w:rPr>
        <w:t>5</w:t>
      </w:r>
      <w:r w:rsidRPr="00E5632B">
        <w:rPr>
          <w:spacing w:val="-4"/>
          <w:lang w:val="sq-AL"/>
        </w:rPr>
        <w:fldChar w:fldCharType="end"/>
      </w:r>
      <w:r w:rsidRPr="00E5632B">
        <w:rPr>
          <w:spacing w:val="-4"/>
          <w:lang w:val="sq-AL"/>
        </w:rPr>
        <w:t>.  Më 1 nëntor 2002, Komisioni i Durrësit për Kthimin dhe Kompensimin e Pronave (“Komisioni”), midis të tjerave, i njohu ankuesit të drejtat mbi pronën e trashëguar mbi një sipërfaqe toke me përmasat 8,000 m</w:t>
      </w:r>
      <w:r w:rsidRPr="00E5632B">
        <w:rPr>
          <w:spacing w:val="-4"/>
          <w:vertAlign w:val="superscript"/>
          <w:lang w:val="sq-AL"/>
        </w:rPr>
        <w:t>2</w:t>
      </w:r>
      <w:r w:rsidRPr="00E5632B">
        <w:rPr>
          <w:spacing w:val="-4"/>
          <w:lang w:val="sq-AL"/>
        </w:rPr>
        <w:t xml:space="preserve">. Duke qenë se sipërfaqja ishte e zënë, ankuesi dhe trashëgimtarët e tjerë do të kompensohej në natyrë me një sipërfaqe toke ekuivalente.  </w:t>
      </w:r>
    </w:p>
    <w:p w:rsidR="00BF314F" w:rsidRPr="00E5632B" w:rsidRDefault="00BF314F" w:rsidP="00BF314F">
      <w:pPr>
        <w:pStyle w:val="Paragrafi"/>
        <w:rPr>
          <w:b/>
          <w:spacing w:val="-4"/>
          <w:lang w:val="sq-AL"/>
        </w:rPr>
      </w:pPr>
      <w:r w:rsidRPr="00E5632B">
        <w:rPr>
          <w:b/>
          <w:spacing w:val="-4"/>
          <w:lang w:val="sq-AL"/>
        </w:rPr>
        <w:t>B.  Ankimi nr. 74858/12: Canaj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fldChar w:fldCharType="begin"/>
      </w:r>
      <w:r w:rsidRPr="00E5632B">
        <w:rPr>
          <w:spacing w:val="-4"/>
          <w:lang w:val="sq-AL"/>
        </w:rPr>
        <w:instrText xml:space="preserve"> SEQ level0 \*arabic </w:instrText>
      </w:r>
      <w:r w:rsidRPr="00E5632B">
        <w:rPr>
          <w:spacing w:val="-4"/>
          <w:lang w:val="sq-AL"/>
        </w:rPr>
        <w:fldChar w:fldCharType="separate"/>
      </w:r>
      <w:r w:rsidR="00731E15">
        <w:rPr>
          <w:noProof/>
          <w:spacing w:val="-4"/>
          <w:lang w:val="sq-AL"/>
        </w:rPr>
        <w:t>6</w:t>
      </w:r>
      <w:r w:rsidRPr="00E5632B">
        <w:rPr>
          <w:spacing w:val="-4"/>
          <w:lang w:val="sq-AL"/>
        </w:rPr>
        <w:fldChar w:fldCharType="end"/>
      </w:r>
      <w:r w:rsidRPr="00E5632B">
        <w:rPr>
          <w:spacing w:val="-4"/>
          <w:lang w:val="sq-AL"/>
        </w:rPr>
        <w:t>.  Më 23 nëntor 2001, Komisioni i Fierit, midis të tjerave, i njohu ankuesit të drejtat mbi një sipërfaqe toke të trashëguar me sipërfaqe prej 1,121 m</w:t>
      </w:r>
      <w:r w:rsidRPr="00E5632B">
        <w:rPr>
          <w:spacing w:val="-4"/>
          <w:vertAlign w:val="superscript"/>
          <w:lang w:val="sq-AL"/>
        </w:rPr>
        <w:t>2</w:t>
      </w:r>
      <w:r w:rsidRPr="00E5632B">
        <w:rPr>
          <w:spacing w:val="-4"/>
          <w:lang w:val="sq-AL"/>
        </w:rPr>
        <w:t>, nga e cila u rikthyen 598 m</w:t>
      </w:r>
      <w:r w:rsidRPr="00E5632B">
        <w:rPr>
          <w:spacing w:val="-4"/>
          <w:vertAlign w:val="superscript"/>
          <w:lang w:val="sq-AL"/>
        </w:rPr>
        <w:t>2</w:t>
      </w:r>
      <w:r w:rsidRPr="00E5632B">
        <w:rPr>
          <w:spacing w:val="-4"/>
          <w:lang w:val="sq-AL"/>
        </w:rPr>
        <w:t>. Duke qenë se sipërfaqja prej 523 m</w:t>
      </w:r>
      <w:r w:rsidRPr="00E5632B">
        <w:rPr>
          <w:spacing w:val="-4"/>
          <w:vertAlign w:val="superscript"/>
          <w:lang w:val="sq-AL"/>
        </w:rPr>
        <w:t>2</w:t>
      </w:r>
      <w:r w:rsidRPr="00E5632B">
        <w:rPr>
          <w:spacing w:val="-4"/>
          <w:lang w:val="sq-AL"/>
        </w:rPr>
        <w:t xml:space="preserve"> ishte e zënë, ankuesit dhe trashëgimtarëve të tjerë do t’iu akordohej një kompensim në shumën 251,040 lekë (“TË GJITHA”).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II.  LIGJI PËRKATËS VENDAS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fldChar w:fldCharType="begin"/>
      </w:r>
      <w:r w:rsidRPr="00E5632B">
        <w:rPr>
          <w:spacing w:val="-4"/>
          <w:lang w:val="sq-AL"/>
        </w:rPr>
        <w:instrText xml:space="preserve"> SEQ level0 \*arabic </w:instrText>
      </w:r>
      <w:r w:rsidRPr="00E5632B">
        <w:rPr>
          <w:spacing w:val="-4"/>
          <w:lang w:val="sq-AL"/>
        </w:rPr>
        <w:fldChar w:fldCharType="separate"/>
      </w:r>
      <w:r w:rsidR="00731E15">
        <w:rPr>
          <w:noProof/>
          <w:spacing w:val="-4"/>
          <w:lang w:val="sq-AL"/>
        </w:rPr>
        <w:t>7</w:t>
      </w:r>
      <w:r w:rsidRPr="00E5632B">
        <w:rPr>
          <w:spacing w:val="-4"/>
          <w:lang w:val="sq-AL"/>
        </w:rPr>
        <w:fldChar w:fldCharType="end"/>
      </w:r>
      <w:r w:rsidRPr="00E5632B">
        <w:rPr>
          <w:spacing w:val="-4"/>
          <w:lang w:val="sq-AL"/>
        </w:rPr>
        <w:t xml:space="preserve">.  Ligji dhe praktika përkatëse vendase përshkruhen në detaje ne, </w:t>
      </w:r>
      <w:r w:rsidRPr="00E5632B">
        <w:rPr>
          <w:i/>
          <w:spacing w:val="-4"/>
          <w:lang w:val="sq-AL"/>
        </w:rPr>
        <w:t>inter alia</w:t>
      </w:r>
      <w:r w:rsidRPr="00E5632B">
        <w:rPr>
          <w:spacing w:val="-4"/>
          <w:lang w:val="sq-AL"/>
        </w:rPr>
        <w:t xml:space="preserve">, vendimin Ramadhi kundër Shqipërisë (nr. 38222/02, 13 nëntor 2007); </w:t>
      </w:r>
      <w:r w:rsidRPr="00E5632B">
        <w:rPr>
          <w:i/>
          <w:spacing w:val="-4"/>
          <w:lang w:val="sq-AL"/>
        </w:rPr>
        <w:t>Manushaqe Puto dhe të tjerët kundër Shqipërisë</w:t>
      </w:r>
      <w:r w:rsidRPr="00E5632B">
        <w:rPr>
          <w:spacing w:val="-4"/>
          <w:lang w:val="sq-AL"/>
        </w:rPr>
        <w:t xml:space="preserve"> (nr. 604/07, 43628/07, 46684/07 dhe 34770/09, §§ 23–53, 31 korrik 2012) dhe, së fundmi, </w:t>
      </w:r>
      <w:r w:rsidRPr="00E5632B">
        <w:rPr>
          <w:i/>
          <w:spacing w:val="-4"/>
          <w:lang w:val="sq-AL"/>
        </w:rPr>
        <w:t>Sharra dhe të tjerët kundër Shqipërisë</w:t>
      </w:r>
      <w:r w:rsidRPr="00E5632B">
        <w:rPr>
          <w:spacing w:val="-4"/>
          <w:lang w:val="sq-AL"/>
        </w:rPr>
        <w:t xml:space="preserve"> [Komiteti] (nr. 25038/08, 64376/09, 64399/09, 347/10, 1376/10, 4036/10, 12889/10, 20240/10, 29442/10, 29617/10, 33154/11, dhe 2032/12, §§ 33–43, 10 nëntor 2015).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III.  MATERIALET E KËSHILLIT TË EVROPËS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fldChar w:fldCharType="begin"/>
      </w:r>
      <w:r w:rsidRPr="00E5632B">
        <w:rPr>
          <w:spacing w:val="-4"/>
          <w:lang w:val="sq-AL"/>
        </w:rPr>
        <w:instrText xml:space="preserve"> SEQ level0 \*arabic </w:instrText>
      </w:r>
      <w:r w:rsidRPr="00E5632B">
        <w:rPr>
          <w:spacing w:val="-4"/>
          <w:lang w:val="sq-AL"/>
        </w:rPr>
        <w:fldChar w:fldCharType="separate"/>
      </w:r>
      <w:r w:rsidR="00731E15">
        <w:rPr>
          <w:noProof/>
          <w:spacing w:val="-4"/>
          <w:lang w:val="sq-AL"/>
        </w:rPr>
        <w:t>8</w:t>
      </w:r>
      <w:r w:rsidRPr="00E5632B">
        <w:rPr>
          <w:spacing w:val="-4"/>
          <w:lang w:val="sq-AL"/>
        </w:rPr>
        <w:fldChar w:fldCharType="end"/>
      </w:r>
      <w:r w:rsidRPr="00E5632B">
        <w:rPr>
          <w:spacing w:val="-4"/>
          <w:lang w:val="sq-AL"/>
        </w:rPr>
        <w:t xml:space="preserve">.  Materialet që kanë lidhje me këtë çështje u referuan në vendimet e kësaj Gjykate: </w:t>
      </w:r>
      <w:r w:rsidRPr="00E5632B">
        <w:rPr>
          <w:i/>
          <w:spacing w:val="-4"/>
          <w:lang w:val="sq-AL"/>
        </w:rPr>
        <w:t>Sharra dhe të tjerët</w:t>
      </w:r>
      <w:r w:rsidRPr="00E5632B">
        <w:rPr>
          <w:spacing w:val="-4"/>
          <w:lang w:val="sq-AL"/>
        </w:rPr>
        <w:t xml:space="preserve">, cituar më sipër, § 44; </w:t>
      </w:r>
      <w:r w:rsidRPr="00E5632B">
        <w:rPr>
          <w:i/>
          <w:spacing w:val="-4"/>
          <w:lang w:val="sq-AL"/>
        </w:rPr>
        <w:t>Metalla dhe të tjerët kundër Shqipërisë</w:t>
      </w:r>
      <w:r w:rsidRPr="00E5632B">
        <w:rPr>
          <w:spacing w:val="-4"/>
          <w:lang w:val="sq-AL"/>
        </w:rPr>
        <w:t xml:space="preserve"> [Komiteti] (nr. 30264/08, 42120/08, 54403/08 dhe 54411/08, §§ 15–17, 16 korrik 2015); dhe </w:t>
      </w:r>
      <w:r w:rsidRPr="00E5632B">
        <w:rPr>
          <w:i/>
          <w:spacing w:val="-4"/>
          <w:lang w:val="sq-AL"/>
        </w:rPr>
        <w:t>Karagjozi dhe të tjerët kundër Shqipërisë</w:t>
      </w:r>
      <w:r w:rsidRPr="00E5632B">
        <w:rPr>
          <w:spacing w:val="-4"/>
          <w:lang w:val="sq-AL"/>
        </w:rPr>
        <w:t xml:space="preserve"> [Komiteti] (nr. 25408/06, 37419/06, 49121/06, 1504/07, 19772/07, 46685/07, 49411/07, 27242/08, 61912/08, dhe 15075/09, §§ 36–38, 8 prill 2014).</w:t>
      </w:r>
    </w:p>
    <w:p w:rsidR="00BF314F" w:rsidRPr="00E5632B" w:rsidRDefault="00BF314F" w:rsidP="00BF314F">
      <w:pPr>
        <w:pStyle w:val="Hapesira7"/>
        <w:rPr>
          <w:lang w:val="sq-AL"/>
        </w:rPr>
      </w:pP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LIGJI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I.  BASHKIMI I ANKIMEVE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fldChar w:fldCharType="begin"/>
      </w:r>
      <w:r w:rsidRPr="00E5632B">
        <w:rPr>
          <w:spacing w:val="-4"/>
          <w:lang w:val="sq-AL"/>
        </w:rPr>
        <w:instrText xml:space="preserve"> SEQ level0 \*arabic </w:instrText>
      </w:r>
      <w:r w:rsidRPr="00E5632B">
        <w:rPr>
          <w:spacing w:val="-4"/>
          <w:lang w:val="sq-AL"/>
        </w:rPr>
        <w:fldChar w:fldCharType="separate"/>
      </w:r>
      <w:r w:rsidR="00731E15">
        <w:rPr>
          <w:noProof/>
          <w:spacing w:val="-4"/>
          <w:lang w:val="sq-AL"/>
        </w:rPr>
        <w:t>9</w:t>
      </w:r>
      <w:r w:rsidRPr="00E5632B">
        <w:rPr>
          <w:spacing w:val="-4"/>
          <w:lang w:val="sq-AL"/>
        </w:rPr>
        <w:fldChar w:fldCharType="end"/>
      </w:r>
      <w:r w:rsidRPr="00E5632B">
        <w:rPr>
          <w:spacing w:val="-4"/>
          <w:lang w:val="sq-AL"/>
        </w:rPr>
        <w:t xml:space="preserve">.  Duke qenë se të dy ankuesit ngritën të njëjtën problematikë, Gjykata vendas se ata duhen bashkuar </w:t>
      </w:r>
      <w:r w:rsidRPr="00E5632B">
        <w:rPr>
          <w:spacing w:val="-4"/>
          <w:lang w:val="sq-AL"/>
        </w:rPr>
        <w:lastRenderedPageBreak/>
        <w:t xml:space="preserve">sipas Rregullit 42 § 1 të Rregullores së Gjykatës. </w:t>
      </w:r>
    </w:p>
    <w:p w:rsidR="00BF314F" w:rsidRPr="00E5632B" w:rsidRDefault="00BF314F" w:rsidP="00BF314F">
      <w:pPr>
        <w:pStyle w:val="Hapesira7"/>
        <w:rPr>
          <w:lang w:val="sq-AL"/>
        </w:rPr>
      </w:pP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II.  SHKELJE TË PRETENDUARA TË NENEVE 6 § 1 DHE 13 TË KONVENTËS, SI DHE NENIT 1 TË PROTOKOLLIT NR. 1 TË KONVENTËS NË LIDHJE ME MOSZBATI</w:t>
      </w:r>
      <w:r>
        <w:rPr>
          <w:spacing w:val="-4"/>
          <w:lang w:val="sq-AL"/>
        </w:rPr>
        <w:t>-</w:t>
      </w:r>
      <w:r w:rsidRPr="00E5632B">
        <w:rPr>
          <w:spacing w:val="-4"/>
          <w:lang w:val="sq-AL"/>
        </w:rPr>
        <w:t>MIN E VENDIMEVE TË FORMËS SË PRERË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Ankuesit pretendonin se ka pasur një shkelje të nenit 1 të protokollit nr. 1 të Konventës në lidhje me moszbatimin e vendimeve vendase të formës së prerë, të cilat i akordonin atyre kompensim në vend të rikthimit të pronave të tyre. Gjykata ngriti mocionin e saj për faktin nëse ka pasur një shkelje të neneve 6 § 1 dhe 13 të Konventës.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Neni 6 § 1 i Konventës, për sa ka të bëjë me çështjen, parashikon si më poshtë: </w:t>
      </w:r>
    </w:p>
    <w:p w:rsidR="00BF314F" w:rsidRPr="00BD1A1F" w:rsidRDefault="00BF314F" w:rsidP="00BF314F">
      <w:pPr>
        <w:pStyle w:val="Paragrafi"/>
        <w:rPr>
          <w:spacing w:val="-4"/>
          <w:sz w:val="12"/>
          <w:lang w:val="sq-AL"/>
        </w:rPr>
      </w:pPr>
    </w:p>
    <w:p w:rsidR="00BF314F" w:rsidRPr="00E5632B" w:rsidRDefault="00BF314F" w:rsidP="00BF314F">
      <w:pPr>
        <w:pStyle w:val="Paragrafi"/>
        <w:rPr>
          <w:spacing w:val="-4"/>
          <w:sz w:val="22"/>
          <w:lang w:val="sq-AL"/>
        </w:rPr>
      </w:pPr>
      <w:r w:rsidRPr="00E5632B">
        <w:rPr>
          <w:spacing w:val="-4"/>
          <w:sz w:val="22"/>
          <w:lang w:val="sq-AL"/>
        </w:rPr>
        <w:t>“Në përcaktimin e të drejtave civile dhe detyrimeve ... çdo njeri ka të drejtën për një seancë... dëgjimore... nga [një] ... tribunal...”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Neni 13 i Konventës parashikon si më poshtë: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 “Çdonjëri të drejtat dhe liritë e të cilit, siç parashikohen në Konventë, janë thyer, do të përfitojë një kompensim efektiv përpara një autoriteti kombëtar, pavarësisht faktit se thyerja mund të jetë bërë nga persona me një pozicion zyrtar.”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Neni 1 i protokollit nr. 1 i Konventës parashikon si më poshtë: </w:t>
      </w:r>
    </w:p>
    <w:p w:rsidR="00BF314F" w:rsidRPr="00E5632B" w:rsidRDefault="00BF314F" w:rsidP="00BF314F">
      <w:pPr>
        <w:pStyle w:val="Paragrafi"/>
        <w:rPr>
          <w:spacing w:val="-4"/>
          <w:sz w:val="22"/>
          <w:lang w:val="sq-AL"/>
        </w:rPr>
      </w:pPr>
      <w:r w:rsidRPr="00E5632B">
        <w:rPr>
          <w:spacing w:val="-4"/>
          <w:sz w:val="22"/>
          <w:lang w:val="sq-AL"/>
        </w:rPr>
        <w:t xml:space="preserve">“Çdo person fizik ose juridik ka të drejtën e gëzimit paqësor të pasurisë së tij. Askush nuk mund të privohet nga prona e tij, përveçse për arsye të interesit publik dhe për kushtet e parashikuara nga ligji dhe nga parimet e përgjithshme të së drejtës ndërkombëtare.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sz w:val="22"/>
          <w:lang w:val="sq-AL"/>
        </w:rPr>
        <w:t>Megjithatë, dispozitat e mëparshme nuk cenojnë të drejtën e një Shteti për të zbatuar ligje, që ai i çmon të nevojshme për të rregulluar përdorimin e pasurive në përputhje me interesin e përgjithshëm ose për të siguruar pagimin e taksave ose të kontributeve ose të gjobave të tjera.”</w:t>
      </w:r>
    </w:p>
    <w:p w:rsidR="00BF314F" w:rsidRPr="00E5632B" w:rsidRDefault="00BF314F" w:rsidP="00BF314F">
      <w:pPr>
        <w:pStyle w:val="Paragrafi"/>
        <w:rPr>
          <w:b/>
          <w:spacing w:val="-4"/>
          <w:lang w:val="sq-AL"/>
        </w:rPr>
      </w:pPr>
      <w:r w:rsidRPr="00E5632B">
        <w:rPr>
          <w:b/>
          <w:spacing w:val="-4"/>
          <w:lang w:val="sq-AL"/>
        </w:rPr>
        <w:t>A. PRANUESHMËRIA 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11. Qeveria nuk kundërshtoi pranueshmërinë e këtyre çështjeve.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12. Gjykata thekson se këto ankesa nuk janë të pabazuara në fakte sipas interpretimit të nenit 35 § 3 (a) të Konventës. Më tej ajo thekson, se ato nuk janë të papranueshme sipas ndonjë argumenti tjetër. Kështu, ato duhet të deklarohen të pranueshme. </w:t>
      </w:r>
    </w:p>
    <w:p w:rsidR="00BF314F" w:rsidRPr="00E5632B" w:rsidRDefault="00BF314F" w:rsidP="00BF314F">
      <w:pPr>
        <w:pStyle w:val="Paragrafi"/>
        <w:rPr>
          <w:b/>
          <w:spacing w:val="-4"/>
          <w:lang w:val="sq-AL"/>
        </w:rPr>
      </w:pPr>
      <w:r w:rsidRPr="00E5632B">
        <w:rPr>
          <w:b/>
          <w:spacing w:val="-4"/>
          <w:lang w:val="sq-AL"/>
        </w:rPr>
        <w:t>B.  Cilësitë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13.  Gjykata nuk debatoi në lidhje me pakënaqësitë e ankuesve dhe pranoi se ankimet ishin objekt i praktikës ligjore të mirëpërcaktuar, sipas vendimit të çështjes </w:t>
      </w:r>
      <w:r w:rsidRPr="00E5632B">
        <w:rPr>
          <w:i/>
          <w:spacing w:val="-4"/>
          <w:lang w:val="sq-AL"/>
        </w:rPr>
        <w:t>Manushaqe Puto dhe të tjerët</w:t>
      </w:r>
      <w:r w:rsidRPr="00E5632B">
        <w:rPr>
          <w:spacing w:val="-4"/>
          <w:lang w:val="sq-AL"/>
        </w:rPr>
        <w:t xml:space="preserve"> cituar më sipër.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14.  Duke marrë në konsideratë gjetjet në çështjet e mëparshme kundër Shqipërisë, për të cilat Qeveria nuk parashtroi ndonjë argument, që mund të shkaktonte shkëputje prej tyre (shiko, midis të tjerave </w:t>
      </w:r>
      <w:r w:rsidRPr="00E5632B">
        <w:rPr>
          <w:i/>
          <w:spacing w:val="-4"/>
          <w:lang w:val="sq-AL"/>
        </w:rPr>
        <w:t>Çaush Driza kundër Shqipërisë</w:t>
      </w:r>
      <w:r w:rsidRPr="00E5632B">
        <w:rPr>
          <w:spacing w:val="-4"/>
          <w:lang w:val="sq-AL"/>
        </w:rPr>
        <w:t xml:space="preserve">, nr. 10810/05, §§ 87–89 dhe §§ 91–94, 15 mars 2011; </w:t>
      </w:r>
      <w:r w:rsidRPr="00E5632B">
        <w:rPr>
          <w:i/>
          <w:spacing w:val="-4"/>
          <w:lang w:val="sq-AL"/>
        </w:rPr>
        <w:t>Manushaqe Puto dhe të tjerët</w:t>
      </w:r>
      <w:r w:rsidRPr="00E5632B">
        <w:rPr>
          <w:spacing w:val="-4"/>
          <w:lang w:val="sq-AL"/>
        </w:rPr>
        <w:t xml:space="preserve">, cituar më sipër, §§ 93–97 dhe referencat cituar në të; dhe së fundmi, </w:t>
      </w:r>
      <w:r w:rsidRPr="00E5632B">
        <w:rPr>
          <w:i/>
          <w:spacing w:val="-4"/>
          <w:lang w:val="sq-AL"/>
        </w:rPr>
        <w:t>Sharra dhe të tjerët</w:t>
      </w:r>
      <w:r w:rsidRPr="00E5632B">
        <w:rPr>
          <w:spacing w:val="-4"/>
          <w:lang w:val="sq-AL"/>
        </w:rPr>
        <w:t xml:space="preserve">, cituar më sipër, §§ 49–51; </w:t>
      </w:r>
      <w:r w:rsidRPr="00E5632B">
        <w:rPr>
          <w:i/>
          <w:spacing w:val="-4"/>
          <w:lang w:val="sq-AL"/>
        </w:rPr>
        <w:t>Metalla dhe të tjerët</w:t>
      </w:r>
      <w:r w:rsidRPr="00E5632B">
        <w:rPr>
          <w:spacing w:val="-4"/>
          <w:lang w:val="sq-AL"/>
        </w:rPr>
        <w:t xml:space="preserve">, cituar më sipër, §§ 29–31; dhe </w:t>
      </w:r>
      <w:r w:rsidRPr="00E5632B">
        <w:rPr>
          <w:i/>
          <w:spacing w:val="-4"/>
          <w:lang w:val="sq-AL"/>
        </w:rPr>
        <w:t>Siliqi dhe të tjerët</w:t>
      </w:r>
      <w:r w:rsidRPr="00E5632B">
        <w:rPr>
          <w:spacing w:val="-4"/>
          <w:lang w:val="sq-AL"/>
        </w:rPr>
        <w:t xml:space="preserve">, cituar më sipër, §§ 19), Gjykata konstaton se moszbatimi i vendimeve vendase të formës së prerë nga ana e autoriteteve vendase dhe siç vihet re edhe mospagimi i kompensimit të dhënë, shkelte të drejtat e ankuesve bazuar në nenin 6 § 1 dhe në nenin 1 të protokollit nr. 1 të Konventës. </w:t>
      </w:r>
    </w:p>
    <w:p w:rsidR="00BF314F" w:rsidRDefault="00BF314F" w:rsidP="00BF314F">
      <w:pPr>
        <w:pStyle w:val="Paragrafi"/>
        <w:rPr>
          <w:spacing w:val="-4"/>
          <w:lang w:val="sq-AL"/>
        </w:rPr>
      </w:pP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15. Gjithashtu, Gjykata përfundon se nuk kishte, dhe vazhdon të mos ketë, shpërblime efikase vendase, të cilat mundësonin një rregullim të përshtatshëm dhe të mjaftueshëm për moszbatimin e tejzgjatur të vendimeve vendase të formës së prerë, të cilat akordonin kompensim. Kështu, ka një  shkelje të nenit 13 të Konventës (shiko </w:t>
      </w:r>
      <w:r w:rsidRPr="00E5632B">
        <w:rPr>
          <w:i/>
          <w:spacing w:val="-4"/>
          <w:lang w:val="sq-AL"/>
        </w:rPr>
        <w:t>Manushaqe Puto dhe të tjerët</w:t>
      </w:r>
      <w:r w:rsidRPr="00E5632B">
        <w:rPr>
          <w:spacing w:val="-4"/>
          <w:lang w:val="sq-AL"/>
        </w:rPr>
        <w:t xml:space="preserve">, cituar më sipër, §§ 72–84 dhe referencat e cituara në të). </w:t>
      </w:r>
    </w:p>
    <w:p w:rsidR="00BF314F" w:rsidRPr="00E5632B" w:rsidRDefault="00BF314F" w:rsidP="00BF314F">
      <w:pPr>
        <w:pStyle w:val="Hapesira7"/>
        <w:rPr>
          <w:lang w:val="sq-AL"/>
        </w:rPr>
      </w:pP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III.  ZBATIMI I NENIT 41 TË KONVEN</w:t>
      </w:r>
      <w:r>
        <w:rPr>
          <w:spacing w:val="-4"/>
          <w:lang w:val="sq-AL"/>
        </w:rPr>
        <w:t>-</w:t>
      </w:r>
      <w:r w:rsidRPr="00E5632B">
        <w:rPr>
          <w:spacing w:val="-4"/>
          <w:lang w:val="sq-AL"/>
        </w:rPr>
        <w:t>TËS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16. Neni 41 i Konventës parashikon: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>“Nëse Gjykata konstaton se ka pasur një shkelje të Konventës ose të Protokolleve në të, dhe nëse ligji i brendshëm i Palës së Lartë Kontraktuese në fjalë lejon që të bëhet vetëm kompensim i pjesshëm, nëse është e nevojshme, Gjykata duhet të ofrojë kompensim të drejtë për palën e dëmtuar.”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fldChar w:fldCharType="begin"/>
      </w:r>
      <w:r w:rsidRPr="00E5632B">
        <w:rPr>
          <w:spacing w:val="-4"/>
          <w:lang w:val="sq-AL"/>
        </w:rPr>
        <w:instrText xml:space="preserve"> SEQ level0 \*arabic </w:instrText>
      </w:r>
      <w:r w:rsidRPr="00E5632B">
        <w:rPr>
          <w:spacing w:val="-4"/>
          <w:lang w:val="sq-AL"/>
        </w:rPr>
        <w:fldChar w:fldCharType="separate"/>
      </w:r>
      <w:r w:rsidR="00731E15">
        <w:rPr>
          <w:noProof/>
          <w:spacing w:val="-4"/>
          <w:lang w:val="sq-AL"/>
        </w:rPr>
        <w:t>10</w:t>
      </w:r>
      <w:r w:rsidRPr="00E5632B">
        <w:rPr>
          <w:spacing w:val="-4"/>
          <w:lang w:val="sq-AL"/>
        </w:rPr>
        <w:fldChar w:fldCharType="end"/>
      </w:r>
      <w:r w:rsidRPr="00E5632B">
        <w:rPr>
          <w:spacing w:val="-4"/>
          <w:lang w:val="sq-AL"/>
        </w:rPr>
        <w:t xml:space="preserve">7.  Ankuesit nuk parashtruan kërkesat për kompensim të drejtë brenda afatit kohor të lejuar. Për këtë arsye, Gjykata është e mendimit se nuk duhet akorduar dëm monetar. Megjithatë, Gjykata mendon se Qeveria duhet të sigurojë pagesën e një forme kompensimi efikase për ankuesit në lidhje me sipërfaqet e tokës, në përputhje me vendimet e Komisionit dhe me pjesën e pronës së ankuesve, brenda tre muajve (shiko, për shembull, </w:t>
      </w:r>
      <w:r w:rsidRPr="00E5632B">
        <w:rPr>
          <w:i/>
          <w:spacing w:val="-4"/>
          <w:lang w:val="sq-AL"/>
        </w:rPr>
        <w:t>Vukelić v. Montenegro</w:t>
      </w:r>
      <w:r w:rsidRPr="00E5632B">
        <w:rPr>
          <w:spacing w:val="-4"/>
          <w:lang w:val="sq-AL"/>
        </w:rPr>
        <w:t xml:space="preserve">, nr. 58258/09, § 107, 4 qershor 2013; </w:t>
      </w:r>
      <w:r w:rsidRPr="00E5632B">
        <w:rPr>
          <w:i/>
          <w:spacing w:val="-4"/>
          <w:lang w:val="sq-AL"/>
        </w:rPr>
        <w:t>Mikhaylova dhe të tjerët kundër Ukrainës</w:t>
      </w:r>
      <w:r w:rsidRPr="00E5632B">
        <w:rPr>
          <w:spacing w:val="-4"/>
          <w:lang w:val="sq-AL"/>
        </w:rPr>
        <w:t xml:space="preserve">, nr. 16475/02, § 40, 15 qershor 2006; dhe </w:t>
      </w:r>
      <w:r w:rsidRPr="00E5632B">
        <w:rPr>
          <w:i/>
          <w:spacing w:val="-4"/>
          <w:lang w:val="sq-AL"/>
        </w:rPr>
        <w:t>Lisyanskiy kundër Ukrainës</w:t>
      </w:r>
      <w:r w:rsidRPr="00E5632B">
        <w:rPr>
          <w:spacing w:val="-4"/>
          <w:lang w:val="sq-AL"/>
        </w:rPr>
        <w:t xml:space="preserve">, nr. 17899/02, § 34, 4 prill </w:t>
      </w:r>
      <w:r w:rsidRPr="00E5632B">
        <w:rPr>
          <w:spacing w:val="-4"/>
          <w:lang w:val="sq-AL"/>
        </w:rPr>
        <w:lastRenderedPageBreak/>
        <w:t>2006).</w:t>
      </w:r>
    </w:p>
    <w:p w:rsidR="00BF314F" w:rsidRPr="00E5632B" w:rsidRDefault="00BF314F" w:rsidP="00BF314F">
      <w:pPr>
        <w:pStyle w:val="Hapesira7"/>
        <w:rPr>
          <w:lang w:val="sq-AL"/>
        </w:rPr>
      </w:pPr>
    </w:p>
    <w:p w:rsidR="00BF314F" w:rsidRPr="00E5632B" w:rsidRDefault="00BF314F" w:rsidP="00BF314F">
      <w:pPr>
        <w:pStyle w:val="NeniNr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PËR KËTO ARSYE, GJYKATA, NË MËNYRË UNANIME, </w:t>
      </w:r>
    </w:p>
    <w:p w:rsidR="00BF314F" w:rsidRPr="00E5632B" w:rsidRDefault="00BF314F" w:rsidP="00BF314F">
      <w:pPr>
        <w:pStyle w:val="Hapesira7"/>
        <w:rPr>
          <w:lang w:val="sq-AL"/>
        </w:rPr>
      </w:pP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1. </w:t>
      </w:r>
      <w:r w:rsidRPr="00E5632B">
        <w:rPr>
          <w:i/>
          <w:spacing w:val="-4"/>
          <w:lang w:val="sq-AL"/>
        </w:rPr>
        <w:t>Vendos</w:t>
      </w:r>
      <w:r w:rsidRPr="00E5632B">
        <w:rPr>
          <w:spacing w:val="-4"/>
          <w:lang w:val="sq-AL"/>
        </w:rPr>
        <w:t xml:space="preserve"> t’i bashkojë të gjitha ankimet;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2. </w:t>
      </w:r>
      <w:r w:rsidRPr="00E5632B">
        <w:rPr>
          <w:i/>
          <w:spacing w:val="-4"/>
          <w:lang w:val="sq-AL"/>
        </w:rPr>
        <w:t>I deklaron</w:t>
      </w:r>
      <w:r w:rsidRPr="00E5632B">
        <w:rPr>
          <w:spacing w:val="-4"/>
          <w:lang w:val="sq-AL"/>
        </w:rPr>
        <w:t xml:space="preserve"> ankimet në lidhje me nenet 6 § 1 dhe 13 të Konventës, si edhe të nenit 1 të protokollit nr. 1 të Konventës në lidhje me moszbatimin e vendimeve vendase të formës së prerë të pranueshme;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3. </w:t>
      </w:r>
      <w:r w:rsidRPr="00E5632B">
        <w:rPr>
          <w:i/>
          <w:spacing w:val="-4"/>
          <w:lang w:val="sq-AL"/>
        </w:rPr>
        <w:t>Gjykon</w:t>
      </w:r>
      <w:r w:rsidRPr="00E5632B">
        <w:rPr>
          <w:spacing w:val="-4"/>
          <w:lang w:val="sq-AL"/>
        </w:rPr>
        <w:t xml:space="preserve"> se ka pasur një shkelje të neneve 6 § 1 dhe 13 të Konventës, si edhe të nenit 1 të protokollit nr. 1 të Konventës për sa ka të bëjë me moszbatimin e vendimeve vendase të formës së prerë;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4. </w:t>
      </w:r>
      <w:r w:rsidRPr="00E5632B">
        <w:rPr>
          <w:i/>
          <w:spacing w:val="-4"/>
          <w:lang w:val="sq-AL"/>
        </w:rPr>
        <w:t>Gjykon</w:t>
      </w:r>
      <w:r w:rsidRPr="00E5632B">
        <w:rPr>
          <w:spacing w:val="-4"/>
          <w:lang w:val="sq-AL"/>
        </w:rPr>
        <w:t xml:space="preserve"> se Shteti i paditur duhet të garantojë, me anë të mjeteve të duhura, zbatimin e vendimeve të Komisionit të dhënë në favor të ankuesve, brenda tre muajve. 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  <w:r w:rsidRPr="00E5632B">
        <w:rPr>
          <w:spacing w:val="-4"/>
          <w:lang w:val="sq-AL"/>
        </w:rPr>
        <w:t xml:space="preserve">Përgatitur në anglisht dhe njoftuar me shkrim më 8 shtator 2016, sipas Rregullit 77 §§ 2 dhe 3 të Rregullores së Gjykatës. </w:t>
      </w:r>
    </w:p>
    <w:p w:rsidR="00BF314F" w:rsidRPr="00E5632B" w:rsidRDefault="00BF314F" w:rsidP="00BF314F">
      <w:pPr>
        <w:pStyle w:val="Hapesira7"/>
        <w:rPr>
          <w:lang w:val="sq-AL"/>
        </w:rPr>
      </w:pPr>
    </w:p>
    <w:p w:rsidR="00BF314F" w:rsidRPr="00536EF2" w:rsidRDefault="00BF314F" w:rsidP="00BF314F">
      <w:pPr>
        <w:pStyle w:val="Paragrafi"/>
        <w:ind w:firstLine="0"/>
        <w:jc w:val="center"/>
        <w:rPr>
          <w:b/>
          <w:spacing w:val="-4"/>
          <w:lang w:val="sq-AL"/>
        </w:rPr>
      </w:pPr>
      <w:r w:rsidRPr="00536EF2">
        <w:rPr>
          <w:b/>
          <w:spacing w:val="-4"/>
          <w:lang w:val="sq-AL"/>
        </w:rPr>
        <w:t>Abel Campos</w:t>
      </w:r>
    </w:p>
    <w:p w:rsidR="00BF314F" w:rsidRPr="00E5632B" w:rsidRDefault="00BF314F" w:rsidP="00BF314F">
      <w:pPr>
        <w:pStyle w:val="Paragrafi"/>
        <w:ind w:firstLine="0"/>
        <w:jc w:val="center"/>
        <w:rPr>
          <w:spacing w:val="-4"/>
          <w:lang w:val="sq-AL"/>
        </w:rPr>
      </w:pPr>
      <w:r w:rsidRPr="00E5632B">
        <w:rPr>
          <w:spacing w:val="-4"/>
          <w:lang w:val="sq-AL"/>
        </w:rPr>
        <w:t>Regjistrues</w:t>
      </w:r>
    </w:p>
    <w:p w:rsidR="00BF314F" w:rsidRPr="00E5632B" w:rsidRDefault="00BF314F" w:rsidP="00BF314F">
      <w:pPr>
        <w:pStyle w:val="Hapesira7"/>
        <w:ind w:firstLine="0"/>
        <w:rPr>
          <w:lang w:val="sq-AL"/>
        </w:rPr>
      </w:pPr>
    </w:p>
    <w:p w:rsidR="00BF314F" w:rsidRPr="00536EF2" w:rsidRDefault="00BF314F" w:rsidP="00BF314F">
      <w:pPr>
        <w:pStyle w:val="Paragrafi"/>
        <w:ind w:firstLine="0"/>
        <w:jc w:val="center"/>
        <w:rPr>
          <w:b/>
          <w:spacing w:val="-4"/>
          <w:lang w:val="sq-AL"/>
        </w:rPr>
      </w:pPr>
      <w:r w:rsidRPr="00536EF2">
        <w:rPr>
          <w:b/>
          <w:spacing w:val="-4"/>
          <w:lang w:val="sq-AL"/>
        </w:rPr>
        <w:t>Aleš Pejchal</w:t>
      </w:r>
    </w:p>
    <w:p w:rsidR="00BF314F" w:rsidRPr="00E5632B" w:rsidRDefault="00BF314F" w:rsidP="00BF314F">
      <w:pPr>
        <w:pStyle w:val="Paragrafi"/>
        <w:ind w:firstLine="0"/>
        <w:jc w:val="center"/>
        <w:rPr>
          <w:spacing w:val="-4"/>
          <w:lang w:val="sq-AL"/>
        </w:rPr>
      </w:pPr>
      <w:r w:rsidRPr="00E5632B">
        <w:rPr>
          <w:spacing w:val="-4"/>
          <w:lang w:val="sq-AL"/>
        </w:rPr>
        <w:t>President</w:t>
      </w:r>
    </w:p>
    <w:p w:rsidR="00BF314F" w:rsidRPr="00E5632B" w:rsidRDefault="00BF314F" w:rsidP="00BF314F">
      <w:pPr>
        <w:pStyle w:val="Paragrafi"/>
        <w:rPr>
          <w:spacing w:val="-4"/>
          <w:lang w:val="sq-AL"/>
        </w:rPr>
      </w:pPr>
    </w:p>
    <w:p w:rsidR="00BF314F" w:rsidRDefault="00BF314F" w:rsidP="00BF314F">
      <w:pPr>
        <w:pStyle w:val="NeniNr"/>
        <w:rPr>
          <w:lang w:val="sq-AL"/>
        </w:rPr>
        <w:sectPr w:rsidR="00BF314F" w:rsidSect="0014780E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24219"/>
          <w:cols w:space="454"/>
          <w:docGrid w:linePitch="360"/>
        </w:sectPr>
      </w:pPr>
    </w:p>
    <w:p w:rsidR="00BF314F" w:rsidRDefault="00BF314F" w:rsidP="00BF314F">
      <w:pPr>
        <w:pStyle w:val="NeniNr"/>
        <w:rPr>
          <w:lang w:val="sq-AL"/>
        </w:rPr>
      </w:pPr>
    </w:p>
    <w:p w:rsidR="00BF314F" w:rsidRDefault="00BF314F" w:rsidP="00BF314F">
      <w:pPr>
        <w:pStyle w:val="NeniNr"/>
        <w:rPr>
          <w:lang w:val="sq-AL"/>
        </w:rPr>
      </w:pPr>
      <w:r w:rsidRPr="00C65033">
        <w:rPr>
          <w:lang w:val="sq-AL"/>
        </w:rPr>
        <w:t xml:space="preserve">SHTOJCA 1 </w:t>
      </w:r>
    </w:p>
    <w:p w:rsidR="00BF314F" w:rsidRPr="00C65033" w:rsidRDefault="00BF314F" w:rsidP="00BF314F">
      <w:pPr>
        <w:pStyle w:val="NeniNr"/>
        <w:rPr>
          <w:lang w:val="sq-AL"/>
        </w:rPr>
      </w:pPr>
      <w:r w:rsidRPr="00C65033">
        <w:rPr>
          <w:lang w:val="sq-AL"/>
        </w:rPr>
        <w:t>LISTA E ANKUESVE</w:t>
      </w:r>
    </w:p>
    <w:p w:rsidR="00BF314F" w:rsidRPr="00C65033" w:rsidRDefault="00BF314F" w:rsidP="00BF314F">
      <w:pPr>
        <w:pStyle w:val="Paragrafi"/>
        <w:rPr>
          <w:lang w:val="sq-AL"/>
        </w:rPr>
      </w:pP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751"/>
        <w:gridCol w:w="1978"/>
        <w:gridCol w:w="1510"/>
        <w:gridCol w:w="1469"/>
        <w:gridCol w:w="2562"/>
      </w:tblGrid>
      <w:tr w:rsidR="00BF314F" w:rsidRPr="00C65033" w:rsidTr="00D10362">
        <w:trPr>
          <w:trHeight w:val="434"/>
          <w:jc w:val="center"/>
        </w:trPr>
        <w:tc>
          <w:tcPr>
            <w:tcW w:w="540" w:type="dxa"/>
          </w:tcPr>
          <w:p w:rsidR="00BF314F" w:rsidRPr="00C65033" w:rsidRDefault="00BF314F" w:rsidP="00D10362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C65033">
              <w:rPr>
                <w:b/>
                <w:sz w:val="22"/>
                <w:lang w:val="sq-AL"/>
              </w:rPr>
              <w:t>Nr.</w:t>
            </w:r>
          </w:p>
        </w:tc>
        <w:tc>
          <w:tcPr>
            <w:tcW w:w="1751" w:type="dxa"/>
          </w:tcPr>
          <w:p w:rsidR="00BF314F" w:rsidRPr="00C65033" w:rsidRDefault="00BF314F" w:rsidP="00D10362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C65033">
              <w:rPr>
                <w:b/>
                <w:sz w:val="22"/>
                <w:lang w:val="sq-AL"/>
              </w:rPr>
              <w:t>Emri dhe no. i çështjes</w:t>
            </w:r>
          </w:p>
        </w:tc>
        <w:tc>
          <w:tcPr>
            <w:tcW w:w="1978" w:type="dxa"/>
          </w:tcPr>
          <w:p w:rsidR="00BF314F" w:rsidRPr="00C65033" w:rsidRDefault="00BF314F" w:rsidP="00D10362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C65033">
              <w:rPr>
                <w:b/>
                <w:sz w:val="22"/>
                <w:lang w:val="sq-AL"/>
              </w:rPr>
              <w:t>Emri i ankuesve (viti i lindjes)</w:t>
            </w:r>
          </w:p>
        </w:tc>
        <w:tc>
          <w:tcPr>
            <w:tcW w:w="1510" w:type="dxa"/>
          </w:tcPr>
          <w:p w:rsidR="00BF314F" w:rsidRPr="00C65033" w:rsidRDefault="00BF314F" w:rsidP="00D10362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C65033">
              <w:rPr>
                <w:b/>
                <w:sz w:val="22"/>
                <w:lang w:val="sq-AL"/>
              </w:rPr>
              <w:t>Shteti i vendbanimit</w:t>
            </w:r>
          </w:p>
        </w:tc>
        <w:tc>
          <w:tcPr>
            <w:tcW w:w="1469" w:type="dxa"/>
          </w:tcPr>
          <w:p w:rsidR="00BF314F" w:rsidRPr="00C65033" w:rsidRDefault="00BF314F" w:rsidP="00D10362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C65033">
              <w:rPr>
                <w:b/>
                <w:sz w:val="22"/>
                <w:lang w:val="sq-AL"/>
              </w:rPr>
              <w:t>Përfaqësuar nga</w:t>
            </w:r>
            <w:r>
              <w:rPr>
                <w:b/>
                <w:sz w:val="22"/>
                <w:lang w:val="sq-AL"/>
              </w:rPr>
              <w:t>:</w:t>
            </w:r>
          </w:p>
        </w:tc>
        <w:tc>
          <w:tcPr>
            <w:tcW w:w="2562" w:type="dxa"/>
          </w:tcPr>
          <w:p w:rsidR="00BF314F" w:rsidRPr="00C65033" w:rsidRDefault="00BF314F" w:rsidP="00D10362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C65033">
              <w:rPr>
                <w:b/>
                <w:sz w:val="22"/>
                <w:lang w:val="sq-AL"/>
              </w:rPr>
              <w:t>Data e prezantimit</w:t>
            </w:r>
          </w:p>
        </w:tc>
      </w:tr>
      <w:tr w:rsidR="00BF314F" w:rsidRPr="00C65033" w:rsidTr="00D10362">
        <w:trPr>
          <w:trHeight w:val="566"/>
          <w:jc w:val="center"/>
        </w:trPr>
        <w:tc>
          <w:tcPr>
            <w:tcW w:w="540" w:type="dxa"/>
          </w:tcPr>
          <w:p w:rsidR="00BF314F" w:rsidRPr="00C65033" w:rsidRDefault="00BF314F" w:rsidP="00D10362">
            <w:pPr>
              <w:pStyle w:val="Paragrafi"/>
              <w:ind w:firstLine="0"/>
              <w:rPr>
                <w:sz w:val="22"/>
                <w:lang w:val="sq-AL"/>
              </w:rPr>
            </w:pPr>
            <w:r w:rsidRPr="00C65033">
              <w:rPr>
                <w:sz w:val="22"/>
                <w:lang w:val="sq-AL"/>
              </w:rPr>
              <w:t xml:space="preserve">1. </w:t>
            </w:r>
          </w:p>
        </w:tc>
        <w:tc>
          <w:tcPr>
            <w:tcW w:w="1751" w:type="dxa"/>
          </w:tcPr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B53CBD">
              <w:rPr>
                <w:i/>
                <w:sz w:val="22"/>
                <w:lang w:val="sq-AL"/>
              </w:rPr>
              <w:t>Qerimi kundër Shqipërisë</w:t>
            </w:r>
            <w:r w:rsidRPr="00C65033">
              <w:rPr>
                <w:sz w:val="22"/>
                <w:lang w:val="sq-AL"/>
              </w:rPr>
              <w:t>, nr. 12878/10</w:t>
            </w:r>
          </w:p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</w:p>
        </w:tc>
        <w:tc>
          <w:tcPr>
            <w:tcW w:w="1978" w:type="dxa"/>
          </w:tcPr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C65033">
              <w:rPr>
                <w:sz w:val="22"/>
                <w:lang w:val="sq-AL"/>
              </w:rPr>
              <w:t>Ahmet Qerimi (1933)</w:t>
            </w:r>
          </w:p>
        </w:tc>
        <w:tc>
          <w:tcPr>
            <w:tcW w:w="1510" w:type="dxa"/>
          </w:tcPr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C65033">
              <w:rPr>
                <w:sz w:val="22"/>
                <w:lang w:val="sq-AL"/>
              </w:rPr>
              <w:t xml:space="preserve">Shqipëri </w:t>
            </w:r>
          </w:p>
        </w:tc>
        <w:tc>
          <w:tcPr>
            <w:tcW w:w="1469" w:type="dxa"/>
          </w:tcPr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C65033">
              <w:rPr>
                <w:sz w:val="22"/>
                <w:lang w:val="sq-AL"/>
              </w:rPr>
              <w:t xml:space="preserve">Askush </w:t>
            </w:r>
          </w:p>
        </w:tc>
        <w:tc>
          <w:tcPr>
            <w:tcW w:w="2562" w:type="dxa"/>
          </w:tcPr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C65033">
              <w:rPr>
                <w:sz w:val="22"/>
                <w:lang w:val="sq-AL"/>
              </w:rPr>
              <w:t xml:space="preserve">10 </w:t>
            </w:r>
            <w:r>
              <w:rPr>
                <w:sz w:val="22"/>
                <w:lang w:val="sq-AL"/>
              </w:rPr>
              <w:t>s</w:t>
            </w:r>
            <w:r w:rsidRPr="00C65033">
              <w:rPr>
                <w:sz w:val="22"/>
                <w:lang w:val="sq-AL"/>
              </w:rPr>
              <w:t>hkurt 2010</w:t>
            </w:r>
          </w:p>
        </w:tc>
      </w:tr>
      <w:tr w:rsidR="00BF314F" w:rsidRPr="00C65033" w:rsidTr="00D10362">
        <w:trPr>
          <w:trHeight w:val="566"/>
          <w:jc w:val="center"/>
        </w:trPr>
        <w:tc>
          <w:tcPr>
            <w:tcW w:w="540" w:type="dxa"/>
          </w:tcPr>
          <w:p w:rsidR="00BF314F" w:rsidRPr="00C65033" w:rsidRDefault="00BF314F" w:rsidP="00D10362">
            <w:pPr>
              <w:pStyle w:val="Paragrafi"/>
              <w:ind w:firstLine="0"/>
              <w:rPr>
                <w:sz w:val="22"/>
                <w:lang w:val="sq-AL"/>
              </w:rPr>
            </w:pPr>
            <w:r w:rsidRPr="00C65033">
              <w:rPr>
                <w:sz w:val="22"/>
                <w:lang w:val="sq-AL"/>
              </w:rPr>
              <w:t>2.</w:t>
            </w:r>
          </w:p>
        </w:tc>
        <w:tc>
          <w:tcPr>
            <w:tcW w:w="1751" w:type="dxa"/>
          </w:tcPr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B53CBD">
              <w:rPr>
                <w:i/>
                <w:sz w:val="22"/>
                <w:lang w:val="sq-AL"/>
              </w:rPr>
              <w:t>Canaj kundër Shqipërisë</w:t>
            </w:r>
            <w:r w:rsidRPr="00C65033">
              <w:rPr>
                <w:sz w:val="22"/>
                <w:lang w:val="sq-AL"/>
              </w:rPr>
              <w:t>,</w:t>
            </w:r>
          </w:p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C65033">
              <w:rPr>
                <w:sz w:val="22"/>
                <w:lang w:val="sq-AL"/>
              </w:rPr>
              <w:t>nr. 74858/12</w:t>
            </w:r>
          </w:p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</w:p>
        </w:tc>
        <w:tc>
          <w:tcPr>
            <w:tcW w:w="1978" w:type="dxa"/>
          </w:tcPr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C65033">
              <w:rPr>
                <w:sz w:val="22"/>
                <w:lang w:val="sq-AL"/>
              </w:rPr>
              <w:t>Mero Canaj (1944)</w:t>
            </w:r>
          </w:p>
        </w:tc>
        <w:tc>
          <w:tcPr>
            <w:tcW w:w="1510" w:type="dxa"/>
          </w:tcPr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C65033">
              <w:rPr>
                <w:sz w:val="22"/>
                <w:lang w:val="sq-AL"/>
              </w:rPr>
              <w:t xml:space="preserve">Shqipëri </w:t>
            </w:r>
          </w:p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</w:p>
        </w:tc>
        <w:tc>
          <w:tcPr>
            <w:tcW w:w="1469" w:type="dxa"/>
          </w:tcPr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C65033">
              <w:rPr>
                <w:sz w:val="22"/>
                <w:lang w:val="sq-AL"/>
              </w:rPr>
              <w:t xml:space="preserve">Askush </w:t>
            </w:r>
          </w:p>
        </w:tc>
        <w:tc>
          <w:tcPr>
            <w:tcW w:w="2562" w:type="dxa"/>
          </w:tcPr>
          <w:p w:rsidR="00BF314F" w:rsidRPr="00C65033" w:rsidRDefault="00BF314F" w:rsidP="00D10362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C65033">
              <w:rPr>
                <w:sz w:val="22"/>
                <w:lang w:val="sq-AL"/>
              </w:rPr>
              <w:t xml:space="preserve">19 </w:t>
            </w:r>
            <w:r>
              <w:rPr>
                <w:sz w:val="22"/>
                <w:lang w:val="sq-AL"/>
              </w:rPr>
              <w:t>q</w:t>
            </w:r>
            <w:r w:rsidRPr="00C65033">
              <w:rPr>
                <w:sz w:val="22"/>
                <w:lang w:val="sq-AL"/>
              </w:rPr>
              <w:t>ershor 2009</w:t>
            </w:r>
          </w:p>
        </w:tc>
      </w:tr>
    </w:tbl>
    <w:p w:rsidR="00BF314F" w:rsidRPr="00C65033" w:rsidRDefault="00BF314F" w:rsidP="00BF314F">
      <w:pPr>
        <w:pStyle w:val="Paragrafi"/>
        <w:rPr>
          <w:lang w:val="sq-AL"/>
        </w:rPr>
      </w:pPr>
    </w:p>
    <w:p w:rsidR="00BF314F" w:rsidRPr="00C65033" w:rsidRDefault="00BF314F" w:rsidP="00BF314F">
      <w:pPr>
        <w:pStyle w:val="Paragrafi"/>
        <w:rPr>
          <w:lang w:val="sq-AL"/>
        </w:rPr>
      </w:pPr>
    </w:p>
    <w:p w:rsidR="004F59B3" w:rsidRPr="00BF314F" w:rsidRDefault="004F59B3" w:rsidP="00BF314F"/>
    <w:sectPr w:rsidR="004F59B3" w:rsidRPr="00BF314F" w:rsidSect="0014780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76B" w:rsidRDefault="0014780E">
      <w:pPr>
        <w:spacing w:after="0" w:line="240" w:lineRule="auto"/>
      </w:pPr>
      <w:r>
        <w:separator/>
      </w:r>
    </w:p>
  </w:endnote>
  <w:endnote w:type="continuationSeparator" w:id="0">
    <w:p w:rsidR="0053676B" w:rsidRDefault="00147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887117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F314F" w:rsidRPr="00B4283E" w:rsidRDefault="00BF314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24228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14F" w:rsidRPr="005B4361" w:rsidRDefault="00BF314F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10204751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F314F" w:rsidRPr="00833610" w:rsidRDefault="00BF314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F314F" w:rsidRDefault="00BF314F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7206B" w:rsidRPr="00B4283E" w:rsidRDefault="00CB240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24230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06B" w:rsidRPr="005B4361" w:rsidRDefault="00731E15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7206B" w:rsidRPr="00833610" w:rsidRDefault="00CB240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7206B" w:rsidRDefault="00731E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76B" w:rsidRDefault="0014780E">
      <w:pPr>
        <w:spacing w:after="0" w:line="240" w:lineRule="auto"/>
      </w:pPr>
      <w:r>
        <w:separator/>
      </w:r>
    </w:p>
  </w:footnote>
  <w:footnote w:type="continuationSeparator" w:id="0">
    <w:p w:rsidR="0053676B" w:rsidRDefault="00147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BF314F" w:rsidRPr="00EB260B" w:rsidTr="0023259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BF314F" w:rsidRPr="00EB260B" w:rsidRDefault="00BF314F" w:rsidP="0023259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BF314F" w:rsidRPr="00EB260B" w:rsidRDefault="00BF314F" w:rsidP="0023259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9F91E04" wp14:editId="0501449E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BF314F" w:rsidRPr="00EB260B" w:rsidRDefault="00BF314F" w:rsidP="0023259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232</w:t>
          </w:r>
        </w:p>
      </w:tc>
    </w:tr>
  </w:tbl>
  <w:p w:rsidR="00BF314F" w:rsidRPr="00385E2C" w:rsidRDefault="00BF314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14F" w:rsidRDefault="00BF314F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7206B" w:rsidRPr="00EB260B" w:rsidTr="0023259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7206B" w:rsidRPr="00EB260B" w:rsidRDefault="00CB240F" w:rsidP="0023259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7206B" w:rsidRPr="00EB260B" w:rsidRDefault="00CB240F" w:rsidP="0023259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CB2131E" wp14:editId="76941A15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7206B" w:rsidRPr="00EB260B" w:rsidRDefault="00CB240F" w:rsidP="0023259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232</w:t>
          </w:r>
        </w:p>
      </w:tc>
    </w:tr>
  </w:tbl>
  <w:p w:rsidR="0037206B" w:rsidRPr="00385E2C" w:rsidRDefault="00731E15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06B" w:rsidRDefault="00731E15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06B" w:rsidRDefault="00731E15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DD3"/>
    <w:rsid w:val="0014780E"/>
    <w:rsid w:val="004F59B3"/>
    <w:rsid w:val="0053676B"/>
    <w:rsid w:val="00731E15"/>
    <w:rsid w:val="00A00DD3"/>
    <w:rsid w:val="00BF314F"/>
    <w:rsid w:val="00CB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40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B2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B240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B24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40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24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40F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CB24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240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B24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B24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240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B240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14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40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B2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B240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B24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40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24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40F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CB24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240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B24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B24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240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B240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14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microsoft.com/office/2007/relationships/stylesWithEffects" Target="stylesWithEffects.xml"/><Relationship Id="rId16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1382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2019-02-05T12:43:00Z</cp:lastPrinted>
  <dcterms:created xsi:type="dcterms:W3CDTF">2016-12-02T09:59:00Z</dcterms:created>
  <dcterms:modified xsi:type="dcterms:W3CDTF">2019-02-05T12:43:00Z</dcterms:modified>
</cp:coreProperties>
</file>