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8A1FD3" w14:textId="10B8F995" w:rsidR="00B53308" w:rsidRPr="00BF5287" w:rsidRDefault="00B53308" w:rsidP="00B53308">
      <w:pPr>
        <w:spacing w:after="0" w:line="240" w:lineRule="auto"/>
        <w:jc w:val="center"/>
        <w:rPr>
          <w:rFonts w:ascii="Garamond" w:hAnsi="Garamond"/>
          <w:b/>
          <w:sz w:val="24"/>
          <w:szCs w:val="24"/>
          <w:lang w:val="sq-AL"/>
        </w:rPr>
      </w:pPr>
      <w:bookmarkStart w:id="0" w:name="_GoBack"/>
      <w:bookmarkEnd w:id="0"/>
      <w:r w:rsidRPr="00BF5287">
        <w:rPr>
          <w:rFonts w:ascii="Garamond" w:hAnsi="Garamond"/>
          <w:b/>
          <w:sz w:val="24"/>
          <w:szCs w:val="24"/>
          <w:lang w:val="sq-AL"/>
        </w:rPr>
        <w:t>SEKSIONI I DYTË</w:t>
      </w:r>
    </w:p>
    <w:p w14:paraId="55F3ACF4" w14:textId="77777777" w:rsidR="00B53308" w:rsidRPr="00BF5287" w:rsidRDefault="00B53308" w:rsidP="00B53308">
      <w:pPr>
        <w:spacing w:after="0" w:line="240" w:lineRule="auto"/>
        <w:jc w:val="center"/>
        <w:rPr>
          <w:rFonts w:ascii="Garamond" w:hAnsi="Garamond"/>
          <w:b/>
          <w:sz w:val="24"/>
          <w:szCs w:val="24"/>
          <w:lang w:val="sq-AL"/>
        </w:rPr>
      </w:pPr>
      <w:r w:rsidRPr="00BF5287">
        <w:rPr>
          <w:rFonts w:ascii="Garamond" w:hAnsi="Garamond"/>
          <w:b/>
          <w:sz w:val="24"/>
          <w:szCs w:val="24"/>
          <w:lang w:val="sq-AL"/>
        </w:rPr>
        <w:t>VENDIM</w:t>
      </w:r>
    </w:p>
    <w:p w14:paraId="003EFB8A" w14:textId="77777777" w:rsidR="00B53308" w:rsidRPr="00BF5287" w:rsidRDefault="00B53308" w:rsidP="00B53308">
      <w:pPr>
        <w:spacing w:after="0" w:line="240" w:lineRule="auto"/>
        <w:jc w:val="center"/>
        <w:rPr>
          <w:rFonts w:ascii="Garamond" w:hAnsi="Garamond"/>
          <w:i/>
          <w:sz w:val="24"/>
          <w:szCs w:val="24"/>
          <w:lang w:val="sq-AL"/>
        </w:rPr>
      </w:pPr>
      <w:r w:rsidRPr="00BF5287">
        <w:rPr>
          <w:rFonts w:ascii="Garamond" w:hAnsi="Garamond"/>
          <w:i/>
          <w:sz w:val="24"/>
          <w:szCs w:val="24"/>
          <w:lang w:val="sq-AL"/>
        </w:rPr>
        <w:t>Kërkesa nr. 62907/16</w:t>
      </w:r>
    </w:p>
    <w:p w14:paraId="5F6F8DB9" w14:textId="2FAA87FA" w:rsidR="00B53308" w:rsidRPr="00BF5287" w:rsidRDefault="00B53308" w:rsidP="00B53308">
      <w:pPr>
        <w:spacing w:after="0" w:line="240" w:lineRule="auto"/>
        <w:jc w:val="center"/>
        <w:rPr>
          <w:rFonts w:ascii="Garamond" w:hAnsi="Garamond"/>
          <w:b/>
          <w:sz w:val="24"/>
          <w:szCs w:val="24"/>
          <w:lang w:val="sq-AL"/>
        </w:rPr>
      </w:pPr>
      <w:r w:rsidRPr="00BF5287">
        <w:rPr>
          <w:rFonts w:ascii="Garamond" w:hAnsi="Garamond"/>
          <w:b/>
          <w:sz w:val="24"/>
          <w:szCs w:val="24"/>
          <w:lang w:val="sq-AL"/>
        </w:rPr>
        <w:t xml:space="preserve">Rinaldo </w:t>
      </w:r>
      <w:r w:rsidR="00BF5287" w:rsidRPr="00BF5287">
        <w:rPr>
          <w:rFonts w:ascii="Garamond" w:hAnsi="Garamond"/>
          <w:b/>
          <w:sz w:val="24"/>
          <w:szCs w:val="24"/>
          <w:lang w:val="sq-AL"/>
        </w:rPr>
        <w:t xml:space="preserve">Myrtaj </w:t>
      </w:r>
      <w:r w:rsidRPr="00BF5287">
        <w:rPr>
          <w:rFonts w:ascii="Garamond" w:hAnsi="Garamond"/>
          <w:b/>
          <w:sz w:val="24"/>
          <w:szCs w:val="24"/>
          <w:lang w:val="sq-AL"/>
        </w:rPr>
        <w:t>dhe të tjerët</w:t>
      </w:r>
      <w:r w:rsidR="00BF5287" w:rsidRPr="00BF5287">
        <w:rPr>
          <w:rFonts w:ascii="Garamond" w:hAnsi="Garamond"/>
          <w:b/>
          <w:sz w:val="24"/>
          <w:szCs w:val="24"/>
          <w:lang w:val="sq-AL"/>
        </w:rPr>
        <w:t xml:space="preserve"> </w:t>
      </w:r>
      <w:r w:rsidRPr="00BF5287">
        <w:rPr>
          <w:rFonts w:ascii="Garamond" w:hAnsi="Garamond"/>
          <w:b/>
          <w:sz w:val="24"/>
          <w:szCs w:val="24"/>
          <w:lang w:val="sq-AL"/>
        </w:rPr>
        <w:t>kundër Shqipërisë</w:t>
      </w:r>
    </w:p>
    <w:p w14:paraId="559CEB5B" w14:textId="77777777" w:rsidR="00B53308" w:rsidRPr="00E466AF" w:rsidRDefault="00B53308" w:rsidP="00B53308">
      <w:pPr>
        <w:spacing w:after="0" w:line="240" w:lineRule="auto"/>
        <w:rPr>
          <w:rFonts w:ascii="Garamond" w:hAnsi="Garamond"/>
          <w:sz w:val="24"/>
          <w:szCs w:val="24"/>
          <w:lang w:val="sq-AL"/>
        </w:rPr>
      </w:pPr>
      <w:r w:rsidRPr="00E466AF">
        <w:rPr>
          <w:rFonts w:ascii="Garamond" w:hAnsi="Garamond"/>
          <w:sz w:val="24"/>
          <w:szCs w:val="24"/>
          <w:lang w:val="sq-AL"/>
        </w:rPr>
        <w:t xml:space="preserve"> </w:t>
      </w:r>
    </w:p>
    <w:p w14:paraId="7FFDE7F5" w14:textId="1E4BBEAA" w:rsidR="00B53308" w:rsidRPr="00E466AF" w:rsidRDefault="00B53308" w:rsidP="00B53308">
      <w:pPr>
        <w:spacing w:after="0" w:line="240" w:lineRule="auto"/>
        <w:ind w:firstLine="284"/>
        <w:jc w:val="both"/>
        <w:rPr>
          <w:rFonts w:ascii="Garamond" w:hAnsi="Garamond"/>
          <w:sz w:val="24"/>
          <w:szCs w:val="24"/>
          <w:lang w:val="sq-AL"/>
        </w:rPr>
      </w:pPr>
      <w:r w:rsidRPr="00E466AF">
        <w:rPr>
          <w:rFonts w:ascii="Garamond" w:hAnsi="Garamond"/>
          <w:sz w:val="24"/>
          <w:szCs w:val="24"/>
          <w:lang w:val="sq-AL"/>
        </w:rPr>
        <w:t>Gjykata E</w:t>
      </w:r>
      <w:r w:rsidR="00E466AF">
        <w:rPr>
          <w:rFonts w:ascii="Garamond" w:hAnsi="Garamond"/>
          <w:sz w:val="24"/>
          <w:szCs w:val="24"/>
          <w:lang w:val="sq-AL"/>
        </w:rPr>
        <w:t>v</w:t>
      </w:r>
      <w:r w:rsidRPr="00E466AF">
        <w:rPr>
          <w:rFonts w:ascii="Garamond" w:hAnsi="Garamond"/>
          <w:sz w:val="24"/>
          <w:szCs w:val="24"/>
          <w:lang w:val="sq-AL"/>
        </w:rPr>
        <w:t xml:space="preserve">ropiane e të Drejtave të Njeriut (Seksioni i Dytë), e mbledhur si një Komision, më 5 </w:t>
      </w:r>
      <w:r w:rsidR="00E466AF" w:rsidRPr="00E466AF">
        <w:rPr>
          <w:rFonts w:ascii="Garamond" w:hAnsi="Garamond"/>
          <w:sz w:val="24"/>
          <w:szCs w:val="24"/>
          <w:lang w:val="sq-AL"/>
        </w:rPr>
        <w:t>m</w:t>
      </w:r>
      <w:r w:rsidRPr="00E466AF">
        <w:rPr>
          <w:rFonts w:ascii="Garamond" w:hAnsi="Garamond"/>
          <w:sz w:val="24"/>
          <w:szCs w:val="24"/>
          <w:lang w:val="sq-AL"/>
        </w:rPr>
        <w:t xml:space="preserve">ars 2019, i përbërë nga: </w:t>
      </w:r>
    </w:p>
    <w:p w14:paraId="4C749596" w14:textId="77777777" w:rsidR="00FB5514" w:rsidRDefault="00B53308" w:rsidP="00B53308">
      <w:pPr>
        <w:spacing w:after="0" w:line="240" w:lineRule="auto"/>
        <w:ind w:firstLine="284"/>
        <w:jc w:val="both"/>
        <w:rPr>
          <w:rFonts w:ascii="Garamond" w:hAnsi="Garamond"/>
          <w:sz w:val="24"/>
          <w:szCs w:val="24"/>
          <w:lang w:val="sq-AL"/>
        </w:rPr>
      </w:pPr>
      <w:r w:rsidRPr="00E466AF">
        <w:rPr>
          <w:rFonts w:ascii="Garamond" w:hAnsi="Garamond"/>
          <w:sz w:val="24"/>
          <w:szCs w:val="24"/>
          <w:lang w:val="sq-AL"/>
        </w:rPr>
        <w:t xml:space="preserve">Valeriu Griţco, </w:t>
      </w:r>
      <w:r w:rsidR="00E466AF" w:rsidRPr="00FB5514">
        <w:rPr>
          <w:rFonts w:ascii="Garamond" w:hAnsi="Garamond"/>
          <w:i/>
          <w:sz w:val="24"/>
          <w:szCs w:val="24"/>
          <w:lang w:val="sq-AL"/>
        </w:rPr>
        <w:t>k</w:t>
      </w:r>
      <w:r w:rsidRPr="00FB5514">
        <w:rPr>
          <w:rFonts w:ascii="Garamond" w:hAnsi="Garamond"/>
          <w:i/>
          <w:sz w:val="24"/>
          <w:szCs w:val="24"/>
          <w:lang w:val="sq-AL"/>
        </w:rPr>
        <w:t>ryetar</w:t>
      </w:r>
      <w:r w:rsidRPr="00E466AF">
        <w:rPr>
          <w:rFonts w:ascii="Garamond" w:hAnsi="Garamond"/>
          <w:sz w:val="24"/>
          <w:szCs w:val="24"/>
          <w:lang w:val="sq-AL"/>
        </w:rPr>
        <w:t>,</w:t>
      </w:r>
      <w:r w:rsidRPr="00E466AF">
        <w:rPr>
          <w:rFonts w:ascii="Garamond" w:hAnsi="Garamond"/>
          <w:sz w:val="24"/>
          <w:szCs w:val="24"/>
          <w:lang w:val="sq-AL"/>
        </w:rPr>
        <w:tab/>
      </w:r>
    </w:p>
    <w:p w14:paraId="4AB8A368" w14:textId="2F9B7662" w:rsidR="00B53308" w:rsidRPr="00E466AF" w:rsidRDefault="00B53308" w:rsidP="00B53308">
      <w:pPr>
        <w:spacing w:after="0" w:line="240" w:lineRule="auto"/>
        <w:ind w:firstLine="284"/>
        <w:jc w:val="both"/>
        <w:rPr>
          <w:rFonts w:ascii="Garamond" w:hAnsi="Garamond"/>
          <w:sz w:val="24"/>
          <w:szCs w:val="24"/>
          <w:lang w:val="sq-AL"/>
        </w:rPr>
      </w:pPr>
      <w:r w:rsidRPr="00E466AF">
        <w:rPr>
          <w:rFonts w:ascii="Garamond" w:hAnsi="Garamond"/>
          <w:sz w:val="24"/>
          <w:szCs w:val="24"/>
          <w:lang w:val="sq-AL"/>
        </w:rPr>
        <w:t>Ivana Jelić,</w:t>
      </w:r>
    </w:p>
    <w:p w14:paraId="7A194DBD" w14:textId="77777777" w:rsidR="00FB5514" w:rsidRDefault="00B53308" w:rsidP="00B53308">
      <w:pPr>
        <w:spacing w:after="0" w:line="240" w:lineRule="auto"/>
        <w:ind w:firstLine="284"/>
        <w:jc w:val="both"/>
        <w:rPr>
          <w:rFonts w:ascii="Garamond" w:hAnsi="Garamond"/>
          <w:sz w:val="24"/>
          <w:szCs w:val="24"/>
          <w:lang w:val="sq-AL"/>
        </w:rPr>
      </w:pPr>
      <w:r w:rsidRPr="00E466AF">
        <w:rPr>
          <w:rFonts w:ascii="Garamond" w:hAnsi="Garamond"/>
          <w:sz w:val="24"/>
          <w:szCs w:val="24"/>
          <w:lang w:val="sq-AL"/>
        </w:rPr>
        <w:t xml:space="preserve">Darian Pavli, </w:t>
      </w:r>
      <w:r w:rsidRPr="00FB5514">
        <w:rPr>
          <w:rFonts w:ascii="Garamond" w:hAnsi="Garamond"/>
          <w:i/>
          <w:sz w:val="24"/>
          <w:szCs w:val="24"/>
          <w:lang w:val="sq-AL"/>
        </w:rPr>
        <w:t>gjyqtarë</w:t>
      </w:r>
      <w:r w:rsidRPr="00E466AF">
        <w:rPr>
          <w:rFonts w:ascii="Garamond" w:hAnsi="Garamond"/>
          <w:sz w:val="24"/>
          <w:szCs w:val="24"/>
          <w:lang w:val="sq-AL"/>
        </w:rPr>
        <w:t xml:space="preserve">, </w:t>
      </w:r>
    </w:p>
    <w:p w14:paraId="28619AEF" w14:textId="37C83815" w:rsidR="00B53308" w:rsidRPr="00E466AF" w:rsidRDefault="00B53308" w:rsidP="00B53308">
      <w:pPr>
        <w:spacing w:after="0" w:line="240" w:lineRule="auto"/>
        <w:ind w:firstLine="284"/>
        <w:jc w:val="both"/>
        <w:rPr>
          <w:rFonts w:ascii="Garamond" w:hAnsi="Garamond"/>
          <w:sz w:val="24"/>
          <w:szCs w:val="24"/>
          <w:lang w:val="sq-AL"/>
        </w:rPr>
      </w:pPr>
      <w:r w:rsidRPr="00E466AF">
        <w:rPr>
          <w:rFonts w:ascii="Garamond" w:hAnsi="Garamond"/>
          <w:sz w:val="24"/>
          <w:szCs w:val="24"/>
          <w:lang w:val="sq-AL"/>
        </w:rPr>
        <w:t xml:space="preserve">dhe Hasan Bakırcı, </w:t>
      </w:r>
      <w:r w:rsidR="00E466AF" w:rsidRPr="001510EE">
        <w:rPr>
          <w:rFonts w:ascii="Garamond" w:hAnsi="Garamond"/>
          <w:i/>
          <w:sz w:val="24"/>
          <w:szCs w:val="24"/>
          <w:lang w:val="sq-AL"/>
        </w:rPr>
        <w:t>z</w:t>
      </w:r>
      <w:r w:rsidRPr="001510EE">
        <w:rPr>
          <w:rFonts w:ascii="Garamond" w:hAnsi="Garamond"/>
          <w:i/>
          <w:sz w:val="24"/>
          <w:szCs w:val="24"/>
          <w:lang w:val="sq-AL"/>
        </w:rPr>
        <w:t>ëvendës</w:t>
      </w:r>
      <w:r w:rsidR="00E466AF" w:rsidRPr="001510EE">
        <w:rPr>
          <w:rFonts w:ascii="Garamond" w:hAnsi="Garamond"/>
          <w:i/>
          <w:sz w:val="24"/>
          <w:szCs w:val="24"/>
          <w:lang w:val="sq-AL"/>
        </w:rPr>
        <w:t>s</w:t>
      </w:r>
      <w:r w:rsidRPr="001510EE">
        <w:rPr>
          <w:rFonts w:ascii="Garamond" w:hAnsi="Garamond"/>
          <w:i/>
          <w:sz w:val="24"/>
          <w:szCs w:val="24"/>
          <w:lang w:val="sq-AL"/>
        </w:rPr>
        <w:t>ekretar i Seksionit</w:t>
      </w:r>
      <w:r w:rsidRPr="00E466AF">
        <w:rPr>
          <w:rFonts w:ascii="Garamond" w:hAnsi="Garamond"/>
          <w:sz w:val="24"/>
          <w:szCs w:val="24"/>
          <w:lang w:val="sq-AL"/>
        </w:rPr>
        <w:t>,</w:t>
      </w:r>
    </w:p>
    <w:p w14:paraId="4381879C" w14:textId="13B2154F" w:rsidR="00B53308" w:rsidRPr="00E466AF" w:rsidRDefault="00E466AF" w:rsidP="00B53308">
      <w:pPr>
        <w:spacing w:after="0" w:line="240" w:lineRule="auto"/>
        <w:ind w:firstLine="284"/>
        <w:jc w:val="both"/>
        <w:rPr>
          <w:rFonts w:ascii="Garamond" w:hAnsi="Garamond"/>
          <w:sz w:val="24"/>
          <w:szCs w:val="24"/>
          <w:lang w:val="sq-AL"/>
        </w:rPr>
      </w:pPr>
      <w:r>
        <w:rPr>
          <w:rFonts w:ascii="Garamond" w:hAnsi="Garamond"/>
          <w:sz w:val="24"/>
          <w:szCs w:val="24"/>
          <w:lang w:val="sq-AL"/>
        </w:rPr>
        <w:t>n</w:t>
      </w:r>
      <w:r w:rsidR="00B53308" w:rsidRPr="00E466AF">
        <w:rPr>
          <w:rFonts w:ascii="Garamond" w:hAnsi="Garamond"/>
          <w:sz w:val="24"/>
          <w:szCs w:val="24"/>
          <w:lang w:val="sq-AL"/>
        </w:rPr>
        <w:t xml:space="preserve">ë lidhje me kërkesën e mësipërme, paraqitur më 25 </w:t>
      </w:r>
      <w:r>
        <w:rPr>
          <w:rFonts w:ascii="Garamond" w:hAnsi="Garamond"/>
          <w:sz w:val="24"/>
          <w:szCs w:val="24"/>
          <w:lang w:val="sq-AL"/>
        </w:rPr>
        <w:t>t</w:t>
      </w:r>
      <w:r w:rsidR="00B53308" w:rsidRPr="00E466AF">
        <w:rPr>
          <w:rFonts w:ascii="Garamond" w:hAnsi="Garamond"/>
          <w:sz w:val="24"/>
          <w:szCs w:val="24"/>
          <w:lang w:val="sq-AL"/>
        </w:rPr>
        <w:t xml:space="preserve">etor 2016, </w:t>
      </w:r>
    </w:p>
    <w:p w14:paraId="5B3C3BC5" w14:textId="36148942" w:rsidR="00B53308" w:rsidRPr="00E466AF" w:rsidRDefault="00E466AF" w:rsidP="00B53308">
      <w:pPr>
        <w:spacing w:after="0" w:line="240" w:lineRule="auto"/>
        <w:ind w:firstLine="284"/>
        <w:jc w:val="both"/>
        <w:rPr>
          <w:rFonts w:ascii="Garamond" w:hAnsi="Garamond"/>
          <w:sz w:val="24"/>
          <w:szCs w:val="24"/>
          <w:lang w:val="sq-AL"/>
        </w:rPr>
      </w:pPr>
      <w:r>
        <w:rPr>
          <w:rFonts w:ascii="Garamond" w:hAnsi="Garamond"/>
          <w:sz w:val="24"/>
          <w:szCs w:val="24"/>
          <w:lang w:val="sq-AL"/>
        </w:rPr>
        <w:t>n</w:t>
      </w:r>
      <w:r w:rsidR="00B53308" w:rsidRPr="00E466AF">
        <w:rPr>
          <w:rFonts w:ascii="Garamond" w:hAnsi="Garamond"/>
          <w:sz w:val="24"/>
          <w:szCs w:val="24"/>
          <w:lang w:val="sq-AL"/>
        </w:rPr>
        <w:t>ë lidhje me deklaratat formale, ku pranohej një zgjidhje me pajtim e çështjes,</w:t>
      </w:r>
    </w:p>
    <w:p w14:paraId="30CDD513" w14:textId="2693B6B0" w:rsidR="00B53308" w:rsidRPr="00E466AF" w:rsidRDefault="00E466AF" w:rsidP="00B53308">
      <w:pPr>
        <w:spacing w:after="0" w:line="240" w:lineRule="auto"/>
        <w:ind w:firstLine="284"/>
        <w:jc w:val="both"/>
        <w:rPr>
          <w:rFonts w:ascii="Garamond" w:hAnsi="Garamond"/>
          <w:sz w:val="24"/>
          <w:szCs w:val="24"/>
          <w:lang w:val="sq-AL"/>
        </w:rPr>
      </w:pPr>
      <w:r>
        <w:rPr>
          <w:rFonts w:ascii="Garamond" w:hAnsi="Garamond"/>
          <w:sz w:val="24"/>
          <w:szCs w:val="24"/>
          <w:lang w:val="sq-AL"/>
        </w:rPr>
        <w:t>p</w:t>
      </w:r>
      <w:r w:rsidR="00B53308" w:rsidRPr="00E466AF">
        <w:rPr>
          <w:rFonts w:ascii="Garamond" w:hAnsi="Garamond"/>
          <w:sz w:val="24"/>
          <w:szCs w:val="24"/>
          <w:lang w:val="sq-AL"/>
        </w:rPr>
        <w:t xml:space="preserve">asi diskutoi, vendosi si më poshtë: </w:t>
      </w:r>
    </w:p>
    <w:p w14:paraId="76E134CC" w14:textId="77777777" w:rsidR="00B53308" w:rsidRPr="00E466AF" w:rsidRDefault="00B53308" w:rsidP="00B53308">
      <w:pPr>
        <w:spacing w:after="0" w:line="240" w:lineRule="auto"/>
        <w:ind w:firstLine="284"/>
        <w:jc w:val="both"/>
        <w:rPr>
          <w:rFonts w:ascii="Garamond" w:hAnsi="Garamond"/>
          <w:sz w:val="24"/>
          <w:szCs w:val="24"/>
          <w:lang w:val="sq-AL"/>
        </w:rPr>
      </w:pPr>
      <w:r w:rsidRPr="00E466AF">
        <w:rPr>
          <w:rFonts w:ascii="Garamond" w:hAnsi="Garamond"/>
          <w:sz w:val="24"/>
          <w:szCs w:val="24"/>
          <w:lang w:val="sq-AL"/>
        </w:rPr>
        <w:t>FAKTET DHE PROCEDURA</w:t>
      </w:r>
    </w:p>
    <w:p w14:paraId="55508985" w14:textId="77777777" w:rsidR="00B53308" w:rsidRPr="00E466AF" w:rsidRDefault="00B53308" w:rsidP="00B53308">
      <w:pPr>
        <w:spacing w:after="0" w:line="240" w:lineRule="auto"/>
        <w:ind w:firstLine="284"/>
        <w:jc w:val="both"/>
        <w:rPr>
          <w:rFonts w:ascii="Garamond" w:hAnsi="Garamond"/>
          <w:sz w:val="24"/>
          <w:szCs w:val="24"/>
          <w:lang w:val="sq-AL"/>
        </w:rPr>
      </w:pPr>
      <w:r w:rsidRPr="00E466AF">
        <w:rPr>
          <w:rFonts w:ascii="Garamond" w:hAnsi="Garamond"/>
          <w:sz w:val="24"/>
          <w:szCs w:val="24"/>
          <w:lang w:val="sq-AL"/>
        </w:rPr>
        <w:t xml:space="preserve">Një listë me kërkuesit paraqitet në shtojcë. </w:t>
      </w:r>
    </w:p>
    <w:p w14:paraId="0DB88DD5" w14:textId="6A7AE571" w:rsidR="00B53308" w:rsidRPr="00E466AF" w:rsidRDefault="00B53308" w:rsidP="00B53308">
      <w:pPr>
        <w:spacing w:after="0" w:line="240" w:lineRule="auto"/>
        <w:ind w:firstLine="284"/>
        <w:jc w:val="both"/>
        <w:rPr>
          <w:rFonts w:ascii="Garamond" w:hAnsi="Garamond"/>
          <w:sz w:val="24"/>
          <w:szCs w:val="24"/>
          <w:lang w:val="sq-AL"/>
        </w:rPr>
      </w:pPr>
      <w:r w:rsidRPr="00E466AF">
        <w:rPr>
          <w:rFonts w:ascii="Garamond" w:hAnsi="Garamond"/>
          <w:sz w:val="24"/>
          <w:szCs w:val="24"/>
          <w:lang w:val="sq-AL"/>
        </w:rPr>
        <w:t xml:space="preserve">Qeveria shqiptare (“Qeveria”) u përfaqësua nga </w:t>
      </w:r>
      <w:r w:rsidR="00E466AF">
        <w:rPr>
          <w:rFonts w:ascii="Garamond" w:hAnsi="Garamond"/>
          <w:sz w:val="24"/>
          <w:szCs w:val="24"/>
          <w:lang w:val="sq-AL"/>
        </w:rPr>
        <w:t>a</w:t>
      </w:r>
      <w:r w:rsidRPr="00E466AF">
        <w:rPr>
          <w:rFonts w:ascii="Garamond" w:hAnsi="Garamond"/>
          <w:sz w:val="24"/>
          <w:szCs w:val="24"/>
          <w:lang w:val="sq-AL"/>
        </w:rPr>
        <w:t xml:space="preserve">gjentja e saj e atëhershme, </w:t>
      </w:r>
      <w:r w:rsidR="00E466AF">
        <w:rPr>
          <w:rFonts w:ascii="Garamond" w:hAnsi="Garamond"/>
          <w:sz w:val="24"/>
          <w:szCs w:val="24"/>
          <w:lang w:val="sq-AL"/>
        </w:rPr>
        <w:t>zn</w:t>
      </w:r>
      <w:r w:rsidRPr="00E466AF">
        <w:rPr>
          <w:rFonts w:ascii="Garamond" w:hAnsi="Garamond"/>
          <w:sz w:val="24"/>
          <w:szCs w:val="24"/>
          <w:lang w:val="sq-AL"/>
        </w:rPr>
        <w:t xml:space="preserve">j. A. Hicka, nga Avokatura e Shtetit. </w:t>
      </w:r>
    </w:p>
    <w:p w14:paraId="7C25E809" w14:textId="56E6FC27" w:rsidR="00B53308" w:rsidRPr="00E466AF" w:rsidRDefault="00B53308" w:rsidP="00B53308">
      <w:pPr>
        <w:spacing w:after="0" w:line="240" w:lineRule="auto"/>
        <w:ind w:firstLine="284"/>
        <w:jc w:val="both"/>
        <w:rPr>
          <w:rFonts w:ascii="Garamond" w:hAnsi="Garamond"/>
          <w:sz w:val="24"/>
          <w:szCs w:val="24"/>
          <w:lang w:val="sq-AL"/>
        </w:rPr>
      </w:pPr>
      <w:r w:rsidRPr="00E466AF">
        <w:rPr>
          <w:rFonts w:ascii="Garamond" w:hAnsi="Garamond"/>
          <w:sz w:val="24"/>
          <w:szCs w:val="24"/>
          <w:lang w:val="sq-AL"/>
        </w:rPr>
        <w:t xml:space="preserve">Kërkuesit u ankuan, mbështetur në </w:t>
      </w:r>
      <w:r w:rsidR="00E466AF">
        <w:rPr>
          <w:rFonts w:ascii="Garamond" w:hAnsi="Garamond"/>
          <w:sz w:val="24"/>
          <w:szCs w:val="24"/>
          <w:lang w:val="sq-AL"/>
        </w:rPr>
        <w:t>n</w:t>
      </w:r>
      <w:r w:rsidRPr="00E466AF">
        <w:rPr>
          <w:rFonts w:ascii="Garamond" w:hAnsi="Garamond"/>
          <w:sz w:val="24"/>
          <w:szCs w:val="24"/>
          <w:lang w:val="sq-AL"/>
        </w:rPr>
        <w:t xml:space="preserve">enin 2 të Konventës, se e drejta për jetën e familjarëve ishte shkelur si pasojë e veprimeve të Gardës Kombëtare gjatë protestës së zhvilluar më 21 </w:t>
      </w:r>
      <w:r w:rsidR="00E466AF">
        <w:rPr>
          <w:rFonts w:ascii="Garamond" w:hAnsi="Garamond"/>
          <w:sz w:val="24"/>
          <w:szCs w:val="24"/>
          <w:lang w:val="sq-AL"/>
        </w:rPr>
        <w:t>j</w:t>
      </w:r>
      <w:r w:rsidRPr="00E466AF">
        <w:rPr>
          <w:rFonts w:ascii="Garamond" w:hAnsi="Garamond"/>
          <w:sz w:val="24"/>
          <w:szCs w:val="24"/>
          <w:lang w:val="sq-AL"/>
        </w:rPr>
        <w:t xml:space="preserve">anar 2011. Gjithashtu, ata u ankuan se përdorimi i dhunës vdekjeprurëse nuk ishte absolutisht e nevojshme dhe se autoritetet, nuk kryen një hetim efikas për vdekjen e familjarëve të tyre.  </w:t>
      </w:r>
    </w:p>
    <w:p w14:paraId="5543A24C" w14:textId="00AFD8B9" w:rsidR="00B53308" w:rsidRPr="00E466AF" w:rsidRDefault="00B53308" w:rsidP="00B53308">
      <w:pPr>
        <w:spacing w:after="0" w:line="240" w:lineRule="auto"/>
        <w:ind w:firstLine="284"/>
        <w:jc w:val="both"/>
        <w:rPr>
          <w:rFonts w:ascii="Garamond" w:hAnsi="Garamond"/>
          <w:sz w:val="24"/>
          <w:szCs w:val="24"/>
          <w:lang w:val="sq-AL"/>
        </w:rPr>
      </w:pPr>
      <w:r w:rsidRPr="00E466AF">
        <w:rPr>
          <w:rFonts w:ascii="Garamond" w:hAnsi="Garamond"/>
          <w:sz w:val="24"/>
          <w:szCs w:val="24"/>
          <w:lang w:val="sq-AL"/>
        </w:rPr>
        <w:t xml:space="preserve">Kërkesa iu komunikua Qeverisë më 20 </w:t>
      </w:r>
      <w:r w:rsidR="00E466AF">
        <w:rPr>
          <w:rFonts w:ascii="Garamond" w:hAnsi="Garamond"/>
          <w:sz w:val="24"/>
          <w:szCs w:val="24"/>
          <w:lang w:val="sq-AL"/>
        </w:rPr>
        <w:t>n</w:t>
      </w:r>
      <w:r w:rsidRPr="00E466AF">
        <w:rPr>
          <w:rFonts w:ascii="Garamond" w:hAnsi="Garamond"/>
          <w:sz w:val="24"/>
          <w:szCs w:val="24"/>
          <w:lang w:val="sq-AL"/>
        </w:rPr>
        <w:t>ëntor 2017.</w:t>
      </w:r>
    </w:p>
    <w:p w14:paraId="1EB60F5C" w14:textId="7CC8C65B" w:rsidR="00B53308" w:rsidRPr="00E466AF" w:rsidRDefault="00B53308" w:rsidP="00B53308">
      <w:pPr>
        <w:spacing w:after="0" w:line="240" w:lineRule="auto"/>
        <w:ind w:firstLine="284"/>
        <w:jc w:val="both"/>
        <w:rPr>
          <w:rFonts w:ascii="Garamond" w:hAnsi="Garamond"/>
          <w:sz w:val="24"/>
          <w:szCs w:val="24"/>
          <w:lang w:val="sq-AL"/>
        </w:rPr>
      </w:pPr>
      <w:r w:rsidRPr="00E466AF">
        <w:rPr>
          <w:rFonts w:ascii="Garamond" w:hAnsi="Garamond"/>
          <w:sz w:val="24"/>
          <w:szCs w:val="24"/>
          <w:lang w:val="sq-AL"/>
        </w:rPr>
        <w:t xml:space="preserve">Më 30 </w:t>
      </w:r>
      <w:r w:rsidR="00E466AF">
        <w:rPr>
          <w:rFonts w:ascii="Garamond" w:hAnsi="Garamond"/>
          <w:sz w:val="24"/>
          <w:szCs w:val="24"/>
          <w:lang w:val="sq-AL"/>
        </w:rPr>
        <w:t>k</w:t>
      </w:r>
      <w:r w:rsidRPr="00E466AF">
        <w:rPr>
          <w:rFonts w:ascii="Garamond" w:hAnsi="Garamond"/>
          <w:sz w:val="24"/>
          <w:szCs w:val="24"/>
          <w:lang w:val="sq-AL"/>
        </w:rPr>
        <w:t xml:space="preserve">orrik 2018 dhe më 14 </w:t>
      </w:r>
      <w:r w:rsidR="00E466AF">
        <w:rPr>
          <w:rFonts w:ascii="Garamond" w:hAnsi="Garamond"/>
          <w:sz w:val="24"/>
          <w:szCs w:val="24"/>
          <w:lang w:val="sq-AL"/>
        </w:rPr>
        <w:t>d</w:t>
      </w:r>
      <w:r w:rsidRPr="00E466AF">
        <w:rPr>
          <w:rFonts w:ascii="Garamond" w:hAnsi="Garamond"/>
          <w:sz w:val="24"/>
          <w:szCs w:val="24"/>
          <w:lang w:val="sq-AL"/>
        </w:rPr>
        <w:t xml:space="preserve">hjetor 2018, Gjykata mori deklarata për zgjidhje miqësore, të firmosura nga të gjitha palët. </w:t>
      </w:r>
    </w:p>
    <w:p w14:paraId="4977F66B" w14:textId="77777777" w:rsidR="00B53308" w:rsidRPr="00E466AF" w:rsidRDefault="00B53308" w:rsidP="00B53308">
      <w:pPr>
        <w:spacing w:after="0" w:line="240" w:lineRule="auto"/>
        <w:ind w:firstLine="284"/>
        <w:jc w:val="both"/>
        <w:rPr>
          <w:rFonts w:ascii="Garamond" w:hAnsi="Garamond"/>
          <w:sz w:val="24"/>
          <w:szCs w:val="24"/>
          <w:lang w:val="sq-AL"/>
        </w:rPr>
      </w:pPr>
      <w:r w:rsidRPr="00E466AF">
        <w:rPr>
          <w:rFonts w:ascii="Garamond" w:hAnsi="Garamond"/>
          <w:sz w:val="24"/>
          <w:szCs w:val="24"/>
          <w:lang w:val="sq-AL"/>
        </w:rPr>
        <w:t xml:space="preserve">Deklarata parashtron si më poshtë: </w:t>
      </w:r>
    </w:p>
    <w:p w14:paraId="05A4B2F4" w14:textId="77777777" w:rsidR="00B53308" w:rsidRPr="00E466AF" w:rsidRDefault="00B53308" w:rsidP="00B53308">
      <w:pPr>
        <w:spacing w:after="0" w:line="240" w:lineRule="auto"/>
        <w:ind w:firstLine="284"/>
        <w:jc w:val="both"/>
        <w:rPr>
          <w:rFonts w:ascii="Garamond" w:hAnsi="Garamond"/>
          <w:sz w:val="20"/>
          <w:szCs w:val="20"/>
          <w:lang w:val="sq-AL"/>
        </w:rPr>
      </w:pPr>
      <w:r w:rsidRPr="00E466AF">
        <w:rPr>
          <w:rFonts w:ascii="Garamond" w:hAnsi="Garamond"/>
          <w:sz w:val="20"/>
          <w:szCs w:val="20"/>
          <w:lang w:val="sq-AL"/>
        </w:rPr>
        <w:t xml:space="preserve">“Kërkuesit ranë dakord të heqin dorë nga pretendime të tjera kundër Shqipërisë në lidhje me faktet, të cilat ngrenë këtë kërkesë kundër angazhimit të Qeverisë për t’i paguar ata: </w:t>
      </w:r>
    </w:p>
    <w:p w14:paraId="1D2DE494" w14:textId="77777777" w:rsidR="00B53308" w:rsidRPr="00E466AF" w:rsidRDefault="00B53308" w:rsidP="00B53308">
      <w:pPr>
        <w:spacing w:after="0" w:line="240" w:lineRule="auto"/>
        <w:ind w:firstLine="284"/>
        <w:jc w:val="both"/>
        <w:rPr>
          <w:rFonts w:ascii="Garamond" w:hAnsi="Garamond"/>
          <w:sz w:val="20"/>
          <w:szCs w:val="20"/>
          <w:lang w:val="sq-AL"/>
        </w:rPr>
      </w:pPr>
      <w:r w:rsidRPr="00E466AF">
        <w:rPr>
          <w:rFonts w:ascii="Garamond" w:hAnsi="Garamond"/>
          <w:sz w:val="20"/>
          <w:szCs w:val="20"/>
          <w:lang w:val="sq-AL"/>
        </w:rPr>
        <w:t>Rinaldo Myrtaj, EUR 39,000 (tridhjetë e nëntë mijë euro)</w:t>
      </w:r>
    </w:p>
    <w:p w14:paraId="04A6B1CC" w14:textId="77777777" w:rsidR="00B53308" w:rsidRPr="00E466AF" w:rsidRDefault="00B53308" w:rsidP="00B53308">
      <w:pPr>
        <w:spacing w:after="0" w:line="240" w:lineRule="auto"/>
        <w:ind w:firstLine="284"/>
        <w:jc w:val="both"/>
        <w:rPr>
          <w:rFonts w:ascii="Garamond" w:hAnsi="Garamond"/>
          <w:sz w:val="20"/>
          <w:szCs w:val="20"/>
          <w:lang w:val="sq-AL"/>
        </w:rPr>
      </w:pPr>
      <w:r w:rsidRPr="00E466AF">
        <w:rPr>
          <w:rFonts w:ascii="Garamond" w:hAnsi="Garamond"/>
          <w:sz w:val="20"/>
          <w:szCs w:val="20"/>
          <w:lang w:val="sq-AL"/>
        </w:rPr>
        <w:t>Mamude Myrtaj, EUR 39,000 (tridhjetë e nëntë mijë euro)</w:t>
      </w:r>
    </w:p>
    <w:p w14:paraId="09FFA326" w14:textId="77777777" w:rsidR="00B53308" w:rsidRPr="00E466AF" w:rsidRDefault="00B53308" w:rsidP="00B53308">
      <w:pPr>
        <w:spacing w:after="0" w:line="240" w:lineRule="auto"/>
        <w:ind w:firstLine="284"/>
        <w:jc w:val="both"/>
        <w:rPr>
          <w:rFonts w:ascii="Garamond" w:hAnsi="Garamond"/>
          <w:sz w:val="20"/>
          <w:szCs w:val="20"/>
          <w:lang w:val="sq-AL"/>
        </w:rPr>
      </w:pPr>
      <w:r w:rsidRPr="00E466AF">
        <w:rPr>
          <w:rFonts w:ascii="Garamond" w:hAnsi="Garamond"/>
          <w:sz w:val="20"/>
          <w:szCs w:val="20"/>
          <w:lang w:val="sq-AL"/>
        </w:rPr>
        <w:t>Ilmi Deada, EUR 15,600 (pesëmbëdhjetë mijë e gjashtëqind euro)</w:t>
      </w:r>
    </w:p>
    <w:p w14:paraId="5D6ACC7B" w14:textId="77777777" w:rsidR="00B53308" w:rsidRPr="00E466AF" w:rsidRDefault="00B53308" w:rsidP="00B53308">
      <w:pPr>
        <w:spacing w:after="0" w:line="240" w:lineRule="auto"/>
        <w:ind w:firstLine="284"/>
        <w:jc w:val="both"/>
        <w:rPr>
          <w:rFonts w:ascii="Garamond" w:hAnsi="Garamond"/>
          <w:sz w:val="20"/>
          <w:szCs w:val="20"/>
          <w:lang w:val="sq-AL"/>
        </w:rPr>
      </w:pPr>
      <w:r w:rsidRPr="00E466AF">
        <w:rPr>
          <w:rFonts w:ascii="Garamond" w:hAnsi="Garamond"/>
          <w:sz w:val="20"/>
          <w:szCs w:val="20"/>
          <w:lang w:val="sq-AL"/>
        </w:rPr>
        <w:t>Alma Rredhi, EUR 10,000 (dhjetë mijë euro).</w:t>
      </w:r>
    </w:p>
    <w:p w14:paraId="048F41B6" w14:textId="2A60539E" w:rsidR="00B53308" w:rsidRPr="00E466AF" w:rsidRDefault="00B53308" w:rsidP="00B53308">
      <w:pPr>
        <w:spacing w:after="0" w:line="240" w:lineRule="auto"/>
        <w:ind w:firstLine="284"/>
        <w:jc w:val="both"/>
        <w:rPr>
          <w:rFonts w:ascii="Garamond" w:hAnsi="Garamond"/>
          <w:sz w:val="20"/>
          <w:szCs w:val="20"/>
          <w:lang w:val="sq-AL"/>
        </w:rPr>
      </w:pPr>
      <w:r w:rsidRPr="00E466AF">
        <w:rPr>
          <w:rFonts w:ascii="Garamond" w:hAnsi="Garamond"/>
          <w:sz w:val="20"/>
          <w:szCs w:val="20"/>
          <w:lang w:val="sq-AL"/>
        </w:rPr>
        <w:t>për të mbuluar dëmet monetare dhe jo monetare si edhe kostot dhe shpenzimet, të cilat do të jenë në monedhën vendase në normën e zbatueshme në datën e pagesës, dhe do të paguhen brenda tre muajve nga data e njoftimit të vendimit të marrë nga Gjykata. Në rast se kjo shumë nuk paguhet brenda periudhës së lartpërmendur prej tre muajsh, Qeveria merr përsipër të paguajë interes të thjeshtë ndaj saj, nga përfundimi i asaj periudhe deri në shlyerje, në një normë të barabartë me normën margjinale të huadhënies së Bankës Qendrore E</w:t>
      </w:r>
      <w:r w:rsidR="00FB5514">
        <w:rPr>
          <w:rFonts w:ascii="Garamond" w:hAnsi="Garamond"/>
          <w:sz w:val="20"/>
          <w:szCs w:val="20"/>
          <w:lang w:val="sq-AL"/>
        </w:rPr>
        <w:t>v</w:t>
      </w:r>
      <w:r w:rsidRPr="00E466AF">
        <w:rPr>
          <w:rFonts w:ascii="Garamond" w:hAnsi="Garamond"/>
          <w:sz w:val="20"/>
          <w:szCs w:val="20"/>
          <w:lang w:val="sq-AL"/>
        </w:rPr>
        <w:t xml:space="preserve">ropiane, gjatë periudhës përkatëse plus tre përqind. Pagesa do të përbëjë zgjidhjen përfundimtare të çështjes.  </w:t>
      </w:r>
    </w:p>
    <w:p w14:paraId="06D89433" w14:textId="256A8E8B" w:rsidR="00B53308" w:rsidRPr="00E466AF" w:rsidRDefault="00B53308" w:rsidP="00B53308">
      <w:pPr>
        <w:spacing w:after="0" w:line="240" w:lineRule="auto"/>
        <w:ind w:firstLine="284"/>
        <w:jc w:val="both"/>
        <w:rPr>
          <w:rFonts w:ascii="Garamond" w:hAnsi="Garamond"/>
          <w:sz w:val="20"/>
          <w:szCs w:val="20"/>
          <w:lang w:val="sq-AL"/>
        </w:rPr>
      </w:pPr>
      <w:r w:rsidRPr="00E466AF">
        <w:rPr>
          <w:rFonts w:ascii="Garamond" w:hAnsi="Garamond"/>
          <w:sz w:val="20"/>
          <w:szCs w:val="20"/>
          <w:lang w:val="sq-AL"/>
        </w:rPr>
        <w:t xml:space="preserve">Në vijim, Qeveria pranon se hetimi i kryer për rrethanat e vdekjes së të afërmve të kërkuesve nuk pajtohej me </w:t>
      </w:r>
      <w:r w:rsidR="00FB5514">
        <w:rPr>
          <w:rFonts w:ascii="Garamond" w:hAnsi="Garamond"/>
          <w:sz w:val="20"/>
          <w:szCs w:val="20"/>
          <w:lang w:val="sq-AL"/>
        </w:rPr>
        <w:t>n</w:t>
      </w:r>
      <w:r w:rsidRPr="00E466AF">
        <w:rPr>
          <w:rFonts w:ascii="Garamond" w:hAnsi="Garamond"/>
          <w:sz w:val="20"/>
          <w:szCs w:val="20"/>
          <w:lang w:val="sq-AL"/>
        </w:rPr>
        <w:t xml:space="preserve">enin 2 të Konventës dhe se këto çështje nuk adresoheshin në procedimet penale të realizuara, të sipërpërmendura. </w:t>
      </w:r>
    </w:p>
    <w:p w14:paraId="3DBA1B08" w14:textId="77777777" w:rsidR="00B53308" w:rsidRPr="00E466AF" w:rsidRDefault="00B53308" w:rsidP="00B53308">
      <w:pPr>
        <w:spacing w:after="0" w:line="240" w:lineRule="auto"/>
        <w:ind w:firstLine="284"/>
        <w:jc w:val="both"/>
        <w:rPr>
          <w:rFonts w:ascii="Garamond" w:hAnsi="Garamond"/>
          <w:sz w:val="20"/>
          <w:szCs w:val="20"/>
          <w:lang w:val="sq-AL"/>
        </w:rPr>
      </w:pPr>
      <w:r w:rsidRPr="00E466AF">
        <w:rPr>
          <w:rFonts w:ascii="Garamond" w:hAnsi="Garamond"/>
          <w:sz w:val="20"/>
          <w:szCs w:val="20"/>
          <w:lang w:val="sq-AL"/>
        </w:rPr>
        <w:t>Gjithashtu, Qeveria ndërmerr rihapjen e procedimeve të brendshme penale për këtë çështje, duke marrë në konsideratë përfshirjen e të afërmve të viktimave në këto procedime.”</w:t>
      </w:r>
    </w:p>
    <w:p w14:paraId="27ABC5B8" w14:textId="77777777" w:rsidR="00B53308" w:rsidRPr="00E466AF" w:rsidRDefault="00B53308" w:rsidP="00B53308">
      <w:pPr>
        <w:spacing w:after="0" w:line="240" w:lineRule="auto"/>
        <w:ind w:firstLine="284"/>
        <w:jc w:val="both"/>
        <w:rPr>
          <w:rFonts w:ascii="Garamond" w:hAnsi="Garamond"/>
          <w:sz w:val="24"/>
          <w:szCs w:val="24"/>
          <w:lang w:val="sq-AL"/>
        </w:rPr>
      </w:pPr>
    </w:p>
    <w:p w14:paraId="328D007D" w14:textId="77777777" w:rsidR="00B53308" w:rsidRPr="00E466AF" w:rsidRDefault="00B53308" w:rsidP="00B53308">
      <w:pPr>
        <w:spacing w:after="0" w:line="240" w:lineRule="auto"/>
        <w:ind w:firstLine="284"/>
        <w:rPr>
          <w:rFonts w:ascii="Garamond" w:hAnsi="Garamond"/>
          <w:sz w:val="24"/>
          <w:szCs w:val="24"/>
          <w:lang w:val="sq-AL"/>
        </w:rPr>
      </w:pPr>
      <w:r w:rsidRPr="00E466AF">
        <w:rPr>
          <w:rFonts w:ascii="Garamond" w:hAnsi="Garamond"/>
          <w:sz w:val="24"/>
          <w:szCs w:val="24"/>
          <w:lang w:val="sq-AL"/>
        </w:rPr>
        <w:t xml:space="preserve">LIGJI </w:t>
      </w:r>
    </w:p>
    <w:p w14:paraId="6E404DFC" w14:textId="77777777" w:rsidR="00B53308" w:rsidRPr="00E466AF" w:rsidRDefault="00B53308" w:rsidP="00B53308">
      <w:pPr>
        <w:spacing w:after="0" w:line="240" w:lineRule="auto"/>
        <w:ind w:firstLine="284"/>
        <w:rPr>
          <w:rFonts w:ascii="Garamond" w:hAnsi="Garamond"/>
          <w:sz w:val="24"/>
          <w:szCs w:val="24"/>
          <w:lang w:val="sq-AL"/>
        </w:rPr>
      </w:pPr>
      <w:r w:rsidRPr="00E466AF">
        <w:rPr>
          <w:rFonts w:ascii="Garamond" w:hAnsi="Garamond"/>
          <w:sz w:val="24"/>
          <w:szCs w:val="24"/>
          <w:lang w:val="sq-AL"/>
        </w:rPr>
        <w:t xml:space="preserve">Gjykata përqendrohet në zgjidhjen me pajtim të arritur midis palëve. Ajo sigurohet se zgjidhja bazohet në respektimin e të drejtave të njeriut, sipas parashikimit në Konventë dhe në Protokollet e saj, dhe nuk konstaton asnjë arsye për të justifikuar vazhdimin e shqyrtimit të kërkesës. Për sa më sipër, është me vend që çështja të hiqet nga lista. </w:t>
      </w:r>
    </w:p>
    <w:p w14:paraId="33FCAD77" w14:textId="77777777" w:rsidR="00B53308" w:rsidRPr="00E466AF" w:rsidRDefault="00B53308" w:rsidP="00B53308">
      <w:pPr>
        <w:spacing w:after="0" w:line="240" w:lineRule="auto"/>
        <w:ind w:firstLine="284"/>
        <w:rPr>
          <w:rFonts w:ascii="Garamond" w:hAnsi="Garamond"/>
          <w:sz w:val="24"/>
          <w:szCs w:val="24"/>
          <w:lang w:val="sq-AL"/>
        </w:rPr>
      </w:pPr>
      <w:r w:rsidRPr="00E466AF">
        <w:rPr>
          <w:rFonts w:ascii="Garamond" w:hAnsi="Garamond"/>
          <w:sz w:val="24"/>
          <w:szCs w:val="24"/>
          <w:lang w:val="sq-AL"/>
        </w:rPr>
        <w:t xml:space="preserve">Për këto arsye, Gjykata, në mënyrë unanime, </w:t>
      </w:r>
    </w:p>
    <w:p w14:paraId="7F977DE0" w14:textId="71D7BDDD" w:rsidR="00B53308" w:rsidRPr="00E466AF" w:rsidRDefault="00B53308" w:rsidP="00B53308">
      <w:pPr>
        <w:spacing w:after="0" w:line="240" w:lineRule="auto"/>
        <w:ind w:firstLine="284"/>
        <w:rPr>
          <w:rFonts w:ascii="Garamond" w:hAnsi="Garamond"/>
          <w:sz w:val="24"/>
          <w:szCs w:val="24"/>
          <w:lang w:val="sq-AL"/>
        </w:rPr>
      </w:pPr>
      <w:r w:rsidRPr="00E466AF">
        <w:rPr>
          <w:rFonts w:ascii="Garamond" w:hAnsi="Garamond"/>
          <w:i/>
          <w:sz w:val="24"/>
          <w:szCs w:val="24"/>
          <w:lang w:val="sq-AL"/>
        </w:rPr>
        <w:lastRenderedPageBreak/>
        <w:t>Vendos,</w:t>
      </w:r>
      <w:r w:rsidRPr="00E466AF">
        <w:rPr>
          <w:rFonts w:ascii="Garamond" w:hAnsi="Garamond"/>
          <w:sz w:val="24"/>
          <w:szCs w:val="24"/>
          <w:lang w:val="sq-AL"/>
        </w:rPr>
        <w:t xml:space="preserve"> ta heq kërkesën nga lista e saj e çështjeve në mbështetje të </w:t>
      </w:r>
      <w:r w:rsidR="00FB5514">
        <w:rPr>
          <w:rFonts w:ascii="Garamond" w:hAnsi="Garamond"/>
          <w:sz w:val="24"/>
          <w:szCs w:val="24"/>
          <w:lang w:val="sq-AL"/>
        </w:rPr>
        <w:t>n</w:t>
      </w:r>
      <w:r w:rsidRPr="00E466AF">
        <w:rPr>
          <w:rFonts w:ascii="Garamond" w:hAnsi="Garamond"/>
          <w:sz w:val="24"/>
          <w:szCs w:val="24"/>
          <w:lang w:val="sq-AL"/>
        </w:rPr>
        <w:t xml:space="preserve">enit 39 të Konventës. </w:t>
      </w:r>
    </w:p>
    <w:p w14:paraId="71C4FDCC" w14:textId="7BC00081" w:rsidR="00B53308" w:rsidRPr="00E466AF" w:rsidRDefault="00B53308" w:rsidP="00B53308">
      <w:pPr>
        <w:spacing w:after="0" w:line="240" w:lineRule="auto"/>
        <w:ind w:firstLine="284"/>
        <w:rPr>
          <w:rFonts w:ascii="Garamond" w:hAnsi="Garamond"/>
          <w:sz w:val="24"/>
          <w:szCs w:val="24"/>
          <w:lang w:val="sq-AL"/>
        </w:rPr>
      </w:pPr>
      <w:r w:rsidRPr="00E466AF">
        <w:rPr>
          <w:rFonts w:ascii="Garamond" w:hAnsi="Garamond"/>
          <w:sz w:val="24"/>
          <w:szCs w:val="24"/>
          <w:lang w:val="sq-AL"/>
        </w:rPr>
        <w:t xml:space="preserve">Hartuar në anglisht dhe njoftuar me shkrim më 28 </w:t>
      </w:r>
      <w:r w:rsidR="00FB5514">
        <w:rPr>
          <w:rFonts w:ascii="Garamond" w:hAnsi="Garamond"/>
          <w:sz w:val="24"/>
          <w:szCs w:val="24"/>
          <w:lang w:val="sq-AL"/>
        </w:rPr>
        <w:t>m</w:t>
      </w:r>
      <w:r w:rsidRPr="00E466AF">
        <w:rPr>
          <w:rFonts w:ascii="Garamond" w:hAnsi="Garamond"/>
          <w:sz w:val="24"/>
          <w:szCs w:val="24"/>
          <w:lang w:val="sq-AL"/>
        </w:rPr>
        <w:t>ars 2019.</w:t>
      </w:r>
    </w:p>
    <w:p w14:paraId="2D496C07" w14:textId="77777777" w:rsidR="00E466AF" w:rsidRDefault="00E466AF" w:rsidP="00B53308">
      <w:pPr>
        <w:spacing w:after="0" w:line="240" w:lineRule="auto"/>
        <w:ind w:firstLine="284"/>
        <w:rPr>
          <w:rFonts w:ascii="Garamond" w:hAnsi="Garamond"/>
          <w:sz w:val="24"/>
          <w:szCs w:val="24"/>
          <w:lang w:val="sq-AL"/>
        </w:rPr>
      </w:pPr>
    </w:p>
    <w:p w14:paraId="10781A77" w14:textId="7BA6122A" w:rsidR="00B53308" w:rsidRPr="00E466AF" w:rsidRDefault="00B53308" w:rsidP="00B53308">
      <w:pPr>
        <w:spacing w:after="0" w:line="240" w:lineRule="auto"/>
        <w:ind w:firstLine="284"/>
        <w:rPr>
          <w:rFonts w:ascii="Garamond" w:hAnsi="Garamond"/>
          <w:b/>
          <w:sz w:val="24"/>
          <w:szCs w:val="24"/>
          <w:lang w:val="sq-AL"/>
        </w:rPr>
      </w:pPr>
      <w:r w:rsidRPr="00E466AF">
        <w:rPr>
          <w:rFonts w:ascii="Garamond" w:hAnsi="Garamond"/>
          <w:b/>
          <w:sz w:val="24"/>
          <w:szCs w:val="24"/>
          <w:lang w:val="sq-AL"/>
        </w:rPr>
        <w:t>Hasan Bakırcı</w:t>
      </w:r>
    </w:p>
    <w:p w14:paraId="69FFB2E8" w14:textId="0EC8DB26" w:rsidR="00E466AF" w:rsidRPr="00E466AF" w:rsidRDefault="00E466AF" w:rsidP="00E466AF">
      <w:pPr>
        <w:spacing w:after="0" w:line="240" w:lineRule="auto"/>
        <w:ind w:firstLine="284"/>
        <w:rPr>
          <w:rFonts w:ascii="Garamond" w:hAnsi="Garamond"/>
          <w:sz w:val="24"/>
          <w:szCs w:val="24"/>
          <w:lang w:val="sq-AL"/>
        </w:rPr>
      </w:pPr>
      <w:r>
        <w:rPr>
          <w:rFonts w:ascii="Garamond" w:hAnsi="Garamond"/>
          <w:sz w:val="24"/>
          <w:szCs w:val="24"/>
          <w:lang w:val="sq-AL"/>
        </w:rPr>
        <w:t>ZËVENDËS</w:t>
      </w:r>
      <w:r w:rsidRPr="00E466AF">
        <w:rPr>
          <w:rFonts w:ascii="Garamond" w:hAnsi="Garamond"/>
          <w:sz w:val="24"/>
          <w:szCs w:val="24"/>
          <w:lang w:val="sq-AL"/>
        </w:rPr>
        <w:t>SEKRETAR</w:t>
      </w:r>
    </w:p>
    <w:p w14:paraId="54E31A96" w14:textId="77777777" w:rsidR="00E466AF" w:rsidRDefault="00E466AF" w:rsidP="00B53308">
      <w:pPr>
        <w:spacing w:after="0" w:line="240" w:lineRule="auto"/>
        <w:ind w:firstLine="284"/>
        <w:rPr>
          <w:rFonts w:ascii="Garamond" w:hAnsi="Garamond"/>
          <w:sz w:val="24"/>
          <w:szCs w:val="24"/>
          <w:lang w:val="sq-AL"/>
        </w:rPr>
      </w:pPr>
    </w:p>
    <w:p w14:paraId="74C21830" w14:textId="6A9BF22A" w:rsidR="00B53308" w:rsidRPr="00E466AF" w:rsidRDefault="00B53308" w:rsidP="00B53308">
      <w:pPr>
        <w:spacing w:after="0" w:line="240" w:lineRule="auto"/>
        <w:ind w:firstLine="284"/>
        <w:rPr>
          <w:rFonts w:ascii="Garamond" w:hAnsi="Garamond"/>
          <w:b/>
          <w:sz w:val="24"/>
          <w:szCs w:val="24"/>
          <w:lang w:val="sq-AL"/>
        </w:rPr>
      </w:pPr>
      <w:r w:rsidRPr="00E466AF">
        <w:rPr>
          <w:rFonts w:ascii="Garamond" w:hAnsi="Garamond"/>
          <w:b/>
          <w:sz w:val="24"/>
          <w:szCs w:val="24"/>
          <w:lang w:val="sq-AL"/>
        </w:rPr>
        <w:t>Valeriu Griţco</w:t>
      </w:r>
    </w:p>
    <w:p w14:paraId="5526ECDC" w14:textId="765DDD5E" w:rsidR="00B53308" w:rsidRPr="00E466AF" w:rsidRDefault="00E466AF" w:rsidP="00B53308">
      <w:pPr>
        <w:spacing w:after="0" w:line="240" w:lineRule="auto"/>
        <w:ind w:firstLine="284"/>
        <w:rPr>
          <w:rFonts w:ascii="Garamond" w:hAnsi="Garamond"/>
          <w:sz w:val="24"/>
          <w:szCs w:val="24"/>
          <w:lang w:val="sq-AL"/>
        </w:rPr>
      </w:pPr>
      <w:r w:rsidRPr="00E466AF">
        <w:rPr>
          <w:rFonts w:ascii="Garamond" w:hAnsi="Garamond"/>
          <w:sz w:val="24"/>
          <w:szCs w:val="24"/>
          <w:lang w:val="sq-AL"/>
        </w:rPr>
        <w:t>KRYETAR</w:t>
      </w:r>
    </w:p>
    <w:p w14:paraId="5159A4D7" w14:textId="77777777" w:rsidR="00B53308" w:rsidRPr="00E466AF" w:rsidRDefault="00B53308" w:rsidP="00B53308">
      <w:pPr>
        <w:pStyle w:val="NoSpacing"/>
        <w:spacing w:line="276" w:lineRule="auto"/>
        <w:jc w:val="both"/>
      </w:pPr>
    </w:p>
    <w:p w14:paraId="5736D6EF" w14:textId="77777777" w:rsidR="00B53308" w:rsidRPr="00E466AF" w:rsidRDefault="00B53308" w:rsidP="00B53308">
      <w:pPr>
        <w:pStyle w:val="NoSpacing"/>
        <w:spacing w:line="276" w:lineRule="auto"/>
        <w:jc w:val="center"/>
        <w:rPr>
          <w:b/>
        </w:rPr>
      </w:pPr>
      <w:r w:rsidRPr="001510EE">
        <w:t>SHTOJCË</w:t>
      </w:r>
    </w:p>
    <w:p w14:paraId="6DE07D6A" w14:textId="77777777" w:rsidR="00B53308" w:rsidRPr="00E466AF" w:rsidRDefault="00B53308" w:rsidP="00B53308">
      <w:pPr>
        <w:pStyle w:val="NoSpacing"/>
        <w:spacing w:line="276" w:lineRule="auto"/>
        <w:rPr>
          <w:b/>
        </w:rPr>
      </w:pP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4"/>
        <w:gridCol w:w="2699"/>
        <w:gridCol w:w="1797"/>
        <w:gridCol w:w="1439"/>
        <w:gridCol w:w="1530"/>
        <w:gridCol w:w="1619"/>
      </w:tblGrid>
      <w:tr w:rsidR="00B53308" w:rsidRPr="00E466AF" w14:paraId="6B729463" w14:textId="77777777" w:rsidTr="00B53308">
        <w:tc>
          <w:tcPr>
            <w:tcW w:w="557" w:type="dxa"/>
            <w:tcBorders>
              <w:top w:val="single" w:sz="4" w:space="0" w:color="000000"/>
              <w:left w:val="single" w:sz="4" w:space="0" w:color="000000"/>
              <w:bottom w:val="single" w:sz="4" w:space="0" w:color="000000"/>
              <w:right w:val="single" w:sz="4" w:space="0" w:color="000000"/>
            </w:tcBorders>
            <w:hideMark/>
          </w:tcPr>
          <w:p w14:paraId="58384F9B" w14:textId="77777777" w:rsidR="00B53308" w:rsidRPr="00E466AF" w:rsidRDefault="00B53308">
            <w:pPr>
              <w:pStyle w:val="NoSpacing"/>
              <w:spacing w:line="276" w:lineRule="auto"/>
              <w:jc w:val="both"/>
              <w:rPr>
                <w:rFonts w:ascii="Garamond" w:hAnsi="Garamond"/>
                <w:b/>
              </w:rPr>
            </w:pPr>
            <w:r w:rsidRPr="00E466AF">
              <w:rPr>
                <w:rFonts w:ascii="Garamond" w:hAnsi="Garamond"/>
                <w:b/>
              </w:rPr>
              <w:t xml:space="preserve">Nr. </w:t>
            </w:r>
          </w:p>
        </w:tc>
        <w:tc>
          <w:tcPr>
            <w:tcW w:w="2701" w:type="dxa"/>
            <w:tcBorders>
              <w:top w:val="single" w:sz="4" w:space="0" w:color="000000"/>
              <w:left w:val="single" w:sz="4" w:space="0" w:color="000000"/>
              <w:bottom w:val="single" w:sz="4" w:space="0" w:color="000000"/>
              <w:right w:val="single" w:sz="4" w:space="0" w:color="000000"/>
            </w:tcBorders>
            <w:hideMark/>
          </w:tcPr>
          <w:p w14:paraId="0352D025" w14:textId="77777777" w:rsidR="00B53308" w:rsidRPr="00E466AF" w:rsidRDefault="00B53308">
            <w:pPr>
              <w:pStyle w:val="NoSpacing"/>
              <w:spacing w:line="276" w:lineRule="auto"/>
              <w:jc w:val="both"/>
              <w:rPr>
                <w:rFonts w:ascii="Garamond" w:hAnsi="Garamond"/>
                <w:b/>
              </w:rPr>
            </w:pPr>
            <w:r w:rsidRPr="00E466AF">
              <w:rPr>
                <w:rFonts w:ascii="Garamond" w:hAnsi="Garamond"/>
                <w:b/>
              </w:rPr>
              <w:t>Emri/MBIEMRI</w:t>
            </w:r>
          </w:p>
        </w:tc>
        <w:tc>
          <w:tcPr>
            <w:tcW w:w="1800" w:type="dxa"/>
            <w:tcBorders>
              <w:top w:val="single" w:sz="4" w:space="0" w:color="000000"/>
              <w:left w:val="single" w:sz="4" w:space="0" w:color="000000"/>
              <w:bottom w:val="single" w:sz="4" w:space="0" w:color="000000"/>
              <w:right w:val="single" w:sz="4" w:space="0" w:color="000000"/>
            </w:tcBorders>
            <w:hideMark/>
          </w:tcPr>
          <w:p w14:paraId="1B07BEF6" w14:textId="77777777" w:rsidR="00B53308" w:rsidRPr="00E466AF" w:rsidRDefault="00B53308">
            <w:pPr>
              <w:pStyle w:val="NoSpacing"/>
              <w:spacing w:line="276" w:lineRule="auto"/>
              <w:jc w:val="both"/>
              <w:rPr>
                <w:rFonts w:ascii="Garamond" w:hAnsi="Garamond"/>
                <w:b/>
              </w:rPr>
            </w:pPr>
            <w:r w:rsidRPr="00E466AF">
              <w:rPr>
                <w:rFonts w:ascii="Garamond" w:hAnsi="Garamond"/>
                <w:b/>
              </w:rPr>
              <w:t>Viti i lindjes</w:t>
            </w:r>
          </w:p>
        </w:tc>
        <w:tc>
          <w:tcPr>
            <w:tcW w:w="1440" w:type="dxa"/>
            <w:tcBorders>
              <w:top w:val="single" w:sz="4" w:space="0" w:color="000000"/>
              <w:left w:val="single" w:sz="4" w:space="0" w:color="000000"/>
              <w:bottom w:val="single" w:sz="4" w:space="0" w:color="000000"/>
              <w:right w:val="single" w:sz="4" w:space="0" w:color="000000"/>
            </w:tcBorders>
            <w:hideMark/>
          </w:tcPr>
          <w:p w14:paraId="13359A98" w14:textId="77777777" w:rsidR="00B53308" w:rsidRPr="00E466AF" w:rsidRDefault="00B53308">
            <w:pPr>
              <w:pStyle w:val="NoSpacing"/>
              <w:spacing w:line="276" w:lineRule="auto"/>
              <w:jc w:val="both"/>
              <w:rPr>
                <w:rFonts w:ascii="Garamond" w:hAnsi="Garamond"/>
                <w:b/>
              </w:rPr>
            </w:pPr>
            <w:r w:rsidRPr="00E466AF">
              <w:rPr>
                <w:rFonts w:ascii="Garamond" w:hAnsi="Garamond"/>
                <w:b/>
              </w:rPr>
              <w:t xml:space="preserve">Kombësia </w:t>
            </w:r>
          </w:p>
        </w:tc>
        <w:tc>
          <w:tcPr>
            <w:tcW w:w="1530" w:type="dxa"/>
            <w:tcBorders>
              <w:top w:val="single" w:sz="4" w:space="0" w:color="000000"/>
              <w:left w:val="single" w:sz="4" w:space="0" w:color="000000"/>
              <w:bottom w:val="single" w:sz="4" w:space="0" w:color="000000"/>
              <w:right w:val="single" w:sz="4" w:space="0" w:color="000000"/>
            </w:tcBorders>
            <w:hideMark/>
          </w:tcPr>
          <w:p w14:paraId="0A787EAE" w14:textId="77777777" w:rsidR="00B53308" w:rsidRPr="00E466AF" w:rsidRDefault="00B53308">
            <w:pPr>
              <w:pStyle w:val="NoSpacing"/>
              <w:spacing w:line="276" w:lineRule="auto"/>
              <w:jc w:val="both"/>
              <w:rPr>
                <w:rFonts w:ascii="Garamond" w:hAnsi="Garamond"/>
                <w:b/>
              </w:rPr>
            </w:pPr>
            <w:r w:rsidRPr="00E466AF">
              <w:rPr>
                <w:rFonts w:ascii="Garamond" w:hAnsi="Garamond"/>
                <w:b/>
              </w:rPr>
              <w:t xml:space="preserve">Vendbanimi </w:t>
            </w:r>
          </w:p>
        </w:tc>
        <w:tc>
          <w:tcPr>
            <w:tcW w:w="1620" w:type="dxa"/>
            <w:tcBorders>
              <w:top w:val="single" w:sz="4" w:space="0" w:color="000000"/>
              <w:left w:val="single" w:sz="4" w:space="0" w:color="000000"/>
              <w:bottom w:val="single" w:sz="4" w:space="0" w:color="000000"/>
              <w:right w:val="single" w:sz="4" w:space="0" w:color="000000"/>
            </w:tcBorders>
            <w:hideMark/>
          </w:tcPr>
          <w:p w14:paraId="4BA09B4C" w14:textId="77777777" w:rsidR="00B53308" w:rsidRPr="00E466AF" w:rsidRDefault="00B53308">
            <w:pPr>
              <w:pStyle w:val="NoSpacing"/>
              <w:spacing w:line="276" w:lineRule="auto"/>
              <w:jc w:val="both"/>
              <w:rPr>
                <w:rFonts w:ascii="Garamond" w:hAnsi="Garamond"/>
                <w:b/>
              </w:rPr>
            </w:pPr>
            <w:r w:rsidRPr="00E466AF">
              <w:rPr>
                <w:rFonts w:ascii="Garamond" w:hAnsi="Garamond"/>
                <w:b/>
              </w:rPr>
              <w:t xml:space="preserve">Përfaqësues </w:t>
            </w:r>
          </w:p>
        </w:tc>
      </w:tr>
      <w:tr w:rsidR="00B53308" w:rsidRPr="00E466AF" w14:paraId="3189D3FC" w14:textId="77777777" w:rsidTr="00B53308">
        <w:tc>
          <w:tcPr>
            <w:tcW w:w="557" w:type="dxa"/>
            <w:tcBorders>
              <w:top w:val="single" w:sz="4" w:space="0" w:color="000000"/>
              <w:left w:val="single" w:sz="4" w:space="0" w:color="000000"/>
              <w:bottom w:val="single" w:sz="4" w:space="0" w:color="000000"/>
              <w:right w:val="single" w:sz="4" w:space="0" w:color="000000"/>
            </w:tcBorders>
            <w:hideMark/>
          </w:tcPr>
          <w:p w14:paraId="25B39BBE" w14:textId="77777777" w:rsidR="00B53308" w:rsidRPr="00E466AF" w:rsidRDefault="00B53308">
            <w:pPr>
              <w:pStyle w:val="NoSpacing"/>
              <w:spacing w:line="276" w:lineRule="auto"/>
              <w:jc w:val="both"/>
              <w:rPr>
                <w:rFonts w:ascii="Garamond" w:hAnsi="Garamond"/>
              </w:rPr>
            </w:pPr>
            <w:r w:rsidRPr="00E466AF">
              <w:rPr>
                <w:rFonts w:ascii="Garamond" w:hAnsi="Garamond"/>
              </w:rPr>
              <w:t>1</w:t>
            </w:r>
          </w:p>
        </w:tc>
        <w:tc>
          <w:tcPr>
            <w:tcW w:w="2701" w:type="dxa"/>
            <w:tcBorders>
              <w:top w:val="single" w:sz="4" w:space="0" w:color="000000"/>
              <w:left w:val="single" w:sz="4" w:space="0" w:color="000000"/>
              <w:bottom w:val="single" w:sz="4" w:space="0" w:color="000000"/>
              <w:right w:val="single" w:sz="4" w:space="0" w:color="000000"/>
            </w:tcBorders>
            <w:hideMark/>
          </w:tcPr>
          <w:p w14:paraId="766A9293" w14:textId="77777777" w:rsidR="00B53308" w:rsidRPr="00E466AF" w:rsidRDefault="00B53308">
            <w:pPr>
              <w:pStyle w:val="NoSpacing"/>
              <w:spacing w:line="276" w:lineRule="auto"/>
              <w:jc w:val="both"/>
              <w:rPr>
                <w:rFonts w:ascii="Garamond" w:hAnsi="Garamond"/>
              </w:rPr>
            </w:pPr>
            <w:r w:rsidRPr="00E466AF">
              <w:rPr>
                <w:rFonts w:ascii="Garamond" w:hAnsi="Garamond"/>
              </w:rPr>
              <w:t>Rinaldo MYRTAJ</w:t>
            </w:r>
          </w:p>
        </w:tc>
        <w:tc>
          <w:tcPr>
            <w:tcW w:w="1800" w:type="dxa"/>
            <w:tcBorders>
              <w:top w:val="single" w:sz="4" w:space="0" w:color="000000"/>
              <w:left w:val="single" w:sz="4" w:space="0" w:color="000000"/>
              <w:bottom w:val="single" w:sz="4" w:space="0" w:color="000000"/>
              <w:right w:val="single" w:sz="4" w:space="0" w:color="000000"/>
            </w:tcBorders>
            <w:hideMark/>
          </w:tcPr>
          <w:p w14:paraId="71860756" w14:textId="77777777" w:rsidR="00B53308" w:rsidRPr="00E466AF" w:rsidRDefault="00B53308" w:rsidP="0031511C">
            <w:pPr>
              <w:pStyle w:val="NoSpacing"/>
              <w:spacing w:line="276" w:lineRule="auto"/>
              <w:jc w:val="center"/>
              <w:rPr>
                <w:rFonts w:ascii="Garamond" w:hAnsi="Garamond"/>
              </w:rPr>
            </w:pPr>
            <w:r w:rsidRPr="00E466AF">
              <w:rPr>
                <w:rFonts w:ascii="Garamond" w:hAnsi="Garamond"/>
              </w:rPr>
              <w:t>1986</w:t>
            </w:r>
          </w:p>
        </w:tc>
        <w:tc>
          <w:tcPr>
            <w:tcW w:w="1440" w:type="dxa"/>
            <w:tcBorders>
              <w:top w:val="single" w:sz="4" w:space="0" w:color="000000"/>
              <w:left w:val="single" w:sz="4" w:space="0" w:color="000000"/>
              <w:bottom w:val="single" w:sz="4" w:space="0" w:color="000000"/>
              <w:right w:val="single" w:sz="4" w:space="0" w:color="000000"/>
            </w:tcBorders>
            <w:hideMark/>
          </w:tcPr>
          <w:p w14:paraId="3DD46AD9" w14:textId="18B0DE8B" w:rsidR="00B53308" w:rsidRPr="00E466AF" w:rsidRDefault="0031511C" w:rsidP="0031511C">
            <w:pPr>
              <w:pStyle w:val="NoSpacing"/>
              <w:spacing w:line="276" w:lineRule="auto"/>
              <w:jc w:val="center"/>
              <w:rPr>
                <w:rFonts w:ascii="Garamond" w:hAnsi="Garamond"/>
              </w:rPr>
            </w:pPr>
            <w:r w:rsidRPr="00E466AF">
              <w:rPr>
                <w:rFonts w:ascii="Garamond" w:hAnsi="Garamond"/>
              </w:rPr>
              <w:t>shqiptare</w:t>
            </w:r>
          </w:p>
        </w:tc>
        <w:tc>
          <w:tcPr>
            <w:tcW w:w="1530" w:type="dxa"/>
            <w:tcBorders>
              <w:top w:val="single" w:sz="4" w:space="0" w:color="000000"/>
              <w:left w:val="single" w:sz="4" w:space="0" w:color="000000"/>
              <w:bottom w:val="single" w:sz="4" w:space="0" w:color="000000"/>
              <w:right w:val="single" w:sz="4" w:space="0" w:color="000000"/>
            </w:tcBorders>
            <w:hideMark/>
          </w:tcPr>
          <w:p w14:paraId="1913E35F" w14:textId="6626E796" w:rsidR="00B53308" w:rsidRPr="00E466AF" w:rsidRDefault="00B53308" w:rsidP="0031511C">
            <w:pPr>
              <w:pStyle w:val="NoSpacing"/>
              <w:spacing w:line="276" w:lineRule="auto"/>
              <w:rPr>
                <w:rFonts w:ascii="Garamond" w:hAnsi="Garamond"/>
              </w:rPr>
            </w:pPr>
            <w:r w:rsidRPr="00E466AF">
              <w:rPr>
                <w:rFonts w:ascii="Garamond" w:hAnsi="Garamond"/>
              </w:rPr>
              <w:t>Fier</w:t>
            </w:r>
          </w:p>
        </w:tc>
        <w:tc>
          <w:tcPr>
            <w:tcW w:w="1620" w:type="dxa"/>
            <w:tcBorders>
              <w:top w:val="single" w:sz="4" w:space="0" w:color="000000"/>
              <w:left w:val="single" w:sz="4" w:space="0" w:color="000000"/>
              <w:bottom w:val="single" w:sz="4" w:space="0" w:color="000000"/>
              <w:right w:val="single" w:sz="4" w:space="0" w:color="000000"/>
            </w:tcBorders>
            <w:hideMark/>
          </w:tcPr>
          <w:p w14:paraId="2B067381" w14:textId="7D8F4D7D" w:rsidR="00B53308" w:rsidRPr="00E466AF" w:rsidRDefault="00B53308" w:rsidP="0031511C">
            <w:pPr>
              <w:pStyle w:val="NoSpacing"/>
              <w:spacing w:line="276" w:lineRule="auto"/>
              <w:jc w:val="center"/>
              <w:rPr>
                <w:rFonts w:ascii="Garamond" w:hAnsi="Garamond"/>
              </w:rPr>
            </w:pPr>
            <w:r w:rsidRPr="00E466AF">
              <w:rPr>
                <w:rFonts w:ascii="Garamond" w:hAnsi="Garamond"/>
              </w:rPr>
              <w:t>D. Matlija</w:t>
            </w:r>
          </w:p>
        </w:tc>
      </w:tr>
      <w:tr w:rsidR="00B53308" w:rsidRPr="00E466AF" w14:paraId="3985E9DA" w14:textId="77777777" w:rsidTr="00B53308">
        <w:tc>
          <w:tcPr>
            <w:tcW w:w="557" w:type="dxa"/>
            <w:tcBorders>
              <w:top w:val="single" w:sz="4" w:space="0" w:color="000000"/>
              <w:left w:val="single" w:sz="4" w:space="0" w:color="000000"/>
              <w:bottom w:val="single" w:sz="4" w:space="0" w:color="000000"/>
              <w:right w:val="single" w:sz="4" w:space="0" w:color="000000"/>
            </w:tcBorders>
            <w:hideMark/>
          </w:tcPr>
          <w:p w14:paraId="0F964643" w14:textId="77777777" w:rsidR="00B53308" w:rsidRPr="00E466AF" w:rsidRDefault="00B53308">
            <w:pPr>
              <w:pStyle w:val="NoSpacing"/>
              <w:spacing w:line="276" w:lineRule="auto"/>
              <w:jc w:val="both"/>
              <w:rPr>
                <w:rFonts w:ascii="Garamond" w:hAnsi="Garamond"/>
              </w:rPr>
            </w:pPr>
            <w:r w:rsidRPr="00E466AF">
              <w:rPr>
                <w:rFonts w:ascii="Garamond" w:hAnsi="Garamond"/>
              </w:rPr>
              <w:t>2</w:t>
            </w:r>
          </w:p>
        </w:tc>
        <w:tc>
          <w:tcPr>
            <w:tcW w:w="2701" w:type="dxa"/>
            <w:tcBorders>
              <w:top w:val="single" w:sz="4" w:space="0" w:color="000000"/>
              <w:left w:val="single" w:sz="4" w:space="0" w:color="000000"/>
              <w:bottom w:val="single" w:sz="4" w:space="0" w:color="000000"/>
              <w:right w:val="single" w:sz="4" w:space="0" w:color="000000"/>
            </w:tcBorders>
            <w:hideMark/>
          </w:tcPr>
          <w:p w14:paraId="13123868" w14:textId="77777777" w:rsidR="00B53308" w:rsidRPr="00E466AF" w:rsidRDefault="00B53308">
            <w:pPr>
              <w:pStyle w:val="NoSpacing"/>
              <w:spacing w:line="276" w:lineRule="auto"/>
              <w:jc w:val="both"/>
              <w:rPr>
                <w:rFonts w:ascii="Garamond" w:hAnsi="Garamond"/>
              </w:rPr>
            </w:pPr>
            <w:r w:rsidRPr="00E466AF">
              <w:rPr>
                <w:rFonts w:ascii="Garamond" w:hAnsi="Garamond"/>
              </w:rPr>
              <w:t>Ilmi DEDA</w:t>
            </w:r>
          </w:p>
        </w:tc>
        <w:tc>
          <w:tcPr>
            <w:tcW w:w="1800" w:type="dxa"/>
            <w:tcBorders>
              <w:top w:val="single" w:sz="4" w:space="0" w:color="000000"/>
              <w:left w:val="single" w:sz="4" w:space="0" w:color="000000"/>
              <w:bottom w:val="single" w:sz="4" w:space="0" w:color="000000"/>
              <w:right w:val="single" w:sz="4" w:space="0" w:color="000000"/>
            </w:tcBorders>
            <w:hideMark/>
          </w:tcPr>
          <w:p w14:paraId="3D0AACDF" w14:textId="77777777" w:rsidR="00B53308" w:rsidRPr="00E466AF" w:rsidRDefault="00B53308" w:rsidP="0031511C">
            <w:pPr>
              <w:pStyle w:val="NoSpacing"/>
              <w:spacing w:line="276" w:lineRule="auto"/>
              <w:jc w:val="center"/>
              <w:rPr>
                <w:rFonts w:ascii="Garamond" w:hAnsi="Garamond"/>
              </w:rPr>
            </w:pPr>
            <w:r w:rsidRPr="00E466AF">
              <w:rPr>
                <w:rFonts w:ascii="Garamond" w:hAnsi="Garamond"/>
              </w:rPr>
              <w:t>1976</w:t>
            </w:r>
          </w:p>
        </w:tc>
        <w:tc>
          <w:tcPr>
            <w:tcW w:w="1440" w:type="dxa"/>
            <w:tcBorders>
              <w:top w:val="single" w:sz="4" w:space="0" w:color="000000"/>
              <w:left w:val="single" w:sz="4" w:space="0" w:color="000000"/>
              <w:bottom w:val="single" w:sz="4" w:space="0" w:color="000000"/>
              <w:right w:val="single" w:sz="4" w:space="0" w:color="000000"/>
            </w:tcBorders>
            <w:hideMark/>
          </w:tcPr>
          <w:p w14:paraId="5D96BE9A" w14:textId="09A455D5" w:rsidR="00B53308" w:rsidRPr="00E466AF" w:rsidRDefault="0031511C" w:rsidP="0031511C">
            <w:pPr>
              <w:pStyle w:val="NoSpacing"/>
              <w:spacing w:line="276" w:lineRule="auto"/>
              <w:jc w:val="center"/>
              <w:rPr>
                <w:rFonts w:ascii="Garamond" w:hAnsi="Garamond"/>
              </w:rPr>
            </w:pPr>
            <w:r w:rsidRPr="00E466AF">
              <w:rPr>
                <w:rFonts w:ascii="Garamond" w:hAnsi="Garamond"/>
              </w:rPr>
              <w:t>shqiptare</w:t>
            </w:r>
          </w:p>
        </w:tc>
        <w:tc>
          <w:tcPr>
            <w:tcW w:w="1530" w:type="dxa"/>
            <w:tcBorders>
              <w:top w:val="single" w:sz="4" w:space="0" w:color="000000"/>
              <w:left w:val="single" w:sz="4" w:space="0" w:color="000000"/>
              <w:bottom w:val="single" w:sz="4" w:space="0" w:color="000000"/>
              <w:right w:val="single" w:sz="4" w:space="0" w:color="000000"/>
            </w:tcBorders>
            <w:hideMark/>
          </w:tcPr>
          <w:p w14:paraId="7B1B00BE" w14:textId="7D9CB91B" w:rsidR="00B53308" w:rsidRPr="00E466AF" w:rsidRDefault="00B53308" w:rsidP="0031511C">
            <w:pPr>
              <w:pStyle w:val="NoSpacing"/>
              <w:spacing w:line="276" w:lineRule="auto"/>
              <w:rPr>
                <w:rFonts w:ascii="Garamond" w:hAnsi="Garamond"/>
              </w:rPr>
            </w:pPr>
            <w:r w:rsidRPr="00E466AF">
              <w:rPr>
                <w:rFonts w:ascii="Garamond" w:hAnsi="Garamond"/>
              </w:rPr>
              <w:t>Tiranë</w:t>
            </w:r>
          </w:p>
        </w:tc>
        <w:tc>
          <w:tcPr>
            <w:tcW w:w="1620" w:type="dxa"/>
            <w:tcBorders>
              <w:top w:val="single" w:sz="4" w:space="0" w:color="000000"/>
              <w:left w:val="single" w:sz="4" w:space="0" w:color="000000"/>
              <w:bottom w:val="single" w:sz="4" w:space="0" w:color="000000"/>
              <w:right w:val="single" w:sz="4" w:space="0" w:color="000000"/>
            </w:tcBorders>
            <w:hideMark/>
          </w:tcPr>
          <w:p w14:paraId="55F88151" w14:textId="77777777" w:rsidR="00B53308" w:rsidRPr="00E466AF" w:rsidRDefault="00B53308" w:rsidP="0031511C">
            <w:pPr>
              <w:pStyle w:val="NoSpacing"/>
              <w:spacing w:line="276" w:lineRule="auto"/>
              <w:jc w:val="center"/>
              <w:rPr>
                <w:rFonts w:ascii="Garamond" w:hAnsi="Garamond"/>
              </w:rPr>
            </w:pPr>
            <w:r w:rsidRPr="00E466AF">
              <w:rPr>
                <w:rFonts w:ascii="Garamond" w:hAnsi="Garamond"/>
              </w:rPr>
              <w:t>D. Matlija</w:t>
            </w:r>
          </w:p>
        </w:tc>
      </w:tr>
      <w:tr w:rsidR="00B53308" w:rsidRPr="00E466AF" w14:paraId="630290FD" w14:textId="77777777" w:rsidTr="00B53308">
        <w:tc>
          <w:tcPr>
            <w:tcW w:w="557" w:type="dxa"/>
            <w:tcBorders>
              <w:top w:val="single" w:sz="4" w:space="0" w:color="000000"/>
              <w:left w:val="single" w:sz="4" w:space="0" w:color="000000"/>
              <w:bottom w:val="single" w:sz="4" w:space="0" w:color="000000"/>
              <w:right w:val="single" w:sz="4" w:space="0" w:color="000000"/>
            </w:tcBorders>
            <w:hideMark/>
          </w:tcPr>
          <w:p w14:paraId="61691979" w14:textId="77777777" w:rsidR="00B53308" w:rsidRPr="00E466AF" w:rsidRDefault="00B53308">
            <w:pPr>
              <w:pStyle w:val="NoSpacing"/>
              <w:spacing w:line="276" w:lineRule="auto"/>
              <w:jc w:val="both"/>
              <w:rPr>
                <w:rFonts w:ascii="Garamond" w:hAnsi="Garamond"/>
              </w:rPr>
            </w:pPr>
            <w:r w:rsidRPr="00E466AF">
              <w:rPr>
                <w:rFonts w:ascii="Garamond" w:hAnsi="Garamond"/>
              </w:rPr>
              <w:t>3</w:t>
            </w:r>
          </w:p>
        </w:tc>
        <w:tc>
          <w:tcPr>
            <w:tcW w:w="2701" w:type="dxa"/>
            <w:tcBorders>
              <w:top w:val="single" w:sz="4" w:space="0" w:color="000000"/>
              <w:left w:val="single" w:sz="4" w:space="0" w:color="000000"/>
              <w:bottom w:val="single" w:sz="4" w:space="0" w:color="000000"/>
              <w:right w:val="single" w:sz="4" w:space="0" w:color="000000"/>
            </w:tcBorders>
            <w:hideMark/>
          </w:tcPr>
          <w:p w14:paraId="18032986" w14:textId="358D7722" w:rsidR="00B53308" w:rsidRPr="00E466AF" w:rsidRDefault="00B53308" w:rsidP="00446F07">
            <w:pPr>
              <w:pStyle w:val="NoSpacing"/>
              <w:spacing w:line="276" w:lineRule="auto"/>
              <w:jc w:val="both"/>
              <w:rPr>
                <w:rFonts w:ascii="Garamond" w:hAnsi="Garamond"/>
                <w:vertAlign w:val="superscript"/>
              </w:rPr>
            </w:pPr>
            <w:r w:rsidRPr="00E466AF">
              <w:rPr>
                <w:rFonts w:ascii="Garamond" w:hAnsi="Garamond"/>
              </w:rPr>
              <w:t>Zabit DEDA</w:t>
            </w:r>
            <w:r w:rsidR="00446F07" w:rsidRPr="00446F07">
              <w:rPr>
                <w:rFonts w:ascii="Garamond" w:hAnsi="Garamond"/>
                <w:vertAlign w:val="superscript"/>
              </w:rPr>
              <w:t>*</w:t>
            </w:r>
            <w:r w:rsidRPr="00446F07">
              <w:rPr>
                <w:rStyle w:val="FootnoteReference"/>
                <w:rFonts w:ascii="Garamond" w:hAnsi="Garamond"/>
              </w:rPr>
              <w:footnoteReference w:id="2"/>
            </w:r>
          </w:p>
        </w:tc>
        <w:tc>
          <w:tcPr>
            <w:tcW w:w="1800" w:type="dxa"/>
            <w:tcBorders>
              <w:top w:val="single" w:sz="4" w:space="0" w:color="000000"/>
              <w:left w:val="single" w:sz="4" w:space="0" w:color="000000"/>
              <w:bottom w:val="single" w:sz="4" w:space="0" w:color="000000"/>
              <w:right w:val="single" w:sz="4" w:space="0" w:color="000000"/>
            </w:tcBorders>
            <w:hideMark/>
          </w:tcPr>
          <w:p w14:paraId="4C5CC91A" w14:textId="77777777" w:rsidR="00B53308" w:rsidRPr="00E466AF" w:rsidRDefault="00B53308" w:rsidP="0031511C">
            <w:pPr>
              <w:pStyle w:val="NoSpacing"/>
              <w:spacing w:line="276" w:lineRule="auto"/>
              <w:jc w:val="center"/>
              <w:rPr>
                <w:rFonts w:ascii="Garamond" w:hAnsi="Garamond"/>
              </w:rPr>
            </w:pPr>
            <w:r w:rsidRPr="00E466AF">
              <w:rPr>
                <w:rFonts w:ascii="Garamond" w:hAnsi="Garamond"/>
              </w:rPr>
              <w:t>1970</w:t>
            </w:r>
          </w:p>
        </w:tc>
        <w:tc>
          <w:tcPr>
            <w:tcW w:w="1440" w:type="dxa"/>
            <w:tcBorders>
              <w:top w:val="single" w:sz="4" w:space="0" w:color="000000"/>
              <w:left w:val="single" w:sz="4" w:space="0" w:color="000000"/>
              <w:bottom w:val="single" w:sz="4" w:space="0" w:color="000000"/>
              <w:right w:val="single" w:sz="4" w:space="0" w:color="000000"/>
            </w:tcBorders>
            <w:hideMark/>
          </w:tcPr>
          <w:p w14:paraId="1E9BD8F8" w14:textId="673A81C6" w:rsidR="00B53308" w:rsidRPr="00E466AF" w:rsidRDefault="0031511C" w:rsidP="0031511C">
            <w:pPr>
              <w:pStyle w:val="NoSpacing"/>
              <w:spacing w:line="276" w:lineRule="auto"/>
              <w:jc w:val="center"/>
              <w:rPr>
                <w:rFonts w:ascii="Garamond" w:hAnsi="Garamond"/>
              </w:rPr>
            </w:pPr>
            <w:r w:rsidRPr="00E466AF">
              <w:rPr>
                <w:rFonts w:ascii="Garamond" w:hAnsi="Garamond"/>
              </w:rPr>
              <w:t>shqiptare</w:t>
            </w:r>
          </w:p>
        </w:tc>
        <w:tc>
          <w:tcPr>
            <w:tcW w:w="1530" w:type="dxa"/>
            <w:tcBorders>
              <w:top w:val="single" w:sz="4" w:space="0" w:color="000000"/>
              <w:left w:val="single" w:sz="4" w:space="0" w:color="000000"/>
              <w:bottom w:val="single" w:sz="4" w:space="0" w:color="000000"/>
              <w:right w:val="single" w:sz="4" w:space="0" w:color="000000"/>
            </w:tcBorders>
            <w:hideMark/>
          </w:tcPr>
          <w:p w14:paraId="5BDF527F" w14:textId="00763507" w:rsidR="00B53308" w:rsidRPr="00E466AF" w:rsidRDefault="00B53308" w:rsidP="0031511C">
            <w:pPr>
              <w:pStyle w:val="NoSpacing"/>
              <w:spacing w:line="276" w:lineRule="auto"/>
              <w:rPr>
                <w:rFonts w:ascii="Garamond" w:hAnsi="Garamond"/>
              </w:rPr>
            </w:pPr>
            <w:r w:rsidRPr="00E466AF">
              <w:rPr>
                <w:rFonts w:ascii="Garamond" w:hAnsi="Garamond"/>
              </w:rPr>
              <w:t>Tiranë</w:t>
            </w:r>
          </w:p>
        </w:tc>
        <w:tc>
          <w:tcPr>
            <w:tcW w:w="1620" w:type="dxa"/>
            <w:tcBorders>
              <w:top w:val="single" w:sz="4" w:space="0" w:color="000000"/>
              <w:left w:val="single" w:sz="4" w:space="0" w:color="000000"/>
              <w:bottom w:val="single" w:sz="4" w:space="0" w:color="000000"/>
              <w:right w:val="single" w:sz="4" w:space="0" w:color="000000"/>
            </w:tcBorders>
            <w:hideMark/>
          </w:tcPr>
          <w:p w14:paraId="216CB904" w14:textId="77777777" w:rsidR="00B53308" w:rsidRPr="00E466AF" w:rsidRDefault="00B53308" w:rsidP="0031511C">
            <w:pPr>
              <w:pStyle w:val="NoSpacing"/>
              <w:spacing w:line="276" w:lineRule="auto"/>
              <w:jc w:val="center"/>
              <w:rPr>
                <w:rFonts w:ascii="Garamond" w:hAnsi="Garamond"/>
              </w:rPr>
            </w:pPr>
            <w:r w:rsidRPr="00E466AF">
              <w:rPr>
                <w:rFonts w:ascii="Garamond" w:hAnsi="Garamond"/>
              </w:rPr>
              <w:t>D. Matlija</w:t>
            </w:r>
          </w:p>
        </w:tc>
      </w:tr>
      <w:tr w:rsidR="00B53308" w:rsidRPr="00E466AF" w14:paraId="50CDBC36" w14:textId="77777777" w:rsidTr="00B53308">
        <w:tc>
          <w:tcPr>
            <w:tcW w:w="557" w:type="dxa"/>
            <w:tcBorders>
              <w:top w:val="single" w:sz="4" w:space="0" w:color="000000"/>
              <w:left w:val="single" w:sz="4" w:space="0" w:color="000000"/>
              <w:bottom w:val="single" w:sz="4" w:space="0" w:color="000000"/>
              <w:right w:val="single" w:sz="4" w:space="0" w:color="000000"/>
            </w:tcBorders>
            <w:hideMark/>
          </w:tcPr>
          <w:p w14:paraId="74811F23" w14:textId="77777777" w:rsidR="00B53308" w:rsidRPr="00E466AF" w:rsidRDefault="00B53308">
            <w:pPr>
              <w:pStyle w:val="NoSpacing"/>
              <w:spacing w:line="276" w:lineRule="auto"/>
              <w:jc w:val="both"/>
              <w:rPr>
                <w:rFonts w:ascii="Garamond" w:hAnsi="Garamond"/>
              </w:rPr>
            </w:pPr>
            <w:r w:rsidRPr="00E466AF">
              <w:rPr>
                <w:rFonts w:ascii="Garamond" w:hAnsi="Garamond"/>
              </w:rPr>
              <w:t>4</w:t>
            </w:r>
          </w:p>
        </w:tc>
        <w:tc>
          <w:tcPr>
            <w:tcW w:w="2701" w:type="dxa"/>
            <w:tcBorders>
              <w:top w:val="single" w:sz="4" w:space="0" w:color="000000"/>
              <w:left w:val="single" w:sz="4" w:space="0" w:color="000000"/>
              <w:bottom w:val="single" w:sz="4" w:space="0" w:color="000000"/>
              <w:right w:val="single" w:sz="4" w:space="0" w:color="000000"/>
            </w:tcBorders>
            <w:hideMark/>
          </w:tcPr>
          <w:p w14:paraId="18946AC4" w14:textId="77777777" w:rsidR="00B53308" w:rsidRPr="00E466AF" w:rsidRDefault="00B53308">
            <w:pPr>
              <w:pStyle w:val="NoSpacing"/>
              <w:spacing w:line="276" w:lineRule="auto"/>
              <w:jc w:val="both"/>
              <w:rPr>
                <w:rFonts w:ascii="Garamond" w:hAnsi="Garamond"/>
              </w:rPr>
            </w:pPr>
            <w:r w:rsidRPr="00E466AF">
              <w:rPr>
                <w:rFonts w:ascii="Garamond" w:hAnsi="Garamond"/>
              </w:rPr>
              <w:t xml:space="preserve">Mamude MYRTAJ </w:t>
            </w:r>
          </w:p>
        </w:tc>
        <w:tc>
          <w:tcPr>
            <w:tcW w:w="1800" w:type="dxa"/>
            <w:tcBorders>
              <w:top w:val="single" w:sz="4" w:space="0" w:color="000000"/>
              <w:left w:val="single" w:sz="4" w:space="0" w:color="000000"/>
              <w:bottom w:val="single" w:sz="4" w:space="0" w:color="000000"/>
              <w:right w:val="single" w:sz="4" w:space="0" w:color="000000"/>
            </w:tcBorders>
            <w:hideMark/>
          </w:tcPr>
          <w:p w14:paraId="10D0AE28" w14:textId="77777777" w:rsidR="00B53308" w:rsidRPr="00E466AF" w:rsidRDefault="00B53308" w:rsidP="0031511C">
            <w:pPr>
              <w:pStyle w:val="NoSpacing"/>
              <w:spacing w:line="276" w:lineRule="auto"/>
              <w:jc w:val="center"/>
              <w:rPr>
                <w:rFonts w:ascii="Garamond" w:hAnsi="Garamond"/>
              </w:rPr>
            </w:pPr>
            <w:r w:rsidRPr="00E466AF">
              <w:rPr>
                <w:rFonts w:ascii="Garamond" w:hAnsi="Garamond"/>
              </w:rPr>
              <w:t>1963</w:t>
            </w:r>
          </w:p>
        </w:tc>
        <w:tc>
          <w:tcPr>
            <w:tcW w:w="1440" w:type="dxa"/>
            <w:tcBorders>
              <w:top w:val="single" w:sz="4" w:space="0" w:color="000000"/>
              <w:left w:val="single" w:sz="4" w:space="0" w:color="000000"/>
              <w:bottom w:val="single" w:sz="4" w:space="0" w:color="000000"/>
              <w:right w:val="single" w:sz="4" w:space="0" w:color="000000"/>
            </w:tcBorders>
            <w:hideMark/>
          </w:tcPr>
          <w:p w14:paraId="30B5FCEA" w14:textId="4B862327" w:rsidR="00B53308" w:rsidRPr="00E466AF" w:rsidRDefault="0031511C" w:rsidP="0031511C">
            <w:pPr>
              <w:pStyle w:val="NoSpacing"/>
              <w:spacing w:line="276" w:lineRule="auto"/>
              <w:jc w:val="center"/>
              <w:rPr>
                <w:rFonts w:ascii="Garamond" w:hAnsi="Garamond"/>
              </w:rPr>
            </w:pPr>
            <w:r w:rsidRPr="00E466AF">
              <w:rPr>
                <w:rFonts w:ascii="Garamond" w:hAnsi="Garamond"/>
              </w:rPr>
              <w:t>shqiptare</w:t>
            </w:r>
          </w:p>
        </w:tc>
        <w:tc>
          <w:tcPr>
            <w:tcW w:w="1530" w:type="dxa"/>
            <w:tcBorders>
              <w:top w:val="single" w:sz="4" w:space="0" w:color="000000"/>
              <w:left w:val="single" w:sz="4" w:space="0" w:color="000000"/>
              <w:bottom w:val="single" w:sz="4" w:space="0" w:color="000000"/>
              <w:right w:val="single" w:sz="4" w:space="0" w:color="000000"/>
            </w:tcBorders>
            <w:hideMark/>
          </w:tcPr>
          <w:p w14:paraId="50B46251" w14:textId="51DCF687" w:rsidR="00B53308" w:rsidRPr="00E466AF" w:rsidRDefault="00B53308" w:rsidP="0031511C">
            <w:pPr>
              <w:pStyle w:val="NoSpacing"/>
              <w:spacing w:line="276" w:lineRule="auto"/>
              <w:rPr>
                <w:rFonts w:ascii="Garamond" w:hAnsi="Garamond"/>
              </w:rPr>
            </w:pPr>
            <w:r w:rsidRPr="00E466AF">
              <w:rPr>
                <w:rFonts w:ascii="Garamond" w:hAnsi="Garamond"/>
              </w:rPr>
              <w:t>Fier</w:t>
            </w:r>
          </w:p>
        </w:tc>
        <w:tc>
          <w:tcPr>
            <w:tcW w:w="1620" w:type="dxa"/>
            <w:tcBorders>
              <w:top w:val="single" w:sz="4" w:space="0" w:color="000000"/>
              <w:left w:val="single" w:sz="4" w:space="0" w:color="000000"/>
              <w:bottom w:val="single" w:sz="4" w:space="0" w:color="000000"/>
              <w:right w:val="single" w:sz="4" w:space="0" w:color="000000"/>
            </w:tcBorders>
            <w:hideMark/>
          </w:tcPr>
          <w:p w14:paraId="332C97F1" w14:textId="77777777" w:rsidR="00B53308" w:rsidRPr="00E466AF" w:rsidRDefault="00B53308" w:rsidP="0031511C">
            <w:pPr>
              <w:pStyle w:val="NoSpacing"/>
              <w:spacing w:line="276" w:lineRule="auto"/>
              <w:jc w:val="center"/>
              <w:rPr>
                <w:rFonts w:ascii="Garamond" w:hAnsi="Garamond"/>
              </w:rPr>
            </w:pPr>
            <w:r w:rsidRPr="00E466AF">
              <w:rPr>
                <w:rFonts w:ascii="Garamond" w:hAnsi="Garamond"/>
              </w:rPr>
              <w:t>D. Matlija</w:t>
            </w:r>
          </w:p>
        </w:tc>
      </w:tr>
      <w:tr w:rsidR="00B53308" w:rsidRPr="00E466AF" w14:paraId="714031E3" w14:textId="77777777" w:rsidTr="00B53308">
        <w:tc>
          <w:tcPr>
            <w:tcW w:w="557" w:type="dxa"/>
            <w:tcBorders>
              <w:top w:val="single" w:sz="4" w:space="0" w:color="000000"/>
              <w:left w:val="single" w:sz="4" w:space="0" w:color="000000"/>
              <w:bottom w:val="single" w:sz="4" w:space="0" w:color="000000"/>
              <w:right w:val="single" w:sz="4" w:space="0" w:color="000000"/>
            </w:tcBorders>
            <w:hideMark/>
          </w:tcPr>
          <w:p w14:paraId="7FBA3E47" w14:textId="77777777" w:rsidR="00B53308" w:rsidRPr="00E466AF" w:rsidRDefault="00B53308">
            <w:pPr>
              <w:pStyle w:val="NoSpacing"/>
              <w:spacing w:line="276" w:lineRule="auto"/>
              <w:jc w:val="both"/>
              <w:rPr>
                <w:rFonts w:ascii="Garamond" w:hAnsi="Garamond"/>
              </w:rPr>
            </w:pPr>
            <w:r w:rsidRPr="00E466AF">
              <w:rPr>
                <w:rFonts w:ascii="Garamond" w:hAnsi="Garamond"/>
              </w:rPr>
              <w:t>5</w:t>
            </w:r>
          </w:p>
        </w:tc>
        <w:tc>
          <w:tcPr>
            <w:tcW w:w="2701" w:type="dxa"/>
            <w:tcBorders>
              <w:top w:val="single" w:sz="4" w:space="0" w:color="000000"/>
              <w:left w:val="single" w:sz="4" w:space="0" w:color="000000"/>
              <w:bottom w:val="single" w:sz="4" w:space="0" w:color="000000"/>
              <w:right w:val="single" w:sz="4" w:space="0" w:color="000000"/>
            </w:tcBorders>
            <w:hideMark/>
          </w:tcPr>
          <w:p w14:paraId="26F421C1" w14:textId="77777777" w:rsidR="00B53308" w:rsidRPr="00E466AF" w:rsidRDefault="00B53308">
            <w:pPr>
              <w:pStyle w:val="NoSpacing"/>
              <w:spacing w:line="276" w:lineRule="auto"/>
              <w:jc w:val="both"/>
              <w:rPr>
                <w:rFonts w:ascii="Garamond" w:hAnsi="Garamond"/>
              </w:rPr>
            </w:pPr>
            <w:r w:rsidRPr="00E466AF">
              <w:rPr>
                <w:rFonts w:ascii="Garamond" w:hAnsi="Garamond"/>
              </w:rPr>
              <w:t>Alma RREDHI</w:t>
            </w:r>
          </w:p>
        </w:tc>
        <w:tc>
          <w:tcPr>
            <w:tcW w:w="1800" w:type="dxa"/>
            <w:tcBorders>
              <w:top w:val="single" w:sz="4" w:space="0" w:color="000000"/>
              <w:left w:val="single" w:sz="4" w:space="0" w:color="000000"/>
              <w:bottom w:val="single" w:sz="4" w:space="0" w:color="000000"/>
              <w:right w:val="single" w:sz="4" w:space="0" w:color="000000"/>
            </w:tcBorders>
            <w:hideMark/>
          </w:tcPr>
          <w:p w14:paraId="7EBFBB9B" w14:textId="77777777" w:rsidR="00B53308" w:rsidRPr="00E466AF" w:rsidRDefault="00B53308" w:rsidP="0031511C">
            <w:pPr>
              <w:pStyle w:val="NoSpacing"/>
              <w:spacing w:line="276" w:lineRule="auto"/>
              <w:jc w:val="center"/>
              <w:rPr>
                <w:rFonts w:ascii="Garamond" w:hAnsi="Garamond"/>
              </w:rPr>
            </w:pPr>
            <w:r w:rsidRPr="00E466AF">
              <w:rPr>
                <w:rFonts w:ascii="Garamond" w:hAnsi="Garamond"/>
              </w:rPr>
              <w:t>1975</w:t>
            </w:r>
          </w:p>
        </w:tc>
        <w:tc>
          <w:tcPr>
            <w:tcW w:w="1440" w:type="dxa"/>
            <w:tcBorders>
              <w:top w:val="single" w:sz="4" w:space="0" w:color="000000"/>
              <w:left w:val="single" w:sz="4" w:space="0" w:color="000000"/>
              <w:bottom w:val="single" w:sz="4" w:space="0" w:color="000000"/>
              <w:right w:val="single" w:sz="4" w:space="0" w:color="000000"/>
            </w:tcBorders>
            <w:hideMark/>
          </w:tcPr>
          <w:p w14:paraId="1C8D28FD" w14:textId="2849C4F4" w:rsidR="00B53308" w:rsidRPr="00E466AF" w:rsidRDefault="0031511C" w:rsidP="0031511C">
            <w:pPr>
              <w:pStyle w:val="NoSpacing"/>
              <w:spacing w:line="276" w:lineRule="auto"/>
              <w:jc w:val="center"/>
              <w:rPr>
                <w:rFonts w:ascii="Garamond" w:hAnsi="Garamond"/>
              </w:rPr>
            </w:pPr>
            <w:r w:rsidRPr="00E466AF">
              <w:rPr>
                <w:rFonts w:ascii="Garamond" w:hAnsi="Garamond"/>
              </w:rPr>
              <w:t>shqiptare</w:t>
            </w:r>
          </w:p>
        </w:tc>
        <w:tc>
          <w:tcPr>
            <w:tcW w:w="1530" w:type="dxa"/>
            <w:tcBorders>
              <w:top w:val="single" w:sz="4" w:space="0" w:color="000000"/>
              <w:left w:val="single" w:sz="4" w:space="0" w:color="000000"/>
              <w:bottom w:val="single" w:sz="4" w:space="0" w:color="000000"/>
              <w:right w:val="single" w:sz="4" w:space="0" w:color="000000"/>
            </w:tcBorders>
            <w:hideMark/>
          </w:tcPr>
          <w:p w14:paraId="6E6A392A" w14:textId="77777777" w:rsidR="00B53308" w:rsidRPr="00E466AF" w:rsidRDefault="00B53308" w:rsidP="0031511C">
            <w:pPr>
              <w:pStyle w:val="NoSpacing"/>
              <w:spacing w:line="276" w:lineRule="auto"/>
              <w:rPr>
                <w:rFonts w:ascii="Garamond" w:hAnsi="Garamond"/>
              </w:rPr>
            </w:pPr>
            <w:r w:rsidRPr="00E466AF">
              <w:rPr>
                <w:rFonts w:ascii="Garamond" w:hAnsi="Garamond"/>
              </w:rPr>
              <w:t>Fier</w:t>
            </w:r>
          </w:p>
        </w:tc>
        <w:tc>
          <w:tcPr>
            <w:tcW w:w="1620" w:type="dxa"/>
            <w:tcBorders>
              <w:top w:val="single" w:sz="4" w:space="0" w:color="000000"/>
              <w:left w:val="single" w:sz="4" w:space="0" w:color="000000"/>
              <w:bottom w:val="single" w:sz="4" w:space="0" w:color="000000"/>
              <w:right w:val="single" w:sz="4" w:space="0" w:color="000000"/>
            </w:tcBorders>
            <w:hideMark/>
          </w:tcPr>
          <w:p w14:paraId="7C1FF67E" w14:textId="77777777" w:rsidR="00B53308" w:rsidRPr="00E466AF" w:rsidRDefault="00B53308" w:rsidP="0031511C">
            <w:pPr>
              <w:pStyle w:val="NoSpacing"/>
              <w:spacing w:line="276" w:lineRule="auto"/>
              <w:jc w:val="center"/>
              <w:rPr>
                <w:rFonts w:ascii="Garamond" w:hAnsi="Garamond"/>
              </w:rPr>
            </w:pPr>
            <w:r w:rsidRPr="00E466AF">
              <w:rPr>
                <w:rFonts w:ascii="Garamond" w:hAnsi="Garamond"/>
              </w:rPr>
              <w:t>D. Matlija</w:t>
            </w:r>
          </w:p>
        </w:tc>
      </w:tr>
      <w:tr w:rsidR="00B53308" w:rsidRPr="00E466AF" w14:paraId="22EB986F" w14:textId="77777777" w:rsidTr="00B53308">
        <w:tc>
          <w:tcPr>
            <w:tcW w:w="557" w:type="dxa"/>
            <w:tcBorders>
              <w:top w:val="single" w:sz="4" w:space="0" w:color="000000"/>
              <w:left w:val="single" w:sz="4" w:space="0" w:color="000000"/>
              <w:bottom w:val="single" w:sz="4" w:space="0" w:color="000000"/>
              <w:right w:val="single" w:sz="4" w:space="0" w:color="000000"/>
            </w:tcBorders>
            <w:hideMark/>
          </w:tcPr>
          <w:p w14:paraId="46C6C3E1" w14:textId="77777777" w:rsidR="00B53308" w:rsidRPr="00E466AF" w:rsidRDefault="00B53308">
            <w:pPr>
              <w:pStyle w:val="NoSpacing"/>
              <w:spacing w:line="276" w:lineRule="auto"/>
              <w:jc w:val="both"/>
              <w:rPr>
                <w:rFonts w:ascii="Garamond" w:hAnsi="Garamond"/>
              </w:rPr>
            </w:pPr>
            <w:r w:rsidRPr="00E466AF">
              <w:rPr>
                <w:rFonts w:ascii="Garamond" w:hAnsi="Garamond"/>
              </w:rPr>
              <w:t>6</w:t>
            </w:r>
          </w:p>
        </w:tc>
        <w:tc>
          <w:tcPr>
            <w:tcW w:w="2701" w:type="dxa"/>
            <w:tcBorders>
              <w:top w:val="single" w:sz="4" w:space="0" w:color="000000"/>
              <w:left w:val="single" w:sz="4" w:space="0" w:color="000000"/>
              <w:bottom w:val="single" w:sz="4" w:space="0" w:color="000000"/>
              <w:right w:val="single" w:sz="4" w:space="0" w:color="000000"/>
            </w:tcBorders>
            <w:hideMark/>
          </w:tcPr>
          <w:p w14:paraId="525576AA" w14:textId="77777777" w:rsidR="00B53308" w:rsidRPr="00E466AF" w:rsidRDefault="00B53308">
            <w:pPr>
              <w:pStyle w:val="NoSpacing"/>
              <w:spacing w:line="276" w:lineRule="auto"/>
              <w:jc w:val="both"/>
              <w:rPr>
                <w:rFonts w:ascii="Garamond" w:hAnsi="Garamond"/>
                <w:vertAlign w:val="superscript"/>
              </w:rPr>
            </w:pPr>
            <w:r w:rsidRPr="00E466AF">
              <w:rPr>
                <w:rFonts w:ascii="Garamond" w:hAnsi="Garamond"/>
              </w:rPr>
              <w:t>Ana VEIZI</w:t>
            </w:r>
            <w:r w:rsidRPr="00E466AF">
              <w:rPr>
                <w:rFonts w:ascii="Garamond" w:hAnsi="Garamond"/>
                <w:vertAlign w:val="superscript"/>
              </w:rPr>
              <w:t>*</w:t>
            </w:r>
          </w:p>
        </w:tc>
        <w:tc>
          <w:tcPr>
            <w:tcW w:w="1800" w:type="dxa"/>
            <w:tcBorders>
              <w:top w:val="single" w:sz="4" w:space="0" w:color="000000"/>
              <w:left w:val="single" w:sz="4" w:space="0" w:color="000000"/>
              <w:bottom w:val="single" w:sz="4" w:space="0" w:color="000000"/>
              <w:right w:val="single" w:sz="4" w:space="0" w:color="000000"/>
            </w:tcBorders>
            <w:hideMark/>
          </w:tcPr>
          <w:p w14:paraId="33B62F20" w14:textId="77777777" w:rsidR="00B53308" w:rsidRPr="00E466AF" w:rsidRDefault="00B53308" w:rsidP="0031511C">
            <w:pPr>
              <w:pStyle w:val="NoSpacing"/>
              <w:spacing w:line="276" w:lineRule="auto"/>
              <w:jc w:val="center"/>
              <w:rPr>
                <w:rFonts w:ascii="Garamond" w:hAnsi="Garamond"/>
              </w:rPr>
            </w:pPr>
            <w:r w:rsidRPr="00E466AF">
              <w:rPr>
                <w:rFonts w:ascii="Garamond" w:hAnsi="Garamond"/>
              </w:rPr>
              <w:t>1999</w:t>
            </w:r>
          </w:p>
        </w:tc>
        <w:tc>
          <w:tcPr>
            <w:tcW w:w="1440" w:type="dxa"/>
            <w:tcBorders>
              <w:top w:val="single" w:sz="4" w:space="0" w:color="000000"/>
              <w:left w:val="single" w:sz="4" w:space="0" w:color="000000"/>
              <w:bottom w:val="single" w:sz="4" w:space="0" w:color="000000"/>
              <w:right w:val="single" w:sz="4" w:space="0" w:color="000000"/>
            </w:tcBorders>
            <w:hideMark/>
          </w:tcPr>
          <w:p w14:paraId="6F3AB085" w14:textId="21461635" w:rsidR="00B53308" w:rsidRPr="00E466AF" w:rsidRDefault="0031511C" w:rsidP="0031511C">
            <w:pPr>
              <w:pStyle w:val="NoSpacing"/>
              <w:spacing w:line="276" w:lineRule="auto"/>
              <w:jc w:val="center"/>
              <w:rPr>
                <w:rFonts w:ascii="Garamond" w:hAnsi="Garamond"/>
              </w:rPr>
            </w:pPr>
            <w:r w:rsidRPr="00E466AF">
              <w:rPr>
                <w:rFonts w:ascii="Garamond" w:hAnsi="Garamond"/>
              </w:rPr>
              <w:t>shqiptare</w:t>
            </w:r>
          </w:p>
        </w:tc>
        <w:tc>
          <w:tcPr>
            <w:tcW w:w="1530" w:type="dxa"/>
            <w:tcBorders>
              <w:top w:val="single" w:sz="4" w:space="0" w:color="000000"/>
              <w:left w:val="single" w:sz="4" w:space="0" w:color="000000"/>
              <w:bottom w:val="single" w:sz="4" w:space="0" w:color="000000"/>
              <w:right w:val="single" w:sz="4" w:space="0" w:color="000000"/>
            </w:tcBorders>
            <w:hideMark/>
          </w:tcPr>
          <w:p w14:paraId="3992CC9D" w14:textId="77777777" w:rsidR="00B53308" w:rsidRPr="00E466AF" w:rsidRDefault="00B53308" w:rsidP="0031511C">
            <w:pPr>
              <w:pStyle w:val="NoSpacing"/>
              <w:spacing w:line="276" w:lineRule="auto"/>
              <w:rPr>
                <w:rFonts w:ascii="Garamond" w:hAnsi="Garamond"/>
              </w:rPr>
            </w:pPr>
            <w:r w:rsidRPr="00E466AF">
              <w:rPr>
                <w:rFonts w:ascii="Garamond" w:hAnsi="Garamond"/>
              </w:rPr>
              <w:t>Fier</w:t>
            </w:r>
          </w:p>
        </w:tc>
        <w:tc>
          <w:tcPr>
            <w:tcW w:w="1620" w:type="dxa"/>
            <w:tcBorders>
              <w:top w:val="single" w:sz="4" w:space="0" w:color="000000"/>
              <w:left w:val="single" w:sz="4" w:space="0" w:color="000000"/>
              <w:bottom w:val="single" w:sz="4" w:space="0" w:color="000000"/>
              <w:right w:val="single" w:sz="4" w:space="0" w:color="000000"/>
            </w:tcBorders>
            <w:hideMark/>
          </w:tcPr>
          <w:p w14:paraId="4FC064E6" w14:textId="77777777" w:rsidR="00B53308" w:rsidRPr="00E466AF" w:rsidRDefault="00B53308" w:rsidP="0031511C">
            <w:pPr>
              <w:pStyle w:val="NoSpacing"/>
              <w:spacing w:line="276" w:lineRule="auto"/>
              <w:jc w:val="center"/>
              <w:rPr>
                <w:rFonts w:ascii="Garamond" w:hAnsi="Garamond"/>
              </w:rPr>
            </w:pPr>
            <w:r w:rsidRPr="00E466AF">
              <w:rPr>
                <w:rFonts w:ascii="Garamond" w:hAnsi="Garamond"/>
              </w:rPr>
              <w:t>D. Matlija</w:t>
            </w:r>
          </w:p>
        </w:tc>
      </w:tr>
      <w:tr w:rsidR="00B53308" w:rsidRPr="00E466AF" w14:paraId="71C3E1C6" w14:textId="77777777" w:rsidTr="00B53308">
        <w:tc>
          <w:tcPr>
            <w:tcW w:w="557" w:type="dxa"/>
            <w:tcBorders>
              <w:top w:val="single" w:sz="4" w:space="0" w:color="000000"/>
              <w:left w:val="single" w:sz="4" w:space="0" w:color="000000"/>
              <w:bottom w:val="single" w:sz="4" w:space="0" w:color="000000"/>
              <w:right w:val="single" w:sz="4" w:space="0" w:color="000000"/>
            </w:tcBorders>
            <w:hideMark/>
          </w:tcPr>
          <w:p w14:paraId="43439BBD" w14:textId="77777777" w:rsidR="00B53308" w:rsidRPr="00E466AF" w:rsidRDefault="00B53308">
            <w:pPr>
              <w:pStyle w:val="NoSpacing"/>
              <w:spacing w:line="276" w:lineRule="auto"/>
              <w:jc w:val="both"/>
              <w:rPr>
                <w:rFonts w:ascii="Garamond" w:hAnsi="Garamond"/>
              </w:rPr>
            </w:pPr>
            <w:r w:rsidRPr="00E466AF">
              <w:rPr>
                <w:rFonts w:ascii="Garamond" w:hAnsi="Garamond"/>
              </w:rPr>
              <w:t>7</w:t>
            </w:r>
          </w:p>
        </w:tc>
        <w:tc>
          <w:tcPr>
            <w:tcW w:w="2701" w:type="dxa"/>
            <w:tcBorders>
              <w:top w:val="single" w:sz="4" w:space="0" w:color="000000"/>
              <w:left w:val="single" w:sz="4" w:space="0" w:color="000000"/>
              <w:bottom w:val="single" w:sz="4" w:space="0" w:color="000000"/>
              <w:right w:val="single" w:sz="4" w:space="0" w:color="000000"/>
            </w:tcBorders>
            <w:hideMark/>
          </w:tcPr>
          <w:p w14:paraId="13BA6B18" w14:textId="77777777" w:rsidR="00B53308" w:rsidRPr="00E466AF" w:rsidRDefault="00B53308">
            <w:pPr>
              <w:pStyle w:val="NoSpacing"/>
              <w:spacing w:line="276" w:lineRule="auto"/>
              <w:jc w:val="both"/>
              <w:rPr>
                <w:rFonts w:ascii="Garamond" w:hAnsi="Garamond"/>
                <w:vertAlign w:val="superscript"/>
              </w:rPr>
            </w:pPr>
            <w:r w:rsidRPr="00E466AF">
              <w:rPr>
                <w:rFonts w:ascii="Garamond" w:hAnsi="Garamond"/>
              </w:rPr>
              <w:t>Klasjdi VEIZI</w:t>
            </w:r>
            <w:r w:rsidRPr="00E466AF">
              <w:rPr>
                <w:rFonts w:ascii="Garamond" w:hAnsi="Garamond"/>
                <w:vertAlign w:val="superscript"/>
              </w:rPr>
              <w:t>*</w:t>
            </w:r>
          </w:p>
        </w:tc>
        <w:tc>
          <w:tcPr>
            <w:tcW w:w="1800" w:type="dxa"/>
            <w:tcBorders>
              <w:top w:val="single" w:sz="4" w:space="0" w:color="000000"/>
              <w:left w:val="single" w:sz="4" w:space="0" w:color="000000"/>
              <w:bottom w:val="single" w:sz="4" w:space="0" w:color="000000"/>
              <w:right w:val="single" w:sz="4" w:space="0" w:color="000000"/>
            </w:tcBorders>
            <w:hideMark/>
          </w:tcPr>
          <w:p w14:paraId="71AB2B7E" w14:textId="77777777" w:rsidR="00B53308" w:rsidRPr="00E466AF" w:rsidRDefault="00B53308" w:rsidP="0031511C">
            <w:pPr>
              <w:pStyle w:val="NoSpacing"/>
              <w:spacing w:line="276" w:lineRule="auto"/>
              <w:jc w:val="center"/>
              <w:rPr>
                <w:rFonts w:ascii="Garamond" w:hAnsi="Garamond"/>
              </w:rPr>
            </w:pPr>
            <w:r w:rsidRPr="00E466AF">
              <w:rPr>
                <w:rFonts w:ascii="Garamond" w:hAnsi="Garamond"/>
              </w:rPr>
              <w:t>1996</w:t>
            </w:r>
          </w:p>
        </w:tc>
        <w:tc>
          <w:tcPr>
            <w:tcW w:w="1440" w:type="dxa"/>
            <w:tcBorders>
              <w:top w:val="single" w:sz="4" w:space="0" w:color="000000"/>
              <w:left w:val="single" w:sz="4" w:space="0" w:color="000000"/>
              <w:bottom w:val="single" w:sz="4" w:space="0" w:color="000000"/>
              <w:right w:val="single" w:sz="4" w:space="0" w:color="000000"/>
            </w:tcBorders>
            <w:hideMark/>
          </w:tcPr>
          <w:p w14:paraId="4EB06E51" w14:textId="4E7E80FA" w:rsidR="00B53308" w:rsidRPr="00E466AF" w:rsidRDefault="0031511C" w:rsidP="0031511C">
            <w:pPr>
              <w:pStyle w:val="NoSpacing"/>
              <w:spacing w:line="276" w:lineRule="auto"/>
              <w:jc w:val="center"/>
              <w:rPr>
                <w:rFonts w:ascii="Garamond" w:hAnsi="Garamond"/>
              </w:rPr>
            </w:pPr>
            <w:r w:rsidRPr="00E466AF">
              <w:rPr>
                <w:rFonts w:ascii="Garamond" w:hAnsi="Garamond"/>
              </w:rPr>
              <w:t>shqiptare</w:t>
            </w:r>
          </w:p>
        </w:tc>
        <w:tc>
          <w:tcPr>
            <w:tcW w:w="1530" w:type="dxa"/>
            <w:tcBorders>
              <w:top w:val="single" w:sz="4" w:space="0" w:color="000000"/>
              <w:left w:val="single" w:sz="4" w:space="0" w:color="000000"/>
              <w:bottom w:val="single" w:sz="4" w:space="0" w:color="000000"/>
              <w:right w:val="single" w:sz="4" w:space="0" w:color="000000"/>
            </w:tcBorders>
            <w:hideMark/>
          </w:tcPr>
          <w:p w14:paraId="618508D8" w14:textId="77777777" w:rsidR="00B53308" w:rsidRPr="00E466AF" w:rsidRDefault="00B53308" w:rsidP="0031511C">
            <w:pPr>
              <w:pStyle w:val="NoSpacing"/>
              <w:spacing w:line="276" w:lineRule="auto"/>
              <w:rPr>
                <w:rFonts w:ascii="Garamond" w:hAnsi="Garamond"/>
              </w:rPr>
            </w:pPr>
            <w:r w:rsidRPr="00E466AF">
              <w:rPr>
                <w:rFonts w:ascii="Garamond" w:hAnsi="Garamond"/>
              </w:rPr>
              <w:t>Fier</w:t>
            </w:r>
          </w:p>
        </w:tc>
        <w:tc>
          <w:tcPr>
            <w:tcW w:w="1620" w:type="dxa"/>
            <w:tcBorders>
              <w:top w:val="single" w:sz="4" w:space="0" w:color="000000"/>
              <w:left w:val="single" w:sz="4" w:space="0" w:color="000000"/>
              <w:bottom w:val="single" w:sz="4" w:space="0" w:color="000000"/>
              <w:right w:val="single" w:sz="4" w:space="0" w:color="000000"/>
            </w:tcBorders>
            <w:hideMark/>
          </w:tcPr>
          <w:p w14:paraId="47B12421" w14:textId="77777777" w:rsidR="00B53308" w:rsidRPr="00E466AF" w:rsidRDefault="00B53308" w:rsidP="0031511C">
            <w:pPr>
              <w:pStyle w:val="NoSpacing"/>
              <w:spacing w:line="276" w:lineRule="auto"/>
              <w:jc w:val="center"/>
              <w:rPr>
                <w:rFonts w:ascii="Garamond" w:hAnsi="Garamond"/>
              </w:rPr>
            </w:pPr>
            <w:r w:rsidRPr="00E466AF">
              <w:rPr>
                <w:rFonts w:ascii="Garamond" w:hAnsi="Garamond"/>
              </w:rPr>
              <w:t>D. Matlija</w:t>
            </w:r>
          </w:p>
        </w:tc>
      </w:tr>
    </w:tbl>
    <w:p w14:paraId="02B95654" w14:textId="77777777" w:rsidR="00B53308" w:rsidRPr="00E466AF" w:rsidRDefault="00B53308" w:rsidP="00B53308">
      <w:pPr>
        <w:pStyle w:val="NoSpacing"/>
        <w:spacing w:line="276" w:lineRule="auto"/>
        <w:jc w:val="both"/>
        <w:rPr>
          <w:b/>
        </w:rPr>
      </w:pPr>
    </w:p>
    <w:p w14:paraId="1B318F7D" w14:textId="77777777" w:rsidR="00B53308" w:rsidRPr="00E466AF" w:rsidRDefault="00B53308" w:rsidP="00B53308">
      <w:pPr>
        <w:spacing w:after="0" w:line="240" w:lineRule="auto"/>
        <w:rPr>
          <w:rFonts w:ascii="Garamond" w:hAnsi="Garamond"/>
          <w:sz w:val="24"/>
          <w:szCs w:val="24"/>
          <w:lang w:val="sq-AL"/>
        </w:rPr>
      </w:pPr>
    </w:p>
    <w:p w14:paraId="22257683" w14:textId="77777777" w:rsidR="00B70653" w:rsidRPr="00E466AF" w:rsidRDefault="00B70653" w:rsidP="00D5321D">
      <w:pPr>
        <w:rPr>
          <w:lang w:val="sq-AL"/>
        </w:rPr>
      </w:pPr>
    </w:p>
    <w:sectPr w:rsidR="00B70653" w:rsidRPr="00E466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01D79A" w14:textId="77777777" w:rsidR="00080829" w:rsidRDefault="00080829" w:rsidP="00B53308">
      <w:pPr>
        <w:spacing w:after="0" w:line="240" w:lineRule="auto"/>
      </w:pPr>
      <w:r>
        <w:separator/>
      </w:r>
    </w:p>
  </w:endnote>
  <w:endnote w:type="continuationSeparator" w:id="0">
    <w:p w14:paraId="5762A8EE" w14:textId="77777777" w:rsidR="00080829" w:rsidRDefault="00080829" w:rsidP="00B53308">
      <w:pPr>
        <w:spacing w:after="0" w:line="240" w:lineRule="auto"/>
      </w:pPr>
      <w:r>
        <w:continuationSeparator/>
      </w:r>
    </w:p>
  </w:endnote>
  <w:endnote w:type="continuationNotice" w:id="1">
    <w:p w14:paraId="7BD9601B" w14:textId="77777777" w:rsidR="00080829" w:rsidRDefault="000808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561028" w14:textId="77777777" w:rsidR="00080829" w:rsidRDefault="00080829" w:rsidP="00B53308">
      <w:pPr>
        <w:spacing w:after="0" w:line="240" w:lineRule="auto"/>
      </w:pPr>
      <w:r>
        <w:separator/>
      </w:r>
    </w:p>
  </w:footnote>
  <w:footnote w:type="continuationSeparator" w:id="0">
    <w:p w14:paraId="268C650F" w14:textId="77777777" w:rsidR="00080829" w:rsidRDefault="00080829" w:rsidP="00B53308">
      <w:pPr>
        <w:spacing w:after="0" w:line="240" w:lineRule="auto"/>
      </w:pPr>
      <w:r>
        <w:continuationSeparator/>
      </w:r>
    </w:p>
  </w:footnote>
  <w:footnote w:type="continuationNotice" w:id="1">
    <w:p w14:paraId="6E3F624B" w14:textId="77777777" w:rsidR="00080829" w:rsidRDefault="00080829">
      <w:pPr>
        <w:spacing w:after="0" w:line="240" w:lineRule="auto"/>
      </w:pPr>
    </w:p>
  </w:footnote>
  <w:footnote w:id="2">
    <w:p w14:paraId="575A6004" w14:textId="77777777" w:rsidR="00080829" w:rsidRDefault="00080829" w:rsidP="001510EE">
      <w:pPr>
        <w:pStyle w:val="NoSpacing"/>
        <w:jc w:val="both"/>
        <w:rPr>
          <w:rFonts w:ascii="Garamond" w:hAnsi="Garamond"/>
          <w:b/>
          <w:sz w:val="18"/>
          <w:szCs w:val="18"/>
        </w:rPr>
      </w:pPr>
      <w:r>
        <w:rPr>
          <w:rStyle w:val="FootnoteReference"/>
          <w:rFonts w:ascii="Garamond" w:hAnsi="Garamond"/>
          <w:sz w:val="18"/>
          <w:szCs w:val="18"/>
        </w:rPr>
        <w:footnoteRef/>
      </w:r>
      <w:r>
        <w:rPr>
          <w:rFonts w:ascii="Garamond" w:hAnsi="Garamond"/>
          <w:sz w:val="18"/>
          <w:szCs w:val="18"/>
        </w:rPr>
        <w:t xml:space="preserve"> Ankesat në lidhje me kërkuesit e specifikuar me një asterisk u kundërshtuan si të papranueshme duke qenë se në thelb ishin të njëjtat me ato në kërkesën nr. 16191/13. </w:t>
      </w:r>
    </w:p>
    <w:p w14:paraId="41224D60" w14:textId="77777777" w:rsidR="00080829" w:rsidRDefault="00080829" w:rsidP="00B53308">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2854F2"/>
    <w:multiLevelType w:val="hybridMultilevel"/>
    <w:tmpl w:val="ABCC3F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30F"/>
    <w:rsid w:val="00080829"/>
    <w:rsid w:val="001510EE"/>
    <w:rsid w:val="00154D48"/>
    <w:rsid w:val="00210378"/>
    <w:rsid w:val="002F4CFF"/>
    <w:rsid w:val="0031511C"/>
    <w:rsid w:val="00446F07"/>
    <w:rsid w:val="00807706"/>
    <w:rsid w:val="009E7600"/>
    <w:rsid w:val="00B53308"/>
    <w:rsid w:val="00B70653"/>
    <w:rsid w:val="00BF5287"/>
    <w:rsid w:val="00D4023A"/>
    <w:rsid w:val="00D5321D"/>
    <w:rsid w:val="00E466AF"/>
    <w:rsid w:val="00F0730F"/>
    <w:rsid w:val="00FB5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96F13"/>
  <w15:docId w15:val="{B9603DF0-F450-4116-A9E6-4D5015B24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B53308"/>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B53308"/>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uiPriority w:val="99"/>
    <w:semiHidden/>
    <w:rsid w:val="00B53308"/>
    <w:rPr>
      <w:sz w:val="20"/>
      <w:szCs w:val="20"/>
    </w:rPr>
  </w:style>
  <w:style w:type="character" w:customStyle="1" w:styleId="NoSpacingChar">
    <w:name w:val="No Spacing Char"/>
    <w:basedOn w:val="DefaultParagraphFont"/>
    <w:link w:val="NoSpacing"/>
    <w:uiPriority w:val="1"/>
    <w:locked/>
    <w:rsid w:val="00B53308"/>
    <w:rPr>
      <w:rFonts w:ascii="Times New Roman" w:eastAsia="Times New Roman" w:hAnsi="Times New Roman" w:cs="Times New Roman"/>
      <w:sz w:val="24"/>
      <w:szCs w:val="24"/>
      <w:lang w:val="sq-AL"/>
    </w:rPr>
  </w:style>
  <w:style w:type="paragraph" w:styleId="NoSpacing">
    <w:name w:val="No Spacing"/>
    <w:link w:val="NoSpacingChar"/>
    <w:uiPriority w:val="1"/>
    <w:qFormat/>
    <w:rsid w:val="00B53308"/>
    <w:pPr>
      <w:spacing w:after="0" w:line="240" w:lineRule="auto"/>
    </w:pPr>
    <w:rPr>
      <w:rFonts w:ascii="Times New Roman" w:eastAsia="Times New Roman" w:hAnsi="Times New Roman" w:cs="Times New Roman"/>
      <w:sz w:val="24"/>
      <w:szCs w:val="24"/>
      <w:lang w:val="sq-AL"/>
    </w:rPr>
  </w:style>
  <w:style w:type="character" w:styleId="FootnoteReference">
    <w:name w:val="footnote reference"/>
    <w:aliases w:val="ftref,BVI fnr,16 Point,Superscript 6 Point,Fußnotenzeichen DISS,Footnote,Footnote symbol,Char1 Char Char Char Char,Odwołanie przypisu,fr,Appel note de bas de page,callout,Footnote Reference1,BVI fnr Char"/>
    <w:link w:val="FootnoteReferenceArial"/>
    <w:uiPriority w:val="99"/>
    <w:unhideWhenUsed/>
    <w:qFormat/>
    <w:rsid w:val="00B53308"/>
    <w:rPr>
      <w:vertAlign w:val="superscript"/>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B53308"/>
    <w:pPr>
      <w:spacing w:line="240" w:lineRule="exact"/>
    </w:pPr>
    <w:rPr>
      <w:vertAlign w:val="superscript"/>
    </w:rPr>
  </w:style>
  <w:style w:type="paragraph" w:styleId="Header">
    <w:name w:val="header"/>
    <w:basedOn w:val="Normal"/>
    <w:link w:val="HeaderChar"/>
    <w:uiPriority w:val="99"/>
    <w:semiHidden/>
    <w:unhideWhenUsed/>
    <w:rsid w:val="009E760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E7600"/>
  </w:style>
  <w:style w:type="paragraph" w:styleId="Footer">
    <w:name w:val="footer"/>
    <w:basedOn w:val="Normal"/>
    <w:link w:val="FooterChar"/>
    <w:uiPriority w:val="99"/>
    <w:semiHidden/>
    <w:unhideWhenUsed/>
    <w:rsid w:val="009E76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7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738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242457E4EC24166AFAC9E57B1D085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62907-16</Nr_x002e__x0020_akti>
    <Data_x0020_e_x0020_Krijimit xmlns="0e656187-b300-4fb0-8bf4-3a50f872073c">2019-04-25T09:00:56Z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2019-04-22T22:00:00Z</Date_x0020_protokolli>
    <Titulli xmlns="0e656187-b300-4fb0-8bf4-3a50f872073c">Vendim çështja Myrtaj dhe të tjerë kundër Shqipërisë</Titulli>
    <Modifikuesi xmlns="0e656187-b300-4fb0-8bf4-3a50f872073c">Amarilda.Halilaj</Modifikuesi>
    <Nr_x002e__x0020_prot_x0020_QBZ xmlns="0e656187-b300-4fb0-8bf4-3a50f872073c">634</Nr_x002e__x0020_prot_x0020_QBZ>
    <Data_x0020_e_x0020_Modifikimit xmlns="0e656187-b300-4fb0-8bf4-3a50f872073c">2019-04-25T12:34:06Z</Data_x0020_e_x0020_Modifikimit>
    <Dekretuar xmlns="0e656187-b300-4fb0-8bf4-3a50f872073c">false</Dekretuar>
    <Data xmlns="0e656187-b300-4fb0-8bf4-3a50f872073c">2019-03-04T23:00:00Z</Data>
    <Nr_x002e__x0020_protokolli_x0020_i_x0020_aktit xmlns="0e656187-b300-4fb0-8bf4-3a50f872073c">3240/1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242457E4EC24166AFAC9E57B1D085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7273A0-F8D3-44FC-BF94-6684BE87C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A184538-8987-455F-B452-074A127BC1CE}">
  <ds:schemaRefs>
    <ds:schemaRef ds:uri="http://schemas.microsoft.com/office/2006/metadata/properties"/>
    <ds:schemaRef ds:uri="http://www.w3.org/XML/1998/namespace"/>
    <ds:schemaRef ds:uri="http://purl.org/dc/terms/"/>
    <ds:schemaRef ds:uri="http://purl.org/dc/dcmitype/"/>
    <ds:schemaRef ds:uri="http://schemas.openxmlformats.org/package/2006/metadata/core-properties"/>
    <ds:schemaRef ds:uri="http://schemas.microsoft.com/office/2006/documentManagement/types"/>
    <ds:schemaRef ds:uri="0e656187-b300-4fb0-8bf4-3a50f872073c"/>
    <ds:schemaRef ds:uri="http://purl.org/dc/elements/1.1/"/>
  </ds:schemaRefs>
</ds:datastoreItem>
</file>

<file path=customXml/itemProps3.xml><?xml version="1.0" encoding="utf-8"?>
<ds:datastoreItem xmlns:ds="http://schemas.openxmlformats.org/officeDocument/2006/customXml" ds:itemID="{89AFC4AB-51C3-45DD-8B90-51F78937C105}">
  <ds:schemaRefs>
    <ds:schemaRef ds:uri="http://schemas.microsoft.com/sharepoint/v3/contenttype/forms"/>
  </ds:schemaRefs>
</ds:datastoreItem>
</file>

<file path=customXml/itemProps4.xml><?xml version="1.0" encoding="utf-8"?>
<ds:datastoreItem xmlns:ds="http://schemas.openxmlformats.org/officeDocument/2006/customXml" ds:itemID="{C8A15898-A1A7-4CA3-BED6-625BAD36FB97}">
  <ds:schemaRefs>
    <ds:schemaRef ds:uri="http://schemas.microsoft.com/sharepoint/v3/contenttype/forms"/>
  </ds:schemaRefs>
</ds:datastoreItem>
</file>

<file path=customXml/itemProps5.xml><?xml version="1.0" encoding="utf-8"?>
<ds:datastoreItem xmlns:ds="http://schemas.openxmlformats.org/officeDocument/2006/customXml" ds:itemID="{B25937AE-4894-42FD-8870-BC55AB644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Vendim çështja Myrtaj dhe të tjerë kundër Shqipërisë</vt:lpstr>
    </vt:vector>
  </TitlesOfParts>
  <Company/>
  <LinksUpToDate>false</LinksUpToDate>
  <CharactersWithSpaces>3736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çështja Myrtaj dhe të tjerë kundër Shqipërisë</dc:title>
  <dc:creator>Entela Suli</dc:creator>
  <cp:lastModifiedBy>Entela Suli</cp:lastModifiedBy>
  <cp:revision>10</cp:revision>
  <dcterms:created xsi:type="dcterms:W3CDTF">2019-04-25T08:57:00Z</dcterms:created>
  <dcterms:modified xsi:type="dcterms:W3CDTF">2019-04-26T10:03:00Z</dcterms:modified>
</cp:coreProperties>
</file>