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AB0C6A" w14:textId="77777777" w:rsidR="009A0255" w:rsidRPr="00407705" w:rsidRDefault="009A0255" w:rsidP="009A0255">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407705">
        <w:rPr>
          <w:rFonts w:ascii="Garamond" w:hAnsi="Garamond" w:cs="Times New Roman"/>
          <w:b/>
          <w:color w:val="000000"/>
          <w:sz w:val="24"/>
          <w:szCs w:val="24"/>
          <w:lang w:val="sq-AL"/>
        </w:rPr>
        <w:t>SEKSIONI I TRETË</w:t>
      </w:r>
    </w:p>
    <w:p w14:paraId="69AB0C6B" w14:textId="77777777" w:rsidR="009A0255" w:rsidRPr="00407705" w:rsidRDefault="009A0255" w:rsidP="009A0255">
      <w:pPr>
        <w:autoSpaceDE w:val="0"/>
        <w:autoSpaceDN w:val="0"/>
        <w:adjustRightInd w:val="0"/>
        <w:spacing w:after="0" w:line="240" w:lineRule="auto"/>
        <w:ind w:firstLine="284"/>
        <w:jc w:val="center"/>
        <w:rPr>
          <w:rFonts w:ascii="Garamond" w:hAnsi="Garamond" w:cs="Times New Roman"/>
          <w:b/>
          <w:color w:val="000000"/>
          <w:sz w:val="24"/>
          <w:szCs w:val="24"/>
          <w:lang w:val="sq-AL"/>
        </w:rPr>
      </w:pPr>
    </w:p>
    <w:p w14:paraId="69AB0C6C" w14:textId="77777777" w:rsidR="009A0255" w:rsidRPr="00407705" w:rsidRDefault="009A0255" w:rsidP="009A0255">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407705">
        <w:rPr>
          <w:rFonts w:ascii="Garamond" w:hAnsi="Garamond" w:cs="Times New Roman"/>
          <w:b/>
          <w:bCs/>
          <w:color w:val="000000"/>
          <w:sz w:val="24"/>
          <w:szCs w:val="24"/>
          <w:lang w:val="sq-AL"/>
        </w:rPr>
        <w:t>ÇËSHTJA BARA DHE KOLA KUNDËR SHQIPËRISË</w:t>
      </w:r>
    </w:p>
    <w:p w14:paraId="69AB0C6D" w14:textId="77777777" w:rsidR="009A0255" w:rsidRPr="000362ED" w:rsidRDefault="009A0255" w:rsidP="009A0255">
      <w:pPr>
        <w:autoSpaceDE w:val="0"/>
        <w:autoSpaceDN w:val="0"/>
        <w:adjustRightInd w:val="0"/>
        <w:spacing w:after="0" w:line="240" w:lineRule="auto"/>
        <w:ind w:firstLine="284"/>
        <w:jc w:val="center"/>
        <w:rPr>
          <w:rFonts w:ascii="Garamond" w:hAnsi="Garamond" w:cs="Times New Roman"/>
          <w:i/>
          <w:color w:val="000000"/>
          <w:sz w:val="24"/>
          <w:szCs w:val="24"/>
          <w:lang w:val="sq-AL"/>
        </w:rPr>
      </w:pPr>
      <w:r w:rsidRPr="000362ED">
        <w:rPr>
          <w:rFonts w:ascii="Garamond" w:hAnsi="Garamond" w:cs="Times New Roman"/>
          <w:i/>
          <w:color w:val="000000"/>
          <w:sz w:val="24"/>
          <w:szCs w:val="24"/>
          <w:lang w:val="sq-AL"/>
        </w:rPr>
        <w:t>(</w:t>
      </w:r>
      <w:r w:rsidRPr="000362ED">
        <w:rPr>
          <w:rFonts w:ascii="Garamond" w:hAnsi="Garamond" w:cs="Times New Roman"/>
          <w:i/>
          <w:iCs/>
          <w:color w:val="000000"/>
          <w:sz w:val="24"/>
          <w:szCs w:val="24"/>
          <w:lang w:val="sq-AL"/>
        </w:rPr>
        <w:t>Kërkesat nr. 43391/18 dhe 17766/19)</w:t>
      </w:r>
    </w:p>
    <w:p w14:paraId="69AB0C6E" w14:textId="77777777" w:rsidR="009A0255" w:rsidRPr="00407705" w:rsidRDefault="009A0255" w:rsidP="009A0255">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69AB0C6F" w14:textId="77777777" w:rsidR="009A0255" w:rsidRPr="00407705" w:rsidRDefault="009A0255" w:rsidP="009A0255">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407705">
        <w:rPr>
          <w:rFonts w:ascii="Garamond" w:hAnsi="Garamond" w:cs="Times New Roman"/>
          <w:color w:val="000000"/>
          <w:sz w:val="24"/>
          <w:szCs w:val="24"/>
          <w:lang w:val="sq-AL"/>
        </w:rPr>
        <w:t>VENDIM</w:t>
      </w:r>
    </w:p>
    <w:p w14:paraId="69AB0C70" w14:textId="77777777" w:rsidR="009A0255" w:rsidRPr="00407705" w:rsidRDefault="009A0255" w:rsidP="009A0255">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69AB0C71" w14:textId="208669CF" w:rsidR="009A0255" w:rsidRPr="00407705" w:rsidRDefault="009A0255" w:rsidP="009A0255">
      <w:pPr>
        <w:tabs>
          <w:tab w:val="left" w:pos="7348"/>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Neni 6 § 1 (civil dhe penal) – Kohëzgjatje e paarsyeshme e procedurave – Vonesa të gjata në Gjykatën e Lartë</w:t>
      </w:r>
      <w:r w:rsidR="0054754A" w:rsidRPr="00407705">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të cilat janë të papranueshme</w:t>
      </w:r>
      <w:r w:rsidR="0054754A" w:rsidRPr="00407705">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pavarësisht kontekstit të reformës së thellë në sistemin e drejtësisë</w:t>
      </w:r>
      <w:r w:rsidR="0054754A" w:rsidRPr="00407705">
        <w:rPr>
          <w:rFonts w:ascii="Garamond" w:hAnsi="Garamond" w:cs="Times New Roman"/>
          <w:color w:val="000000"/>
          <w:sz w:val="24"/>
          <w:szCs w:val="24"/>
          <w:lang w:val="sq-AL"/>
        </w:rPr>
        <w:t xml:space="preserve">, neni </w:t>
      </w:r>
      <w:r w:rsidRPr="00407705">
        <w:rPr>
          <w:rFonts w:ascii="Garamond" w:hAnsi="Garamond" w:cs="Times New Roman"/>
          <w:color w:val="000000"/>
          <w:sz w:val="24"/>
          <w:szCs w:val="24"/>
          <w:lang w:val="sq-AL"/>
        </w:rPr>
        <w:t>13 (+</w:t>
      </w:r>
      <w:r w:rsidR="0054754A" w:rsidRPr="00407705">
        <w:rPr>
          <w:rFonts w:ascii="Garamond" w:hAnsi="Garamond" w:cs="Times New Roman"/>
          <w:color w:val="000000"/>
          <w:sz w:val="24"/>
          <w:szCs w:val="24"/>
          <w:lang w:val="sq-AL"/>
        </w:rPr>
        <w:t xml:space="preserve"> neni 6§</w:t>
      </w:r>
      <w:r w:rsidRPr="00407705">
        <w:rPr>
          <w:rFonts w:ascii="Garamond" w:hAnsi="Garamond" w:cs="Times New Roman"/>
          <w:color w:val="000000"/>
          <w:sz w:val="24"/>
          <w:szCs w:val="24"/>
          <w:lang w:val="sq-AL"/>
        </w:rPr>
        <w:t>1) – Zgjidhje efektive – Zgjidhje e re përshpejtuese/parandaluese dhe kompensuese në çështjet që kanë të bëjnë me kohëzgjatjen e procedurave, e cila edhe pse është efektive në parim dhe në përgjithësi në praktikë, nuk është efektive në rrethanat e posaçme të çështjes</w:t>
      </w:r>
      <w:r w:rsidR="0054754A" w:rsidRPr="00407705">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w:t>
      </w:r>
    </w:p>
    <w:p w14:paraId="69AB0C72" w14:textId="77777777" w:rsidR="009A0255" w:rsidRPr="00407705" w:rsidRDefault="009A0255" w:rsidP="009A0255">
      <w:pPr>
        <w:tabs>
          <w:tab w:val="left" w:pos="7348"/>
        </w:tabs>
        <w:autoSpaceDE w:val="0"/>
        <w:autoSpaceDN w:val="0"/>
        <w:adjustRightInd w:val="0"/>
        <w:spacing w:after="0" w:line="240" w:lineRule="auto"/>
        <w:ind w:firstLine="284"/>
        <w:jc w:val="center"/>
        <w:rPr>
          <w:rFonts w:ascii="Garamond" w:hAnsi="Garamond" w:cs="Times New Roman"/>
          <w:color w:val="000000"/>
          <w:sz w:val="24"/>
          <w:szCs w:val="24"/>
          <w:lang w:val="sq-AL"/>
        </w:rPr>
      </w:pPr>
    </w:p>
    <w:p w14:paraId="69AB0C73" w14:textId="77777777" w:rsidR="009A0255" w:rsidRPr="00407705" w:rsidRDefault="009A0255" w:rsidP="009A0255">
      <w:pPr>
        <w:tabs>
          <w:tab w:val="left" w:pos="7348"/>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407705">
        <w:rPr>
          <w:rFonts w:ascii="Garamond" w:hAnsi="Garamond" w:cs="Times New Roman"/>
          <w:color w:val="000000"/>
          <w:sz w:val="24"/>
          <w:szCs w:val="24"/>
          <w:lang w:val="sq-AL"/>
        </w:rPr>
        <w:t>STRASBURG</w:t>
      </w:r>
    </w:p>
    <w:p w14:paraId="69AB0C75" w14:textId="15A7C5AD" w:rsidR="009A0255" w:rsidRPr="00407705" w:rsidRDefault="009A0255" w:rsidP="009A0255">
      <w:pPr>
        <w:tabs>
          <w:tab w:val="left" w:pos="7348"/>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12 </w:t>
      </w:r>
      <w:r w:rsidR="0054754A" w:rsidRPr="00407705">
        <w:rPr>
          <w:rFonts w:ascii="Garamond" w:hAnsi="Garamond" w:cs="Times New Roman"/>
          <w:color w:val="000000"/>
          <w:sz w:val="24"/>
          <w:szCs w:val="24"/>
          <w:lang w:val="sq-AL"/>
        </w:rPr>
        <w:t xml:space="preserve">tetor </w:t>
      </w:r>
      <w:r w:rsidRPr="00407705">
        <w:rPr>
          <w:rFonts w:ascii="Garamond" w:hAnsi="Garamond" w:cs="Times New Roman"/>
          <w:color w:val="000000"/>
          <w:sz w:val="24"/>
          <w:szCs w:val="24"/>
          <w:lang w:val="sq-AL"/>
        </w:rPr>
        <w:t>2021</w:t>
      </w:r>
    </w:p>
    <w:p w14:paraId="69AB0C76" w14:textId="77777777" w:rsidR="009A0255" w:rsidRPr="00407705" w:rsidRDefault="009A0255" w:rsidP="009A0255">
      <w:pPr>
        <w:tabs>
          <w:tab w:val="left" w:pos="7348"/>
        </w:tabs>
        <w:autoSpaceDE w:val="0"/>
        <w:autoSpaceDN w:val="0"/>
        <w:adjustRightInd w:val="0"/>
        <w:spacing w:after="0" w:line="240" w:lineRule="auto"/>
        <w:ind w:firstLine="284"/>
        <w:jc w:val="center"/>
        <w:rPr>
          <w:rFonts w:ascii="Garamond" w:hAnsi="Garamond" w:cs="Times New Roman"/>
          <w:b/>
          <w:color w:val="000000"/>
          <w:sz w:val="24"/>
          <w:szCs w:val="24"/>
          <w:lang w:val="sq-AL"/>
        </w:rPr>
      </w:pPr>
    </w:p>
    <w:p w14:paraId="69AB0C77" w14:textId="77777777" w:rsidR="009A0255" w:rsidRPr="00407705" w:rsidRDefault="009A0255" w:rsidP="009A0255">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407705">
        <w:rPr>
          <w:rFonts w:ascii="Garamond" w:hAnsi="Garamond" w:cs="Times New Roman"/>
          <w:b/>
          <w:bCs/>
          <w:color w:val="000000"/>
          <w:sz w:val="24"/>
          <w:szCs w:val="24"/>
          <w:lang w:val="sq-AL"/>
        </w:rPr>
        <w:t>PËRFUNDIMTAR</w:t>
      </w:r>
    </w:p>
    <w:p w14:paraId="69AB0C79" w14:textId="62E8415F" w:rsidR="009A0255" w:rsidRPr="00407705" w:rsidRDefault="009A0255" w:rsidP="009A0255">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407705">
        <w:rPr>
          <w:rFonts w:ascii="Garamond" w:hAnsi="Garamond" w:cs="Times New Roman"/>
          <w:color w:val="000000"/>
          <w:sz w:val="24"/>
          <w:szCs w:val="24"/>
          <w:lang w:val="sq-AL"/>
        </w:rPr>
        <w:t>28</w:t>
      </w:r>
      <w:r w:rsidR="0054754A" w:rsidRPr="00407705">
        <w:rPr>
          <w:rFonts w:ascii="Garamond" w:hAnsi="Garamond" w:cs="Times New Roman"/>
          <w:color w:val="000000"/>
          <w:sz w:val="24"/>
          <w:szCs w:val="24"/>
          <w:lang w:val="sq-AL"/>
        </w:rPr>
        <w:t>.</w:t>
      </w:r>
      <w:r w:rsidRPr="00407705">
        <w:rPr>
          <w:rFonts w:ascii="Garamond" w:hAnsi="Garamond" w:cs="Times New Roman"/>
          <w:color w:val="000000"/>
          <w:sz w:val="24"/>
          <w:szCs w:val="24"/>
          <w:lang w:val="sq-AL"/>
        </w:rPr>
        <w:t>2</w:t>
      </w:r>
      <w:r w:rsidR="0054754A" w:rsidRPr="00407705">
        <w:rPr>
          <w:rFonts w:ascii="Garamond" w:hAnsi="Garamond" w:cs="Times New Roman"/>
          <w:color w:val="000000"/>
          <w:sz w:val="24"/>
          <w:szCs w:val="24"/>
          <w:lang w:val="sq-AL"/>
        </w:rPr>
        <w:t>.</w:t>
      </w:r>
      <w:r w:rsidRPr="00407705">
        <w:rPr>
          <w:rFonts w:ascii="Garamond" w:hAnsi="Garamond" w:cs="Times New Roman"/>
          <w:color w:val="000000"/>
          <w:sz w:val="24"/>
          <w:szCs w:val="24"/>
          <w:lang w:val="sq-AL"/>
        </w:rPr>
        <w:t>2022</w:t>
      </w:r>
    </w:p>
    <w:p w14:paraId="69AB0C7A" w14:textId="77777777" w:rsidR="009A0255" w:rsidRPr="00407705" w:rsidRDefault="009A0255" w:rsidP="009A0255">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69AB0C7B" w14:textId="71E0A6CD" w:rsidR="009A0255" w:rsidRPr="00407705" w:rsidRDefault="009A0255" w:rsidP="009A0255">
      <w:pPr>
        <w:autoSpaceDE w:val="0"/>
        <w:autoSpaceDN w:val="0"/>
        <w:adjustRightInd w:val="0"/>
        <w:spacing w:after="0" w:line="240" w:lineRule="auto"/>
        <w:ind w:firstLine="284"/>
        <w:jc w:val="center"/>
        <w:rPr>
          <w:rFonts w:ascii="Garamond" w:hAnsi="Garamond" w:cs="Times New Roman"/>
          <w:i/>
          <w:iCs/>
          <w:color w:val="000000"/>
          <w:sz w:val="24"/>
          <w:szCs w:val="24"/>
          <w:lang w:val="sq-AL"/>
        </w:rPr>
      </w:pPr>
      <w:r w:rsidRPr="00407705">
        <w:rPr>
          <w:rFonts w:ascii="Garamond" w:hAnsi="Garamond" w:cs="Times New Roman"/>
          <w:i/>
          <w:iCs/>
          <w:color w:val="000000"/>
          <w:sz w:val="24"/>
          <w:szCs w:val="24"/>
          <w:lang w:val="sq-AL"/>
        </w:rPr>
        <w:t>Ky vendim është bërë përfundimtar</w:t>
      </w:r>
      <w:r w:rsidR="0054754A" w:rsidRPr="00407705">
        <w:rPr>
          <w:rFonts w:ascii="Garamond" w:hAnsi="Garamond" w:cs="Times New Roman"/>
          <w:i/>
          <w:iCs/>
          <w:color w:val="000000"/>
          <w:sz w:val="24"/>
          <w:szCs w:val="24"/>
          <w:lang w:val="sq-AL"/>
        </w:rPr>
        <w:t>,</w:t>
      </w:r>
      <w:r w:rsidRPr="00407705">
        <w:rPr>
          <w:rFonts w:ascii="Garamond" w:hAnsi="Garamond" w:cs="Times New Roman"/>
          <w:i/>
          <w:iCs/>
          <w:color w:val="000000"/>
          <w:sz w:val="24"/>
          <w:szCs w:val="24"/>
          <w:lang w:val="sq-AL"/>
        </w:rPr>
        <w:t xml:space="preserve"> sipas </w:t>
      </w:r>
      <w:r w:rsidR="0054754A" w:rsidRPr="00407705">
        <w:rPr>
          <w:rFonts w:ascii="Garamond" w:hAnsi="Garamond" w:cs="Times New Roman"/>
          <w:i/>
          <w:iCs/>
          <w:color w:val="000000"/>
          <w:sz w:val="24"/>
          <w:szCs w:val="24"/>
          <w:lang w:val="sq-AL"/>
        </w:rPr>
        <w:t>nenit 44§</w:t>
      </w:r>
      <w:r w:rsidRPr="00407705">
        <w:rPr>
          <w:rFonts w:ascii="Garamond" w:hAnsi="Garamond" w:cs="Times New Roman"/>
          <w:i/>
          <w:iCs/>
          <w:color w:val="000000"/>
          <w:sz w:val="24"/>
          <w:szCs w:val="24"/>
          <w:lang w:val="sq-AL"/>
        </w:rPr>
        <w:t>2 të Konventës. Ai mund të bëhet objekt i rishikimit redaktues.</w:t>
      </w:r>
    </w:p>
    <w:p w14:paraId="69AB0C7C" w14:textId="77777777" w:rsidR="009A0255" w:rsidRPr="00407705" w:rsidRDefault="009A0255" w:rsidP="009A0255">
      <w:pPr>
        <w:autoSpaceDE w:val="0"/>
        <w:autoSpaceDN w:val="0"/>
        <w:adjustRightInd w:val="0"/>
        <w:spacing w:after="0" w:line="240" w:lineRule="auto"/>
        <w:ind w:firstLine="284"/>
        <w:rPr>
          <w:rFonts w:ascii="Garamond" w:hAnsi="Garamond" w:cs="Times New Roman"/>
          <w:color w:val="000000"/>
          <w:sz w:val="24"/>
          <w:szCs w:val="24"/>
          <w:lang w:val="sq-AL"/>
        </w:rPr>
      </w:pPr>
    </w:p>
    <w:p w14:paraId="69AB0C7D"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407705">
        <w:rPr>
          <w:rFonts w:ascii="Garamond" w:hAnsi="Garamond" w:cs="Times New Roman"/>
          <w:b/>
          <w:bCs/>
          <w:color w:val="000000"/>
          <w:sz w:val="24"/>
          <w:szCs w:val="24"/>
          <w:lang w:val="sq-AL"/>
        </w:rPr>
        <w:t xml:space="preserve">Në çështjen Bara dhe Kola kundër Shqipërisë </w:t>
      </w:r>
    </w:p>
    <w:p w14:paraId="69AB0C7E"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Gjykata Evropiane e të Drejtave të Njeriut (Seksioni i Tretë) e mbledhur si Dhomë, e përbërë nga: </w:t>
      </w:r>
    </w:p>
    <w:p w14:paraId="69AB0C7F" w14:textId="212B404C" w:rsidR="009A0255" w:rsidRPr="00407705" w:rsidRDefault="009A0255" w:rsidP="009A0255">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lang w:val="sq-AL"/>
        </w:rPr>
      </w:pPr>
      <w:r w:rsidRPr="00407705">
        <w:rPr>
          <w:rFonts w:ascii="Garamond" w:hAnsi="Garamond" w:cs="Times New Roman"/>
          <w:color w:val="000000"/>
          <w:sz w:val="24"/>
          <w:szCs w:val="24"/>
          <w:lang w:val="sq-AL"/>
        </w:rPr>
        <w:t>Paul Lemmens,</w:t>
      </w:r>
      <w:r w:rsidRPr="00407705">
        <w:rPr>
          <w:rFonts w:ascii="Garamond" w:hAnsi="Garamond" w:cs="Times New Roman"/>
          <w:i/>
          <w:iCs/>
          <w:color w:val="000000"/>
          <w:sz w:val="24"/>
          <w:szCs w:val="24"/>
          <w:lang w:val="sq-AL"/>
        </w:rPr>
        <w:t xml:space="preserve"> </w:t>
      </w:r>
      <w:r w:rsidR="009B21A8" w:rsidRPr="00407705">
        <w:rPr>
          <w:rFonts w:ascii="Garamond" w:hAnsi="Garamond" w:cs="Times New Roman"/>
          <w:i/>
          <w:iCs/>
          <w:color w:val="000000"/>
          <w:sz w:val="24"/>
          <w:szCs w:val="24"/>
          <w:lang w:val="sq-AL"/>
        </w:rPr>
        <w:t>kryetar</w:t>
      </w:r>
      <w:r w:rsidRPr="00407705">
        <w:rPr>
          <w:rFonts w:ascii="Garamond" w:hAnsi="Garamond" w:cs="Times New Roman"/>
          <w:i/>
          <w:iCs/>
          <w:color w:val="000000"/>
          <w:sz w:val="24"/>
          <w:szCs w:val="24"/>
          <w:lang w:val="sq-AL"/>
        </w:rPr>
        <w:t>,</w:t>
      </w:r>
    </w:p>
    <w:p w14:paraId="69AB0C80" w14:textId="77777777" w:rsidR="009A0255" w:rsidRPr="00407705" w:rsidRDefault="009A0255" w:rsidP="009A0255">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Georgios A. Serghides, </w:t>
      </w:r>
    </w:p>
    <w:p w14:paraId="69AB0C81" w14:textId="77777777" w:rsidR="009A0255" w:rsidRPr="00407705" w:rsidRDefault="009A0255" w:rsidP="009A0255">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Dmitry Dedov, </w:t>
      </w:r>
    </w:p>
    <w:p w14:paraId="69AB0C82" w14:textId="77777777" w:rsidR="009A0255" w:rsidRPr="00407705" w:rsidRDefault="009A0255" w:rsidP="009A0255">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Georges Ravarani, </w:t>
      </w:r>
    </w:p>
    <w:p w14:paraId="69AB0C83" w14:textId="77777777" w:rsidR="009A0255" w:rsidRPr="00407705" w:rsidRDefault="009A0255" w:rsidP="009A0255">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Darian Pavli, </w:t>
      </w:r>
    </w:p>
    <w:p w14:paraId="69AB0C84" w14:textId="77777777" w:rsidR="009A0255" w:rsidRPr="00407705" w:rsidRDefault="009A0255" w:rsidP="009A0255">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Anja Seibert-Fohr, </w:t>
      </w:r>
    </w:p>
    <w:p w14:paraId="69AB0C85" w14:textId="77777777" w:rsidR="009A0255" w:rsidRPr="00407705" w:rsidRDefault="009A0255" w:rsidP="009A0255">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407705">
        <w:rPr>
          <w:rFonts w:ascii="Garamond" w:hAnsi="Garamond" w:cs="Times New Roman"/>
          <w:color w:val="000000"/>
          <w:sz w:val="24"/>
          <w:szCs w:val="24"/>
          <w:lang w:val="sq-AL"/>
        </w:rPr>
        <w:t>Peeter Roosma</w:t>
      </w:r>
      <w:r w:rsidRPr="00407705">
        <w:rPr>
          <w:rFonts w:ascii="Garamond" w:hAnsi="Garamond" w:cs="Times New Roman"/>
          <w:i/>
          <w:iCs/>
          <w:color w:val="000000"/>
          <w:sz w:val="24"/>
          <w:szCs w:val="24"/>
          <w:lang w:val="sq-AL"/>
        </w:rPr>
        <w:t>, gjyqtarë,</w:t>
      </w:r>
    </w:p>
    <w:p w14:paraId="69AB0C86" w14:textId="5DD11FEF" w:rsidR="009A0255" w:rsidRPr="00407705" w:rsidRDefault="009A0255" w:rsidP="009A0255">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lang w:val="sq-AL"/>
        </w:rPr>
      </w:pPr>
      <w:r w:rsidRPr="00407705">
        <w:rPr>
          <w:rFonts w:ascii="Garamond" w:hAnsi="Garamond" w:cs="Times New Roman"/>
          <w:color w:val="000000"/>
          <w:sz w:val="24"/>
          <w:szCs w:val="24"/>
          <w:lang w:val="sq-AL"/>
        </w:rPr>
        <w:t xml:space="preserve">dhe Milan Blaško, </w:t>
      </w:r>
      <w:r w:rsidR="009B21A8" w:rsidRPr="00407705">
        <w:rPr>
          <w:rFonts w:ascii="Garamond" w:hAnsi="Garamond" w:cs="Times New Roman"/>
          <w:i/>
          <w:iCs/>
          <w:color w:val="000000"/>
          <w:sz w:val="24"/>
          <w:szCs w:val="24"/>
          <w:lang w:val="sq-AL"/>
        </w:rPr>
        <w:t xml:space="preserve">regjistrar </w:t>
      </w:r>
      <w:r w:rsidRPr="00407705">
        <w:rPr>
          <w:rFonts w:ascii="Garamond" w:hAnsi="Garamond" w:cs="Times New Roman"/>
          <w:i/>
          <w:iCs/>
          <w:color w:val="000000"/>
          <w:sz w:val="24"/>
          <w:szCs w:val="24"/>
          <w:lang w:val="sq-AL"/>
        </w:rPr>
        <w:t xml:space="preserve">i Seksionit, </w:t>
      </w:r>
    </w:p>
    <w:p w14:paraId="69AB0C87" w14:textId="2AABA088" w:rsidR="009A0255" w:rsidRPr="00407705" w:rsidRDefault="009B21A8" w:rsidP="009A0255">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duke </w:t>
      </w:r>
      <w:r w:rsidR="009A0255" w:rsidRPr="00407705">
        <w:rPr>
          <w:rFonts w:ascii="Garamond" w:hAnsi="Garamond" w:cs="Times New Roman"/>
          <w:color w:val="000000"/>
          <w:sz w:val="24"/>
          <w:szCs w:val="24"/>
          <w:lang w:val="sq-AL"/>
        </w:rPr>
        <w:t xml:space="preserve">marrë në konsideratë: </w:t>
      </w:r>
    </w:p>
    <w:p w14:paraId="69AB0C88" w14:textId="0F3EFB90" w:rsidR="009A0255" w:rsidRPr="00407705" w:rsidRDefault="009A0255" w:rsidP="009B21A8">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kërkesat (nr. 43391/18 dhe 17766/19) kundër Republikës së Shqipërisë paraqitur në Gjykatë</w:t>
      </w:r>
      <w:r w:rsidR="009B21A8" w:rsidRPr="00407705">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sipas </w:t>
      </w:r>
      <w:r w:rsidR="00735A59" w:rsidRPr="00407705">
        <w:rPr>
          <w:rFonts w:ascii="Garamond" w:hAnsi="Garamond" w:cs="Times New Roman"/>
          <w:color w:val="000000"/>
          <w:sz w:val="24"/>
          <w:szCs w:val="24"/>
          <w:lang w:val="sq-AL"/>
        </w:rPr>
        <w:t xml:space="preserve">nenit </w:t>
      </w:r>
      <w:r w:rsidRPr="00407705">
        <w:rPr>
          <w:rFonts w:ascii="Garamond" w:hAnsi="Garamond" w:cs="Times New Roman"/>
          <w:color w:val="000000"/>
          <w:sz w:val="24"/>
          <w:szCs w:val="24"/>
          <w:lang w:val="sq-AL"/>
        </w:rPr>
        <w:t xml:space="preserve">34 të Konventës për Mbrojtjen e të Drejtave të Njeriut dhe Lirive Themelore (“Konventa”) nga dy shtetas shqiptarë, z. Petrit Bara (“kërkuesi i parë”) dhe z. Eduard Kola (“kërkuesi i dytë”), më 4 shtator 2018 dhe 27 mars 2019, respektivisht; </w:t>
      </w:r>
    </w:p>
    <w:p w14:paraId="69AB0C89" w14:textId="3A2439B8" w:rsidR="009A0255" w:rsidRPr="00407705" w:rsidRDefault="009A0255" w:rsidP="009B21A8">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vendimin për të njoftuar Qeverinë Shqiptare (“Qeverinë”)</w:t>
      </w:r>
      <w:r w:rsidR="00735A59" w:rsidRPr="00407705">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 lidhje me ankimet për kohëzgjatje të tepërt të procedurave, për procedurat e </w:t>
      </w:r>
      <w:r w:rsidR="00735A59" w:rsidRPr="00407705">
        <w:rPr>
          <w:rFonts w:ascii="Garamond" w:hAnsi="Garamond" w:cs="Times New Roman"/>
          <w:color w:val="000000"/>
          <w:sz w:val="24"/>
          <w:szCs w:val="24"/>
          <w:lang w:val="sq-AL"/>
        </w:rPr>
        <w:t>padrejta ndaj kërkuesit të dytë</w:t>
      </w:r>
      <w:r w:rsidRPr="00407705">
        <w:rPr>
          <w:rFonts w:ascii="Garamond" w:hAnsi="Garamond" w:cs="Times New Roman"/>
          <w:color w:val="000000"/>
          <w:sz w:val="24"/>
          <w:szCs w:val="24"/>
          <w:lang w:val="sq-AL"/>
        </w:rPr>
        <w:t xml:space="preserve"> dhe mungesën e një zgjidhjeje efektive</w:t>
      </w:r>
      <w:r w:rsidR="00735A59" w:rsidRPr="00407705">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 lidhje me ankesat për kohëzgjatjen e procedurave</w:t>
      </w:r>
      <w:r w:rsidR="00735A59" w:rsidRPr="00407705">
        <w:rPr>
          <w:rFonts w:ascii="Garamond" w:hAnsi="Garamond" w:cs="Times New Roman"/>
          <w:color w:val="000000"/>
          <w:sz w:val="24"/>
          <w:szCs w:val="24"/>
          <w:lang w:val="sq-AL"/>
        </w:rPr>
        <w:t>;</w:t>
      </w:r>
    </w:p>
    <w:p w14:paraId="69AB0C8A" w14:textId="77777777" w:rsidR="009A0255" w:rsidRPr="00407705" w:rsidRDefault="009A0255" w:rsidP="009B21A8">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vërejtjet e palëve; </w:t>
      </w:r>
    </w:p>
    <w:p w14:paraId="69AB0C8B" w14:textId="244FDBFC" w:rsidR="009A0255" w:rsidRPr="00407705" w:rsidRDefault="00735A59" w:rsidP="009B21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pasi </w:t>
      </w:r>
      <w:r w:rsidR="009A0255" w:rsidRPr="00407705">
        <w:rPr>
          <w:rFonts w:ascii="Garamond" w:hAnsi="Garamond" w:cs="Times New Roman"/>
          <w:color w:val="000000"/>
          <w:sz w:val="24"/>
          <w:szCs w:val="24"/>
          <w:lang w:val="sq-AL"/>
        </w:rPr>
        <w:t>diskutoi me dyer të mbyllura më 7 shtator 2021</w:t>
      </w:r>
      <w:r w:rsidRPr="00407705">
        <w:rPr>
          <w:rFonts w:ascii="Garamond" w:hAnsi="Garamond" w:cs="Times New Roman"/>
          <w:color w:val="000000"/>
          <w:sz w:val="24"/>
          <w:szCs w:val="24"/>
          <w:lang w:val="sq-AL"/>
        </w:rPr>
        <w:t>,</w:t>
      </w:r>
      <w:r w:rsidR="009A0255" w:rsidRPr="00407705">
        <w:rPr>
          <w:rFonts w:ascii="Garamond" w:hAnsi="Garamond" w:cs="Times New Roman"/>
          <w:color w:val="000000"/>
          <w:sz w:val="24"/>
          <w:szCs w:val="24"/>
          <w:lang w:val="sq-AL"/>
        </w:rPr>
        <w:t xml:space="preserve"> </w:t>
      </w:r>
    </w:p>
    <w:p w14:paraId="69AB0C8C" w14:textId="4328E43C" w:rsidR="009A0255" w:rsidRPr="00407705" w:rsidRDefault="00735A59" w:rsidP="009B21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shpall </w:t>
      </w:r>
      <w:r w:rsidR="009A0255" w:rsidRPr="00407705">
        <w:rPr>
          <w:rFonts w:ascii="Garamond" w:hAnsi="Garamond" w:cs="Times New Roman"/>
          <w:color w:val="000000"/>
          <w:sz w:val="24"/>
          <w:szCs w:val="24"/>
          <w:lang w:val="sq-AL"/>
        </w:rPr>
        <w:t>vendimin e mëposhtëm, i cili u miratua në po atë datë</w:t>
      </w:r>
      <w:r w:rsidRPr="00407705">
        <w:rPr>
          <w:rFonts w:ascii="Garamond" w:hAnsi="Garamond" w:cs="Times New Roman"/>
          <w:color w:val="000000"/>
          <w:sz w:val="24"/>
          <w:szCs w:val="24"/>
          <w:lang w:val="sq-AL"/>
        </w:rPr>
        <w:t>.</w:t>
      </w:r>
      <w:r w:rsidR="009A0255" w:rsidRPr="00407705">
        <w:rPr>
          <w:rFonts w:ascii="Garamond" w:hAnsi="Garamond" w:cs="Times New Roman"/>
          <w:color w:val="000000"/>
          <w:sz w:val="24"/>
          <w:szCs w:val="24"/>
          <w:lang w:val="sq-AL"/>
        </w:rPr>
        <w:t xml:space="preserve"> </w:t>
      </w:r>
    </w:p>
    <w:p w14:paraId="12C8A725" w14:textId="77777777" w:rsidR="00735A59" w:rsidRPr="00407705" w:rsidRDefault="00735A59" w:rsidP="009B21A8">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532AE2C" w14:textId="77777777" w:rsidR="007243A8" w:rsidRDefault="007243A8" w:rsidP="009B21A8">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4509A55" w14:textId="77777777" w:rsidR="007243A8" w:rsidRDefault="007243A8" w:rsidP="009B21A8">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9AB0C8D" w14:textId="77777777" w:rsidR="009A0255" w:rsidRPr="00407705" w:rsidRDefault="009A0255" w:rsidP="009B21A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HYRJE </w:t>
      </w:r>
    </w:p>
    <w:p w14:paraId="69AB0C8E"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lastRenderedPageBreak/>
        <w:t xml:space="preserve">1. Çështja ka të bëjë me pretendimin për kohëzgjatje të tepërt të procedurave administrative dhe penale, si edhe me efikasitetin e një zgjidhjeje të re të paraqitur në vitin 2017 mbi kohëzgjatjen e tepërt të procedurave. </w:t>
      </w:r>
    </w:p>
    <w:p w14:paraId="69AB0C8F"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FAKTET</w:t>
      </w:r>
    </w:p>
    <w:p w14:paraId="69AB0C90"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I. RRETHANAT E ÇËSHTJEVE</w:t>
      </w:r>
    </w:p>
    <w:p w14:paraId="69AB0C91" w14:textId="26310765"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2. Kërkuesi i parë ka lindur në vitin 1953 dhe jeton në Tiranë. Ai u përfaqësua përpara Gjykatës nga z</w:t>
      </w:r>
      <w:r w:rsidR="000043B1" w:rsidRPr="00407705">
        <w:rPr>
          <w:rFonts w:ascii="Garamond" w:hAnsi="Garamond" w:cs="Times New Roman"/>
          <w:color w:val="000000"/>
          <w:sz w:val="24"/>
          <w:szCs w:val="24"/>
          <w:lang w:val="sq-AL"/>
        </w:rPr>
        <w:t>n</w:t>
      </w:r>
      <w:r w:rsidRPr="00407705">
        <w:rPr>
          <w:rFonts w:ascii="Garamond" w:hAnsi="Garamond" w:cs="Times New Roman"/>
          <w:color w:val="000000"/>
          <w:sz w:val="24"/>
          <w:szCs w:val="24"/>
          <w:lang w:val="sq-AL"/>
        </w:rPr>
        <w:t xml:space="preserve">j. B. Bara dhe më pas nga z. J. Bara, një avokat i cili e ushtron profesionin e tij në Tiranë. </w:t>
      </w:r>
    </w:p>
    <w:p w14:paraId="69AB0C92"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3. Kërkuesi i dytë ka lindur në vitin 1986 dhe aktualisht po vuan një dënim me burgim në Shqipëri. Ai u përfaqësua përpara Gjykatës nga z. A. Doda, një avokat i cili e ushtron profesionin e tij në Tiranë. </w:t>
      </w:r>
    </w:p>
    <w:p w14:paraId="69AB0C93" w14:textId="462DE81A"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4. Qeveria u përfaqësua nga </w:t>
      </w:r>
      <w:r w:rsidR="000043B1" w:rsidRPr="00407705">
        <w:rPr>
          <w:rFonts w:ascii="Garamond" w:hAnsi="Garamond" w:cs="Times New Roman"/>
          <w:color w:val="000000"/>
          <w:sz w:val="24"/>
          <w:szCs w:val="24"/>
          <w:lang w:val="sq-AL"/>
        </w:rPr>
        <w:t xml:space="preserve">agjenti </w:t>
      </w:r>
      <w:r w:rsidRPr="00407705">
        <w:rPr>
          <w:rFonts w:ascii="Garamond" w:hAnsi="Garamond" w:cs="Times New Roman"/>
          <w:color w:val="000000"/>
          <w:sz w:val="24"/>
          <w:szCs w:val="24"/>
          <w:lang w:val="sq-AL"/>
        </w:rPr>
        <w:t>i saj në atë periudhë, z. A. Metani, dhe më pas nga z</w:t>
      </w:r>
      <w:r w:rsidR="000043B1" w:rsidRPr="00407705">
        <w:rPr>
          <w:rFonts w:ascii="Garamond" w:hAnsi="Garamond" w:cs="Times New Roman"/>
          <w:color w:val="000000"/>
          <w:sz w:val="24"/>
          <w:szCs w:val="24"/>
          <w:lang w:val="sq-AL"/>
        </w:rPr>
        <w:t>n</w:t>
      </w:r>
      <w:r w:rsidRPr="00407705">
        <w:rPr>
          <w:rFonts w:ascii="Garamond" w:hAnsi="Garamond" w:cs="Times New Roman"/>
          <w:color w:val="000000"/>
          <w:sz w:val="24"/>
          <w:szCs w:val="24"/>
          <w:lang w:val="sq-AL"/>
        </w:rPr>
        <w:t xml:space="preserve">j. E. Muçaj nga Zyra e Avokaturës së Shtetit. </w:t>
      </w:r>
    </w:p>
    <w:p w14:paraId="69AB0C94" w14:textId="6A2E0A94"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5. Faktet e çështjeve, sipas parashtrimeve të palëve, mund të përmblidhen</w:t>
      </w:r>
      <w:r w:rsidR="000043B1" w:rsidRPr="00407705">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si më poshtë. </w:t>
      </w:r>
    </w:p>
    <w:p w14:paraId="69AB0C95" w14:textId="7FEA5D60" w:rsidR="009A0255" w:rsidRPr="00407705" w:rsidRDefault="009A0255" w:rsidP="009A0255">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407705">
        <w:rPr>
          <w:rFonts w:ascii="Garamond" w:hAnsi="Garamond" w:cs="Times New Roman"/>
          <w:b/>
          <w:bCs/>
          <w:color w:val="000000"/>
          <w:sz w:val="24"/>
          <w:szCs w:val="24"/>
          <w:lang w:val="sq-AL"/>
        </w:rPr>
        <w:t>A. Kërkesa nr. 43391/18</w:t>
      </w:r>
      <w:r w:rsidR="000043B1" w:rsidRPr="00407705">
        <w:rPr>
          <w:rFonts w:ascii="Garamond" w:hAnsi="Garamond" w:cs="Times New Roman"/>
          <w:b/>
          <w:bCs/>
          <w:color w:val="000000"/>
          <w:sz w:val="24"/>
          <w:szCs w:val="24"/>
          <w:lang w:val="sq-AL"/>
        </w:rPr>
        <w:t>,</w:t>
      </w:r>
      <w:r w:rsidRPr="00407705">
        <w:rPr>
          <w:rFonts w:ascii="Garamond" w:hAnsi="Garamond" w:cs="Times New Roman"/>
          <w:b/>
          <w:bCs/>
          <w:color w:val="000000"/>
          <w:sz w:val="24"/>
          <w:szCs w:val="24"/>
          <w:lang w:val="sq-AL"/>
        </w:rPr>
        <w:t xml:space="preserve"> </w:t>
      </w:r>
      <w:r w:rsidRPr="00407705">
        <w:rPr>
          <w:rFonts w:ascii="Garamond" w:hAnsi="Garamond" w:cs="Times New Roman"/>
          <w:b/>
          <w:bCs/>
          <w:i/>
          <w:iCs/>
          <w:color w:val="000000"/>
          <w:sz w:val="24"/>
          <w:szCs w:val="24"/>
          <w:lang w:val="sq-AL"/>
        </w:rPr>
        <w:t>Bara kundër Shqipërisë</w:t>
      </w:r>
    </w:p>
    <w:p w14:paraId="69AB0C96" w14:textId="1A7B7071"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6. Kërkuesi i parë është një doktor dhe profesor i mjekësisë në Universitetin </w:t>
      </w:r>
      <w:r w:rsidR="00830CBA" w:rsidRPr="00407705">
        <w:rPr>
          <w:rFonts w:ascii="Garamond" w:hAnsi="Garamond" w:cs="Times New Roman"/>
          <w:color w:val="000000"/>
          <w:sz w:val="24"/>
          <w:szCs w:val="24"/>
          <w:lang w:val="sq-AL"/>
        </w:rPr>
        <w:t xml:space="preserve">Shtetëror </w:t>
      </w:r>
      <w:r w:rsidRPr="00407705">
        <w:rPr>
          <w:rFonts w:ascii="Garamond" w:hAnsi="Garamond" w:cs="Times New Roman"/>
          <w:color w:val="000000"/>
          <w:sz w:val="24"/>
          <w:szCs w:val="24"/>
          <w:lang w:val="sq-AL"/>
        </w:rPr>
        <w:t xml:space="preserve">të Mjekësisë, Tiranë (“UMT”). </w:t>
      </w:r>
    </w:p>
    <w:p w14:paraId="69AB0C97" w14:textId="4693113E"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7. Pas zgjedhjeve për pozicionin e rektorit në UMT, ku kërkuesi i parë ishte njëri prej tre kandidatëve</w:t>
      </w:r>
      <w:r w:rsidR="00350BA1" w:rsidRPr="00407705">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të cilët kandiduan për këtë pozicion (shih paragrafët 47 dhe 48 në vijim), më datë 23 prill 2016, Komisioni Institucional Zgjedhor (“Komisioni Zgjedhor” – shih paragrafin 48 në vijim) njoftoi rezultatet paraprake të zgjedhjeve, sipas </w:t>
      </w:r>
      <w:r w:rsidR="00350BA1" w:rsidRPr="00407705">
        <w:rPr>
          <w:rFonts w:ascii="Garamond" w:hAnsi="Garamond" w:cs="Times New Roman"/>
          <w:color w:val="000000"/>
          <w:sz w:val="24"/>
          <w:szCs w:val="24"/>
          <w:lang w:val="sq-AL"/>
        </w:rPr>
        <w:t>t</w:t>
      </w:r>
      <w:r w:rsidRPr="00407705">
        <w:rPr>
          <w:rFonts w:ascii="Garamond" w:hAnsi="Garamond" w:cs="Times New Roman"/>
          <w:color w:val="000000"/>
          <w:sz w:val="24"/>
          <w:szCs w:val="24"/>
          <w:lang w:val="sq-AL"/>
        </w:rPr>
        <w:t xml:space="preserve">ë cilave kërkuesi i parë kishte marrë 36.3% të votave, dhe dy kandidatët e tjerë 38.3% dhe 25.4%. Në po të njëjtën datë, me pretendimin për një sërë parregullsish gjatë procesit të zgjedhjeve, kërkuesi i parë bëri një ankim administrativ, i cili u rrëzua nga Komisioni Zgjedhor më 24 prill 2016. </w:t>
      </w:r>
    </w:p>
    <w:p w14:paraId="69AB0C98"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8. Më 29 prill 2016, Komisioni i Apelit, një organ tjetër administrativ i UMT-së, e rrëzoi ankimin administrativ të kërkuesit të parë. Në po të njëjtën datë, Komisioni Zgjedhor konfirmoi se fituesi i zgjedhjeve ishte kandidati i cili kishte marrë 38.3% të votave. </w:t>
      </w:r>
    </w:p>
    <w:p w14:paraId="69AB0C99"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9. Pasi kishte shteruar mjetet administrative në dispozicion, më 3 maj 2016, kërkuesi i parë paraqiti një ankim në Gjykatën Administrative të Shkallës së Parë, Tiranë, ku kërkonte mosnjohjen e zgjedhjeve. </w:t>
      </w:r>
    </w:p>
    <w:p w14:paraId="69AB0C9A" w14:textId="18FA26B8"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10. Më 3 korrik 2016, Gjykata Administrative, Tiranë, e rrëzoi ankimin. Më 29 shtator 2016, Gjykata Administrative e Apelit e la në fuqi atë vendim, duke dalë në përfundimin se kontestimi i ankuesit të parë për saktësinë e listës së votuesve ishte i papranueshëm, për shkak se lista ishte publikuar përpara zgjedhjeve dhe asnjë kontestim nuk ishte paraqitur në atë periudhë. Për sa i përket mospërputhjes midis kodeve të sigurisë në një kuti votimi dhe kodeve që rezultojnë në të dhënat zyrtare, gjykata vendosi se kjo ishte si rezultat i një gabimi njerëzor. Në fund, gjykata konstatoi se duke qenë se tetë votat e pavlefshme</w:t>
      </w:r>
      <w:r w:rsidR="00ED6620" w:rsidRPr="00407705">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për të cilat ishte ankuar kërkuesi i parë ishin hedhur në favor të kundërshtarit të tij, ai nuk kishte asnjë interes ligjor që të kërkonte zhvleftësimin e tyre nga Komisioni. </w:t>
      </w:r>
    </w:p>
    <w:p w14:paraId="69AB0C9B"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11. Më 27 tetor 2016, kërkuesi i parë paraqiti një ankim kasacioni në Gjykatën e Lartë, duke argumentuar se gjykatat më të ulëta kishin gabuar në zbatimin e parashikimeve statutore përkatëse. </w:t>
      </w:r>
    </w:p>
    <w:p w14:paraId="69AB0C9C" w14:textId="4FAC0D6D"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12. Më 4 maj 2017, 26 shkurt dhe 5 korrik 2018, kërkuesi i parë i kërkoi Gjykatës së Lartë përshpejtimin e procedurave</w:t>
      </w:r>
      <w:r w:rsidR="00ED6620" w:rsidRPr="00407705">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 lidhje me shqyrtimin e ankimit të tij. </w:t>
      </w:r>
    </w:p>
    <w:p w14:paraId="69AB0C9D" w14:textId="3D3D74FA"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13. Më 4 maj 2018, kërkuesi i parë paraqiti një kërkesë në Gjykatën e Lartë</w:t>
      </w:r>
      <w:r w:rsidR="0092696F" w:rsidRPr="00407705">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 mbështetje të </w:t>
      </w:r>
      <w:r w:rsidR="0092696F" w:rsidRPr="00407705">
        <w:rPr>
          <w:rFonts w:ascii="Garamond" w:hAnsi="Garamond" w:cs="Times New Roman"/>
          <w:color w:val="000000"/>
          <w:sz w:val="24"/>
          <w:szCs w:val="24"/>
          <w:lang w:val="sq-AL"/>
        </w:rPr>
        <w:t xml:space="preserve">neneve </w:t>
      </w:r>
      <w:r w:rsidRPr="00407705">
        <w:rPr>
          <w:rFonts w:ascii="Garamond" w:hAnsi="Garamond" w:cs="Times New Roman"/>
          <w:color w:val="000000"/>
          <w:sz w:val="24"/>
          <w:szCs w:val="24"/>
          <w:lang w:val="sq-AL"/>
        </w:rPr>
        <w:t xml:space="preserve">399/1 e në vijim të Kodit të Procedurës Civile (“KPC”), duke i kërkuar gjykatës konstatimin e një shkeljeje të së drejtës së tij për t’u dëgjuar brenda një afati të arsyeshëm kohor. </w:t>
      </w:r>
    </w:p>
    <w:p w14:paraId="69AB0C9E" w14:textId="259AB2D8"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14. Më 24 shkurt 2021, Gjykata e Lartë shqyrtoi ankimin e </w:t>
      </w:r>
      <w:r w:rsidR="0092696F" w:rsidRPr="00407705">
        <w:rPr>
          <w:rFonts w:ascii="Garamond" w:hAnsi="Garamond" w:cs="Times New Roman"/>
          <w:color w:val="000000"/>
          <w:sz w:val="24"/>
          <w:szCs w:val="24"/>
          <w:lang w:val="sq-AL"/>
        </w:rPr>
        <w:t>kasacionit të kërkuesit të parë</w:t>
      </w:r>
      <w:r w:rsidRPr="00407705">
        <w:rPr>
          <w:rFonts w:ascii="Garamond" w:hAnsi="Garamond" w:cs="Times New Roman"/>
          <w:color w:val="000000"/>
          <w:sz w:val="24"/>
          <w:szCs w:val="24"/>
          <w:lang w:val="sq-AL"/>
        </w:rPr>
        <w:t xml:space="preserve"> dhe</w:t>
      </w:r>
      <w:r w:rsidR="0092696F" w:rsidRPr="00407705">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pasi identifikoi një sërë mangësish në procedurat e Gjykatës Administrative të Apelit, e ktheu çështjen </w:t>
      </w:r>
      <w:r w:rsidRPr="00407705">
        <w:rPr>
          <w:rFonts w:ascii="Garamond" w:hAnsi="Garamond" w:cs="Times New Roman"/>
          <w:color w:val="000000"/>
          <w:sz w:val="24"/>
          <w:szCs w:val="24"/>
          <w:lang w:val="sq-AL"/>
        </w:rPr>
        <w:lastRenderedPageBreak/>
        <w:t xml:space="preserve">për një gjykim të ri nga një tjetër trupë gjykuese në atë gjykatë. Nën këto rrethana, aktualisht çështja është pezull në Gjykatën Administrative të Apelit. </w:t>
      </w:r>
    </w:p>
    <w:p w14:paraId="69AB0C9F" w14:textId="7A028136"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15. Sipas faqes së internetit të Gjykatës së Lartë rezulton</w:t>
      </w:r>
      <w:r w:rsidR="0092696F" w:rsidRPr="00407705">
        <w:rPr>
          <w:rFonts w:ascii="Garamond" w:hAnsi="Garamond" w:cs="Times New Roman"/>
          <w:color w:val="000000"/>
          <w:sz w:val="24"/>
          <w:szCs w:val="24"/>
          <w:lang w:val="sq-AL"/>
        </w:rPr>
        <w:t>, se</w:t>
      </w:r>
      <w:r w:rsidRPr="00407705">
        <w:rPr>
          <w:rFonts w:ascii="Garamond" w:hAnsi="Garamond" w:cs="Times New Roman"/>
          <w:color w:val="000000"/>
          <w:sz w:val="24"/>
          <w:szCs w:val="24"/>
          <w:lang w:val="sq-AL"/>
        </w:rPr>
        <w:t xml:space="preserve"> më 13 korrik 2021, Gjykata e Lartë ka vendosur ta ndërpresë shqyrtimin e kërkesës së kërkuesit të parë, në mbështetje të </w:t>
      </w:r>
      <w:r w:rsidR="001066EF" w:rsidRPr="00407705">
        <w:rPr>
          <w:rFonts w:ascii="Garamond" w:hAnsi="Garamond" w:cs="Times New Roman"/>
          <w:color w:val="000000"/>
          <w:sz w:val="24"/>
          <w:szCs w:val="24"/>
          <w:lang w:val="sq-AL"/>
        </w:rPr>
        <w:t xml:space="preserve">neneve </w:t>
      </w:r>
      <w:r w:rsidRPr="00407705">
        <w:rPr>
          <w:rFonts w:ascii="Garamond" w:hAnsi="Garamond" w:cs="Times New Roman"/>
          <w:color w:val="000000"/>
          <w:sz w:val="24"/>
          <w:szCs w:val="24"/>
          <w:lang w:val="sq-AL"/>
        </w:rPr>
        <w:t>399/1 e në vijim të KPC</w:t>
      </w:r>
      <w:r w:rsidR="001066EF" w:rsidRPr="00407705">
        <w:rPr>
          <w:rFonts w:ascii="Garamond" w:hAnsi="Garamond" w:cs="Times New Roman"/>
          <w:color w:val="000000"/>
          <w:sz w:val="24"/>
          <w:szCs w:val="24"/>
          <w:lang w:val="sq-AL"/>
        </w:rPr>
        <w:t>-së</w:t>
      </w:r>
      <w:r w:rsidRPr="00407705">
        <w:rPr>
          <w:rFonts w:ascii="Garamond" w:hAnsi="Garamond" w:cs="Times New Roman"/>
          <w:color w:val="000000"/>
          <w:sz w:val="24"/>
          <w:szCs w:val="24"/>
          <w:lang w:val="sq-AL"/>
        </w:rPr>
        <w:t xml:space="preserve">, duke konstatuar se çështja nuk ishte në mënyrë përjashtimore komplekse, dhe se kishte pasur një vonesë prej një viti e gjashtë muajsh, duke nisur nga data kur dosja e çështjes ishte regjistruar në gjykatë dhe deri në datën kur kërkuesi i parë kishte paraqitur kërkesën e tij në mbështetje të </w:t>
      </w:r>
      <w:r w:rsidR="00DE64EA" w:rsidRPr="00407705">
        <w:rPr>
          <w:rFonts w:ascii="Garamond" w:hAnsi="Garamond" w:cs="Times New Roman"/>
          <w:color w:val="000000"/>
          <w:sz w:val="24"/>
          <w:szCs w:val="24"/>
          <w:lang w:val="sq-AL"/>
        </w:rPr>
        <w:t xml:space="preserve">neneve </w:t>
      </w:r>
      <w:r w:rsidRPr="00407705">
        <w:rPr>
          <w:rFonts w:ascii="Garamond" w:hAnsi="Garamond" w:cs="Times New Roman"/>
          <w:color w:val="000000"/>
          <w:sz w:val="24"/>
          <w:szCs w:val="24"/>
          <w:lang w:val="sq-AL"/>
        </w:rPr>
        <w:t>399/1 e në vijim të KPC</w:t>
      </w:r>
      <w:r w:rsidR="00DE64EA" w:rsidRPr="00407705">
        <w:rPr>
          <w:rFonts w:ascii="Garamond" w:hAnsi="Garamond" w:cs="Times New Roman"/>
          <w:color w:val="000000"/>
          <w:sz w:val="24"/>
          <w:szCs w:val="24"/>
          <w:lang w:val="sq-AL"/>
        </w:rPr>
        <w:t>-së</w:t>
      </w:r>
      <w:r w:rsidRPr="00407705">
        <w:rPr>
          <w:rFonts w:ascii="Garamond" w:hAnsi="Garamond" w:cs="Times New Roman"/>
          <w:color w:val="000000"/>
          <w:sz w:val="24"/>
          <w:szCs w:val="24"/>
          <w:lang w:val="sq-AL"/>
        </w:rPr>
        <w:t>. Gjykata e Lartë ia atribuoi vonesën reformës në sistemin e drejtësisë (shih paragrafin 24 në vijim), dhe u shpreh se çdo vonesë e vogël e shkaktuar nga kjo reformë nuk ishte e shpërpjes</w:t>
      </w:r>
      <w:r w:rsidR="00E12CB5">
        <w:rPr>
          <w:rFonts w:ascii="Garamond" w:hAnsi="Garamond" w:cs="Times New Roman"/>
          <w:color w:val="000000"/>
          <w:sz w:val="24"/>
          <w:szCs w:val="24"/>
          <w:lang w:val="sq-AL"/>
        </w:rPr>
        <w:t>ë</w:t>
      </w:r>
      <w:r w:rsidRPr="00407705">
        <w:rPr>
          <w:rFonts w:ascii="Garamond" w:hAnsi="Garamond" w:cs="Times New Roman"/>
          <w:color w:val="000000"/>
          <w:sz w:val="24"/>
          <w:szCs w:val="24"/>
          <w:lang w:val="sq-AL"/>
        </w:rPr>
        <w:t>timuar</w:t>
      </w:r>
      <w:r w:rsidR="006B7D86" w:rsidRPr="00407705">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nëse krahasohej me përfitimet e reformës. Në vijim, gjykata argumentoi</w:t>
      </w:r>
      <w:r w:rsidR="006B7D86" w:rsidRPr="00407705">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se</w:t>
      </w:r>
      <w:r w:rsidR="006B7D86" w:rsidRPr="00407705">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sipas </w:t>
      </w:r>
      <w:r w:rsidR="006B7D86" w:rsidRPr="00407705">
        <w:rPr>
          <w:rFonts w:ascii="Garamond" w:hAnsi="Garamond" w:cs="Times New Roman"/>
          <w:color w:val="000000"/>
          <w:sz w:val="24"/>
          <w:szCs w:val="24"/>
          <w:lang w:val="sq-AL"/>
        </w:rPr>
        <w:t xml:space="preserve">nenit </w:t>
      </w:r>
      <w:r w:rsidRPr="00407705">
        <w:rPr>
          <w:rFonts w:ascii="Garamond" w:hAnsi="Garamond" w:cs="Times New Roman"/>
          <w:color w:val="000000"/>
          <w:sz w:val="24"/>
          <w:szCs w:val="24"/>
          <w:lang w:val="sq-AL"/>
        </w:rPr>
        <w:t>399/2 të KPC</w:t>
      </w:r>
      <w:r w:rsidR="006B7D86" w:rsidRPr="00407705">
        <w:rPr>
          <w:rFonts w:ascii="Garamond" w:hAnsi="Garamond" w:cs="Times New Roman"/>
          <w:color w:val="000000"/>
          <w:sz w:val="24"/>
          <w:szCs w:val="24"/>
          <w:lang w:val="sq-AL"/>
        </w:rPr>
        <w:t>-së</w:t>
      </w:r>
      <w:r w:rsidRPr="00407705">
        <w:rPr>
          <w:rFonts w:ascii="Garamond" w:hAnsi="Garamond" w:cs="Times New Roman"/>
          <w:color w:val="000000"/>
          <w:sz w:val="24"/>
          <w:szCs w:val="24"/>
          <w:lang w:val="sq-AL"/>
        </w:rPr>
        <w:t>, vonesat e shkaktuara nga një situatë</w:t>
      </w:r>
      <w:r w:rsidR="0054754A" w:rsidRPr="00407705">
        <w:rPr>
          <w:rFonts w:ascii="Garamond" w:hAnsi="Garamond" w:cs="Times New Roman"/>
          <w:color w:val="000000"/>
          <w:sz w:val="24"/>
          <w:szCs w:val="24"/>
          <w:lang w:val="sq-AL"/>
        </w:rPr>
        <w:t xml:space="preserve"> </w:t>
      </w:r>
      <w:r w:rsidRPr="00407705">
        <w:rPr>
          <w:rFonts w:ascii="Garamond" w:hAnsi="Garamond" w:cs="Times New Roman"/>
          <w:color w:val="000000"/>
          <w:sz w:val="24"/>
          <w:szCs w:val="24"/>
          <w:lang w:val="sq-AL"/>
        </w:rPr>
        <w:t xml:space="preserve">në të cilën ishte objektivisht e pamundur që të procedohej me çështjen nuk duhej të merreshin në konsideratë në përcaktimin e kohëzgjatjes së procedurave. Duke qenë se Gjykata e Lartë kishte shqyrtuar ankimin e kasacionit të kërkuesit të parë dhe e kishte dërguar çështjen në Gjykatën Administrative të Apelit për një gjykim të ri, ajo vendosi t’i ndërpriste procedurat. </w:t>
      </w:r>
    </w:p>
    <w:p w14:paraId="69AB0CA0" w14:textId="01659554" w:rsidR="009A0255" w:rsidRPr="00407705" w:rsidRDefault="009A0255" w:rsidP="009A0255">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407705">
        <w:rPr>
          <w:rFonts w:ascii="Garamond" w:hAnsi="Garamond" w:cs="Times New Roman"/>
          <w:b/>
          <w:bCs/>
          <w:color w:val="000000"/>
          <w:sz w:val="24"/>
          <w:szCs w:val="24"/>
          <w:lang w:val="sq-AL"/>
        </w:rPr>
        <w:t>B. Kërkesa nr. 17766/19</w:t>
      </w:r>
      <w:r w:rsidR="00DC4ECB" w:rsidRPr="00407705">
        <w:rPr>
          <w:rFonts w:ascii="Garamond" w:hAnsi="Garamond" w:cs="Times New Roman"/>
          <w:b/>
          <w:bCs/>
          <w:color w:val="000000"/>
          <w:sz w:val="24"/>
          <w:szCs w:val="24"/>
          <w:lang w:val="sq-AL"/>
        </w:rPr>
        <w:t>,</w:t>
      </w:r>
      <w:r w:rsidRPr="00407705">
        <w:rPr>
          <w:rFonts w:ascii="Garamond" w:hAnsi="Garamond" w:cs="Times New Roman"/>
          <w:b/>
          <w:bCs/>
          <w:color w:val="000000"/>
          <w:sz w:val="24"/>
          <w:szCs w:val="24"/>
          <w:lang w:val="sq-AL"/>
        </w:rPr>
        <w:t xml:space="preserve"> </w:t>
      </w:r>
      <w:r w:rsidRPr="00407705">
        <w:rPr>
          <w:rFonts w:ascii="Garamond" w:hAnsi="Garamond" w:cs="Times New Roman"/>
          <w:b/>
          <w:bCs/>
          <w:i/>
          <w:iCs/>
          <w:color w:val="000000"/>
          <w:sz w:val="24"/>
          <w:szCs w:val="24"/>
          <w:lang w:val="sq-AL"/>
        </w:rPr>
        <w:t>Kola kundër Shqipërisë</w:t>
      </w:r>
    </w:p>
    <w:p w14:paraId="69AB0CA1"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16. Më 24 shtator 2011, një roje nate i një guroreje u gjet i vdekur në kabinën e cila ishte vendi ku ai qëndronte në atë punë. </w:t>
      </w:r>
    </w:p>
    <w:p w14:paraId="69AB0CA2" w14:textId="441E7D10"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17. Pas hetimeve të policisë, më 24 nëntor 2011, kërkuesi i dytë dhe një </w:t>
      </w:r>
      <w:r w:rsidR="00156B75" w:rsidRPr="00407705">
        <w:rPr>
          <w:rFonts w:ascii="Garamond" w:hAnsi="Garamond" w:cs="Times New Roman"/>
          <w:color w:val="000000"/>
          <w:sz w:val="24"/>
          <w:szCs w:val="24"/>
          <w:lang w:val="sq-AL"/>
        </w:rPr>
        <w:t>i bashkë</w:t>
      </w:r>
      <w:r w:rsidRPr="00407705">
        <w:rPr>
          <w:rFonts w:ascii="Garamond" w:hAnsi="Garamond" w:cs="Times New Roman"/>
          <w:color w:val="000000"/>
          <w:sz w:val="24"/>
          <w:szCs w:val="24"/>
          <w:lang w:val="sq-AL"/>
        </w:rPr>
        <w:t xml:space="preserve">pandehur u akuzuan për vrasje me paramendim dhe mbajtje pa leje të armëve të gjuetisë dhe atyre sportive, në mbështetje të </w:t>
      </w:r>
      <w:r w:rsidR="00393917" w:rsidRPr="00407705">
        <w:rPr>
          <w:rFonts w:ascii="Garamond" w:hAnsi="Garamond" w:cs="Times New Roman"/>
          <w:color w:val="000000"/>
          <w:sz w:val="24"/>
          <w:szCs w:val="24"/>
          <w:lang w:val="sq-AL"/>
        </w:rPr>
        <w:t>nenit 78</w:t>
      </w:r>
      <w:r w:rsidRPr="00407705">
        <w:rPr>
          <w:rFonts w:ascii="Garamond" w:hAnsi="Garamond" w:cs="Times New Roman"/>
          <w:color w:val="000000"/>
          <w:sz w:val="24"/>
          <w:szCs w:val="24"/>
          <w:lang w:val="sq-AL"/>
        </w:rPr>
        <w:t xml:space="preserve">§2 dhe </w:t>
      </w:r>
      <w:r w:rsidR="00393917" w:rsidRPr="00407705">
        <w:rPr>
          <w:rFonts w:ascii="Garamond" w:hAnsi="Garamond" w:cs="Times New Roman"/>
          <w:color w:val="000000"/>
          <w:sz w:val="24"/>
          <w:szCs w:val="24"/>
          <w:lang w:val="sq-AL"/>
        </w:rPr>
        <w:t xml:space="preserve">nenit </w:t>
      </w:r>
      <w:r w:rsidRPr="00407705">
        <w:rPr>
          <w:rFonts w:ascii="Garamond" w:hAnsi="Garamond" w:cs="Times New Roman"/>
          <w:color w:val="000000"/>
          <w:sz w:val="24"/>
          <w:szCs w:val="24"/>
          <w:lang w:val="sq-AL"/>
        </w:rPr>
        <w:t xml:space="preserve">280 të Kodit Penal. </w:t>
      </w:r>
    </w:p>
    <w:p w14:paraId="69AB0CA3" w14:textId="1B8146FE"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18. Në 15 nëntor 2012, Gjykata e Rrethit Shkodër e dënoi kërkuesin e dytë me burgim të përjetshëm me akuzën për vrasje me p</w:t>
      </w:r>
      <w:r w:rsidR="00156B75" w:rsidRPr="00407705">
        <w:rPr>
          <w:rFonts w:ascii="Garamond" w:hAnsi="Garamond" w:cs="Times New Roman"/>
          <w:color w:val="000000"/>
          <w:sz w:val="24"/>
          <w:szCs w:val="24"/>
          <w:lang w:val="sq-AL"/>
        </w:rPr>
        <w:t>aramendim. Akuza ndaj të bashkë</w:t>
      </w:r>
      <w:r w:rsidRPr="00407705">
        <w:rPr>
          <w:rFonts w:ascii="Garamond" w:hAnsi="Garamond" w:cs="Times New Roman"/>
          <w:color w:val="000000"/>
          <w:sz w:val="24"/>
          <w:szCs w:val="24"/>
          <w:lang w:val="sq-AL"/>
        </w:rPr>
        <w:t xml:space="preserve">pandehurit u riklasifikua dhe ai u dënua për pengim të drejtësisë duke u angazhuar në akte që kishin për qëllim të pengonin zbulimin e së vërtetës. </w:t>
      </w:r>
    </w:p>
    <w:p w14:paraId="69AB0CA4" w14:textId="79AF8F64"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19. Pasi vendimi u la në fuqi në apel, më 1 mars 2016, Gjykata e Lartë e prishi vendimin me arsyetimin se i mungonte arsyetimi i mjaftueshëm. Ajo e dërgoi çështjen për rishqyrtim dhe urdhëroi, midis të tjerash, që të kryhej ekspertiza mbi armën që kishte hequr </w:t>
      </w:r>
      <w:r w:rsidR="00156B75" w:rsidRPr="00407705">
        <w:rPr>
          <w:rFonts w:ascii="Garamond" w:hAnsi="Garamond" w:cs="Times New Roman"/>
          <w:color w:val="000000"/>
          <w:sz w:val="24"/>
          <w:szCs w:val="24"/>
          <w:lang w:val="sq-AL"/>
        </w:rPr>
        <w:t xml:space="preserve">i </w:t>
      </w:r>
      <w:r w:rsidRPr="00407705">
        <w:rPr>
          <w:rFonts w:ascii="Garamond" w:hAnsi="Garamond" w:cs="Times New Roman"/>
          <w:color w:val="000000"/>
          <w:sz w:val="24"/>
          <w:szCs w:val="24"/>
          <w:lang w:val="sq-AL"/>
        </w:rPr>
        <w:t xml:space="preserve">bashkëpandehuri nga skena e krimit, në mënyrë që të verifikohej ekzistenca e ndonjë gjurme gishtash. </w:t>
      </w:r>
    </w:p>
    <w:p w14:paraId="69AB0CA5" w14:textId="5F1CE2CB"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20. Më 23 mars 2017, Gjykata e Apelit Shkodër (“Gjykata e Apelit”) la në fuqi vendimin ndaj kërkuesit dhe e ndërpreu shqyrtimin e akuzës për mbajtje pa leje të armëve</w:t>
      </w:r>
      <w:r w:rsidR="00156B75" w:rsidRPr="00407705">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sipas ligjit për amnistinë. </w:t>
      </w:r>
    </w:p>
    <w:p w14:paraId="69AB0CA6"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21. Më 27 mars 2017, kërkuesi i dytë paraqiti një ankim kasacioni në Gjykatën e Lartë. </w:t>
      </w:r>
    </w:p>
    <w:p w14:paraId="69AB0CA7"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22. Më 5 mars 2021, Gjykata e Lartë, e mbledhur në një trupë të përbërë nga tre gjyqtarë, e deklaroi të pranueshëm ankimin e kasacionit të kërkuesit të dytë. Nuk rezulton që Gjykata e Lartë të ketë përcaktuar një datë për shqyrtimin e ankimit në themel. </w:t>
      </w:r>
    </w:p>
    <w:p w14:paraId="69AB0CA8"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407705">
        <w:rPr>
          <w:rFonts w:ascii="Garamond" w:hAnsi="Garamond" w:cs="Times New Roman"/>
          <w:b/>
          <w:bCs/>
          <w:color w:val="000000"/>
          <w:sz w:val="24"/>
          <w:szCs w:val="24"/>
          <w:lang w:val="sq-AL"/>
        </w:rPr>
        <w:t xml:space="preserve">C. Informacionet statistikore dhe të tjera për Gjykatën e Lartë </w:t>
      </w:r>
    </w:p>
    <w:p w14:paraId="69AB0CA9"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07705">
        <w:rPr>
          <w:rFonts w:ascii="Garamond" w:hAnsi="Garamond" w:cs="Times New Roman"/>
          <w:i/>
          <w:iCs/>
          <w:color w:val="000000"/>
          <w:sz w:val="24"/>
          <w:szCs w:val="24"/>
          <w:lang w:val="sq-AL"/>
        </w:rPr>
        <w:t xml:space="preserve">1. Informacione në lidhje me përbërjen e Gjykatës së Lartë </w:t>
      </w:r>
    </w:p>
    <w:p w14:paraId="69AB0CAA" w14:textId="568B9540"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23. Deri në mars 2016, Gjykata e Lartë përbëhej nga shtatëmbëdhjetë gjyqtarë nga nëntëmbëdhjetë gjyqtarë që duhej të ishin në total. Nga muaji prill 2016 dhe deri në tetor 2017, s</w:t>
      </w:r>
      <w:r w:rsidR="00907CCF" w:rsidRPr="00407705">
        <w:rPr>
          <w:rFonts w:ascii="Garamond" w:hAnsi="Garamond" w:cs="Times New Roman"/>
          <w:color w:val="000000"/>
          <w:sz w:val="24"/>
          <w:szCs w:val="24"/>
          <w:lang w:val="sq-AL"/>
        </w:rPr>
        <w:t>htatë gjyqtarë dhanë dorëheqjen</w:t>
      </w:r>
      <w:r w:rsidRPr="00407705">
        <w:rPr>
          <w:rFonts w:ascii="Garamond" w:hAnsi="Garamond" w:cs="Times New Roman"/>
          <w:color w:val="000000"/>
          <w:sz w:val="24"/>
          <w:szCs w:val="24"/>
          <w:lang w:val="sq-AL"/>
        </w:rPr>
        <w:t xml:space="preserve"> dhe një u shpall fajtor për një vepër penale dhe u pushua.</w:t>
      </w:r>
    </w:p>
    <w:p w14:paraId="69AB0CAB" w14:textId="2E79EC04"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24.</w:t>
      </w:r>
      <w:r w:rsidR="0054754A" w:rsidRPr="00407705">
        <w:rPr>
          <w:rFonts w:ascii="Garamond" w:hAnsi="Garamond" w:cs="Times New Roman"/>
          <w:color w:val="000000"/>
          <w:sz w:val="24"/>
          <w:szCs w:val="24"/>
          <w:lang w:val="sq-AL"/>
        </w:rPr>
        <w:t xml:space="preserve"> </w:t>
      </w:r>
      <w:r w:rsidRPr="00407705">
        <w:rPr>
          <w:rFonts w:ascii="Garamond" w:hAnsi="Garamond" w:cs="Times New Roman"/>
          <w:color w:val="000000"/>
          <w:sz w:val="24"/>
          <w:szCs w:val="24"/>
          <w:lang w:val="sq-AL"/>
        </w:rPr>
        <w:t>Në vitin 2016, Shqipëria ndërmori reformat e gjera në sistemin e drejtësisë, të cilat sollën ndryshime në Kushtetutë dhe hyrjen në fuqi të një sërë statutesh të rëndësish</w:t>
      </w:r>
      <w:r w:rsidR="00907CCF" w:rsidRPr="00407705">
        <w:rPr>
          <w:rFonts w:ascii="Garamond" w:hAnsi="Garamond" w:cs="Times New Roman"/>
          <w:color w:val="000000"/>
          <w:sz w:val="24"/>
          <w:szCs w:val="24"/>
          <w:lang w:val="sq-AL"/>
        </w:rPr>
        <w:t>me,</w:t>
      </w:r>
      <w:r w:rsidRPr="00407705">
        <w:rPr>
          <w:rFonts w:ascii="Garamond" w:hAnsi="Garamond" w:cs="Times New Roman"/>
          <w:color w:val="000000"/>
          <w:sz w:val="24"/>
          <w:szCs w:val="24"/>
          <w:lang w:val="sq-AL"/>
        </w:rPr>
        <w:t xml:space="preserve"> në lidhje me, midis të tjerash, rivlerësimin e të gjithë gjyqtarëve dhe prokurorëve në detyrë (ndrysh</w:t>
      </w:r>
      <w:r w:rsidR="00A04BA7" w:rsidRPr="00407705">
        <w:rPr>
          <w:rFonts w:ascii="Garamond" w:hAnsi="Garamond" w:cs="Times New Roman"/>
          <w:color w:val="000000"/>
          <w:sz w:val="24"/>
          <w:szCs w:val="24"/>
          <w:lang w:val="sq-AL"/>
        </w:rPr>
        <w:t xml:space="preserve">e i njohur si procesi i </w:t>
      </w:r>
      <w:r w:rsidR="00654098" w:rsidRPr="00407705">
        <w:rPr>
          <w:rFonts w:ascii="Garamond" w:hAnsi="Garamond" w:cs="Times New Roman"/>
          <w:i/>
          <w:color w:val="000000"/>
          <w:sz w:val="24"/>
          <w:szCs w:val="24"/>
          <w:lang w:val="sq-AL"/>
        </w:rPr>
        <w:t>vetting</w:t>
      </w:r>
      <w:r w:rsidR="00654098" w:rsidRPr="00407705">
        <w:rPr>
          <w:rFonts w:ascii="Garamond" w:hAnsi="Garamond" w:cs="Times New Roman"/>
          <w:color w:val="000000"/>
          <w:sz w:val="24"/>
          <w:szCs w:val="24"/>
          <w:lang w:val="sq-AL"/>
        </w:rPr>
        <w:t>-ut</w:t>
      </w:r>
      <w:r w:rsidRPr="00407705">
        <w:rPr>
          <w:rFonts w:ascii="Garamond" w:hAnsi="Garamond" w:cs="Times New Roman"/>
          <w:color w:val="000000"/>
          <w:sz w:val="24"/>
          <w:szCs w:val="24"/>
          <w:lang w:val="sq-AL"/>
        </w:rPr>
        <w:t xml:space="preserve"> për gjyqtarët dhe prokurorët), organizimin e gjyqësorit, duke përfshirë organizimin e Gjykatës së Lartë dhe krijimin e organeve të reja qeverisëse në sistemin e drejtësisë (shih </w:t>
      </w:r>
      <w:r w:rsidRPr="00407705">
        <w:rPr>
          <w:rFonts w:ascii="Garamond" w:hAnsi="Garamond" w:cs="Times New Roman"/>
          <w:i/>
          <w:iCs/>
          <w:color w:val="000000"/>
          <w:sz w:val="24"/>
          <w:szCs w:val="24"/>
          <w:lang w:val="sq-AL"/>
        </w:rPr>
        <w:t xml:space="preserve">Xhoxhaj kundër Shqipërisë, </w:t>
      </w:r>
      <w:r w:rsidRPr="00407705">
        <w:rPr>
          <w:rFonts w:ascii="Garamond" w:hAnsi="Garamond" w:cs="Times New Roman"/>
          <w:color w:val="000000"/>
          <w:sz w:val="24"/>
          <w:szCs w:val="24"/>
          <w:lang w:val="sq-AL"/>
        </w:rPr>
        <w:t>nr. 15227/19, §§ 4</w:t>
      </w:r>
      <w:r w:rsidR="00A04BA7" w:rsidRPr="00407705">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7, 9 shkurt 2021). </w:t>
      </w:r>
    </w:p>
    <w:p w14:paraId="69AB0CAC" w14:textId="7F6B4B4C"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25. Nga muaji korrik 2018 deri në maj 2019, si rezultat i procesit të </w:t>
      </w:r>
      <w:r w:rsidR="00654098" w:rsidRPr="00407705">
        <w:rPr>
          <w:rFonts w:ascii="Garamond" w:hAnsi="Garamond" w:cs="Times New Roman"/>
          <w:i/>
          <w:color w:val="000000"/>
          <w:sz w:val="24"/>
          <w:szCs w:val="24"/>
          <w:lang w:val="sq-AL"/>
        </w:rPr>
        <w:t>vetting</w:t>
      </w:r>
      <w:r w:rsidR="00654098" w:rsidRPr="00407705">
        <w:rPr>
          <w:rFonts w:ascii="Garamond" w:hAnsi="Garamond" w:cs="Times New Roman"/>
          <w:color w:val="000000"/>
          <w:sz w:val="24"/>
          <w:szCs w:val="24"/>
          <w:lang w:val="sq-AL"/>
        </w:rPr>
        <w:t>-ut</w:t>
      </w:r>
      <w:r w:rsidRPr="00407705">
        <w:rPr>
          <w:rFonts w:ascii="Garamond" w:hAnsi="Garamond" w:cs="Times New Roman"/>
          <w:color w:val="000000"/>
          <w:sz w:val="24"/>
          <w:szCs w:val="24"/>
          <w:lang w:val="sq-AL"/>
        </w:rPr>
        <w:t xml:space="preserve"> të realizuar për gjyqtarët e Gjykatës së Lartë, shtatë nga nëntë gjyqtarët e mbetur u pushuan nga detyra. Kështu, më </w:t>
      </w:r>
      <w:r w:rsidRPr="00407705">
        <w:rPr>
          <w:rFonts w:ascii="Garamond" w:hAnsi="Garamond" w:cs="Times New Roman"/>
          <w:color w:val="000000"/>
          <w:sz w:val="24"/>
          <w:szCs w:val="24"/>
          <w:lang w:val="sq-AL"/>
        </w:rPr>
        <w:lastRenderedPageBreak/>
        <w:t xml:space="preserve">31 korrik deri më 11 dhjetor 2018, Gjykata e Lartë përbëhej nga katër gjyqtarë, të cilët mund të shqyrtonin lloje të caktuara të ankimeve të kasacionit; nga data 12 dhjetor 2018 deri më 21 maj 2019, ajo përbëhej nga tre gjyqtarë; dhe nga data 22 maj 2019 deri më 18 mars 2020 Gjykatës së Lartë i mungonte kuorumi statutor prej tre gjyqtarësh për shqyrtimin e të gjithë ankimeve të kasacionit. </w:t>
      </w:r>
    </w:p>
    <w:p w14:paraId="69AB0CAD" w14:textId="4A6D7F41"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26. Vetëm dy gjyqtarë u konfirmuan në detyrë pas kalimit me sukses të procesit të </w:t>
      </w:r>
      <w:r w:rsidR="00654098" w:rsidRPr="00407705">
        <w:rPr>
          <w:rFonts w:ascii="Garamond" w:hAnsi="Garamond" w:cs="Times New Roman"/>
          <w:i/>
          <w:color w:val="000000"/>
          <w:sz w:val="24"/>
          <w:szCs w:val="24"/>
          <w:lang w:val="sq-AL"/>
        </w:rPr>
        <w:t>vetting</w:t>
      </w:r>
      <w:r w:rsidR="00654098" w:rsidRPr="00407705">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ut. Në dhjetor 2018, njëri nga dy gjyqtarët e konfirmuar u zgjodh si përfaqësues në Këshillin e Lartë Gjyqësor – “KLGJ”), një organ i ri qeverisës përgjegjës për menaxhimin e gjyqësorit, kështu që mandati i tij në Gjykatën e Lartë u pezullua </w:t>
      </w:r>
      <w:r w:rsidRPr="00407705">
        <w:rPr>
          <w:rFonts w:ascii="Garamond" w:hAnsi="Garamond" w:cs="Times New Roman"/>
          <w:i/>
          <w:iCs/>
          <w:color w:val="000000"/>
          <w:sz w:val="24"/>
          <w:szCs w:val="24"/>
          <w:lang w:val="sq-AL"/>
        </w:rPr>
        <w:t xml:space="preserve">ex lege. </w:t>
      </w:r>
    </w:p>
    <w:p w14:paraId="69AB0CAE"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27. Që prej datës 30 korrik 2021, në Gjykatën e Lartë kanë ushtruar detyrën nëntë gjyqtarë nga totali i pretenduar prej nëntëmbëdhjetë gjyqtarësh. </w:t>
      </w:r>
    </w:p>
    <w:p w14:paraId="69AB0CAF" w14:textId="1C589141" w:rsidR="009A0255" w:rsidRPr="00407705" w:rsidRDefault="009A0255" w:rsidP="001368F4">
      <w:pPr>
        <w:spacing w:after="0"/>
        <w:ind w:firstLine="288"/>
        <w:jc w:val="both"/>
        <w:rPr>
          <w:rFonts w:ascii="Garamond" w:hAnsi="Garamond"/>
          <w:sz w:val="24"/>
          <w:szCs w:val="24"/>
          <w:lang w:val="sq-AL"/>
        </w:rPr>
      </w:pPr>
      <w:r w:rsidRPr="00407705">
        <w:rPr>
          <w:rFonts w:ascii="Garamond" w:hAnsi="Garamond"/>
          <w:sz w:val="24"/>
          <w:szCs w:val="24"/>
          <w:lang w:val="sq-AL"/>
        </w:rPr>
        <w:t xml:space="preserve">2. Informacione në lidhje me </w:t>
      </w:r>
      <w:r w:rsidR="00650F7A" w:rsidRPr="00650F7A">
        <w:rPr>
          <w:rFonts w:ascii="Garamond" w:hAnsi="Garamond"/>
          <w:i/>
          <w:sz w:val="24"/>
          <w:szCs w:val="24"/>
          <w:lang w:val="sq-AL"/>
        </w:rPr>
        <w:t>backlog</w:t>
      </w:r>
      <w:r w:rsidRPr="00407705">
        <w:rPr>
          <w:rFonts w:ascii="Garamond" w:hAnsi="Garamond"/>
          <w:sz w:val="24"/>
          <w:szCs w:val="24"/>
          <w:lang w:val="sq-AL"/>
        </w:rPr>
        <w:t>-un (çështjet e prapambetura) në Gjykatën e Lartë</w:t>
      </w:r>
    </w:p>
    <w:p w14:paraId="69AB0CB0" w14:textId="1BC1FC73" w:rsidR="009A0255" w:rsidRPr="00407705" w:rsidRDefault="009A0255" w:rsidP="001368F4">
      <w:pPr>
        <w:spacing w:after="0"/>
        <w:ind w:firstLine="288"/>
        <w:jc w:val="both"/>
        <w:rPr>
          <w:rFonts w:ascii="Garamond" w:hAnsi="Garamond"/>
          <w:sz w:val="24"/>
          <w:szCs w:val="24"/>
          <w:lang w:val="sq-AL"/>
        </w:rPr>
      </w:pPr>
      <w:r w:rsidRPr="00407705">
        <w:rPr>
          <w:rFonts w:ascii="Garamond" w:hAnsi="Garamond"/>
          <w:sz w:val="24"/>
          <w:szCs w:val="24"/>
          <w:lang w:val="sq-AL"/>
        </w:rPr>
        <w:t>28. Në fund të vitit 2012, në Gjykatën e Lartë ishin 9,961 çështje të prapambetura (</w:t>
      </w:r>
      <w:r w:rsidR="00650F7A" w:rsidRPr="00650F7A">
        <w:rPr>
          <w:rFonts w:ascii="Garamond" w:hAnsi="Garamond"/>
          <w:i/>
          <w:sz w:val="24"/>
          <w:szCs w:val="24"/>
          <w:lang w:val="sq-AL"/>
        </w:rPr>
        <w:t>backlog</w:t>
      </w:r>
      <w:r w:rsidRPr="00407705">
        <w:rPr>
          <w:rFonts w:ascii="Garamond" w:hAnsi="Garamond"/>
          <w:sz w:val="24"/>
          <w:szCs w:val="24"/>
          <w:lang w:val="sq-AL"/>
        </w:rPr>
        <w:t>-u)</w:t>
      </w:r>
      <w:r w:rsidR="00255DFB">
        <w:rPr>
          <w:rStyle w:val="FootnoteReference"/>
          <w:rFonts w:ascii="Garamond" w:hAnsi="Garamond"/>
          <w:sz w:val="24"/>
          <w:szCs w:val="24"/>
          <w:lang w:val="sq-AL"/>
        </w:rPr>
        <w:footnoteReference w:id="2"/>
      </w:r>
      <w:r w:rsidRPr="00407705">
        <w:rPr>
          <w:rFonts w:ascii="Garamond" w:hAnsi="Garamond"/>
          <w:sz w:val="24"/>
          <w:szCs w:val="24"/>
          <w:lang w:val="sq-AL"/>
        </w:rPr>
        <w:t>, në fund të vitit 2014, çështjet e prapambetura kishin arritur në shifrën prej 11357 çështjesh</w:t>
      </w:r>
      <w:r w:rsidR="00255DFB">
        <w:rPr>
          <w:rStyle w:val="FootnoteReference"/>
          <w:rFonts w:ascii="Garamond" w:hAnsi="Garamond"/>
          <w:sz w:val="24"/>
          <w:szCs w:val="24"/>
          <w:lang w:val="sq-AL"/>
        </w:rPr>
        <w:footnoteReference w:id="3"/>
      </w:r>
      <w:r w:rsidRPr="00407705">
        <w:rPr>
          <w:rFonts w:ascii="Garamond" w:hAnsi="Garamond"/>
          <w:sz w:val="24"/>
          <w:szCs w:val="24"/>
          <w:lang w:val="sq-AL"/>
        </w:rPr>
        <w:t>, dhe në fund të vitit 2015, Gjykata e Lartë kishte 16777 çështje të prapambetura</w:t>
      </w:r>
      <w:r w:rsidR="00255DFB">
        <w:rPr>
          <w:rStyle w:val="FootnoteReference"/>
          <w:rFonts w:ascii="Garamond" w:hAnsi="Garamond"/>
          <w:sz w:val="24"/>
          <w:szCs w:val="24"/>
          <w:lang w:val="sq-AL"/>
        </w:rPr>
        <w:footnoteReference w:id="4"/>
      </w:r>
      <w:r w:rsidRPr="00407705">
        <w:rPr>
          <w:rFonts w:ascii="Garamond" w:hAnsi="Garamond"/>
          <w:sz w:val="24"/>
          <w:szCs w:val="24"/>
          <w:lang w:val="sq-AL"/>
        </w:rPr>
        <w:t xml:space="preserve">. </w:t>
      </w:r>
    </w:p>
    <w:p w14:paraId="69AB0CB1" w14:textId="623C056B" w:rsidR="009A0255" w:rsidRPr="00407705" w:rsidRDefault="009A0255" w:rsidP="001368F4">
      <w:pPr>
        <w:spacing w:after="0"/>
        <w:ind w:firstLine="288"/>
        <w:jc w:val="both"/>
        <w:rPr>
          <w:rFonts w:ascii="Garamond" w:hAnsi="Garamond"/>
          <w:sz w:val="24"/>
          <w:szCs w:val="24"/>
          <w:lang w:val="sq-AL"/>
        </w:rPr>
      </w:pPr>
      <w:r w:rsidRPr="00407705">
        <w:rPr>
          <w:rFonts w:ascii="Garamond" w:hAnsi="Garamond"/>
          <w:sz w:val="24"/>
          <w:szCs w:val="24"/>
          <w:lang w:val="sq-AL"/>
        </w:rPr>
        <w:t>29. Më 12 shkurt 2021, si përgjigje ndaj kërkesës së Gjykatës, Qeveria konfirmoi se numri i çështjeve të prapambetura (</w:t>
      </w:r>
      <w:r w:rsidR="00650F7A" w:rsidRPr="00650F7A">
        <w:rPr>
          <w:rFonts w:ascii="Garamond" w:hAnsi="Garamond"/>
          <w:i/>
          <w:sz w:val="24"/>
          <w:szCs w:val="24"/>
          <w:lang w:val="sq-AL"/>
        </w:rPr>
        <w:t>backlog</w:t>
      </w:r>
      <w:r w:rsidRPr="00407705">
        <w:rPr>
          <w:rFonts w:ascii="Garamond" w:hAnsi="Garamond"/>
          <w:sz w:val="24"/>
          <w:szCs w:val="24"/>
          <w:lang w:val="sq-AL"/>
        </w:rPr>
        <w:t>-u) në Gjykatën e Lartë ishte 36609 çështje. Janë ndërmarrë një sërë masash për reduktimin e numrit të çështjeve të prapambetura (</w:t>
      </w:r>
      <w:r w:rsidR="00650F7A" w:rsidRPr="00650F7A">
        <w:rPr>
          <w:rFonts w:ascii="Garamond" w:hAnsi="Garamond"/>
          <w:i/>
          <w:sz w:val="24"/>
          <w:szCs w:val="24"/>
          <w:lang w:val="sq-AL"/>
        </w:rPr>
        <w:t>backlog</w:t>
      </w:r>
      <w:r w:rsidRPr="00407705">
        <w:rPr>
          <w:rFonts w:ascii="Garamond" w:hAnsi="Garamond"/>
          <w:sz w:val="24"/>
          <w:szCs w:val="24"/>
          <w:lang w:val="sq-AL"/>
        </w:rPr>
        <w:t xml:space="preserve">-ut), si më poshtë: </w:t>
      </w:r>
    </w:p>
    <w:p w14:paraId="69AB0CB2" w14:textId="6C39654F"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Gjykata e Lartë ka vendosur të shqyrtojë çështjet më urgjente dhe ato më të vjetra; KLGJ-ja ka komanduar gjyqtarë dhe këshilltarë ligjorë të tjerë për të lehtësuar </w:t>
      </w:r>
      <w:r w:rsidR="00650F7A" w:rsidRPr="00650F7A">
        <w:rPr>
          <w:rFonts w:ascii="Garamond" w:hAnsi="Garamond" w:cs="Times New Roman"/>
          <w:i/>
          <w:color w:val="000000"/>
          <w:sz w:val="24"/>
          <w:szCs w:val="24"/>
          <w:lang w:val="sq-AL"/>
        </w:rPr>
        <w:t>backlog</w:t>
      </w:r>
      <w:r w:rsidRPr="00407705">
        <w:rPr>
          <w:rFonts w:ascii="Garamond" w:hAnsi="Garamond" w:cs="Times New Roman"/>
          <w:color w:val="000000"/>
          <w:sz w:val="24"/>
          <w:szCs w:val="24"/>
          <w:lang w:val="sq-AL"/>
        </w:rPr>
        <w:t xml:space="preserve">-un në Gjykatën e Lartë, si edhe i janë shtuar burimet njerëzore, gjë e cila ka kontribuar në shqyrtimin paraprak të 22623 çështjeve. </w:t>
      </w:r>
    </w:p>
    <w:p w14:paraId="69AB0CB3"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II. KUADRI DHE PRAKTIKA LIGJORE PËRKATËSE </w:t>
      </w:r>
    </w:p>
    <w:p w14:paraId="69AB0CB4"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b/>
          <w:bCs/>
          <w:color w:val="000000"/>
          <w:sz w:val="24"/>
          <w:szCs w:val="24"/>
          <w:lang w:val="sq-AL"/>
        </w:rPr>
        <w:t xml:space="preserve">A. Ligji dhe praktika e brendshme </w:t>
      </w:r>
    </w:p>
    <w:p w14:paraId="69AB0CB5"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i/>
          <w:iCs/>
          <w:color w:val="000000"/>
          <w:sz w:val="24"/>
          <w:szCs w:val="24"/>
          <w:lang w:val="sq-AL"/>
        </w:rPr>
        <w:t xml:space="preserve">1. Organizimi dhe funksionimi i Gjykatës së Lartë </w:t>
      </w:r>
    </w:p>
    <w:p w14:paraId="69AB0CB6" w14:textId="3C38311C"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30. Neni 135 i Kushtetutës parashikon se Gjykata e Lartë është gjykata më e lartë në vend. Sipas </w:t>
      </w:r>
      <w:r w:rsidR="005A3BD3" w:rsidRPr="00407705">
        <w:rPr>
          <w:rFonts w:ascii="Garamond" w:hAnsi="Garamond" w:cs="Times New Roman"/>
          <w:color w:val="000000"/>
          <w:sz w:val="24"/>
          <w:szCs w:val="24"/>
          <w:lang w:val="sq-AL"/>
        </w:rPr>
        <w:t xml:space="preserve">nenit </w:t>
      </w:r>
      <w:r w:rsidRPr="00407705">
        <w:rPr>
          <w:rFonts w:ascii="Garamond" w:hAnsi="Garamond" w:cs="Times New Roman"/>
          <w:color w:val="000000"/>
          <w:sz w:val="24"/>
          <w:szCs w:val="24"/>
          <w:lang w:val="sq-AL"/>
        </w:rPr>
        <w:t>136, anëtarët e kësaj gjykate shërbejnë për një mandat nëntëvjeçar pa të drejtë për rizgjedhje</w:t>
      </w:r>
      <w:r w:rsidR="00235025">
        <w:rPr>
          <w:rFonts w:ascii="Garamond" w:hAnsi="Garamond" w:cs="Times New Roman"/>
          <w:color w:val="000000"/>
          <w:sz w:val="24"/>
          <w:szCs w:val="24"/>
          <w:lang w:val="sq-AL"/>
        </w:rPr>
        <w:t>je</w:t>
      </w:r>
      <w:r w:rsidRPr="00407705">
        <w:rPr>
          <w:rFonts w:ascii="Garamond" w:hAnsi="Garamond" w:cs="Times New Roman"/>
          <w:color w:val="000000"/>
          <w:sz w:val="24"/>
          <w:szCs w:val="24"/>
          <w:lang w:val="sq-AL"/>
        </w:rPr>
        <w:t xml:space="preserve"> në detyrë. </w:t>
      </w:r>
    </w:p>
    <w:p w14:paraId="69AB0CB7" w14:textId="7ACDDD4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31. Neni 31 në </w:t>
      </w:r>
      <w:r w:rsidR="00F81A67" w:rsidRPr="00407705">
        <w:rPr>
          <w:rFonts w:ascii="Garamond" w:hAnsi="Garamond" w:cs="Times New Roman"/>
          <w:color w:val="000000"/>
          <w:sz w:val="24"/>
          <w:szCs w:val="24"/>
          <w:lang w:val="sq-AL"/>
        </w:rPr>
        <w:t xml:space="preserve">ligjin për pushtetin gjyqësor </w:t>
      </w:r>
      <w:r w:rsidRPr="00407705">
        <w:rPr>
          <w:rFonts w:ascii="Garamond" w:hAnsi="Garamond" w:cs="Times New Roman"/>
          <w:color w:val="000000"/>
          <w:sz w:val="24"/>
          <w:szCs w:val="24"/>
          <w:lang w:val="sq-AL"/>
        </w:rPr>
        <w:t>(</w:t>
      </w:r>
      <w:r w:rsidR="00495A8E" w:rsidRPr="00407705">
        <w:rPr>
          <w:rFonts w:ascii="Garamond" w:hAnsi="Garamond" w:cs="Times New Roman"/>
          <w:color w:val="000000"/>
          <w:sz w:val="24"/>
          <w:szCs w:val="24"/>
          <w:lang w:val="sq-AL"/>
        </w:rPr>
        <w:t xml:space="preserve">ligji </w:t>
      </w:r>
      <w:r w:rsidRPr="00407705">
        <w:rPr>
          <w:rFonts w:ascii="Garamond" w:hAnsi="Garamond" w:cs="Times New Roman"/>
          <w:color w:val="000000"/>
          <w:sz w:val="24"/>
          <w:szCs w:val="24"/>
          <w:lang w:val="sq-AL"/>
        </w:rPr>
        <w:t>nr. 98/2016</w:t>
      </w:r>
      <w:r w:rsidR="00F81A67">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“Për organizimin e pushtetit gjyqësor”) parashikon se Gjykata e Lartë i shqyrton ankimet e kasacionit në kolegjet civile, administrative dhe penale.</w:t>
      </w:r>
      <w:r w:rsidR="0054754A" w:rsidRPr="00407705">
        <w:rPr>
          <w:rFonts w:ascii="Garamond" w:hAnsi="Garamond" w:cs="Times New Roman"/>
          <w:color w:val="000000"/>
          <w:sz w:val="24"/>
          <w:szCs w:val="24"/>
          <w:lang w:val="sq-AL"/>
        </w:rPr>
        <w:t xml:space="preserve"> </w:t>
      </w:r>
    </w:p>
    <w:p w14:paraId="69AB0CB8" w14:textId="07B273C2"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32. Në lidhje me ankimet penale të kasacionit, </w:t>
      </w:r>
      <w:r w:rsidR="00F81A67" w:rsidRPr="00407705">
        <w:rPr>
          <w:rFonts w:ascii="Garamond" w:hAnsi="Garamond" w:cs="Times New Roman"/>
          <w:color w:val="000000"/>
          <w:sz w:val="24"/>
          <w:szCs w:val="24"/>
          <w:lang w:val="sq-AL"/>
        </w:rPr>
        <w:t xml:space="preserve">neni </w:t>
      </w:r>
      <w:r w:rsidRPr="00407705">
        <w:rPr>
          <w:rFonts w:ascii="Garamond" w:hAnsi="Garamond" w:cs="Times New Roman"/>
          <w:color w:val="000000"/>
          <w:sz w:val="24"/>
          <w:szCs w:val="24"/>
          <w:lang w:val="sq-AL"/>
        </w:rPr>
        <w:t xml:space="preserve">14/a i Kodit të Procedurës Penale, hyrë në fuqi më 29 maj 2021, parashikon tre formacione të ndryshme në Gjykatën e Lartë: ajo shqyrton pranueshmërinë e ankimeve të kasacionit me dyer të mbyllura me një trupë prej tre gjyqtarësh, praktikën gjyqësore të harmonizuar dhe të zhvilluar në një trupë prej pesë gjyqtarësh dhe ato të shkëputura nga praktika gjyqësore e krijuar në një kolegj të përbashkët me të paktën dy të tretat e gjyqtarëve të Gjykatës së Lartë. </w:t>
      </w:r>
    </w:p>
    <w:p w14:paraId="69AB0CB9" w14:textId="41ED5184"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lastRenderedPageBreak/>
        <w:t>33. Në vendimin udhëheqës nr. 00-2020-473(4) të datës 22 dhjetor 2020, Gjykata e Lartë vendosi se me përjashtim të çështjeve që garantonin harmonizim dhe zhvillim të praktikës gjyqësore, një trupë me tre gjyqtarë do të shqyrtonte edhe themelin e ankimeve të pranueshme penale të kasacionit. Në këtë mënyrë, gjykata ndërpriste praktikën</w:t>
      </w:r>
      <w:r w:rsidR="005C51A4">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sipas së cilës një trupë prej pesë gjyqtarësh shqyrtonte të gjitha ankimet penale të kasacionit në themel. </w:t>
      </w:r>
    </w:p>
    <w:p w14:paraId="69AB0CBA" w14:textId="2E3C454A"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34. Në lidhje me ankimet administrative të kasacionit, neni 58 i </w:t>
      </w:r>
      <w:r w:rsidR="006A72D7" w:rsidRPr="00407705">
        <w:rPr>
          <w:rFonts w:ascii="Garamond" w:hAnsi="Garamond" w:cs="Times New Roman"/>
          <w:color w:val="000000"/>
          <w:sz w:val="24"/>
          <w:szCs w:val="24"/>
          <w:lang w:val="sq-AL"/>
        </w:rPr>
        <w:t xml:space="preserve">ligjit </w:t>
      </w:r>
      <w:r w:rsidRPr="00407705">
        <w:rPr>
          <w:rFonts w:ascii="Garamond" w:hAnsi="Garamond" w:cs="Times New Roman"/>
          <w:color w:val="000000"/>
          <w:sz w:val="24"/>
          <w:szCs w:val="24"/>
          <w:lang w:val="sq-AL"/>
        </w:rPr>
        <w:t xml:space="preserve">për </w:t>
      </w:r>
      <w:r w:rsidR="006A72D7" w:rsidRPr="00407705">
        <w:rPr>
          <w:rFonts w:ascii="Garamond" w:hAnsi="Garamond" w:cs="Times New Roman"/>
          <w:color w:val="000000"/>
          <w:sz w:val="24"/>
          <w:szCs w:val="24"/>
          <w:lang w:val="sq-AL"/>
        </w:rPr>
        <w:t xml:space="preserve">gjykatat administrative </w:t>
      </w:r>
      <w:r w:rsidRPr="00407705">
        <w:rPr>
          <w:rFonts w:ascii="Garamond" w:hAnsi="Garamond" w:cs="Times New Roman"/>
          <w:color w:val="000000"/>
          <w:sz w:val="24"/>
          <w:szCs w:val="24"/>
          <w:lang w:val="sq-AL"/>
        </w:rPr>
        <w:t>(</w:t>
      </w:r>
      <w:r w:rsidR="006A72D7" w:rsidRPr="00407705">
        <w:rPr>
          <w:rFonts w:ascii="Garamond" w:hAnsi="Garamond" w:cs="Times New Roman"/>
          <w:color w:val="000000"/>
          <w:sz w:val="24"/>
          <w:szCs w:val="24"/>
          <w:lang w:val="sq-AL"/>
        </w:rPr>
        <w:t xml:space="preserve">ligji </w:t>
      </w:r>
      <w:r w:rsidRPr="00407705">
        <w:rPr>
          <w:rFonts w:ascii="Garamond" w:hAnsi="Garamond" w:cs="Times New Roman"/>
          <w:color w:val="000000"/>
          <w:sz w:val="24"/>
          <w:szCs w:val="24"/>
          <w:lang w:val="sq-AL"/>
        </w:rPr>
        <w:t>nr. 49/2012</w:t>
      </w:r>
      <w:r w:rsidR="006A72D7">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“Për gjykatat administrative dhe gjykimin e mosmarrëveshjeve administrative”, i ndryshuar), i cili ishte në fuqi në periudhën në fjalë, listonte shkaqet</w:t>
      </w:r>
      <w:r w:rsidR="00014B59">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sipas së cilave mund të paraqitej një </w:t>
      </w:r>
      <w:r w:rsidR="00014B59">
        <w:rPr>
          <w:rFonts w:ascii="Garamond" w:hAnsi="Garamond" w:cs="Times New Roman"/>
          <w:color w:val="000000"/>
          <w:sz w:val="24"/>
          <w:szCs w:val="24"/>
          <w:lang w:val="sq-AL"/>
        </w:rPr>
        <w:t xml:space="preserve">ankim i tillë, më konkretisht: </w:t>
      </w:r>
      <w:r w:rsidRPr="00407705">
        <w:rPr>
          <w:rFonts w:ascii="Garamond" w:hAnsi="Garamond" w:cs="Times New Roman"/>
          <w:color w:val="000000"/>
          <w:sz w:val="24"/>
          <w:szCs w:val="24"/>
          <w:lang w:val="sq-AL"/>
        </w:rPr>
        <w:t>a) në rastin kur nuk ishte marrë në konsideratë, ishte keqinterpretuar o</w:t>
      </w:r>
      <w:r w:rsidR="00014B59">
        <w:rPr>
          <w:rFonts w:ascii="Garamond" w:hAnsi="Garamond" w:cs="Times New Roman"/>
          <w:color w:val="000000"/>
          <w:sz w:val="24"/>
          <w:szCs w:val="24"/>
          <w:lang w:val="sq-AL"/>
        </w:rPr>
        <w:t xml:space="preserve">se ishte keqzbatuar ligji bazë </w:t>
      </w:r>
      <w:r w:rsidRPr="00407705">
        <w:rPr>
          <w:rFonts w:ascii="Garamond" w:hAnsi="Garamond" w:cs="Times New Roman"/>
          <w:color w:val="000000"/>
          <w:sz w:val="24"/>
          <w:szCs w:val="24"/>
          <w:lang w:val="sq-AL"/>
        </w:rPr>
        <w:t>ose</w:t>
      </w:r>
      <w:r w:rsidR="00014B59">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kur vendimi binte në kundërshtim me një vendim të mëparshëm të kolegjit ose kolegjit të përbashkët admin</w:t>
      </w:r>
      <w:r w:rsidR="00014B59">
        <w:rPr>
          <w:rFonts w:ascii="Garamond" w:hAnsi="Garamond" w:cs="Times New Roman"/>
          <w:color w:val="000000"/>
          <w:sz w:val="24"/>
          <w:szCs w:val="24"/>
          <w:lang w:val="sq-AL"/>
        </w:rPr>
        <w:t xml:space="preserve">istrativ të Gjykatës së Lartë; </w:t>
      </w:r>
      <w:r w:rsidRPr="00407705">
        <w:rPr>
          <w:rFonts w:ascii="Garamond" w:hAnsi="Garamond" w:cs="Times New Roman"/>
          <w:color w:val="000000"/>
          <w:sz w:val="24"/>
          <w:szCs w:val="24"/>
          <w:lang w:val="sq-AL"/>
        </w:rPr>
        <w:t>b) kur kishte një shkelje të rëndë të rregullave procedural</w:t>
      </w:r>
      <w:r w:rsidR="00014B59">
        <w:rPr>
          <w:rFonts w:ascii="Garamond" w:hAnsi="Garamond" w:cs="Times New Roman"/>
          <w:color w:val="000000"/>
          <w:sz w:val="24"/>
          <w:szCs w:val="24"/>
          <w:lang w:val="sq-AL"/>
        </w:rPr>
        <w:t>e,</w:t>
      </w:r>
      <w:r w:rsidRPr="00407705">
        <w:rPr>
          <w:rFonts w:ascii="Garamond" w:hAnsi="Garamond" w:cs="Times New Roman"/>
          <w:color w:val="000000"/>
          <w:sz w:val="24"/>
          <w:szCs w:val="24"/>
          <w:lang w:val="sq-AL"/>
        </w:rPr>
        <w:t xml:space="preserve"> gjë e cila rezultonte në pavlefshmërinë e vendimit ose të procedurave gjyqësore; ose c) kur kishte një shkelje të rëndë procedurale që kishte ndikuar ndjeshëm në dhënien e vendimit. Sipas nenit 60, Gjykata e Lartë duhet të shqyrtojë ankimet administrative të kasacionit brenda 90 ditëve nga shpallja e vendimit. </w:t>
      </w:r>
    </w:p>
    <w:p w14:paraId="69AB0CBB" w14:textId="0ACF97BA" w:rsidR="009A0255" w:rsidRPr="00407705" w:rsidRDefault="009A0255" w:rsidP="009A025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07705">
        <w:rPr>
          <w:rFonts w:ascii="Garamond" w:hAnsi="Garamond" w:cs="Times New Roman"/>
          <w:i/>
          <w:iCs/>
          <w:color w:val="000000"/>
          <w:sz w:val="24"/>
          <w:szCs w:val="24"/>
          <w:lang w:val="sq-AL"/>
        </w:rPr>
        <w:t>2. Praktika gjyqësore e Gjykatës Kushtetuese</w:t>
      </w:r>
      <w:r w:rsidR="00014B59">
        <w:rPr>
          <w:rFonts w:ascii="Garamond" w:hAnsi="Garamond" w:cs="Times New Roman"/>
          <w:i/>
          <w:iCs/>
          <w:color w:val="000000"/>
          <w:sz w:val="24"/>
          <w:szCs w:val="24"/>
          <w:lang w:val="sq-AL"/>
        </w:rPr>
        <w:t>,</w:t>
      </w:r>
      <w:r w:rsidRPr="00407705">
        <w:rPr>
          <w:rFonts w:ascii="Garamond" w:hAnsi="Garamond" w:cs="Times New Roman"/>
          <w:i/>
          <w:iCs/>
          <w:color w:val="000000"/>
          <w:sz w:val="24"/>
          <w:szCs w:val="24"/>
          <w:lang w:val="sq-AL"/>
        </w:rPr>
        <w:t xml:space="preserve"> në lidhje me interpretimin e nenit 60 të </w:t>
      </w:r>
      <w:r w:rsidR="00014B59" w:rsidRPr="00407705">
        <w:rPr>
          <w:rFonts w:ascii="Garamond" w:hAnsi="Garamond" w:cs="Times New Roman"/>
          <w:i/>
          <w:iCs/>
          <w:color w:val="000000"/>
          <w:sz w:val="24"/>
          <w:szCs w:val="24"/>
          <w:lang w:val="sq-AL"/>
        </w:rPr>
        <w:t xml:space="preserve">ligjit </w:t>
      </w:r>
      <w:r w:rsidRPr="00407705">
        <w:rPr>
          <w:rFonts w:ascii="Garamond" w:hAnsi="Garamond" w:cs="Times New Roman"/>
          <w:i/>
          <w:iCs/>
          <w:color w:val="000000"/>
          <w:sz w:val="24"/>
          <w:szCs w:val="24"/>
          <w:lang w:val="sq-AL"/>
        </w:rPr>
        <w:t>për Gjykatat Administrative</w:t>
      </w:r>
    </w:p>
    <w:p w14:paraId="69AB0CBC" w14:textId="7B71A4E8"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35. Në vendimin nr. 26</w:t>
      </w:r>
      <w:r w:rsidR="00014B59">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të datës 27 mars 2017 (26/2017), Gjykata Kushtetuese konstatoi një shkelje të së drejtës së ankuesit për t’u dëgjuar brenda një afati të arsyeshëm</w:t>
      </w:r>
      <w:r w:rsidR="00014B59">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duke pasur në konsideratë faktin se procedurat në Gjykatën e Lartë kishin zgjatur pothuajse tre v</w:t>
      </w:r>
      <w:r w:rsidR="00014B59">
        <w:rPr>
          <w:rFonts w:ascii="Garamond" w:hAnsi="Garamond" w:cs="Times New Roman"/>
          <w:color w:val="000000"/>
          <w:sz w:val="24"/>
          <w:szCs w:val="24"/>
          <w:lang w:val="sq-AL"/>
        </w:rPr>
        <w:t>jet</w:t>
      </w:r>
      <w:r w:rsidRPr="00407705">
        <w:rPr>
          <w:rFonts w:ascii="Garamond" w:hAnsi="Garamond" w:cs="Times New Roman"/>
          <w:color w:val="000000"/>
          <w:sz w:val="24"/>
          <w:szCs w:val="24"/>
          <w:lang w:val="sq-AL"/>
        </w:rPr>
        <w:t xml:space="preserve"> (nga viti 2013 deri në vitin 2016), periudhë e cila shkon përtej afatit nëntëdhjetëditor të parashikuar në nenin 60 të </w:t>
      </w:r>
      <w:r w:rsidR="00CF7CAE" w:rsidRPr="00407705">
        <w:rPr>
          <w:rFonts w:ascii="Garamond" w:hAnsi="Garamond" w:cs="Times New Roman"/>
          <w:color w:val="000000"/>
          <w:sz w:val="24"/>
          <w:szCs w:val="24"/>
          <w:lang w:val="sq-AL"/>
        </w:rPr>
        <w:t>ligjit për gjykatat administrative</w:t>
      </w:r>
      <w:r w:rsidRPr="00407705">
        <w:rPr>
          <w:rFonts w:ascii="Garamond" w:hAnsi="Garamond" w:cs="Times New Roman"/>
          <w:color w:val="000000"/>
          <w:sz w:val="24"/>
          <w:szCs w:val="24"/>
          <w:lang w:val="sq-AL"/>
        </w:rPr>
        <w:t xml:space="preserve">. Pa marrë një vendim në lidhje me shkeljen e konstatuar, gjykata u shpreh, midis të tjerash, se: </w:t>
      </w:r>
    </w:p>
    <w:p w14:paraId="69AB0CBD" w14:textId="559AA640"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përderisa organi ligjvënës kishte përcaktuar afate kohore për gjykimin e procedurave administrative, kjo nënkuptonte se ai i kishte konsideruar ato si afate të arsyeshme për t’u zbatuar nga gjykatat administrative. Në lidhje me këtë aspekt, në respektim të ligjit, Gjykata e Lartë ka detyrimin, për shkak të rolit dhe pozicionit të saj, të kontrollojë zbatimin e ligjit të pavarur dhe procedural nga gjykatat më të ulëta</w:t>
      </w:r>
      <w:r w:rsidR="00336249">
        <w:rPr>
          <w:rFonts w:ascii="Garamond" w:hAnsi="Garamond" w:cs="Times New Roman"/>
          <w:color w:val="000000"/>
          <w:sz w:val="24"/>
          <w:szCs w:val="24"/>
          <w:lang w:val="sq-AL"/>
        </w:rPr>
        <w:t xml:space="preserve"> </w:t>
      </w:r>
      <w:r w:rsidRPr="00407705">
        <w:rPr>
          <w:rFonts w:ascii="Garamond" w:hAnsi="Garamond" w:cs="Times New Roman"/>
          <w:color w:val="000000"/>
          <w:sz w:val="24"/>
          <w:szCs w:val="24"/>
          <w:lang w:val="sq-AL"/>
        </w:rPr>
        <w:t xml:space="preserve">... </w:t>
      </w:r>
      <w:r w:rsidR="00650F7A" w:rsidRPr="00650F7A">
        <w:rPr>
          <w:rFonts w:ascii="Garamond" w:hAnsi="Garamond" w:cs="Times New Roman"/>
          <w:i/>
          <w:color w:val="000000"/>
          <w:sz w:val="24"/>
          <w:szCs w:val="24"/>
          <w:lang w:val="sq-AL"/>
        </w:rPr>
        <w:t>backlog</w:t>
      </w:r>
      <w:r w:rsidRPr="00407705">
        <w:rPr>
          <w:rFonts w:ascii="Garamond" w:hAnsi="Garamond" w:cs="Times New Roman"/>
          <w:color w:val="000000"/>
          <w:sz w:val="24"/>
          <w:szCs w:val="24"/>
          <w:lang w:val="sq-AL"/>
        </w:rPr>
        <w:t>-u nuk përbën një arsye të vlefshme për të justifikuar mospërputhshmërinë me afatet kohore të parashikuara nga organi ligjvënës.”</w:t>
      </w:r>
    </w:p>
    <w:p w14:paraId="69AB0CBE" w14:textId="20804BE9"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36. Në vendimin nr. 3</w:t>
      </w:r>
      <w:r w:rsidR="00796601">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të datës 6 shkurt 2018, Gjykata Kushtetuese shqyrtoi një ankesë kushtetuese</w:t>
      </w:r>
      <w:r w:rsidR="00796601">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ku, midis të tjerash, argumentohej se kishte pasur një shkelje të </w:t>
      </w:r>
      <w:r w:rsidR="00796601">
        <w:rPr>
          <w:rFonts w:ascii="Garamond" w:hAnsi="Garamond" w:cs="Times New Roman"/>
          <w:color w:val="000000"/>
          <w:sz w:val="24"/>
          <w:szCs w:val="24"/>
          <w:lang w:val="sq-AL"/>
        </w:rPr>
        <w:t>s</w:t>
      </w:r>
      <w:r w:rsidRPr="00407705">
        <w:rPr>
          <w:rFonts w:ascii="Garamond" w:hAnsi="Garamond" w:cs="Times New Roman"/>
          <w:color w:val="000000"/>
          <w:sz w:val="24"/>
          <w:szCs w:val="24"/>
          <w:lang w:val="sq-AL"/>
        </w:rPr>
        <w:t>ë drejtës së ankuesit për t’u dëgjuar brenda një afati të arsyeshëm</w:t>
      </w:r>
      <w:r w:rsidR="00587D33">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duke qenë se procedurat në Gjykatën e Lartë kishin zgjatur për tre v</w:t>
      </w:r>
      <w:r w:rsidR="00587D33">
        <w:rPr>
          <w:rFonts w:ascii="Garamond" w:hAnsi="Garamond" w:cs="Times New Roman"/>
          <w:color w:val="000000"/>
          <w:sz w:val="24"/>
          <w:szCs w:val="24"/>
          <w:lang w:val="sq-AL"/>
        </w:rPr>
        <w:t>jet</w:t>
      </w:r>
      <w:r w:rsidRPr="00407705">
        <w:rPr>
          <w:rFonts w:ascii="Garamond" w:hAnsi="Garamond" w:cs="Times New Roman"/>
          <w:color w:val="000000"/>
          <w:sz w:val="24"/>
          <w:szCs w:val="24"/>
          <w:lang w:val="sq-AL"/>
        </w:rPr>
        <w:t xml:space="preserve"> (nga viti 2014 deri në vitin 2017). Gjykata Kushtetuese gjykoi se ankimi kushtetues, i cili ishte paraqitur përpara hyrjes në fuqi të një zgjidhjeje të re</w:t>
      </w:r>
      <w:r w:rsidR="00CF75F9">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 lidhje me kohëzgjatjen e procedurave (shih paragrafin 37 më poshtë) kishte të bënte me kohëzgjatjen e procedurave administrative të përfunduara, për të cilat ankuesi nuk kishte asnjë zgjidhje efektive përveç se ankimin kushtetues. Gjykata Kushtetuese bëri të njëjtat konstatime, ashtu si edhe në vendimin e saj nr. 26/2017, edhe për kohëzgjatjen e procedurave administrative përpara Gjykatës së Lartë.</w:t>
      </w:r>
      <w:r w:rsidR="0054754A" w:rsidRPr="00407705">
        <w:rPr>
          <w:rFonts w:ascii="Garamond" w:hAnsi="Garamond" w:cs="Times New Roman"/>
          <w:color w:val="000000"/>
          <w:sz w:val="24"/>
          <w:szCs w:val="24"/>
          <w:lang w:val="sq-AL"/>
        </w:rPr>
        <w:t xml:space="preserve"> </w:t>
      </w:r>
      <w:r w:rsidRPr="00407705">
        <w:rPr>
          <w:rFonts w:ascii="Garamond" w:hAnsi="Garamond" w:cs="Times New Roman"/>
          <w:color w:val="000000"/>
          <w:sz w:val="24"/>
          <w:szCs w:val="24"/>
          <w:lang w:val="sq-AL"/>
        </w:rPr>
        <w:t xml:space="preserve">Në lidhje me çështjen e shpërblimit, Gjykata Kushtetuese e orientoi ankuesin të bënte një kërkesë të veçantë pranë gjykatave të juridiksionit të përgjithshëm. </w:t>
      </w:r>
    </w:p>
    <w:p w14:paraId="69AB0CBF"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07705">
        <w:rPr>
          <w:rFonts w:ascii="Garamond" w:hAnsi="Garamond" w:cs="Times New Roman"/>
          <w:i/>
          <w:iCs/>
          <w:color w:val="000000"/>
          <w:sz w:val="24"/>
          <w:szCs w:val="24"/>
          <w:lang w:val="sq-AL"/>
        </w:rPr>
        <w:t xml:space="preserve">3. Kohëzgjatja e procedurave </w:t>
      </w:r>
    </w:p>
    <w:p w14:paraId="69AB0CC0" w14:textId="1C4E4241" w:rsidR="009A0255" w:rsidRPr="00407705" w:rsidRDefault="009A0255" w:rsidP="009A0255">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407705">
        <w:rPr>
          <w:rFonts w:ascii="Garamond" w:hAnsi="Garamond" w:cs="Times New Roman"/>
          <w:b/>
          <w:bCs/>
          <w:color w:val="000000"/>
          <w:sz w:val="24"/>
          <w:szCs w:val="24"/>
          <w:lang w:val="sq-AL"/>
        </w:rPr>
        <w:t>a) Ligji i brendshëm</w:t>
      </w:r>
      <w:r w:rsidR="00FA00E2">
        <w:rPr>
          <w:rFonts w:ascii="Garamond" w:hAnsi="Garamond" w:cs="Times New Roman"/>
          <w:b/>
          <w:bCs/>
          <w:color w:val="000000"/>
          <w:sz w:val="24"/>
          <w:szCs w:val="24"/>
          <w:lang w:val="sq-AL"/>
        </w:rPr>
        <w:t>,</w:t>
      </w:r>
      <w:r w:rsidRPr="00407705">
        <w:rPr>
          <w:rFonts w:ascii="Garamond" w:hAnsi="Garamond" w:cs="Times New Roman"/>
          <w:b/>
          <w:bCs/>
          <w:color w:val="000000"/>
          <w:sz w:val="24"/>
          <w:szCs w:val="24"/>
          <w:lang w:val="sq-AL"/>
        </w:rPr>
        <w:t xml:space="preserve"> në lidhje me zgjidhjen e re për kohëzgjatjen e procedimeve</w:t>
      </w:r>
    </w:p>
    <w:p w14:paraId="69AB0CC1" w14:textId="32C9B262"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37. Në zbatim të vendimit kryesues të Gjykatës</w:t>
      </w:r>
      <w:r w:rsidR="00FA00E2">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 çështjen </w:t>
      </w:r>
      <w:r w:rsidRPr="00407705">
        <w:rPr>
          <w:rFonts w:ascii="Garamond" w:hAnsi="Garamond" w:cs="Times New Roman"/>
          <w:i/>
          <w:iCs/>
          <w:color w:val="000000"/>
          <w:sz w:val="24"/>
          <w:szCs w:val="24"/>
          <w:lang w:val="sq-AL"/>
        </w:rPr>
        <w:t xml:space="preserve">Luli dhe </w:t>
      </w:r>
      <w:r w:rsidR="00FA00E2" w:rsidRPr="00407705">
        <w:rPr>
          <w:rFonts w:ascii="Garamond" w:hAnsi="Garamond" w:cs="Times New Roman"/>
          <w:i/>
          <w:iCs/>
          <w:color w:val="000000"/>
          <w:sz w:val="24"/>
          <w:szCs w:val="24"/>
          <w:lang w:val="sq-AL"/>
        </w:rPr>
        <w:t xml:space="preserve">të </w:t>
      </w:r>
      <w:r w:rsidRPr="00407705">
        <w:rPr>
          <w:rFonts w:ascii="Garamond" w:hAnsi="Garamond" w:cs="Times New Roman"/>
          <w:i/>
          <w:iCs/>
          <w:color w:val="000000"/>
          <w:sz w:val="24"/>
          <w:szCs w:val="24"/>
          <w:lang w:val="sq-AL"/>
        </w:rPr>
        <w:t xml:space="preserve">Tjerët kundër Shqipërisë </w:t>
      </w:r>
      <w:r w:rsidRPr="00407705">
        <w:rPr>
          <w:rFonts w:ascii="Garamond" w:hAnsi="Garamond" w:cs="Times New Roman"/>
          <w:color w:val="000000"/>
          <w:sz w:val="24"/>
          <w:szCs w:val="24"/>
          <w:lang w:val="sq-AL"/>
        </w:rPr>
        <w:t>(nr. 64480/09 dhe 5 të tjerë, 1 prill 2014), më 30 mars 2017, Shqipëria paraqiti një zgjidhje të re në Kodin e Procedurës Civile</w:t>
      </w:r>
      <w:r w:rsidR="00FA00E2">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 lidhje me kohëzgjatjen e paarsyeshme të procedurave, e cila hyri në fuqi më 5 nëntor 2017. Dispozitat përkatëse parashikonin</w:t>
      </w:r>
      <w:r w:rsidR="00FA00E2">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si më poshtë: </w:t>
      </w:r>
    </w:p>
    <w:p w14:paraId="69AB0CC2"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D65774F" w14:textId="77777777" w:rsidR="00FA00E2" w:rsidRDefault="00FA00E2" w:rsidP="009A0255">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160A60B" w14:textId="69089C52" w:rsidR="00FA00E2" w:rsidRPr="00FA00E2" w:rsidRDefault="009A0255" w:rsidP="009A0255">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FA00E2">
        <w:rPr>
          <w:rFonts w:ascii="Garamond" w:hAnsi="Garamond" w:cs="Times New Roman"/>
          <w:bCs/>
          <w:color w:val="000000"/>
          <w:sz w:val="24"/>
          <w:szCs w:val="24"/>
          <w:lang w:val="sq-AL"/>
        </w:rPr>
        <w:lastRenderedPageBreak/>
        <w:t>KREU X</w:t>
      </w:r>
    </w:p>
    <w:p w14:paraId="69AB0CC3" w14:textId="13CEBE41" w:rsidR="009A0255" w:rsidRPr="00FA00E2" w:rsidRDefault="009A0255" w:rsidP="009A0255">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FA00E2">
        <w:rPr>
          <w:rFonts w:ascii="Garamond" w:hAnsi="Garamond" w:cs="Times New Roman"/>
          <w:bCs/>
          <w:color w:val="000000"/>
          <w:sz w:val="24"/>
          <w:szCs w:val="24"/>
          <w:lang w:val="sq-AL"/>
        </w:rPr>
        <w:t>GJYKIMI I KËRKESAVE PËR KONSTATIMIN E SHKELJES SË AFATIT TË ARSYESHËM, PËRSHPEJTIMIN E PROCEDURAVE DHE SHPËRBLIMIN E DËMIT</w:t>
      </w:r>
    </w:p>
    <w:p w14:paraId="69AB0CC4" w14:textId="77777777" w:rsidR="009A0255" w:rsidRPr="00407705" w:rsidRDefault="009A0255" w:rsidP="009A0255">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70D669F" w14:textId="77777777" w:rsidR="002B12C9" w:rsidRPr="002B12C9" w:rsidRDefault="009A0255" w:rsidP="009A0255">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2B12C9">
        <w:rPr>
          <w:rFonts w:ascii="Garamond" w:hAnsi="Garamond" w:cs="Times New Roman"/>
          <w:bCs/>
          <w:color w:val="000000"/>
          <w:sz w:val="24"/>
          <w:szCs w:val="24"/>
          <w:lang w:val="sq-AL"/>
        </w:rPr>
        <w:t>Neni 399/1</w:t>
      </w:r>
    </w:p>
    <w:p w14:paraId="69AB0CC5" w14:textId="7826911D" w:rsidR="009A0255" w:rsidRPr="00407705" w:rsidRDefault="009A0255" w:rsidP="009A0255">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407705">
        <w:rPr>
          <w:rFonts w:ascii="Garamond" w:hAnsi="Garamond" w:cs="Times New Roman"/>
          <w:b/>
          <w:bCs/>
          <w:color w:val="000000"/>
          <w:sz w:val="24"/>
          <w:szCs w:val="24"/>
          <w:lang w:val="sq-AL"/>
        </w:rPr>
        <w:t>Objekti</w:t>
      </w:r>
    </w:p>
    <w:p w14:paraId="69AB0CC6" w14:textId="77777777" w:rsidR="009A0255" w:rsidRPr="00407705" w:rsidRDefault="009A0255" w:rsidP="009A0255">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9AB0CC7" w14:textId="6E8684B8"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Në kompetencë të gjykatave, sipas shkallëve të gjykimit të përcaktuar në këtë kr</w:t>
      </w:r>
      <w:r w:rsidR="00BB05AC">
        <w:rPr>
          <w:rFonts w:ascii="Garamond" w:hAnsi="Garamond" w:cs="Times New Roman"/>
          <w:color w:val="000000"/>
          <w:sz w:val="24"/>
          <w:szCs w:val="24"/>
          <w:lang w:val="sq-AL"/>
        </w:rPr>
        <w:t>ye</w:t>
      </w:r>
      <w:r w:rsidRPr="00407705">
        <w:rPr>
          <w:rFonts w:ascii="Garamond" w:hAnsi="Garamond" w:cs="Times New Roman"/>
          <w:color w:val="000000"/>
          <w:sz w:val="24"/>
          <w:szCs w:val="24"/>
          <w:lang w:val="sq-AL"/>
        </w:rPr>
        <w:t>, hyjnë edhe shqyrtimi i kërkesave për shpërblimin e drejtë të personit që ka pësuar një dëm pasuror ose jopasuror, për shkak të kohëzgjatjes së paarsyeshme të çështjes, sipas përkufizimit të nenit 6/1 të [Konventës].</w:t>
      </w:r>
    </w:p>
    <w:p w14:paraId="69AB0CC8" w14:textId="1053D8D5" w:rsidR="009A0255" w:rsidRPr="00407705" w:rsidRDefault="00BB05AC"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w:t>
      </w:r>
    </w:p>
    <w:p w14:paraId="00B002DC" w14:textId="77777777" w:rsidR="002B12C9" w:rsidRPr="002B12C9" w:rsidRDefault="009A0255" w:rsidP="009A0255">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2B12C9">
        <w:rPr>
          <w:rFonts w:ascii="Garamond" w:hAnsi="Garamond" w:cs="Times New Roman"/>
          <w:bCs/>
          <w:color w:val="000000"/>
          <w:sz w:val="24"/>
          <w:szCs w:val="24"/>
          <w:lang w:val="sq-AL"/>
        </w:rPr>
        <w:t>Neni 399/2</w:t>
      </w:r>
    </w:p>
    <w:p w14:paraId="69AB0CC9" w14:textId="7B6A7295" w:rsidR="009A0255" w:rsidRPr="00407705" w:rsidRDefault="009A0255" w:rsidP="009A0255">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407705">
        <w:rPr>
          <w:rFonts w:ascii="Garamond" w:hAnsi="Garamond" w:cs="Times New Roman"/>
          <w:b/>
          <w:bCs/>
          <w:color w:val="000000"/>
          <w:sz w:val="24"/>
          <w:szCs w:val="24"/>
          <w:lang w:val="sq-AL"/>
        </w:rPr>
        <w:t>Afati i arsyeshëm</w:t>
      </w:r>
    </w:p>
    <w:p w14:paraId="69AB0CCA" w14:textId="77777777" w:rsidR="009A0255" w:rsidRPr="00407705" w:rsidRDefault="009A0255" w:rsidP="009A0255">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9AB0CCB"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1. Afate të arsyeshme të përfundimit të hetimit, gjykimit apo ekzekutimit të një vendimi të formës së prerë, për qëllimet e përcaktuara në nenin 399/1, do të konsiderohen: </w:t>
      </w:r>
    </w:p>
    <w:p w14:paraId="69AB0CCC"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a) në gjykimin administrativ në shkallën e parë dhe në apel, përfundimi i gjykimit brenda një viti nga fillimi i tij në secilën shkallë; </w:t>
      </w:r>
    </w:p>
    <w:p w14:paraId="69AB0CCD"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b) në gjykimin civil në shkallë të parë përfundimi i procesit të gjykimit brenda dy viteve, në gjykim civil në apel brenda dy vjetëve; dhe gjykimin civil në Gjykatën e Lartë, brenda dy vjetëve; </w:t>
      </w:r>
    </w:p>
    <w:p w14:paraId="69AB0CCE"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c) në procedurën e ekzekutimit të një vendimi civil apo administrativ, me përjashtim të detyrimeve periodike ose të përcaktuara në kohë, afati njëvjeçar fillon nga dita e paraqitjes së kërkesës për vënie në ekzekutim; </w:t>
      </w:r>
    </w:p>
    <w:p w14:paraId="69AB0CCF"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ç) në hetimin e veprave penale afati maksimal i kohëzgjatjes së hetimeve, sipas Kodit të Procedurës Penale; </w:t>
      </w:r>
    </w:p>
    <w:p w14:paraId="69AB0CD0"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d) në gjykimin penal në shkallë të parë, afati i gjykimit të krimeve 2 vjet dhe i kundërvajtjeve 1 vit, në gjykimin në apel përfundimi i gjykimit për krimet në një afat kohor prej 1 viti dhe për kundërvajtjet 6 muaj dhe në Gjykatën e Lartë, përfundimi i gjykimit për krimet në një afat kohor prej 1 viti dhe për kundërvajtjet 6 muaj. </w:t>
      </w:r>
    </w:p>
    <w:p w14:paraId="69AB0CD1"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w:t>
      </w:r>
    </w:p>
    <w:p w14:paraId="69AB0CD2"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3. Në kohëzgjatjen e gjykimit ose të procedimit, nuk llogaritet koha kur çështja është pezulluar për shkaqe ligjore, kur është shtyrë për shkak të kërkesave të palës kërkuese, sipas këtij kreu, ose kur shfaqen rrethana të pamundësisë objektive për procedim. </w:t>
      </w:r>
    </w:p>
    <w:p w14:paraId="69AB0CD3"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EF17418" w14:textId="77777777" w:rsidR="00284B62" w:rsidRPr="00284B62" w:rsidRDefault="009A0255" w:rsidP="009A0255">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284B62">
        <w:rPr>
          <w:rFonts w:ascii="Garamond" w:hAnsi="Garamond" w:cs="Times New Roman"/>
          <w:bCs/>
          <w:color w:val="000000"/>
          <w:sz w:val="24"/>
          <w:szCs w:val="24"/>
          <w:lang w:val="sq-AL"/>
        </w:rPr>
        <w:t>Neni 399/6</w:t>
      </w:r>
    </w:p>
    <w:p w14:paraId="69AB0CD4" w14:textId="6FFFB6D9" w:rsidR="009A0255" w:rsidRPr="00407705" w:rsidRDefault="009A0255" w:rsidP="009A0255">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407705">
        <w:rPr>
          <w:rFonts w:ascii="Garamond" w:hAnsi="Garamond" w:cs="Times New Roman"/>
          <w:b/>
          <w:bCs/>
          <w:color w:val="000000"/>
          <w:sz w:val="24"/>
          <w:szCs w:val="24"/>
          <w:lang w:val="sq-AL"/>
        </w:rPr>
        <w:t>Gjykata kompetente për shqyrtimin e kërkesës ose kërkesëpadisë</w:t>
      </w:r>
    </w:p>
    <w:p w14:paraId="69AB0CD5"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B345045" w14:textId="77777777" w:rsidR="00257E01"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1. Kërkesa për konstatimin e shkeljes dhe përshpejtimin e procedurave i drejtohet gjykatës kompetente, sipas llojit të mosmarrëveshjes penale, civile ose administrative si më poshtë: </w:t>
      </w:r>
    </w:p>
    <w:p w14:paraId="69AB0CD6" w14:textId="30F8464D"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w:t>
      </w:r>
    </w:p>
    <w:p w14:paraId="69AB0CD7"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 b) në rastet kur çështja në të cilën pretendohet të ketë shkelje, është duke u gjykuar në gjykatat e apelit, kërkesa shqyrtohet nga kolegji përkatës i Gjykatës së Lartë; </w:t>
      </w:r>
    </w:p>
    <w:p w14:paraId="69AB0CD8"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c) në rastet kur çështja në të cilën pretendohet të ketë shkelje, është duke u gjykuar në Gjykatën e Lartë, kërkesa shqyrtohet nga një kolegj tjetër i Gjykatës së Lartë; </w:t>
      </w:r>
    </w:p>
    <w:p w14:paraId="69AB0CD9"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 </w:t>
      </w:r>
    </w:p>
    <w:p w14:paraId="69AB0CDA"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2. Kur ka një vendim të formës së prerë për konstatimin e shkeljes dhe përshpejtimin e procedurës, subjekti kërkues mund të paraqesë padi për shpërblimin e dëmit, sipas pikës 3 të këtij neni. </w:t>
      </w:r>
    </w:p>
    <w:p w14:paraId="69AB0CDB" w14:textId="4D56E2B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3. Kërkesëpadia për shpërblimin e dëmit i drejtohet gjykatës civile të shkallës së parë</w:t>
      </w:r>
      <w:r w:rsidR="00257E01">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ku ka qendrën organi ndaj të cilit është konstatuar shkelja. Padia parashkruhet brenda 6 muajve nga konstatimi i shkeljes me vendim të formës së prerë. </w:t>
      </w:r>
    </w:p>
    <w:p w14:paraId="69AB0CDC"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9283BEB" w14:textId="77777777" w:rsidR="00257E01" w:rsidRPr="00257E01" w:rsidRDefault="00257E01" w:rsidP="009A0255">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257E01">
        <w:rPr>
          <w:rFonts w:ascii="Garamond" w:hAnsi="Garamond" w:cs="Times New Roman"/>
          <w:bCs/>
          <w:color w:val="000000"/>
          <w:sz w:val="24"/>
          <w:szCs w:val="24"/>
          <w:lang w:val="sq-AL"/>
        </w:rPr>
        <w:t>Neni 399/7</w:t>
      </w:r>
    </w:p>
    <w:p w14:paraId="69AB0CDD" w14:textId="678F4C0F" w:rsidR="009A0255" w:rsidRPr="00407705" w:rsidRDefault="009A0255" w:rsidP="009A0255">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407705">
        <w:rPr>
          <w:rFonts w:ascii="Garamond" w:hAnsi="Garamond" w:cs="Times New Roman"/>
          <w:b/>
          <w:bCs/>
          <w:color w:val="000000"/>
          <w:sz w:val="24"/>
          <w:szCs w:val="24"/>
          <w:lang w:val="sq-AL"/>
        </w:rPr>
        <w:t>Gjykimi i kërkesës ose kërkesëpadisë</w:t>
      </w:r>
    </w:p>
    <w:p w14:paraId="69AB0CDE"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9AB0CDF" w14:textId="5638BC1C"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1. Gjykimi i kërkesëpadisë, sipas nenit 399/6, pika 3, bëhet sipas rregullave të zakonshme të gjykimit brenda një afati 3</w:t>
      </w:r>
      <w:r w:rsidR="002C158A">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mujor nga depozitimi i kërkesëpadisë. </w:t>
      </w:r>
    </w:p>
    <w:p w14:paraId="69AB0CE0"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2. Gjykimi i kërkesës, sipas nenit 399/6, pika 1, bëhet në dhomë këshillimi dhe gjykata që shqyrton çështjen merr vendim brenda 45 ditëve, nga paraqitja e kërkesës. Brenda 15 ditëve nga paraqitja e kësaj kërkese, organi që pretendohet se ka kryer shkeljen, i dërgon kopje të dosjes dhe mendimin me shkrim, gjykatës që shqyrton kërkesën. </w:t>
      </w:r>
    </w:p>
    <w:p w14:paraId="69AB0CE1" w14:textId="35D3BDCD"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3. Në rast se gjatë shqyrtimit të kërkesës organi që po kryen veprimet, ndërmerr hapat që po kërkohen nga pala, brenda 30 ditëve nga paraqitja e kërkesës [sipas </w:t>
      </w:r>
      <w:r w:rsidR="002C158A" w:rsidRPr="00407705">
        <w:rPr>
          <w:rFonts w:ascii="Garamond" w:hAnsi="Garamond" w:cs="Times New Roman"/>
          <w:color w:val="000000"/>
          <w:sz w:val="24"/>
          <w:szCs w:val="24"/>
          <w:lang w:val="sq-AL"/>
        </w:rPr>
        <w:t xml:space="preserve">nenit </w:t>
      </w:r>
      <w:r w:rsidRPr="00407705">
        <w:rPr>
          <w:rFonts w:ascii="Garamond" w:hAnsi="Garamond" w:cs="Times New Roman"/>
          <w:color w:val="000000"/>
          <w:sz w:val="24"/>
          <w:szCs w:val="24"/>
          <w:lang w:val="sq-AL"/>
        </w:rPr>
        <w:t xml:space="preserve">399/6§1], pushon shqyrtimi i kërkesës. </w:t>
      </w:r>
    </w:p>
    <w:p w14:paraId="69AB0CE2"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407705">
        <w:rPr>
          <w:rFonts w:ascii="Garamond" w:hAnsi="Garamond" w:cs="Times New Roman"/>
          <w:color w:val="000000"/>
          <w:sz w:val="24"/>
          <w:szCs w:val="24"/>
          <w:lang w:val="sq-AL"/>
        </w:rPr>
        <w:t xml:space="preserve">... </w:t>
      </w:r>
    </w:p>
    <w:p w14:paraId="06AF8849" w14:textId="77777777" w:rsidR="002C158A" w:rsidRPr="002C158A" w:rsidRDefault="009A0255" w:rsidP="009A0255">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2C158A">
        <w:rPr>
          <w:rFonts w:ascii="Garamond" w:hAnsi="Garamond" w:cs="Times New Roman"/>
          <w:bCs/>
          <w:color w:val="000000"/>
          <w:sz w:val="24"/>
          <w:szCs w:val="24"/>
          <w:lang w:val="sq-AL"/>
        </w:rPr>
        <w:t>Neni 399/8</w:t>
      </w:r>
    </w:p>
    <w:p w14:paraId="69AB0CE3" w14:textId="170C18A9" w:rsidR="009A0255" w:rsidRPr="00407705" w:rsidRDefault="009A0255" w:rsidP="009A0255">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407705">
        <w:rPr>
          <w:rFonts w:ascii="Garamond" w:hAnsi="Garamond" w:cs="Times New Roman"/>
          <w:b/>
          <w:bCs/>
          <w:color w:val="000000"/>
          <w:sz w:val="24"/>
          <w:szCs w:val="24"/>
          <w:lang w:val="sq-AL"/>
        </w:rPr>
        <w:t>Marrja e vendimit</w:t>
      </w:r>
    </w:p>
    <w:p w14:paraId="69AB0CE4"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9AB0CE5" w14:textId="57E45FF9"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1. Pas shqyrtimit të kërkesës gjykata vendos:</w:t>
      </w:r>
      <w:r w:rsidR="0054754A" w:rsidRPr="00407705">
        <w:rPr>
          <w:rFonts w:ascii="Garamond" w:hAnsi="Garamond" w:cs="Times New Roman"/>
          <w:color w:val="000000"/>
          <w:sz w:val="24"/>
          <w:szCs w:val="24"/>
          <w:lang w:val="sq-AL"/>
        </w:rPr>
        <w:t xml:space="preserve"> </w:t>
      </w:r>
    </w:p>
    <w:p w14:paraId="69AB0CE6"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a) pranimin e kërkesës, konstatimin e shkeljes dhe urdhërimin e ndërmarrjes brenda afateve të veprimeve të caktuara procedurale gjatë gjykimit ose ekzekutimit; </w:t>
      </w:r>
    </w:p>
    <w:p w14:paraId="69AB0CE7"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b) rrëzimin e kërkesës. </w:t>
      </w:r>
    </w:p>
    <w:p w14:paraId="69AB0CE8"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2. Vendimi i gjykatës është përfundimtar dhe i formës së prerë. </w:t>
      </w:r>
    </w:p>
    <w:p w14:paraId="69AB0CE9"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5ED3E40" w14:textId="77777777" w:rsidR="0056118B" w:rsidRPr="0056118B" w:rsidRDefault="009A0255" w:rsidP="009A0255">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56118B">
        <w:rPr>
          <w:rFonts w:ascii="Garamond" w:hAnsi="Garamond" w:cs="Times New Roman"/>
          <w:bCs/>
          <w:color w:val="000000"/>
          <w:sz w:val="24"/>
          <w:szCs w:val="24"/>
          <w:lang w:val="sq-AL"/>
        </w:rPr>
        <w:t>Neni 399/9</w:t>
      </w:r>
    </w:p>
    <w:p w14:paraId="69AB0CEA" w14:textId="597A0254" w:rsidR="009A0255" w:rsidRPr="00407705" w:rsidRDefault="009A0255" w:rsidP="009A0255">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407705">
        <w:rPr>
          <w:rFonts w:ascii="Garamond" w:hAnsi="Garamond" w:cs="Times New Roman"/>
          <w:b/>
          <w:bCs/>
          <w:color w:val="000000"/>
          <w:sz w:val="24"/>
          <w:szCs w:val="24"/>
          <w:lang w:val="sq-AL"/>
        </w:rPr>
        <w:t>Pranimi i kërkesës</w:t>
      </w:r>
    </w:p>
    <w:p w14:paraId="69AB0CEB"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9AB0CEC" w14:textId="0C6E9489"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1. Gjykata vendos pranimin e kërkesës, kur vërtetohet shkelja e afatit të arsyeshëm, sipas nenit 6/1, të Konventës E</w:t>
      </w:r>
      <w:r w:rsidR="0056118B">
        <w:rPr>
          <w:rFonts w:ascii="Garamond" w:hAnsi="Garamond" w:cs="Times New Roman"/>
          <w:color w:val="000000"/>
          <w:sz w:val="24"/>
          <w:szCs w:val="24"/>
          <w:lang w:val="sq-AL"/>
        </w:rPr>
        <w:t>v</w:t>
      </w:r>
      <w:r w:rsidRPr="00407705">
        <w:rPr>
          <w:rFonts w:ascii="Garamond" w:hAnsi="Garamond" w:cs="Times New Roman"/>
          <w:color w:val="000000"/>
          <w:sz w:val="24"/>
          <w:szCs w:val="24"/>
          <w:lang w:val="sq-AL"/>
        </w:rPr>
        <w:t xml:space="preserve">ropiane “Për mbrojtjen e të drejtave të njeriut dhe lirive themelore”. </w:t>
      </w:r>
    </w:p>
    <w:p w14:paraId="69AB0CED"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2. Në përcaktimin e shkeljes gjykata vlerëson kompleksitetin e çështjes, objektin e mosmarrëveshjes, të procedimit ose të gjykimit, sjelljen e palëve dhe të trupit gjykues gjatë gjykimit, ose të përmbaruesit, si dhe të çdo personi tjetër të lidhur me çështjen. </w:t>
      </w:r>
    </w:p>
    <w:p w14:paraId="69AB0CEE" w14:textId="77777777" w:rsidR="009A0255" w:rsidRPr="0056118B"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7EF7AD3" w14:textId="77777777" w:rsidR="0056118B" w:rsidRPr="0056118B" w:rsidRDefault="009A0255" w:rsidP="009A0255">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56118B">
        <w:rPr>
          <w:rFonts w:ascii="Garamond" w:hAnsi="Garamond" w:cs="Times New Roman"/>
          <w:bCs/>
          <w:color w:val="000000"/>
          <w:sz w:val="24"/>
          <w:szCs w:val="24"/>
          <w:lang w:val="sq-AL"/>
        </w:rPr>
        <w:t>Neni 399/10</w:t>
      </w:r>
    </w:p>
    <w:p w14:paraId="69AB0CEF" w14:textId="7947CD43" w:rsidR="009A0255" w:rsidRPr="00407705" w:rsidRDefault="009A0255" w:rsidP="009A0255">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407705">
        <w:rPr>
          <w:rFonts w:ascii="Garamond" w:hAnsi="Garamond" w:cs="Times New Roman"/>
          <w:b/>
          <w:bCs/>
          <w:color w:val="000000"/>
          <w:sz w:val="24"/>
          <w:szCs w:val="24"/>
          <w:lang w:val="sq-AL"/>
        </w:rPr>
        <w:t>Përmbajtja e vendimit për shpërblimin e dëmit</w:t>
      </w:r>
    </w:p>
    <w:p w14:paraId="69AB0CF0" w14:textId="77777777" w:rsidR="009A0255" w:rsidRPr="00407705" w:rsidRDefault="009A0255" w:rsidP="009A0255">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9AB0CF1" w14:textId="21CFFA0B"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1. Pas shqyrtimit të kërkesëpadisë gjykata vendos shpërblimin e dëmit nga 50 000 lekë [EUR 400] deri në 100 0</w:t>
      </w:r>
      <w:r w:rsidR="00AA48AE">
        <w:rPr>
          <w:rFonts w:ascii="Garamond" w:hAnsi="Garamond" w:cs="Times New Roman"/>
          <w:color w:val="000000"/>
          <w:sz w:val="24"/>
          <w:szCs w:val="24"/>
          <w:lang w:val="sq-AL"/>
        </w:rPr>
        <w:t xml:space="preserve">00 lekë [EUR 800], për çdo vit </w:t>
      </w:r>
      <w:r w:rsidRPr="00407705">
        <w:rPr>
          <w:rFonts w:ascii="Garamond" w:hAnsi="Garamond" w:cs="Times New Roman"/>
          <w:color w:val="000000"/>
          <w:sz w:val="24"/>
          <w:szCs w:val="24"/>
          <w:lang w:val="sq-AL"/>
        </w:rPr>
        <w:t>ose muaj</w:t>
      </w:r>
      <w:r w:rsidR="00AA48AE">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 raport me vitin, përtej afatit të arsyeshëm [parashikuar në </w:t>
      </w:r>
      <w:r w:rsidR="00AA48AE" w:rsidRPr="00407705">
        <w:rPr>
          <w:rFonts w:ascii="Garamond" w:hAnsi="Garamond" w:cs="Times New Roman"/>
          <w:color w:val="000000"/>
          <w:sz w:val="24"/>
          <w:szCs w:val="24"/>
          <w:lang w:val="sq-AL"/>
        </w:rPr>
        <w:t xml:space="preserve">nenin </w:t>
      </w:r>
      <w:r w:rsidRPr="00407705">
        <w:rPr>
          <w:rFonts w:ascii="Garamond" w:hAnsi="Garamond" w:cs="Times New Roman"/>
          <w:color w:val="000000"/>
          <w:sz w:val="24"/>
          <w:szCs w:val="24"/>
          <w:lang w:val="sq-AL"/>
        </w:rPr>
        <w:t xml:space="preserve">399/2]. </w:t>
      </w:r>
    </w:p>
    <w:p w14:paraId="69AB0CF2"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2. Shpërblimi i dëmit bëhet duke mbajtur parasysh: </w:t>
      </w:r>
    </w:p>
    <w:p w14:paraId="69AB0CF3"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a) vështirësinë e procesit, në të cilin është verifikuar shkelja; </w:t>
      </w:r>
    </w:p>
    <w:p w14:paraId="69AB0CF4"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b) sjelljen e trupit gjykues ose përmbaruesit dhe të palëve; </w:t>
      </w:r>
    </w:p>
    <w:p w14:paraId="69AB0CF5"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c) natyrën e interesave në çështje; </w:t>
      </w:r>
    </w:p>
    <w:p w14:paraId="69AB0CF6" w14:textId="21823BCB"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ç) vlerën dhe rëndësinë e çështjes</w:t>
      </w:r>
      <w:r w:rsidR="00AA48AE">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 lidhje me objektin e mosmarrëveshjes ose </w:t>
      </w:r>
      <w:r w:rsidR="00AA48AE">
        <w:rPr>
          <w:rFonts w:ascii="Garamond" w:hAnsi="Garamond" w:cs="Times New Roman"/>
          <w:color w:val="000000"/>
          <w:sz w:val="24"/>
          <w:szCs w:val="24"/>
          <w:lang w:val="sq-AL"/>
        </w:rPr>
        <w:t xml:space="preserve">të </w:t>
      </w:r>
      <w:r w:rsidRPr="00407705">
        <w:rPr>
          <w:rFonts w:ascii="Garamond" w:hAnsi="Garamond" w:cs="Times New Roman"/>
          <w:color w:val="000000"/>
          <w:sz w:val="24"/>
          <w:szCs w:val="24"/>
          <w:lang w:val="sq-AL"/>
        </w:rPr>
        <w:t>ekzekutimit, e vlerësuar edhe në raport me kushtet personale të palëve.”</w:t>
      </w:r>
      <w:r w:rsidR="00AA48AE">
        <w:rPr>
          <w:rFonts w:ascii="Garamond" w:hAnsi="Garamond" w:cs="Times New Roman"/>
          <w:color w:val="000000"/>
          <w:sz w:val="24"/>
          <w:szCs w:val="24"/>
          <w:lang w:val="sq-AL"/>
        </w:rPr>
        <w:t>.</w:t>
      </w:r>
    </w:p>
    <w:p w14:paraId="69AB0CF7" w14:textId="3F67C730" w:rsidR="009A0255" w:rsidRPr="00407705" w:rsidRDefault="009A0255" w:rsidP="009A0255">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407705">
        <w:rPr>
          <w:rFonts w:ascii="Garamond" w:hAnsi="Garamond" w:cs="Times New Roman"/>
          <w:b/>
          <w:bCs/>
          <w:color w:val="000000"/>
          <w:sz w:val="24"/>
          <w:szCs w:val="24"/>
          <w:lang w:val="sq-AL"/>
        </w:rPr>
        <w:t>b) Praktika gjyqësore e brendshme në lidhje me zgjidhjen e re për kohëzgjatjen e procedurave</w:t>
      </w:r>
    </w:p>
    <w:p w14:paraId="69AB0CF8" w14:textId="1EE5BAAE" w:rsidR="009A0255" w:rsidRPr="00407705" w:rsidRDefault="009A0255" w:rsidP="009A025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07705">
        <w:rPr>
          <w:rFonts w:ascii="Garamond" w:hAnsi="Garamond" w:cs="Times New Roman"/>
          <w:i/>
          <w:iCs/>
          <w:color w:val="000000"/>
          <w:sz w:val="24"/>
          <w:szCs w:val="24"/>
          <w:lang w:val="sq-AL"/>
        </w:rPr>
        <w:t>i</w:t>
      </w:r>
      <w:r w:rsidR="00D955C6">
        <w:rPr>
          <w:rFonts w:ascii="Garamond" w:hAnsi="Garamond" w:cs="Times New Roman"/>
          <w:i/>
          <w:iCs/>
          <w:color w:val="000000"/>
          <w:sz w:val="24"/>
          <w:szCs w:val="24"/>
          <w:lang w:val="sq-AL"/>
        </w:rPr>
        <w:t>.</w:t>
      </w:r>
      <w:r w:rsidRPr="00407705">
        <w:rPr>
          <w:rFonts w:ascii="Garamond" w:hAnsi="Garamond" w:cs="Times New Roman"/>
          <w:i/>
          <w:iCs/>
          <w:color w:val="000000"/>
          <w:sz w:val="24"/>
          <w:szCs w:val="24"/>
          <w:lang w:val="sq-AL"/>
        </w:rPr>
        <w:t xml:space="preserve"> Vendimet e Gjykatës Kushtetuese </w:t>
      </w:r>
    </w:p>
    <w:p w14:paraId="69AB0CF9" w14:textId="70846A13"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38. Në vendimet e saj mbi pranueshmërinë nr. 269 dhe 270</w:t>
      </w:r>
      <w:r w:rsidR="00213E42">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të datës 7 dhjetor 2017, dhe nr. 49</w:t>
      </w:r>
      <w:r w:rsidR="00213E42">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të datës 22 shkurt 2018, Gjykata Kushtetuese, për sa i përket zgjidhjes së re</w:t>
      </w:r>
      <w:r w:rsidR="00213E42">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sipas </w:t>
      </w:r>
      <w:r w:rsidR="00213E42" w:rsidRPr="00407705">
        <w:rPr>
          <w:rFonts w:ascii="Garamond" w:hAnsi="Garamond" w:cs="Times New Roman"/>
          <w:color w:val="000000"/>
          <w:sz w:val="24"/>
          <w:szCs w:val="24"/>
          <w:lang w:val="sq-AL"/>
        </w:rPr>
        <w:t xml:space="preserve">neneve </w:t>
      </w:r>
      <w:r w:rsidRPr="00407705">
        <w:rPr>
          <w:rFonts w:ascii="Garamond" w:hAnsi="Garamond" w:cs="Times New Roman"/>
          <w:color w:val="000000"/>
          <w:sz w:val="24"/>
          <w:szCs w:val="24"/>
          <w:lang w:val="sq-AL"/>
        </w:rPr>
        <w:t>399/1 e në vijim të KPC</w:t>
      </w:r>
      <w:r w:rsidR="00213E42">
        <w:rPr>
          <w:rFonts w:ascii="Garamond" w:hAnsi="Garamond" w:cs="Times New Roman"/>
          <w:color w:val="000000"/>
          <w:sz w:val="24"/>
          <w:szCs w:val="24"/>
          <w:lang w:val="sq-AL"/>
        </w:rPr>
        <w:t>-së</w:t>
      </w:r>
      <w:r w:rsidRPr="00407705">
        <w:rPr>
          <w:rFonts w:ascii="Garamond" w:hAnsi="Garamond" w:cs="Times New Roman"/>
          <w:color w:val="000000"/>
          <w:sz w:val="24"/>
          <w:szCs w:val="24"/>
          <w:lang w:val="sq-AL"/>
        </w:rPr>
        <w:t>, e rrëzoi kërkesën e ankuesve për shqyrtim të ankimeve të tyre kushtetuese</w:t>
      </w:r>
      <w:r w:rsidR="00C570D2">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 lidhje me kohëzgjatjen e procedurave, pasi ankuesit nuk e kishin shteruar zgjidhjen e re. </w:t>
      </w:r>
    </w:p>
    <w:p w14:paraId="69AB0CFA" w14:textId="66C6B426" w:rsidR="009A0255" w:rsidRPr="00407705" w:rsidRDefault="009A0255" w:rsidP="009A025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07705">
        <w:rPr>
          <w:rFonts w:ascii="Garamond" w:hAnsi="Garamond" w:cs="Times New Roman"/>
          <w:i/>
          <w:iCs/>
          <w:color w:val="000000"/>
          <w:sz w:val="24"/>
          <w:szCs w:val="24"/>
          <w:lang w:val="sq-AL"/>
        </w:rPr>
        <w:t>ii</w:t>
      </w:r>
      <w:r w:rsidR="00D955C6">
        <w:rPr>
          <w:rFonts w:ascii="Garamond" w:hAnsi="Garamond" w:cs="Times New Roman"/>
          <w:i/>
          <w:iCs/>
          <w:color w:val="000000"/>
          <w:sz w:val="24"/>
          <w:szCs w:val="24"/>
          <w:lang w:val="sq-AL"/>
        </w:rPr>
        <w:t>.</w:t>
      </w:r>
      <w:r w:rsidRPr="00407705">
        <w:rPr>
          <w:rFonts w:ascii="Garamond" w:hAnsi="Garamond" w:cs="Times New Roman"/>
          <w:i/>
          <w:iCs/>
          <w:color w:val="000000"/>
          <w:sz w:val="24"/>
          <w:szCs w:val="24"/>
          <w:lang w:val="sq-AL"/>
        </w:rPr>
        <w:t xml:space="preserve"> Vendimet e Gjykatës së Lartë </w:t>
      </w:r>
    </w:p>
    <w:p w14:paraId="69AB0CFB" w14:textId="6874068F"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39. Në lidhje me kërkesën e paraqitur</w:t>
      </w:r>
      <w:r w:rsidR="00C570D2">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sipas </w:t>
      </w:r>
      <w:r w:rsidR="00C570D2" w:rsidRPr="00407705">
        <w:rPr>
          <w:rFonts w:ascii="Garamond" w:hAnsi="Garamond" w:cs="Times New Roman"/>
          <w:color w:val="000000"/>
          <w:sz w:val="24"/>
          <w:szCs w:val="24"/>
          <w:lang w:val="sq-AL"/>
        </w:rPr>
        <w:t xml:space="preserve">nenit </w:t>
      </w:r>
      <w:r w:rsidRPr="00407705">
        <w:rPr>
          <w:rFonts w:ascii="Garamond" w:hAnsi="Garamond" w:cs="Times New Roman"/>
          <w:color w:val="000000"/>
          <w:sz w:val="24"/>
          <w:szCs w:val="24"/>
          <w:lang w:val="sq-AL"/>
        </w:rPr>
        <w:t>399/6§</w:t>
      </w:r>
      <w:r w:rsidR="00C570D2">
        <w:rPr>
          <w:rFonts w:ascii="Garamond" w:hAnsi="Garamond" w:cs="Times New Roman"/>
          <w:color w:val="000000"/>
          <w:sz w:val="24"/>
          <w:szCs w:val="24"/>
          <w:lang w:val="sq-AL"/>
        </w:rPr>
        <w:t>1</w:t>
      </w:r>
      <w:r w:rsidRPr="00407705">
        <w:rPr>
          <w:rFonts w:ascii="Garamond" w:hAnsi="Garamond" w:cs="Times New Roman"/>
          <w:color w:val="000000"/>
          <w:sz w:val="24"/>
          <w:szCs w:val="24"/>
          <w:lang w:val="sq-AL"/>
        </w:rPr>
        <w:t>(b) të KPC</w:t>
      </w:r>
      <w:r w:rsidR="00C570D2">
        <w:rPr>
          <w:rFonts w:ascii="Garamond" w:hAnsi="Garamond" w:cs="Times New Roman"/>
          <w:color w:val="000000"/>
          <w:sz w:val="24"/>
          <w:szCs w:val="24"/>
          <w:lang w:val="sq-AL"/>
        </w:rPr>
        <w:t>-së</w:t>
      </w:r>
      <w:r w:rsidR="00897B52">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për sa i përket kohëzgjatjes së procedurave përpara gjykatave të apelit, Qeveria paraqiti një material të printuar me listën </w:t>
      </w:r>
      <w:r w:rsidRPr="00D955C6">
        <w:rPr>
          <w:rFonts w:ascii="Garamond" w:hAnsi="Garamond" w:cs="Times New Roman"/>
          <w:i/>
          <w:color w:val="000000"/>
          <w:sz w:val="24"/>
          <w:szCs w:val="24"/>
          <w:lang w:val="sq-AL"/>
        </w:rPr>
        <w:t>online</w:t>
      </w:r>
      <w:r w:rsidRPr="00407705">
        <w:rPr>
          <w:rFonts w:ascii="Garamond" w:hAnsi="Garamond" w:cs="Times New Roman"/>
          <w:color w:val="000000"/>
          <w:sz w:val="24"/>
          <w:szCs w:val="24"/>
          <w:lang w:val="sq-AL"/>
        </w:rPr>
        <w:t xml:space="preserve"> të çështjeve në Gjykatën e Lartë, duke treguar se gjykata i kishte marrë këto kërkesa nga ankues të caktuar. Në vijim, Qeveria paraqiti shembuj të një sërë vendimeve të Gjykatës së Lartë. Në vendimin nr. 1</w:t>
      </w:r>
      <w:r w:rsidR="00897B52">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të datës 24 janar 2018, i cili u shpall një muaj dhe dy ditë</w:t>
      </w:r>
      <w:r w:rsidR="00897B52">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pasi u paraqit kërkesa, kolegji administrativ i Gjykatës së Lartë e pranoi kërkesën e pretenduesit dhe konstatoi një shkelje në “afatin e arsyeshëm” nga ana e gjykatës së apelit. Gjykata Administrative e Apelit u urdhërua të vijonte me procedimet</w:t>
      </w:r>
      <w:r w:rsidR="002A586B">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 përputhje me rregullat proceduralë të parashikuar në KPC. </w:t>
      </w:r>
    </w:p>
    <w:p w14:paraId="69AB0CFC" w14:textId="27F39109"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40. Në vendimin nr. 5</w:t>
      </w:r>
      <w:r w:rsidR="002A586B">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të datës 17 prill 2018, i cili u mor një muaj dhe dymbëdhjetë ditë</w:t>
      </w:r>
      <w:r w:rsidR="00AE4547">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pasi ishte paraqitur kërkesa, </w:t>
      </w:r>
      <w:r w:rsidR="00AE4547" w:rsidRPr="00407705">
        <w:rPr>
          <w:rFonts w:ascii="Garamond" w:hAnsi="Garamond" w:cs="Times New Roman"/>
          <w:color w:val="000000"/>
          <w:sz w:val="24"/>
          <w:szCs w:val="24"/>
          <w:lang w:val="sq-AL"/>
        </w:rPr>
        <w:t xml:space="preserve">Kolegji Administrativ </w:t>
      </w:r>
      <w:r w:rsidRPr="00407705">
        <w:rPr>
          <w:rFonts w:ascii="Garamond" w:hAnsi="Garamond" w:cs="Times New Roman"/>
          <w:color w:val="000000"/>
          <w:sz w:val="24"/>
          <w:szCs w:val="24"/>
          <w:lang w:val="sq-AL"/>
        </w:rPr>
        <w:t>i Gjykatës së Lartë e pushoi shqyrtimin</w:t>
      </w:r>
      <w:r w:rsidR="00AE4547">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sipas </w:t>
      </w:r>
      <w:r w:rsidR="00AE4547" w:rsidRPr="00407705">
        <w:rPr>
          <w:rFonts w:ascii="Garamond" w:hAnsi="Garamond" w:cs="Times New Roman"/>
          <w:color w:val="000000"/>
          <w:sz w:val="24"/>
          <w:szCs w:val="24"/>
          <w:lang w:val="sq-AL"/>
        </w:rPr>
        <w:t xml:space="preserve">nenit </w:t>
      </w:r>
      <w:r w:rsidR="00AE4547">
        <w:rPr>
          <w:rFonts w:ascii="Garamond" w:hAnsi="Garamond" w:cs="Times New Roman"/>
          <w:color w:val="000000"/>
          <w:sz w:val="24"/>
          <w:szCs w:val="24"/>
          <w:lang w:val="sq-AL"/>
        </w:rPr>
        <w:t>399/7§</w:t>
      </w:r>
      <w:r w:rsidRPr="00407705">
        <w:rPr>
          <w:rFonts w:ascii="Garamond" w:hAnsi="Garamond" w:cs="Times New Roman"/>
          <w:color w:val="000000"/>
          <w:sz w:val="24"/>
          <w:szCs w:val="24"/>
          <w:lang w:val="sq-AL"/>
        </w:rPr>
        <w:t>3 të KPC</w:t>
      </w:r>
      <w:r w:rsidR="00AE4547">
        <w:rPr>
          <w:rFonts w:ascii="Garamond" w:hAnsi="Garamond" w:cs="Times New Roman"/>
          <w:color w:val="000000"/>
          <w:sz w:val="24"/>
          <w:szCs w:val="24"/>
          <w:lang w:val="sq-AL"/>
        </w:rPr>
        <w:t>-së</w:t>
      </w:r>
      <w:r w:rsidRPr="00407705">
        <w:rPr>
          <w:rFonts w:ascii="Garamond" w:hAnsi="Garamond" w:cs="Times New Roman"/>
          <w:color w:val="000000"/>
          <w:sz w:val="24"/>
          <w:szCs w:val="24"/>
          <w:lang w:val="sq-AL"/>
        </w:rPr>
        <w:t xml:space="preserve"> me argumentin se Gjykata Administrative e Apelit, tek e cila kishin mbetur procedurat pezull, kishte vendosur të shqyrtonte ankimin e pretenduesit në një seancë me dyer të hapura, më 12 prill 2018. </w:t>
      </w:r>
    </w:p>
    <w:p w14:paraId="69AB0CFD" w14:textId="71D7C11F"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41. Në vendimin nr. 4/8</w:t>
      </w:r>
      <w:r w:rsidR="00AE4547">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të datës 31 janar 2019, i cili u mor gjashtë muaj dhe katërmbëdhjetë ditë</w:t>
      </w:r>
      <w:r w:rsidR="00AE4547">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pasi ishte paraqitur kërkesa, </w:t>
      </w:r>
      <w:r w:rsidR="00AE4547" w:rsidRPr="00407705">
        <w:rPr>
          <w:rFonts w:ascii="Garamond" w:hAnsi="Garamond" w:cs="Times New Roman"/>
          <w:color w:val="000000"/>
          <w:sz w:val="24"/>
          <w:szCs w:val="24"/>
          <w:lang w:val="sq-AL"/>
        </w:rPr>
        <w:t xml:space="preserve">Kolegji Administrativ </w:t>
      </w:r>
      <w:r w:rsidRPr="00407705">
        <w:rPr>
          <w:rFonts w:ascii="Garamond" w:hAnsi="Garamond" w:cs="Times New Roman"/>
          <w:color w:val="000000"/>
          <w:sz w:val="24"/>
          <w:szCs w:val="24"/>
          <w:lang w:val="sq-AL"/>
        </w:rPr>
        <w:t>i Gjykatës së Lartë e pranoi kërkesën e pretenduesit dhe konstatoi një shkelje të “afatit të arsyeshëm” nga ana e gjykatës së apelit. Gjykata Administrative e Apelit u urdhërua të planifikonte shqyrtimin e çështj</w:t>
      </w:r>
      <w:r w:rsidR="00B66385">
        <w:rPr>
          <w:rFonts w:ascii="Garamond" w:hAnsi="Garamond" w:cs="Times New Roman"/>
          <w:color w:val="000000"/>
          <w:sz w:val="24"/>
          <w:szCs w:val="24"/>
          <w:lang w:val="sq-AL"/>
        </w:rPr>
        <w:t>es së pretenduesit sa më shpejt</w:t>
      </w:r>
      <w:r w:rsidRPr="00407705">
        <w:rPr>
          <w:rFonts w:ascii="Garamond" w:hAnsi="Garamond" w:cs="Times New Roman"/>
          <w:color w:val="000000"/>
          <w:sz w:val="24"/>
          <w:szCs w:val="24"/>
          <w:lang w:val="sq-AL"/>
        </w:rPr>
        <w:t xml:space="preserve"> të ishte e mundur. </w:t>
      </w:r>
    </w:p>
    <w:p w14:paraId="69AB0CFE" w14:textId="3A2984E0"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42. Në vendimin nr. 9, të datës 28 shkurt 2019, i cili u mor njëzet e një ditë pasi u paraqit kërkesa, </w:t>
      </w:r>
      <w:r w:rsidR="0060639E" w:rsidRPr="00407705">
        <w:rPr>
          <w:rFonts w:ascii="Garamond" w:hAnsi="Garamond" w:cs="Times New Roman"/>
          <w:color w:val="000000"/>
          <w:sz w:val="24"/>
          <w:szCs w:val="24"/>
          <w:lang w:val="sq-AL"/>
        </w:rPr>
        <w:t xml:space="preserve">Kolegji Administrativ </w:t>
      </w:r>
      <w:r w:rsidRPr="00407705">
        <w:rPr>
          <w:rFonts w:ascii="Garamond" w:hAnsi="Garamond" w:cs="Times New Roman"/>
          <w:color w:val="000000"/>
          <w:sz w:val="24"/>
          <w:szCs w:val="24"/>
          <w:lang w:val="sq-AL"/>
        </w:rPr>
        <w:t xml:space="preserve">i Gjykatës së Lartë e pushoi shqyrtimin në mbështetje të </w:t>
      </w:r>
      <w:r w:rsidR="0060639E" w:rsidRPr="00407705">
        <w:rPr>
          <w:rFonts w:ascii="Garamond" w:hAnsi="Garamond" w:cs="Times New Roman"/>
          <w:color w:val="000000"/>
          <w:sz w:val="24"/>
          <w:szCs w:val="24"/>
          <w:lang w:val="sq-AL"/>
        </w:rPr>
        <w:t xml:space="preserve">nenit </w:t>
      </w:r>
      <w:r w:rsidRPr="00407705">
        <w:rPr>
          <w:rFonts w:ascii="Garamond" w:hAnsi="Garamond" w:cs="Times New Roman"/>
          <w:color w:val="000000"/>
          <w:sz w:val="24"/>
          <w:szCs w:val="24"/>
          <w:lang w:val="sq-AL"/>
        </w:rPr>
        <w:t>399/7§3 të KPC</w:t>
      </w:r>
      <w:r w:rsidR="0060639E">
        <w:rPr>
          <w:rFonts w:ascii="Garamond" w:hAnsi="Garamond" w:cs="Times New Roman"/>
          <w:color w:val="000000"/>
          <w:sz w:val="24"/>
          <w:szCs w:val="24"/>
          <w:lang w:val="sq-AL"/>
        </w:rPr>
        <w:t>-së</w:t>
      </w:r>
      <w:r w:rsidRPr="00407705">
        <w:rPr>
          <w:rFonts w:ascii="Garamond" w:hAnsi="Garamond" w:cs="Times New Roman"/>
          <w:color w:val="000000"/>
          <w:sz w:val="24"/>
          <w:szCs w:val="24"/>
          <w:lang w:val="sq-AL"/>
        </w:rPr>
        <w:t>, për arsyen se gjykata e apelit</w:t>
      </w:r>
      <w:r w:rsidR="0060639E">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tek e cila procedimet ishin ende pezull, tashmë e kishte marrë një vendim për çështjen e pretenduesit. </w:t>
      </w:r>
    </w:p>
    <w:p w14:paraId="69AB0CFF" w14:textId="64F9CAB8"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43. Në lidhje</w:t>
      </w:r>
      <w:r w:rsidR="0060639E">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me kërkesën e paraqitur në mbështetje të </w:t>
      </w:r>
      <w:r w:rsidR="0060639E" w:rsidRPr="00407705">
        <w:rPr>
          <w:rFonts w:ascii="Garamond" w:hAnsi="Garamond" w:cs="Times New Roman"/>
          <w:color w:val="000000"/>
          <w:sz w:val="24"/>
          <w:szCs w:val="24"/>
          <w:lang w:val="sq-AL"/>
        </w:rPr>
        <w:t xml:space="preserve">nenit </w:t>
      </w:r>
      <w:r w:rsidRPr="00407705">
        <w:rPr>
          <w:rFonts w:ascii="Garamond" w:hAnsi="Garamond" w:cs="Times New Roman"/>
          <w:color w:val="000000"/>
          <w:sz w:val="24"/>
          <w:szCs w:val="24"/>
          <w:lang w:val="sq-AL"/>
        </w:rPr>
        <w:t>399/6§1(c) të KPC</w:t>
      </w:r>
      <w:r w:rsidR="0060639E">
        <w:rPr>
          <w:rFonts w:ascii="Garamond" w:hAnsi="Garamond" w:cs="Times New Roman"/>
          <w:color w:val="000000"/>
          <w:sz w:val="24"/>
          <w:szCs w:val="24"/>
          <w:lang w:val="sq-AL"/>
        </w:rPr>
        <w:t>-së,</w:t>
      </w:r>
      <w:r w:rsidRPr="00407705">
        <w:rPr>
          <w:rFonts w:ascii="Garamond" w:hAnsi="Garamond" w:cs="Times New Roman"/>
          <w:color w:val="000000"/>
          <w:sz w:val="24"/>
          <w:szCs w:val="24"/>
          <w:lang w:val="sq-AL"/>
        </w:rPr>
        <w:t xml:space="preserve"> në lidhje me kohëzgjatjen e procedimeve përpara Gjykatës së Lartë, Qeveria paraqiti një kopje të vet</w:t>
      </w:r>
      <w:r w:rsidR="0060639E">
        <w:rPr>
          <w:rFonts w:ascii="Garamond" w:hAnsi="Garamond" w:cs="Times New Roman"/>
          <w:color w:val="000000"/>
          <w:sz w:val="24"/>
          <w:szCs w:val="24"/>
          <w:lang w:val="sq-AL"/>
        </w:rPr>
        <w:t>me</w:t>
      </w:r>
      <w:r w:rsidR="006921F9">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një vendimi të Gjykatës së Lartë. Në vendimin nr. 7/13</w:t>
      </w:r>
      <w:r w:rsidR="006921F9">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të datës 15 shkurt 2019, i cili ishte marrë një muaj dhe nëntëmbëdhjetë ditë pasi ishte paraqitur kërkesa, </w:t>
      </w:r>
      <w:r w:rsidR="006921F9" w:rsidRPr="00407705">
        <w:rPr>
          <w:rFonts w:ascii="Garamond" w:hAnsi="Garamond" w:cs="Times New Roman"/>
          <w:color w:val="000000"/>
          <w:sz w:val="24"/>
          <w:szCs w:val="24"/>
          <w:lang w:val="sq-AL"/>
        </w:rPr>
        <w:t xml:space="preserve">Kolegji Penal </w:t>
      </w:r>
      <w:r w:rsidRPr="00407705">
        <w:rPr>
          <w:rFonts w:ascii="Garamond" w:hAnsi="Garamond" w:cs="Times New Roman"/>
          <w:color w:val="000000"/>
          <w:sz w:val="24"/>
          <w:szCs w:val="24"/>
          <w:lang w:val="sq-AL"/>
        </w:rPr>
        <w:t>i Gjykatës së Lartë e pushoi shqyrtimin e kërkesës</w:t>
      </w:r>
      <w:r w:rsidR="006921F9">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 mbështetje të </w:t>
      </w:r>
      <w:r w:rsidR="006921F9" w:rsidRPr="00407705">
        <w:rPr>
          <w:rFonts w:ascii="Garamond" w:hAnsi="Garamond" w:cs="Times New Roman"/>
          <w:color w:val="000000"/>
          <w:sz w:val="24"/>
          <w:szCs w:val="24"/>
          <w:lang w:val="sq-AL"/>
        </w:rPr>
        <w:t xml:space="preserve">nenit </w:t>
      </w:r>
      <w:r w:rsidRPr="00407705">
        <w:rPr>
          <w:rFonts w:ascii="Garamond" w:hAnsi="Garamond" w:cs="Times New Roman"/>
          <w:color w:val="000000"/>
          <w:sz w:val="24"/>
          <w:szCs w:val="24"/>
          <w:lang w:val="sq-AL"/>
        </w:rPr>
        <w:t>399/7§3 të KPC</w:t>
      </w:r>
      <w:r w:rsidR="006921F9">
        <w:rPr>
          <w:rFonts w:ascii="Garamond" w:hAnsi="Garamond" w:cs="Times New Roman"/>
          <w:color w:val="000000"/>
          <w:sz w:val="24"/>
          <w:szCs w:val="24"/>
          <w:lang w:val="sq-AL"/>
        </w:rPr>
        <w:t>-së</w:t>
      </w:r>
      <w:r w:rsidRPr="00407705">
        <w:rPr>
          <w:rFonts w:ascii="Garamond" w:hAnsi="Garamond" w:cs="Times New Roman"/>
          <w:color w:val="000000"/>
          <w:sz w:val="24"/>
          <w:szCs w:val="24"/>
          <w:lang w:val="sq-AL"/>
        </w:rPr>
        <w:t xml:space="preserve">, për arsye se ankimi në kasacion i ankuesit ishte pushuar nga Gjykata e Lartë, më 13 shkurt 2019. </w:t>
      </w:r>
    </w:p>
    <w:p w14:paraId="69AB0D00" w14:textId="2B9F4661"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44. Në lidhje me pretendimin për kompensim</w:t>
      </w:r>
      <w:r w:rsidR="006921F9">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 mbështetje të </w:t>
      </w:r>
      <w:r w:rsidR="006921F9" w:rsidRPr="00407705">
        <w:rPr>
          <w:rFonts w:ascii="Garamond" w:hAnsi="Garamond" w:cs="Times New Roman"/>
          <w:color w:val="000000"/>
          <w:sz w:val="24"/>
          <w:szCs w:val="24"/>
          <w:lang w:val="sq-AL"/>
        </w:rPr>
        <w:t xml:space="preserve">nenit </w:t>
      </w:r>
      <w:r w:rsidRPr="00407705">
        <w:rPr>
          <w:rFonts w:ascii="Garamond" w:hAnsi="Garamond" w:cs="Times New Roman"/>
          <w:color w:val="000000"/>
          <w:sz w:val="24"/>
          <w:szCs w:val="24"/>
          <w:lang w:val="sq-AL"/>
        </w:rPr>
        <w:t>399/6§3 të KPC</w:t>
      </w:r>
      <w:r w:rsidR="006921F9">
        <w:rPr>
          <w:rFonts w:ascii="Garamond" w:hAnsi="Garamond" w:cs="Times New Roman"/>
          <w:color w:val="000000"/>
          <w:sz w:val="24"/>
          <w:szCs w:val="24"/>
          <w:lang w:val="sq-AL"/>
        </w:rPr>
        <w:t>-së</w:t>
      </w:r>
      <w:r w:rsidRPr="00407705">
        <w:rPr>
          <w:rFonts w:ascii="Garamond" w:hAnsi="Garamond" w:cs="Times New Roman"/>
          <w:color w:val="000000"/>
          <w:sz w:val="24"/>
          <w:szCs w:val="24"/>
          <w:lang w:val="sq-AL"/>
        </w:rPr>
        <w:t>, Qeveria paraqiti kopje të tr</w:t>
      </w:r>
      <w:r w:rsidR="006921F9">
        <w:rPr>
          <w:rFonts w:ascii="Garamond" w:hAnsi="Garamond" w:cs="Times New Roman"/>
          <w:color w:val="000000"/>
          <w:sz w:val="24"/>
          <w:szCs w:val="24"/>
          <w:lang w:val="sq-AL"/>
        </w:rPr>
        <w:t>i</w:t>
      </w:r>
      <w:r w:rsidRPr="00407705">
        <w:rPr>
          <w:rFonts w:ascii="Garamond" w:hAnsi="Garamond" w:cs="Times New Roman"/>
          <w:color w:val="000000"/>
          <w:sz w:val="24"/>
          <w:szCs w:val="24"/>
          <w:lang w:val="sq-AL"/>
        </w:rPr>
        <w:t xml:space="preserve"> vendimeve të brendshme. Në vendimin nr. 6853</w:t>
      </w:r>
      <w:r w:rsidR="006921F9">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të datës 27 korrik 2018, Gjykata e Rrethit Tiranë, teksa e njihte faktin se një vendim i Gjykatës Kushtetuese kishte njohur vonesën prej katërmbëdhjetë vitesh në procedurat e zbatimit të vendimit, e njohu pjesërisht pretendimin për kompensim dhe i dha pretenduesit 700 000 ALL (rreth EUR 5,700) për vonesën. Gjatë shqyrtimit të kërkesës, gjykata vendosi se edhe pse kërkesa ishte paraqitur përpara hyrjes në fuqi të zgjidhjes së re, për analogji, ajo do t’</w:t>
      </w:r>
      <w:r w:rsidR="006921F9">
        <w:rPr>
          <w:rFonts w:ascii="Garamond" w:hAnsi="Garamond" w:cs="Times New Roman"/>
          <w:color w:val="000000"/>
          <w:sz w:val="24"/>
          <w:szCs w:val="24"/>
          <w:lang w:val="sq-AL"/>
        </w:rPr>
        <w:t>u</w:t>
      </w:r>
      <w:r w:rsidRPr="00407705">
        <w:rPr>
          <w:rFonts w:ascii="Garamond" w:hAnsi="Garamond" w:cs="Times New Roman"/>
          <w:color w:val="000000"/>
          <w:sz w:val="24"/>
          <w:szCs w:val="24"/>
          <w:lang w:val="sq-AL"/>
        </w:rPr>
        <w:t xml:space="preserve"> referohej parashikimeve statutore</w:t>
      </w:r>
      <w:r w:rsidR="00E02110">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 lidhje me zgjidhjen e re bë përcaktimin e shumës së kompensimit. Gjykata e rrëzoi kërkesën për përfitimin e interesit për pagesë të vonuar të borxhit të papaguar dhe deklaroi se vendimi ishte i apelueshëm. </w:t>
      </w:r>
    </w:p>
    <w:p w14:paraId="69AB0D01" w14:textId="185BB44F"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45. Në vendimin nr. 11-2019-4385</w:t>
      </w:r>
      <w:r w:rsidR="00E02110">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të datës 25 korrik 2019, Gjykata e Rrethit Durrës, duke njohur faktin se një vendim i mëparshëm gjykate kishte njohur vonesën në procedura në një nivel të juridiksionit (prokuroria e rrethit), e pranoi pretendimin për kompensim dhe i dha kërkuesit 100 000 ALL (rreth EUR 800) për vonesën. </w:t>
      </w:r>
    </w:p>
    <w:p w14:paraId="69AB0D02" w14:textId="6E1AD872"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46. Në vendimin nr. 8016</w:t>
      </w:r>
      <w:r w:rsidR="00520FA5">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të datës 25 nëntor 2019, Gjykata e Rrethit Tiranë njohu faktin se vendimi i Gjykatës së Lartë kishte pranuar vonesën prej pesëmbëdhjetë muajsh në procedura në një shkallë të juridiksionit (Gjykata Administrative e Apelit), e pranoi pretendimin për kompensim dhe i dha pretenduesit shumën prej 180 000 ALL (rreth 1400 EUR) për vonesën. Vendimi mund të apelohej. </w:t>
      </w:r>
    </w:p>
    <w:p w14:paraId="69AB0D03"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07705">
        <w:rPr>
          <w:rFonts w:ascii="Garamond" w:hAnsi="Garamond" w:cs="Times New Roman"/>
          <w:i/>
          <w:iCs/>
          <w:color w:val="000000"/>
          <w:sz w:val="24"/>
          <w:szCs w:val="24"/>
          <w:lang w:val="sq-AL"/>
        </w:rPr>
        <w:t xml:space="preserve">4. Ligje të tjera të brendshme në lidhje me çështjen </w:t>
      </w:r>
    </w:p>
    <w:p w14:paraId="69AB0D04" w14:textId="6C6C485D"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47. Institucionet e arsimit të lartë, duke përfshirë zgjedhjen e rektorëve të tyre, veprojnë sipas </w:t>
      </w:r>
      <w:r w:rsidR="00C57B21" w:rsidRPr="00407705">
        <w:rPr>
          <w:rFonts w:ascii="Garamond" w:hAnsi="Garamond" w:cs="Times New Roman"/>
          <w:color w:val="000000"/>
          <w:sz w:val="24"/>
          <w:szCs w:val="24"/>
          <w:lang w:val="sq-AL"/>
        </w:rPr>
        <w:t xml:space="preserve">ligjit për arsimin e lartë (ligji </w:t>
      </w:r>
      <w:r w:rsidRPr="00407705">
        <w:rPr>
          <w:rFonts w:ascii="Garamond" w:hAnsi="Garamond" w:cs="Times New Roman"/>
          <w:color w:val="000000"/>
          <w:sz w:val="24"/>
          <w:szCs w:val="24"/>
          <w:lang w:val="sq-AL"/>
        </w:rPr>
        <w:t xml:space="preserve">nr. 80/2015, i datës 22 korrik 2015, “Për Arsimin e Lartë dhe Kërkimet Shkencore në Institucionet e Arsimit të Lartë”). Neni 39(1) parashikon se rektori është autoriteti më i lartë akademik i një institucioni të arsimit të lartë. Sipas nenit 39(2), rektori zgjidhet nga anëtarët e asambleve të stafit akademik të njësive kryesore përbërëse (fakultetet) dhe nga studentët. Sipas </w:t>
      </w:r>
      <w:r w:rsidR="00C57B21" w:rsidRPr="00407705">
        <w:rPr>
          <w:rFonts w:ascii="Garamond" w:hAnsi="Garamond" w:cs="Times New Roman"/>
          <w:color w:val="000000"/>
          <w:sz w:val="24"/>
          <w:szCs w:val="24"/>
          <w:lang w:val="sq-AL"/>
        </w:rPr>
        <w:t xml:space="preserve">nenit </w:t>
      </w:r>
      <w:r w:rsidRPr="00407705">
        <w:rPr>
          <w:rFonts w:ascii="Garamond" w:hAnsi="Garamond" w:cs="Times New Roman"/>
          <w:color w:val="000000"/>
          <w:sz w:val="24"/>
          <w:szCs w:val="24"/>
          <w:lang w:val="sq-AL"/>
        </w:rPr>
        <w:t>39(3), rektori mban titullin “profesor” dhe mund të vijë nga brenda ose jashtë radhëve të stafit akademik. Kritere të tjera përzgjedhëse për kandidatët</w:t>
      </w:r>
      <w:r w:rsidR="00C57B21">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të cilët dëshirojnë të aplikojnë në pozicionin e rektorit të universitetit mund të parashikohen në statutin e një institucioni të caktuar të arsimit të lartë. Sipas </w:t>
      </w:r>
      <w:r w:rsidR="00C57B21" w:rsidRPr="00407705">
        <w:rPr>
          <w:rFonts w:ascii="Garamond" w:hAnsi="Garamond" w:cs="Times New Roman"/>
          <w:color w:val="000000"/>
          <w:sz w:val="24"/>
          <w:szCs w:val="24"/>
          <w:lang w:val="sq-AL"/>
        </w:rPr>
        <w:t xml:space="preserve">nenit </w:t>
      </w:r>
      <w:r w:rsidRPr="00407705">
        <w:rPr>
          <w:rFonts w:ascii="Garamond" w:hAnsi="Garamond" w:cs="Times New Roman"/>
          <w:color w:val="000000"/>
          <w:sz w:val="24"/>
          <w:szCs w:val="24"/>
          <w:lang w:val="sq-AL"/>
        </w:rPr>
        <w:t xml:space="preserve">39(7), rektori shërben për një mandat katërvjeçar, me të drejtë rizgjedhjeje edhe një herë. </w:t>
      </w:r>
    </w:p>
    <w:p w14:paraId="69AB0D05" w14:textId="669C78DB"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48. Në përputhje me nenin 131 të </w:t>
      </w:r>
      <w:r w:rsidR="00C57B21" w:rsidRPr="00407705">
        <w:rPr>
          <w:rFonts w:ascii="Garamond" w:hAnsi="Garamond" w:cs="Times New Roman"/>
          <w:color w:val="000000"/>
          <w:sz w:val="24"/>
          <w:szCs w:val="24"/>
          <w:lang w:val="sq-AL"/>
        </w:rPr>
        <w:t>ligjit për arsimin e lartë</w:t>
      </w:r>
      <w:r w:rsidRPr="00407705">
        <w:rPr>
          <w:rFonts w:ascii="Garamond" w:hAnsi="Garamond" w:cs="Times New Roman"/>
          <w:color w:val="000000"/>
          <w:sz w:val="24"/>
          <w:szCs w:val="24"/>
          <w:lang w:val="sq-AL"/>
        </w:rPr>
        <w:t>, Ministria e Arsimit miratoi një rregullore për organizimin e zgjedhjeve të para në organet drejtuese të institucioneve të arsimit të lartë. Rregull</w:t>
      </w:r>
      <w:r w:rsidR="00C57B21">
        <w:rPr>
          <w:rFonts w:ascii="Garamond" w:hAnsi="Garamond" w:cs="Times New Roman"/>
          <w:color w:val="000000"/>
          <w:sz w:val="24"/>
          <w:szCs w:val="24"/>
          <w:lang w:val="sq-AL"/>
        </w:rPr>
        <w:t>a 4§</w:t>
      </w:r>
      <w:r w:rsidRPr="00407705">
        <w:rPr>
          <w:rFonts w:ascii="Garamond" w:hAnsi="Garamond" w:cs="Times New Roman"/>
          <w:color w:val="000000"/>
          <w:sz w:val="24"/>
          <w:szCs w:val="24"/>
          <w:lang w:val="sq-AL"/>
        </w:rPr>
        <w:t>8 parashikonte se kandidati i suksesshëm për një pozicion ishte personi i cili kishte marrë shumicën e votave të vlefshme. Rregull</w:t>
      </w:r>
      <w:r w:rsidR="00C57B21">
        <w:rPr>
          <w:rFonts w:ascii="Garamond" w:hAnsi="Garamond" w:cs="Times New Roman"/>
          <w:color w:val="000000"/>
          <w:sz w:val="24"/>
          <w:szCs w:val="24"/>
          <w:lang w:val="sq-AL"/>
        </w:rPr>
        <w:t>a</w:t>
      </w:r>
      <w:r w:rsidR="0054754A" w:rsidRPr="00407705">
        <w:rPr>
          <w:rFonts w:ascii="Garamond" w:hAnsi="Garamond" w:cs="Times New Roman"/>
          <w:color w:val="000000"/>
          <w:sz w:val="24"/>
          <w:szCs w:val="24"/>
          <w:lang w:val="sq-AL"/>
        </w:rPr>
        <w:t xml:space="preserve"> </w:t>
      </w:r>
      <w:r w:rsidRPr="00407705">
        <w:rPr>
          <w:rFonts w:ascii="Garamond" w:hAnsi="Garamond" w:cs="Times New Roman"/>
          <w:color w:val="000000"/>
          <w:sz w:val="24"/>
          <w:szCs w:val="24"/>
          <w:lang w:val="sq-AL"/>
        </w:rPr>
        <w:t xml:space="preserve">6 bënte një parashikim për Komisionin Zgjedhor, i cili midis të tjerash, ishte përgjegjës edhe për organizimin dhe drejtimin e zgjedhjeve, për shpalljen e kandidatit fitues në pozicionin e rektorit të universitetit dhe shqyrtimin e ankesave të paraqitura nga kandidatët. Sipas </w:t>
      </w:r>
      <w:r w:rsidR="00C57B21" w:rsidRPr="00407705">
        <w:rPr>
          <w:rFonts w:ascii="Garamond" w:hAnsi="Garamond" w:cs="Times New Roman"/>
          <w:color w:val="000000"/>
          <w:sz w:val="24"/>
          <w:szCs w:val="24"/>
          <w:lang w:val="sq-AL"/>
        </w:rPr>
        <w:t>rregull</w:t>
      </w:r>
      <w:r w:rsidR="00C57B21">
        <w:rPr>
          <w:rFonts w:ascii="Garamond" w:hAnsi="Garamond" w:cs="Times New Roman"/>
          <w:color w:val="000000"/>
          <w:sz w:val="24"/>
          <w:szCs w:val="24"/>
          <w:lang w:val="sq-AL"/>
        </w:rPr>
        <w:t>ës</w:t>
      </w:r>
      <w:r w:rsidR="00C57B21" w:rsidRPr="00407705">
        <w:rPr>
          <w:rFonts w:ascii="Garamond" w:hAnsi="Garamond" w:cs="Times New Roman"/>
          <w:color w:val="000000"/>
          <w:sz w:val="24"/>
          <w:szCs w:val="24"/>
          <w:lang w:val="sq-AL"/>
        </w:rPr>
        <w:t xml:space="preserve"> </w:t>
      </w:r>
      <w:r w:rsidRPr="00407705">
        <w:rPr>
          <w:rFonts w:ascii="Garamond" w:hAnsi="Garamond" w:cs="Times New Roman"/>
          <w:color w:val="000000"/>
          <w:sz w:val="24"/>
          <w:szCs w:val="24"/>
          <w:lang w:val="sq-AL"/>
        </w:rPr>
        <w:t xml:space="preserve">39, vendimet e Komisionit Zgjedhor mund të apeloheshin në Komisionin e Apelit, vendimi i të cilit ishte i apelueshëm në gjykatat </w:t>
      </w:r>
      <w:r w:rsidR="00C57B21" w:rsidRPr="00C57B21">
        <w:rPr>
          <w:rFonts w:ascii="Garamond" w:hAnsi="Garamond" w:cs="Times New Roman"/>
          <w:color w:val="000000"/>
          <w:sz w:val="24"/>
          <w:szCs w:val="24"/>
          <w:lang w:val="sq-AL"/>
        </w:rPr>
        <w:t>vendës</w:t>
      </w:r>
      <w:r w:rsidRPr="00407705">
        <w:rPr>
          <w:rFonts w:ascii="Garamond" w:hAnsi="Garamond" w:cs="Times New Roman"/>
          <w:color w:val="000000"/>
          <w:sz w:val="24"/>
          <w:szCs w:val="24"/>
          <w:lang w:val="sq-AL"/>
        </w:rPr>
        <w:t>e. Rregull</w:t>
      </w:r>
      <w:r w:rsidR="00C57B21">
        <w:rPr>
          <w:rFonts w:ascii="Garamond" w:hAnsi="Garamond" w:cs="Times New Roman"/>
          <w:color w:val="000000"/>
          <w:sz w:val="24"/>
          <w:szCs w:val="24"/>
          <w:lang w:val="sq-AL"/>
        </w:rPr>
        <w:t>a</w:t>
      </w:r>
      <w:r w:rsidRPr="00407705">
        <w:rPr>
          <w:rFonts w:ascii="Garamond" w:hAnsi="Garamond" w:cs="Times New Roman"/>
          <w:color w:val="000000"/>
          <w:sz w:val="24"/>
          <w:szCs w:val="24"/>
          <w:lang w:val="sq-AL"/>
        </w:rPr>
        <w:t xml:space="preserve"> 20 parashikonte kriteret e përzgjedhjes për kandidatët</w:t>
      </w:r>
      <w:r w:rsidR="00C57B21">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të cilët dëshironin të aplikonin për pozicionin e rektorit. </w:t>
      </w:r>
    </w:p>
    <w:p w14:paraId="69AB0D07"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407705">
        <w:rPr>
          <w:rFonts w:ascii="Garamond" w:hAnsi="Garamond" w:cs="Times New Roman"/>
          <w:b/>
          <w:bCs/>
          <w:color w:val="000000"/>
          <w:sz w:val="24"/>
          <w:szCs w:val="24"/>
          <w:lang w:val="sq-AL"/>
        </w:rPr>
        <w:t>B. Materiali i Këshillit të Evropës</w:t>
      </w:r>
    </w:p>
    <w:p w14:paraId="69AB0D09" w14:textId="14770D95" w:rsidR="009A0255" w:rsidRPr="00407705" w:rsidRDefault="009A0255" w:rsidP="009A025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07705">
        <w:rPr>
          <w:rFonts w:ascii="Garamond" w:hAnsi="Garamond" w:cs="Times New Roman"/>
          <w:color w:val="000000"/>
          <w:sz w:val="24"/>
          <w:szCs w:val="24"/>
          <w:lang w:val="sq-AL"/>
        </w:rPr>
        <w:t>49. Pas hyrjes në fuqi të zgjidhjes së re</w:t>
      </w:r>
      <w:r w:rsidR="00F71474">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 lidhje me kohëzgjatjen e tepërt të procedurave (shih paragrafin 37 më sipër), në takimin e tij</w:t>
      </w:r>
      <w:r w:rsidR="0054754A" w:rsidRPr="00407705">
        <w:rPr>
          <w:rFonts w:ascii="Garamond" w:hAnsi="Garamond" w:cs="Times New Roman"/>
          <w:i/>
          <w:iCs/>
          <w:color w:val="000000"/>
          <w:sz w:val="24"/>
          <w:szCs w:val="24"/>
          <w:lang w:val="sq-AL"/>
        </w:rPr>
        <w:t xml:space="preserve"> </w:t>
      </w:r>
      <w:r w:rsidRPr="00407705">
        <w:rPr>
          <w:rFonts w:ascii="Garamond" w:hAnsi="Garamond" w:cs="Times New Roman"/>
          <w:color w:val="000000"/>
          <w:sz w:val="24"/>
          <w:szCs w:val="24"/>
          <w:lang w:val="sq-AL"/>
        </w:rPr>
        <w:t>të 1377-të, të datës 4 qershor 2020, Komisioni i Ministrave (CM/Notes/1377/H46-1, Shënime për Agjendën) u shpreh si më poshtë</w:t>
      </w:r>
      <w:r w:rsidR="00F71474">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 lidhje me statusin e ekzekutimit të vendimit për çështjen </w:t>
      </w:r>
      <w:r w:rsidRPr="00407705">
        <w:rPr>
          <w:rFonts w:ascii="Garamond" w:hAnsi="Garamond" w:cs="Times New Roman"/>
          <w:i/>
          <w:iCs/>
          <w:color w:val="000000"/>
          <w:sz w:val="24"/>
          <w:szCs w:val="24"/>
          <w:lang w:val="sq-AL"/>
        </w:rPr>
        <w:t xml:space="preserve">Luli dhe të tjerët kundër Shqipërisë: </w:t>
      </w:r>
    </w:p>
    <w:p w14:paraId="69AB0D0A"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407705">
        <w:rPr>
          <w:rFonts w:ascii="Garamond" w:hAnsi="Garamond" w:cs="Times New Roman"/>
          <w:b/>
          <w:bCs/>
          <w:color w:val="000000"/>
          <w:sz w:val="24"/>
          <w:szCs w:val="24"/>
          <w:lang w:val="sq-AL"/>
        </w:rPr>
        <w:t>“Statusi i ekzekutimit</w:t>
      </w:r>
    </w:p>
    <w:p w14:paraId="69AB0D0B"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w:t>
      </w:r>
    </w:p>
    <w:p w14:paraId="69AB0D0C" w14:textId="77777777" w:rsidR="009A0255" w:rsidRPr="00F71474" w:rsidRDefault="009A0255" w:rsidP="009A025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F71474">
        <w:rPr>
          <w:rFonts w:ascii="Garamond" w:hAnsi="Garamond" w:cs="Times New Roman"/>
          <w:i/>
          <w:iCs/>
          <w:color w:val="000000"/>
          <w:sz w:val="24"/>
          <w:szCs w:val="24"/>
          <w:lang w:val="sq-AL"/>
        </w:rPr>
        <w:t>Masa të përgjithshme</w:t>
      </w:r>
    </w:p>
    <w:p w14:paraId="69AB0D0D" w14:textId="77777777" w:rsidR="009A0255" w:rsidRPr="00F71474" w:rsidRDefault="009A0255" w:rsidP="009A025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F71474">
        <w:rPr>
          <w:rFonts w:ascii="Garamond" w:hAnsi="Garamond" w:cs="Times New Roman"/>
          <w:i/>
          <w:iCs/>
          <w:color w:val="000000"/>
          <w:sz w:val="24"/>
          <w:szCs w:val="24"/>
          <w:lang w:val="sq-AL"/>
        </w:rPr>
        <w:t>...</w:t>
      </w:r>
    </w:p>
    <w:p w14:paraId="69AB0D0E" w14:textId="5424BE88" w:rsidR="009A0255" w:rsidRPr="00F71474" w:rsidRDefault="009A0255" w:rsidP="009A025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F71474">
        <w:rPr>
          <w:rFonts w:ascii="Garamond" w:hAnsi="Garamond" w:cs="Times New Roman"/>
          <w:i/>
          <w:iCs/>
          <w:color w:val="000000"/>
          <w:sz w:val="24"/>
          <w:szCs w:val="24"/>
          <w:lang w:val="sq-AL"/>
        </w:rPr>
        <w:t>3</w:t>
      </w:r>
      <w:r w:rsidR="00F71474" w:rsidRPr="00F71474">
        <w:rPr>
          <w:rFonts w:ascii="Garamond" w:hAnsi="Garamond" w:cs="Times New Roman"/>
          <w:i/>
          <w:iCs/>
          <w:color w:val="000000"/>
          <w:sz w:val="24"/>
          <w:szCs w:val="24"/>
          <w:lang w:val="sq-AL"/>
        </w:rPr>
        <w:t>.</w:t>
      </w:r>
      <w:r w:rsidRPr="00F71474">
        <w:rPr>
          <w:rFonts w:ascii="Garamond" w:hAnsi="Garamond" w:cs="Times New Roman"/>
          <w:i/>
          <w:iCs/>
          <w:color w:val="000000"/>
          <w:sz w:val="24"/>
          <w:szCs w:val="24"/>
          <w:lang w:val="sq-AL"/>
        </w:rPr>
        <w:t xml:space="preserve"> Zhvillimet në lidhje me kohëzgjatjen e tepërt të procedurave gjyqësore: </w:t>
      </w:r>
    </w:p>
    <w:p w14:paraId="69AB0D0F" w14:textId="558F9944" w:rsidR="009A0255" w:rsidRPr="00F71474" w:rsidRDefault="009A0255" w:rsidP="009A025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F71474">
        <w:rPr>
          <w:rFonts w:ascii="Garamond" w:hAnsi="Garamond" w:cs="Times New Roman"/>
          <w:i/>
          <w:iCs/>
          <w:color w:val="000000"/>
          <w:sz w:val="24"/>
          <w:szCs w:val="24"/>
          <w:lang w:val="sq-AL"/>
        </w:rPr>
        <w:t xml:space="preserve">- Rritja e kohëzgjatjes mesatare të procedurave si rezultat i </w:t>
      </w:r>
      <w:r w:rsidR="00654098" w:rsidRPr="00F71474">
        <w:rPr>
          <w:rFonts w:ascii="Garamond" w:hAnsi="Garamond" w:cs="Times New Roman"/>
          <w:i/>
          <w:iCs/>
          <w:color w:val="000000"/>
          <w:sz w:val="24"/>
          <w:szCs w:val="24"/>
          <w:lang w:val="sq-AL"/>
        </w:rPr>
        <w:t>vetting</w:t>
      </w:r>
      <w:r w:rsidRPr="00F71474">
        <w:rPr>
          <w:rFonts w:ascii="Garamond" w:hAnsi="Garamond" w:cs="Times New Roman"/>
          <w:i/>
          <w:iCs/>
          <w:color w:val="000000"/>
          <w:sz w:val="24"/>
          <w:szCs w:val="24"/>
          <w:lang w:val="sq-AL"/>
        </w:rPr>
        <w:t>-ut të gjyqtarëve:</w:t>
      </w:r>
    </w:p>
    <w:p w14:paraId="69AB0D10" w14:textId="03792CB9"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 autoritetet raportojnë një rritje të kohëzgjatjes mesatare të procedurave gjyqësore dhe një rritje në numrin e çështjeve të prapambetura </w:t>
      </w:r>
      <w:r w:rsidRPr="00F71474">
        <w:rPr>
          <w:rFonts w:ascii="Garamond" w:hAnsi="Garamond" w:cs="Times New Roman"/>
          <w:i/>
          <w:color w:val="000000"/>
          <w:sz w:val="24"/>
          <w:szCs w:val="24"/>
          <w:lang w:val="sq-AL"/>
        </w:rPr>
        <w:t>(</w:t>
      </w:r>
      <w:r w:rsidR="00650F7A" w:rsidRPr="00650F7A">
        <w:rPr>
          <w:rFonts w:ascii="Garamond" w:hAnsi="Garamond" w:cs="Times New Roman"/>
          <w:i/>
          <w:color w:val="000000"/>
          <w:sz w:val="24"/>
          <w:szCs w:val="24"/>
          <w:lang w:val="sq-AL"/>
        </w:rPr>
        <w:t>backlog</w:t>
      </w:r>
      <w:r w:rsidRPr="00F71474">
        <w:rPr>
          <w:rFonts w:ascii="Garamond" w:hAnsi="Garamond" w:cs="Times New Roman"/>
          <w:i/>
          <w:color w:val="000000"/>
          <w:sz w:val="24"/>
          <w:szCs w:val="24"/>
          <w:lang w:val="sq-AL"/>
        </w:rPr>
        <w:t>)</w:t>
      </w:r>
      <w:r w:rsidRPr="00407705">
        <w:rPr>
          <w:rFonts w:ascii="Garamond" w:hAnsi="Garamond" w:cs="Times New Roman"/>
          <w:color w:val="000000"/>
          <w:sz w:val="24"/>
          <w:szCs w:val="24"/>
          <w:lang w:val="sq-AL"/>
        </w:rPr>
        <w:t xml:space="preserve"> për periudhën 2017</w:t>
      </w:r>
      <w:r w:rsidR="00F71474">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2019. Ky trend negativ vjen si shkak i procesit të </w:t>
      </w:r>
      <w:r w:rsidR="00654098" w:rsidRPr="00407705">
        <w:rPr>
          <w:rFonts w:ascii="Garamond" w:hAnsi="Garamond" w:cs="Times New Roman"/>
          <w:i/>
          <w:color w:val="000000"/>
          <w:sz w:val="24"/>
          <w:szCs w:val="24"/>
          <w:lang w:val="sq-AL"/>
        </w:rPr>
        <w:t>vetting</w:t>
      </w:r>
      <w:r w:rsidRPr="00407705">
        <w:rPr>
          <w:rFonts w:ascii="Garamond" w:hAnsi="Garamond" w:cs="Times New Roman"/>
          <w:color w:val="000000"/>
          <w:sz w:val="24"/>
          <w:szCs w:val="24"/>
          <w:lang w:val="sq-AL"/>
        </w:rPr>
        <w:t>-ut të nisur më 2017</w:t>
      </w:r>
      <w:r w:rsidR="00F71474">
        <w:rPr>
          <w:rFonts w:ascii="Garamond" w:hAnsi="Garamond" w:cs="Times New Roman"/>
          <w:color w:val="000000"/>
          <w:sz w:val="24"/>
          <w:szCs w:val="24"/>
          <w:lang w:val="sq-AL"/>
        </w:rPr>
        <w:t>-ën</w:t>
      </w:r>
      <w:r w:rsidRPr="00407705">
        <w:rPr>
          <w:rFonts w:ascii="Garamond" w:hAnsi="Garamond" w:cs="Times New Roman"/>
          <w:color w:val="000000"/>
          <w:sz w:val="24"/>
          <w:szCs w:val="24"/>
          <w:lang w:val="sq-AL"/>
        </w:rPr>
        <w:t xml:space="preserve"> dhe ende në vijim, sipas së cilit janë verifikuar kredencialet e gjyqtarëve të të gjitha niveleve [është hequr referenca]. </w:t>
      </w:r>
    </w:p>
    <w:p w14:paraId="69AB0D11" w14:textId="7ADA2620"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Për pasojë, 60% e magjistratëve të kontrolluar ose janë pushuar nga detyra ose kanë dhënë dorëheqjen [është hequr referenca], duke përfshirë gjyqtarët në Gjykatën e Lartë dhe Gjykatën Kushtetuese (deri së fundmi, këto dy gjykata kishin vetëm nga një gjyqtar secila). Aktualisht, Gjykata e Lartë ka një </w:t>
      </w:r>
      <w:r w:rsidR="00650F7A" w:rsidRPr="00650F7A">
        <w:rPr>
          <w:rFonts w:ascii="Garamond" w:hAnsi="Garamond" w:cs="Times New Roman"/>
          <w:i/>
          <w:color w:val="000000"/>
          <w:sz w:val="24"/>
          <w:szCs w:val="24"/>
          <w:lang w:val="sq-AL"/>
        </w:rPr>
        <w:t>backlog</w:t>
      </w:r>
      <w:r w:rsidRPr="00407705">
        <w:rPr>
          <w:rFonts w:ascii="Garamond" w:hAnsi="Garamond" w:cs="Times New Roman"/>
          <w:color w:val="000000"/>
          <w:sz w:val="24"/>
          <w:szCs w:val="24"/>
          <w:lang w:val="sq-AL"/>
        </w:rPr>
        <w:t xml:space="preserve"> (çështje të prapambetura) me pothuajse 35000 çështje, një pjesë e të cilave është akumuluar në periudhën maj 2019 deri në mars 2020, periudhë gjatë së cilës ajo nuk mund të formonte një panel gjyqësor për të gjykuar çështjet. </w:t>
      </w:r>
    </w:p>
    <w:p w14:paraId="69AB0D12" w14:textId="25972ADB"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Autoritetet nënvizojnë natyrën e jashtëzakonshme të kësaj situate; se ajo do të ketë pasoja që do të jenë vetëm afatshkurtra dhe se kjo situatë nuk mund t’</w:t>
      </w:r>
      <w:r w:rsidR="00275833">
        <w:rPr>
          <w:rFonts w:ascii="Garamond" w:hAnsi="Garamond" w:cs="Times New Roman"/>
          <w:color w:val="000000"/>
          <w:sz w:val="24"/>
          <w:szCs w:val="24"/>
          <w:lang w:val="sq-AL"/>
        </w:rPr>
        <w:t>u</w:t>
      </w:r>
      <w:r w:rsidRPr="00407705">
        <w:rPr>
          <w:rFonts w:ascii="Garamond" w:hAnsi="Garamond" w:cs="Times New Roman"/>
          <w:color w:val="000000"/>
          <w:sz w:val="24"/>
          <w:szCs w:val="24"/>
          <w:lang w:val="sq-AL"/>
        </w:rPr>
        <w:t xml:space="preserve"> atribuohej veprimeve të papërshtatshme ose mosveprimeve nga ana e tyre</w:t>
      </w:r>
      <w:r w:rsidR="00275833">
        <w:rPr>
          <w:rFonts w:ascii="Garamond" w:hAnsi="Garamond" w:cs="Times New Roman"/>
          <w:color w:val="000000"/>
          <w:sz w:val="24"/>
          <w:szCs w:val="24"/>
          <w:lang w:val="sq-AL"/>
        </w:rPr>
        <w:t xml:space="preserve"> </w:t>
      </w:r>
      <w:r w:rsidRPr="00407705">
        <w:rPr>
          <w:rFonts w:ascii="Garamond" w:hAnsi="Garamond" w:cs="Times New Roman"/>
          <w:color w:val="000000"/>
          <w:sz w:val="24"/>
          <w:szCs w:val="24"/>
          <w:lang w:val="sq-AL"/>
        </w:rPr>
        <w:t>...</w:t>
      </w:r>
    </w:p>
    <w:p w14:paraId="69AB0D13" w14:textId="3353E84E"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Gjykata e Lartë e krijuar rishtazi tashmë mund të gjykojë çështje me panele gjyqësore me tre gjyqtarë (numër që është i domosdoshëm për shumicën e çështjeve që trajtohen në këtë gjykatë), si rezultat i tre emërimeve të reja gjyqësore në mars të vitit 2020</w:t>
      </w:r>
      <w:r w:rsidR="00275833">
        <w:rPr>
          <w:rFonts w:ascii="Garamond" w:hAnsi="Garamond" w:cs="Times New Roman"/>
          <w:color w:val="000000"/>
          <w:sz w:val="24"/>
          <w:szCs w:val="24"/>
          <w:lang w:val="sq-AL"/>
        </w:rPr>
        <w:t xml:space="preserve"> </w:t>
      </w:r>
      <w:r w:rsidRPr="00407705">
        <w:rPr>
          <w:rFonts w:ascii="Garamond" w:hAnsi="Garamond" w:cs="Times New Roman"/>
          <w:color w:val="000000"/>
          <w:sz w:val="24"/>
          <w:szCs w:val="24"/>
          <w:lang w:val="sq-AL"/>
        </w:rPr>
        <w:t>...</w:t>
      </w:r>
    </w:p>
    <w:p w14:paraId="69AB0D14"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w:t>
      </w:r>
    </w:p>
    <w:p w14:paraId="69AB0D15" w14:textId="4A14A4B7" w:rsidR="009A0255" w:rsidRPr="00275833"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75833">
        <w:rPr>
          <w:rFonts w:ascii="Garamond" w:hAnsi="Garamond" w:cs="Times New Roman"/>
          <w:color w:val="000000"/>
          <w:sz w:val="24"/>
          <w:szCs w:val="24"/>
          <w:lang w:val="sq-AL"/>
        </w:rPr>
        <w:t xml:space="preserve">- </w:t>
      </w:r>
      <w:r w:rsidRPr="00275833">
        <w:rPr>
          <w:rFonts w:ascii="Garamond" w:hAnsi="Garamond" w:cs="Times New Roman"/>
          <w:i/>
          <w:iCs/>
          <w:color w:val="000000"/>
          <w:sz w:val="24"/>
          <w:szCs w:val="24"/>
          <w:lang w:val="sq-AL"/>
        </w:rPr>
        <w:t xml:space="preserve">Plani i veprimit për reduktimin e </w:t>
      </w:r>
      <w:r w:rsidR="00650F7A" w:rsidRPr="00650F7A">
        <w:rPr>
          <w:rFonts w:ascii="Garamond" w:hAnsi="Garamond" w:cs="Times New Roman"/>
          <w:i/>
          <w:iCs/>
          <w:color w:val="000000"/>
          <w:sz w:val="24"/>
          <w:szCs w:val="24"/>
          <w:lang w:val="sq-AL"/>
        </w:rPr>
        <w:t>backlog</w:t>
      </w:r>
      <w:r w:rsidRPr="00275833">
        <w:rPr>
          <w:rFonts w:ascii="Garamond" w:hAnsi="Garamond" w:cs="Times New Roman"/>
          <w:i/>
          <w:iCs/>
          <w:color w:val="000000"/>
          <w:sz w:val="24"/>
          <w:szCs w:val="24"/>
          <w:lang w:val="sq-AL"/>
        </w:rPr>
        <w:t xml:space="preserve">-ut në Gjykatën e Lartë: </w:t>
      </w:r>
      <w:r w:rsidRPr="00275833">
        <w:rPr>
          <w:rFonts w:ascii="Garamond" w:hAnsi="Garamond" w:cs="Times New Roman"/>
          <w:color w:val="000000"/>
          <w:sz w:val="24"/>
          <w:szCs w:val="24"/>
          <w:lang w:val="sq-AL"/>
        </w:rPr>
        <w:t xml:space="preserve">Në muajin dhjetor 2019, u krijua një komision </w:t>
      </w:r>
      <w:r w:rsidRPr="00275833">
        <w:rPr>
          <w:rFonts w:ascii="Garamond" w:hAnsi="Garamond" w:cs="Times New Roman"/>
          <w:i/>
          <w:iCs/>
          <w:color w:val="000000"/>
          <w:sz w:val="24"/>
          <w:szCs w:val="24"/>
          <w:lang w:val="sq-AL"/>
        </w:rPr>
        <w:t>ad hoc</w:t>
      </w:r>
      <w:r w:rsidRPr="00275833">
        <w:rPr>
          <w:rFonts w:ascii="Garamond" w:hAnsi="Garamond" w:cs="Times New Roman"/>
          <w:color w:val="000000"/>
          <w:sz w:val="24"/>
          <w:szCs w:val="24"/>
          <w:lang w:val="sq-AL"/>
        </w:rPr>
        <w:t xml:space="preserve"> me iniciativën e Këshillit të Lartë Gjyqësor</w:t>
      </w:r>
      <w:r w:rsidR="00147963">
        <w:rPr>
          <w:rFonts w:ascii="Garamond" w:hAnsi="Garamond" w:cs="Times New Roman"/>
          <w:color w:val="000000"/>
          <w:sz w:val="24"/>
          <w:szCs w:val="24"/>
          <w:lang w:val="sq-AL"/>
        </w:rPr>
        <w:t>,</w:t>
      </w:r>
      <w:r w:rsidRPr="00275833">
        <w:rPr>
          <w:rFonts w:ascii="Garamond" w:hAnsi="Garamond" w:cs="Times New Roman"/>
          <w:color w:val="000000"/>
          <w:sz w:val="24"/>
          <w:szCs w:val="24"/>
          <w:lang w:val="sq-AL"/>
        </w:rPr>
        <w:t xml:space="preserve"> për propozimin e një plani veprimi për reduktimin e </w:t>
      </w:r>
      <w:r w:rsidR="00650F7A" w:rsidRPr="00650F7A">
        <w:rPr>
          <w:rFonts w:ascii="Garamond" w:hAnsi="Garamond" w:cs="Times New Roman"/>
          <w:i/>
          <w:color w:val="000000"/>
          <w:sz w:val="24"/>
          <w:szCs w:val="24"/>
          <w:lang w:val="sq-AL"/>
        </w:rPr>
        <w:t>backlog</w:t>
      </w:r>
      <w:r w:rsidRPr="00275833">
        <w:rPr>
          <w:rFonts w:ascii="Garamond" w:hAnsi="Garamond" w:cs="Times New Roman"/>
          <w:color w:val="000000"/>
          <w:sz w:val="24"/>
          <w:szCs w:val="24"/>
          <w:lang w:val="sq-AL"/>
        </w:rPr>
        <w:t>-ut dhe rritjen e efi</w:t>
      </w:r>
      <w:r w:rsidR="00147963">
        <w:rPr>
          <w:rFonts w:ascii="Garamond" w:hAnsi="Garamond" w:cs="Times New Roman"/>
          <w:color w:val="000000"/>
          <w:sz w:val="24"/>
          <w:szCs w:val="24"/>
          <w:lang w:val="sq-AL"/>
        </w:rPr>
        <w:t>ci</w:t>
      </w:r>
      <w:r w:rsidRPr="00275833">
        <w:rPr>
          <w:rFonts w:ascii="Garamond" w:hAnsi="Garamond" w:cs="Times New Roman"/>
          <w:color w:val="000000"/>
          <w:sz w:val="24"/>
          <w:szCs w:val="24"/>
          <w:lang w:val="sq-AL"/>
        </w:rPr>
        <w:t xml:space="preserve">encës së Gjykatës së Lartë. Ky komision tashmë ka propozuar masa konkrete në një memorandum. </w:t>
      </w:r>
    </w:p>
    <w:p w14:paraId="69AB0D16" w14:textId="77777777" w:rsidR="009A0255" w:rsidRPr="00275833" w:rsidRDefault="009A0255" w:rsidP="009A025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275833">
        <w:rPr>
          <w:rFonts w:ascii="Garamond" w:hAnsi="Garamond" w:cs="Times New Roman"/>
          <w:i/>
          <w:iCs/>
          <w:color w:val="000000"/>
          <w:sz w:val="24"/>
          <w:szCs w:val="24"/>
          <w:lang w:val="sq-AL"/>
        </w:rPr>
        <w:t>...</w:t>
      </w:r>
    </w:p>
    <w:p w14:paraId="69AB0D17" w14:textId="585DD166" w:rsidR="009A0255" w:rsidRPr="00275833" w:rsidRDefault="009A0255" w:rsidP="009A025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275833">
        <w:rPr>
          <w:rFonts w:ascii="Garamond" w:hAnsi="Garamond" w:cs="Times New Roman"/>
          <w:i/>
          <w:iCs/>
          <w:color w:val="000000"/>
          <w:sz w:val="24"/>
          <w:szCs w:val="24"/>
          <w:lang w:val="sq-AL"/>
        </w:rPr>
        <w:t>4</w:t>
      </w:r>
      <w:r w:rsidR="00147963">
        <w:rPr>
          <w:rFonts w:ascii="Garamond" w:hAnsi="Garamond" w:cs="Times New Roman"/>
          <w:i/>
          <w:iCs/>
          <w:color w:val="000000"/>
          <w:sz w:val="24"/>
          <w:szCs w:val="24"/>
          <w:lang w:val="sq-AL"/>
        </w:rPr>
        <w:t>.</w:t>
      </w:r>
      <w:r w:rsidRPr="00275833">
        <w:rPr>
          <w:rFonts w:ascii="Garamond" w:hAnsi="Garamond" w:cs="Times New Roman"/>
          <w:i/>
          <w:iCs/>
          <w:color w:val="000000"/>
          <w:sz w:val="24"/>
          <w:szCs w:val="24"/>
          <w:lang w:val="sq-AL"/>
        </w:rPr>
        <w:t xml:space="preserve"> Zhvillime në lidhje me zgjidhjen përshpejtuese dhe kompensuese: </w:t>
      </w:r>
    </w:p>
    <w:p w14:paraId="69AB0D18" w14:textId="34DEB724"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75833">
        <w:rPr>
          <w:rFonts w:ascii="Garamond" w:hAnsi="Garamond" w:cs="Times New Roman"/>
          <w:i/>
          <w:iCs/>
          <w:color w:val="000000"/>
          <w:sz w:val="24"/>
          <w:szCs w:val="24"/>
          <w:lang w:val="sq-AL"/>
        </w:rPr>
        <w:t>- Funksionimi dhe efi</w:t>
      </w:r>
      <w:r w:rsidR="00147963">
        <w:rPr>
          <w:rFonts w:ascii="Garamond" w:hAnsi="Garamond" w:cs="Times New Roman"/>
          <w:i/>
          <w:iCs/>
          <w:color w:val="000000"/>
          <w:sz w:val="24"/>
          <w:szCs w:val="24"/>
          <w:lang w:val="sq-AL"/>
        </w:rPr>
        <w:t>ci</w:t>
      </w:r>
      <w:r w:rsidRPr="00275833">
        <w:rPr>
          <w:rFonts w:ascii="Garamond" w:hAnsi="Garamond" w:cs="Times New Roman"/>
          <w:i/>
          <w:iCs/>
          <w:color w:val="000000"/>
          <w:sz w:val="24"/>
          <w:szCs w:val="24"/>
          <w:lang w:val="sq-AL"/>
        </w:rPr>
        <w:t xml:space="preserve">enca e zgjidhjes: </w:t>
      </w:r>
      <w:r w:rsidRPr="00275833">
        <w:rPr>
          <w:rFonts w:ascii="Garamond" w:hAnsi="Garamond" w:cs="Times New Roman"/>
          <w:color w:val="000000"/>
          <w:sz w:val="24"/>
          <w:szCs w:val="24"/>
          <w:lang w:val="sq-AL"/>
        </w:rPr>
        <w:t>Që prej muajit nëntor 2017, në Shqipëri ka funksionuar një zgjidhje e re përshpejtuese dhe kompensuese për kohëzgjatjen e tepër</w:t>
      </w:r>
      <w:r w:rsidR="00AD30AC">
        <w:rPr>
          <w:rFonts w:ascii="Garamond" w:hAnsi="Garamond" w:cs="Times New Roman"/>
          <w:color w:val="000000"/>
          <w:sz w:val="24"/>
          <w:szCs w:val="24"/>
          <w:lang w:val="sq-AL"/>
        </w:rPr>
        <w:t>t</w:t>
      </w:r>
      <w:r w:rsidRPr="00275833">
        <w:rPr>
          <w:rFonts w:ascii="Garamond" w:hAnsi="Garamond" w:cs="Times New Roman"/>
          <w:color w:val="000000"/>
          <w:sz w:val="24"/>
          <w:szCs w:val="24"/>
          <w:lang w:val="sq-AL"/>
        </w:rPr>
        <w:t xml:space="preserve"> të procedurave gjyqësore. Ajo</w:t>
      </w:r>
      <w:r w:rsidRPr="00407705">
        <w:rPr>
          <w:rFonts w:ascii="Garamond" w:hAnsi="Garamond" w:cs="Times New Roman"/>
          <w:color w:val="000000"/>
          <w:sz w:val="24"/>
          <w:szCs w:val="24"/>
          <w:lang w:val="sq-AL"/>
        </w:rPr>
        <w:t xml:space="preserve"> zbatohet për procedurat në të gjitha gjykatat penale, civile dhe administrative, për hetimet penale dhe procedurat e zbatimit të vendimeve. Ajo nuk zbatohet për procedurat në organet administrative, për të cilat autoritetet janë të mendimit se ka mjaftueshëm garanci legjislative dhe</w:t>
      </w:r>
      <w:r w:rsidR="00144C01">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për shqyrtimin gjyqësor. Kërkesat për kompensim ose përshpejtim paraqiten në gjykatat e zakonshme ose në Gjykatën Kushtetuese, në varësi të juridiksionit. </w:t>
      </w:r>
    </w:p>
    <w:p w14:paraId="69AB0D19" w14:textId="1BB303F0"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Autoritetet raportojnë një rritje gjatë dy viteve të fundit</w:t>
      </w:r>
      <w:r w:rsidR="00144C01">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 përdorimin e zgjidhjes, por pranojnë se numri i kërkesave të paraqitura vijon të jetë i ulët. Statistikat tregojnë se vetëm një numër i vogël i kërkesave të paraqitura është pranuar nga gjykatat (për shembull: për vitin 2019, nga 40 kërkesa të paraqitura në Gjykatën e Lartë, 1 u pranua, 13 u pushuan dhe 26 janë ende pezull; nga 93 kërkesa të paraqitura në gjykatat e rrethit dhe të apelit, janë pranuar 19).”</w:t>
      </w:r>
      <w:r w:rsidR="00144C01">
        <w:rPr>
          <w:rFonts w:ascii="Garamond" w:hAnsi="Garamond" w:cs="Times New Roman"/>
          <w:color w:val="000000"/>
          <w:sz w:val="24"/>
          <w:szCs w:val="24"/>
          <w:lang w:val="sq-AL"/>
        </w:rPr>
        <w:t>.</w:t>
      </w:r>
    </w:p>
    <w:p w14:paraId="69AB0D1A" w14:textId="7661F673"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50. Pjesa përkatëse e vendimit të Komisionit të Ministrave i po </w:t>
      </w:r>
      <w:r w:rsidR="00E61693">
        <w:rPr>
          <w:rFonts w:ascii="Garamond" w:hAnsi="Garamond" w:cs="Times New Roman"/>
          <w:color w:val="000000"/>
          <w:sz w:val="24"/>
          <w:szCs w:val="24"/>
          <w:lang w:val="sq-AL"/>
        </w:rPr>
        <w:t>s</w:t>
      </w:r>
      <w:r w:rsidRPr="00407705">
        <w:rPr>
          <w:rFonts w:ascii="Garamond" w:hAnsi="Garamond" w:cs="Times New Roman"/>
          <w:color w:val="000000"/>
          <w:sz w:val="24"/>
          <w:szCs w:val="24"/>
          <w:lang w:val="sq-AL"/>
        </w:rPr>
        <w:t>ë njëjtës datë (CM/Del/Dec(2020)1377/H46-1) parashikon</w:t>
      </w:r>
      <w:r w:rsidR="00E61693">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si më poshtë:</w:t>
      </w:r>
    </w:p>
    <w:p w14:paraId="69AB0D1B"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“Deputetët: </w:t>
      </w:r>
    </w:p>
    <w:p w14:paraId="69AB0D1C"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w:t>
      </w:r>
    </w:p>
    <w:p w14:paraId="69AB0D1D"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07705">
        <w:rPr>
          <w:rFonts w:ascii="Garamond" w:hAnsi="Garamond" w:cs="Times New Roman"/>
          <w:i/>
          <w:iCs/>
          <w:color w:val="000000"/>
          <w:sz w:val="24"/>
          <w:szCs w:val="24"/>
          <w:lang w:val="sq-AL"/>
        </w:rPr>
        <w:t>Në lidhje me masat e përgjithshme</w:t>
      </w:r>
    </w:p>
    <w:p w14:paraId="69AB0D1E" w14:textId="3D9B2B9C"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i/>
          <w:iCs/>
          <w:color w:val="000000"/>
          <w:sz w:val="24"/>
          <w:szCs w:val="24"/>
          <w:lang w:val="sq-AL"/>
        </w:rPr>
        <w:t xml:space="preserve">5. </w:t>
      </w:r>
      <w:r w:rsidR="00E61693" w:rsidRPr="00407705">
        <w:rPr>
          <w:rFonts w:ascii="Garamond" w:hAnsi="Garamond" w:cs="Times New Roman"/>
          <w:color w:val="000000"/>
          <w:sz w:val="24"/>
          <w:szCs w:val="24"/>
          <w:lang w:val="sq-AL"/>
        </w:rPr>
        <w:t xml:space="preserve">Vunë </w:t>
      </w:r>
      <w:r w:rsidRPr="00407705">
        <w:rPr>
          <w:rFonts w:ascii="Garamond" w:hAnsi="Garamond" w:cs="Times New Roman"/>
          <w:color w:val="000000"/>
          <w:sz w:val="24"/>
          <w:szCs w:val="24"/>
          <w:lang w:val="sq-AL"/>
        </w:rPr>
        <w:t xml:space="preserve">re me shqetësim rritjen e kohëzgjatjes mesatare të procedurave gjyqësore dhe të </w:t>
      </w:r>
      <w:r w:rsidR="00650F7A" w:rsidRPr="00650F7A">
        <w:rPr>
          <w:rFonts w:ascii="Garamond" w:hAnsi="Garamond" w:cs="Times New Roman"/>
          <w:i/>
          <w:color w:val="000000"/>
          <w:sz w:val="24"/>
          <w:szCs w:val="24"/>
          <w:lang w:val="sq-AL"/>
        </w:rPr>
        <w:t>backlog</w:t>
      </w:r>
      <w:r w:rsidRPr="00407705">
        <w:rPr>
          <w:rFonts w:ascii="Garamond" w:hAnsi="Garamond" w:cs="Times New Roman"/>
          <w:color w:val="000000"/>
          <w:sz w:val="24"/>
          <w:szCs w:val="24"/>
          <w:lang w:val="sq-AL"/>
        </w:rPr>
        <w:t>-ut të çështjeve gjatë tre v</w:t>
      </w:r>
      <w:r w:rsidR="002224AE">
        <w:rPr>
          <w:rFonts w:ascii="Garamond" w:hAnsi="Garamond" w:cs="Times New Roman"/>
          <w:color w:val="000000"/>
          <w:sz w:val="24"/>
          <w:szCs w:val="24"/>
          <w:lang w:val="sq-AL"/>
        </w:rPr>
        <w:t>jetëve</w:t>
      </w:r>
      <w:r w:rsidRPr="00407705">
        <w:rPr>
          <w:rFonts w:ascii="Garamond" w:hAnsi="Garamond" w:cs="Times New Roman"/>
          <w:color w:val="000000"/>
          <w:sz w:val="24"/>
          <w:szCs w:val="24"/>
          <w:lang w:val="sq-AL"/>
        </w:rPr>
        <w:t xml:space="preserve"> të fundit</w:t>
      </w:r>
      <w:r w:rsidR="002224AE">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si rezultat i krijimit të pozicioneve vakante gjyqësore për shkak të </w:t>
      </w:r>
      <w:r w:rsidR="00654098" w:rsidRPr="00407705">
        <w:rPr>
          <w:rFonts w:ascii="Garamond" w:hAnsi="Garamond" w:cs="Times New Roman"/>
          <w:i/>
          <w:color w:val="000000"/>
          <w:sz w:val="24"/>
          <w:szCs w:val="24"/>
          <w:lang w:val="sq-AL"/>
        </w:rPr>
        <w:t>vetting</w:t>
      </w:r>
      <w:r w:rsidRPr="00407705">
        <w:rPr>
          <w:rFonts w:ascii="Garamond" w:hAnsi="Garamond" w:cs="Times New Roman"/>
          <w:color w:val="000000"/>
          <w:sz w:val="24"/>
          <w:szCs w:val="24"/>
          <w:lang w:val="sq-AL"/>
        </w:rPr>
        <w:t>-ut të gjyqtarëve, ku Gjykata e Lartë dhe Gjykata Kushtetuese u ndikua</w:t>
      </w:r>
      <w:r w:rsidR="00D92E77">
        <w:rPr>
          <w:rFonts w:ascii="Garamond" w:hAnsi="Garamond" w:cs="Times New Roman"/>
          <w:color w:val="000000"/>
          <w:sz w:val="24"/>
          <w:szCs w:val="24"/>
          <w:lang w:val="sq-AL"/>
        </w:rPr>
        <w:t>n në veçanti nga këto zhvillime</w:t>
      </w:r>
      <w:r w:rsidRPr="00407705">
        <w:rPr>
          <w:rFonts w:ascii="Garamond" w:hAnsi="Garamond" w:cs="Times New Roman"/>
          <w:color w:val="000000"/>
          <w:sz w:val="24"/>
          <w:szCs w:val="24"/>
          <w:lang w:val="sq-AL"/>
        </w:rPr>
        <w:t xml:space="preserve"> dhe</w:t>
      </w:r>
      <w:r w:rsidR="00D92E77">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për këtë arsye, nxitën autoritetet të vinin në zbatim të gjitha mjetet e mundshme për të garantuar se do të arrihej progres në emërimet gjyqësore, veçanërisht në Gjykatën e Lartë dhe në Gjykatën Kushtetuese, si edhe në reduktimin e </w:t>
      </w:r>
      <w:r w:rsidR="00650F7A" w:rsidRPr="00650F7A">
        <w:rPr>
          <w:rFonts w:ascii="Garamond" w:hAnsi="Garamond" w:cs="Times New Roman"/>
          <w:i/>
          <w:color w:val="000000"/>
          <w:sz w:val="24"/>
          <w:szCs w:val="24"/>
          <w:lang w:val="sq-AL"/>
        </w:rPr>
        <w:t>backlog</w:t>
      </w:r>
      <w:r w:rsidRPr="00407705">
        <w:rPr>
          <w:rFonts w:ascii="Garamond" w:hAnsi="Garamond" w:cs="Times New Roman"/>
          <w:color w:val="000000"/>
          <w:sz w:val="24"/>
          <w:szCs w:val="24"/>
          <w:lang w:val="sq-AL"/>
        </w:rPr>
        <w:t xml:space="preserve">-ut të çështjeve në Gjykatën e Lartë. </w:t>
      </w:r>
    </w:p>
    <w:p w14:paraId="69AB0D1F"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w:t>
      </w:r>
    </w:p>
    <w:p w14:paraId="69AB0D20" w14:textId="51AAF19E"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7.</w:t>
      </w:r>
      <w:r w:rsidR="000D08D8">
        <w:rPr>
          <w:rFonts w:ascii="Garamond" w:hAnsi="Garamond" w:cs="Times New Roman"/>
          <w:color w:val="000000"/>
          <w:sz w:val="24"/>
          <w:szCs w:val="24"/>
          <w:lang w:val="sq-AL"/>
        </w:rPr>
        <w:t xml:space="preserve"> </w:t>
      </w:r>
      <w:r w:rsidR="000D08D8" w:rsidRPr="00407705">
        <w:rPr>
          <w:rFonts w:ascii="Garamond" w:hAnsi="Garamond" w:cs="Times New Roman"/>
          <w:color w:val="000000"/>
          <w:sz w:val="24"/>
          <w:szCs w:val="24"/>
          <w:lang w:val="sq-AL"/>
        </w:rPr>
        <w:t xml:space="preserve">Ndoqën </w:t>
      </w:r>
      <w:r w:rsidRPr="00407705">
        <w:rPr>
          <w:rFonts w:ascii="Garamond" w:hAnsi="Garamond" w:cs="Times New Roman"/>
          <w:color w:val="000000"/>
          <w:sz w:val="24"/>
          <w:szCs w:val="24"/>
          <w:lang w:val="sq-AL"/>
        </w:rPr>
        <w:t xml:space="preserve">me interes rritjen në përdorimin e zgjidhjes përshpejtuese dhe kompensuese për procedurat gjyqësore që ishin tejet të gjata, teksa vunë re se numri i kërkesave të paraqitura mbetet i ulët dhe vetëm një numër i vogël prej tyre janë pranuar nga gjykatat </w:t>
      </w:r>
      <w:r w:rsidR="00C57B21" w:rsidRPr="00C57B21">
        <w:rPr>
          <w:rFonts w:ascii="Garamond" w:hAnsi="Garamond" w:cs="Times New Roman"/>
          <w:color w:val="000000"/>
          <w:sz w:val="24"/>
          <w:szCs w:val="24"/>
          <w:lang w:val="sq-AL"/>
        </w:rPr>
        <w:t>vendës</w:t>
      </w:r>
      <w:r w:rsidRPr="00407705">
        <w:rPr>
          <w:rFonts w:ascii="Garamond" w:hAnsi="Garamond" w:cs="Times New Roman"/>
          <w:color w:val="000000"/>
          <w:sz w:val="24"/>
          <w:szCs w:val="24"/>
          <w:lang w:val="sq-AL"/>
        </w:rPr>
        <w:t>e; ftuan autoritetet të jepnin informacione shtesë për shkaqet për rrëzimin e këtyre kërkesave dhe për masat e rritjes së ndërgjegjësimit për publikun e gjerë</w:t>
      </w:r>
      <w:r w:rsidR="00372D2A">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 lidhje me ekzistencën dhe modalitetet e zgjidhjes; </w:t>
      </w:r>
    </w:p>
    <w:p w14:paraId="69AB0D22" w14:textId="5B4C0AD9"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8. </w:t>
      </w:r>
      <w:r w:rsidR="000D08D8" w:rsidRPr="00407705">
        <w:rPr>
          <w:rFonts w:ascii="Garamond" w:hAnsi="Garamond" w:cs="Times New Roman"/>
          <w:color w:val="000000"/>
          <w:sz w:val="24"/>
          <w:szCs w:val="24"/>
          <w:lang w:val="sq-AL"/>
        </w:rPr>
        <w:t xml:space="preserve">Ftonin </w:t>
      </w:r>
      <w:r w:rsidRPr="00407705">
        <w:rPr>
          <w:rFonts w:ascii="Garamond" w:hAnsi="Garamond" w:cs="Times New Roman"/>
          <w:color w:val="000000"/>
          <w:sz w:val="24"/>
          <w:szCs w:val="24"/>
          <w:lang w:val="sq-AL"/>
        </w:rPr>
        <w:t>të informonin Komisionin, nëse parashikimi ligjor, i cili nuk lejon që kompensimi të kalojë vlerën e objektit të padisë, ka nevojë për ndryshime të tjera</w:t>
      </w:r>
      <w:r w:rsidR="00372D2A">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 mënyrë që të jetë plotësisht operacional dhe në përputhje me Konventën, ose të japin shembuj nga praktika gjyqësore e brendshme ku të demonstrohet se ai po zbatohet konfo</w:t>
      </w:r>
      <w:r w:rsidR="00E12CB5" w:rsidRPr="00407705">
        <w:rPr>
          <w:rFonts w:ascii="Garamond" w:hAnsi="Garamond" w:cs="Times New Roman"/>
          <w:color w:val="000000"/>
          <w:sz w:val="24"/>
          <w:szCs w:val="24"/>
          <w:lang w:val="sq-AL"/>
        </w:rPr>
        <w:t>r</w:t>
      </w:r>
      <w:r w:rsidRPr="00407705">
        <w:rPr>
          <w:rFonts w:ascii="Garamond" w:hAnsi="Garamond" w:cs="Times New Roman"/>
          <w:color w:val="000000"/>
          <w:sz w:val="24"/>
          <w:szCs w:val="24"/>
          <w:lang w:val="sq-AL"/>
        </w:rPr>
        <w:t>m Konventës; në vijim, i ftonte autoritetet të tregonin se po konsolidohej praktika gjyqësore e brendshme që garantonte zgjidhje për procedurat gjyqësore të mbetura pezull</w:t>
      </w:r>
      <w:r w:rsidR="00B635EA">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ashtu si edhe për vonesat që ekzistonin që përpara hyrjes në fuqi të zgjidhjes.”</w:t>
      </w:r>
      <w:r w:rsidR="00B635EA">
        <w:rPr>
          <w:rFonts w:ascii="Garamond" w:hAnsi="Garamond" w:cs="Times New Roman"/>
          <w:color w:val="000000"/>
          <w:sz w:val="24"/>
          <w:szCs w:val="24"/>
          <w:lang w:val="sq-AL"/>
        </w:rPr>
        <w:t>.</w:t>
      </w:r>
    </w:p>
    <w:p w14:paraId="69AB0D23"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LIGJI </w:t>
      </w:r>
    </w:p>
    <w:p w14:paraId="69AB0D24"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I. BASHKIMI I KËRKESAVE </w:t>
      </w:r>
    </w:p>
    <w:p w14:paraId="69AB0D25" w14:textId="22094DBB"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51. Për sa i përket lëndës së ngjashme të kërkesave, Gjykata e gjen me vend që t’i shqyrtojë ato së bashku në një vendim të vetëm në mbështetje të Rregull</w:t>
      </w:r>
      <w:r w:rsidR="00F01237">
        <w:rPr>
          <w:rFonts w:ascii="Garamond" w:hAnsi="Garamond" w:cs="Times New Roman"/>
          <w:color w:val="000000"/>
          <w:sz w:val="24"/>
          <w:szCs w:val="24"/>
          <w:lang w:val="sq-AL"/>
        </w:rPr>
        <w:t>ës</w:t>
      </w:r>
      <w:r w:rsidRPr="00407705">
        <w:rPr>
          <w:rFonts w:ascii="Garamond" w:hAnsi="Garamond" w:cs="Times New Roman"/>
          <w:color w:val="000000"/>
          <w:sz w:val="24"/>
          <w:szCs w:val="24"/>
          <w:lang w:val="sq-AL"/>
        </w:rPr>
        <w:t xml:space="preserve"> 42§1 të Rregullave të Gjykatës. </w:t>
      </w:r>
    </w:p>
    <w:p w14:paraId="69AB0D26" w14:textId="1266CB13"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II. SHKELJE E PRETENDUAR E NENIT 6§1 TË KONVENTËS </w:t>
      </w:r>
    </w:p>
    <w:p w14:paraId="69AB0D28" w14:textId="7F59E62D"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52. Kërkuesit u ankuan se kohëzgjatja e procedurave, veçanërisht e atyre në Gjykatën e Lartë, ishte në shkelje me kërkesën për “afat të arsyeshëm”, sipas </w:t>
      </w:r>
      <w:r w:rsidR="00F01237" w:rsidRPr="00407705">
        <w:rPr>
          <w:rFonts w:ascii="Garamond" w:hAnsi="Garamond" w:cs="Times New Roman"/>
          <w:color w:val="000000"/>
          <w:sz w:val="24"/>
          <w:szCs w:val="24"/>
          <w:lang w:val="sq-AL"/>
        </w:rPr>
        <w:t xml:space="preserve">nenit </w:t>
      </w:r>
      <w:r w:rsidR="00F01237">
        <w:rPr>
          <w:rFonts w:ascii="Garamond" w:hAnsi="Garamond" w:cs="Times New Roman"/>
          <w:color w:val="000000"/>
          <w:sz w:val="24"/>
          <w:szCs w:val="24"/>
          <w:lang w:val="sq-AL"/>
        </w:rPr>
        <w:t>6§</w:t>
      </w:r>
      <w:r w:rsidRPr="00407705">
        <w:rPr>
          <w:rFonts w:ascii="Garamond" w:hAnsi="Garamond" w:cs="Times New Roman"/>
          <w:color w:val="000000"/>
          <w:sz w:val="24"/>
          <w:szCs w:val="24"/>
          <w:lang w:val="sq-AL"/>
        </w:rPr>
        <w:t xml:space="preserve">1 të Konventës. Në vijim, kërkuesi i dytë ankohej se procedurat gjyqësore nuk ishin të drejta dhe se vendimet e brendshme nuk ishin arsyetuar në mënyrën e duhur. </w:t>
      </w:r>
    </w:p>
    <w:p w14:paraId="69AB0D29" w14:textId="22A57D85"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Neni 6</w:t>
      </w:r>
      <w:r w:rsidR="00F01237">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1 i Konventës parashikon si më poshtë: </w:t>
      </w:r>
    </w:p>
    <w:p w14:paraId="69AB0D2A" w14:textId="39DF858F"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“Çdo person ka të drejtë që çështja e tij të dëgjohet drejtësisht</w:t>
      </w:r>
      <w:r w:rsidR="00A86A13">
        <w:rPr>
          <w:rFonts w:ascii="Garamond" w:hAnsi="Garamond" w:cs="Times New Roman"/>
          <w:color w:val="000000"/>
          <w:sz w:val="24"/>
          <w:szCs w:val="24"/>
          <w:lang w:val="sq-AL"/>
        </w:rPr>
        <w:t xml:space="preserve"> </w:t>
      </w:r>
      <w:r w:rsidRPr="00407705">
        <w:rPr>
          <w:rFonts w:ascii="Garamond" w:hAnsi="Garamond" w:cs="Times New Roman"/>
          <w:color w:val="000000"/>
          <w:sz w:val="24"/>
          <w:szCs w:val="24"/>
          <w:lang w:val="sq-AL"/>
        </w:rPr>
        <w:t>... brenda një afati të arsyeshëm nga një gjykatë e pavarur dhe e paanshme, e krijuar me ligj, e cila do të vendosë si për mosmarrëveshjet në lidhje me të drejtat dhe detyrimet e tij të natyrës civile, ashtu edhe për bazueshmërinë e çdo akuze penale në ngarkim të tij.”</w:t>
      </w:r>
      <w:r w:rsidR="00F01237">
        <w:rPr>
          <w:rFonts w:ascii="Garamond" w:hAnsi="Garamond" w:cs="Times New Roman"/>
          <w:color w:val="000000"/>
          <w:sz w:val="24"/>
          <w:szCs w:val="24"/>
          <w:lang w:val="sq-AL"/>
        </w:rPr>
        <w:t>.</w:t>
      </w:r>
    </w:p>
    <w:p w14:paraId="69AB0D2B" w14:textId="7BE339BE" w:rsidR="009A0255" w:rsidRPr="00407705" w:rsidRDefault="009A0255" w:rsidP="009A0255">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407705">
        <w:rPr>
          <w:rFonts w:ascii="Garamond" w:hAnsi="Garamond" w:cs="Times New Roman"/>
          <w:b/>
          <w:bCs/>
          <w:color w:val="000000"/>
          <w:sz w:val="24"/>
          <w:szCs w:val="24"/>
          <w:lang w:val="sq-AL"/>
        </w:rPr>
        <w:t>A. Sa i përket kërkesës nr. 43391/18</w:t>
      </w:r>
      <w:r w:rsidR="00E12CB5">
        <w:rPr>
          <w:rFonts w:ascii="Garamond" w:hAnsi="Garamond" w:cs="Times New Roman"/>
          <w:b/>
          <w:bCs/>
          <w:color w:val="000000"/>
          <w:sz w:val="24"/>
          <w:szCs w:val="24"/>
          <w:lang w:val="sq-AL"/>
        </w:rPr>
        <w:t xml:space="preserve">, </w:t>
      </w:r>
      <w:r w:rsidRPr="00407705">
        <w:rPr>
          <w:rFonts w:ascii="Garamond" w:hAnsi="Garamond" w:cs="Times New Roman"/>
          <w:b/>
          <w:bCs/>
          <w:i/>
          <w:iCs/>
          <w:color w:val="000000"/>
          <w:sz w:val="24"/>
          <w:szCs w:val="24"/>
          <w:lang w:val="sq-AL"/>
        </w:rPr>
        <w:t xml:space="preserve">Bara kundër Shqipërisë </w:t>
      </w:r>
    </w:p>
    <w:p w14:paraId="69AB0D2C"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07705">
        <w:rPr>
          <w:rFonts w:ascii="Garamond" w:hAnsi="Garamond" w:cs="Times New Roman"/>
          <w:i/>
          <w:iCs/>
          <w:color w:val="000000"/>
          <w:sz w:val="24"/>
          <w:szCs w:val="24"/>
          <w:lang w:val="sq-AL"/>
        </w:rPr>
        <w:t xml:space="preserve">1. Pranueshmëria </w:t>
      </w:r>
    </w:p>
    <w:p w14:paraId="69AB0D2D" w14:textId="6ACC230F"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53. Qeveria nuk e kundërshtoi zbatueshmërinë e </w:t>
      </w:r>
      <w:r w:rsidR="00A86A13" w:rsidRPr="00407705">
        <w:rPr>
          <w:rFonts w:ascii="Garamond" w:hAnsi="Garamond" w:cs="Times New Roman"/>
          <w:color w:val="000000"/>
          <w:sz w:val="24"/>
          <w:szCs w:val="24"/>
          <w:lang w:val="sq-AL"/>
        </w:rPr>
        <w:t xml:space="preserve">nenit </w:t>
      </w:r>
      <w:r w:rsidRPr="00407705">
        <w:rPr>
          <w:rFonts w:ascii="Garamond" w:hAnsi="Garamond" w:cs="Times New Roman"/>
          <w:color w:val="000000"/>
          <w:sz w:val="24"/>
          <w:szCs w:val="24"/>
          <w:lang w:val="sq-AL"/>
        </w:rPr>
        <w:t xml:space="preserve">6 të Konventës për procedurat administrative për të cilat ishte bërë kërkesa. Gjykata është e mendimit se përderisa Qeveria nuk e kundërshtoi zbatueshmërinë e Konventës, ajo duhet të ketë në konsideratë çështjen e mocionit të saj (shih </w:t>
      </w:r>
      <w:r w:rsidRPr="00407705">
        <w:rPr>
          <w:rFonts w:ascii="Garamond" w:hAnsi="Garamond" w:cs="Times New Roman"/>
          <w:i/>
          <w:iCs/>
          <w:color w:val="000000"/>
          <w:sz w:val="24"/>
          <w:szCs w:val="24"/>
          <w:lang w:val="sq-AL"/>
        </w:rPr>
        <w:t>Blečić kundër Koracisë</w:t>
      </w:r>
      <w:r w:rsidR="00A86A13">
        <w:rPr>
          <w:rFonts w:ascii="Garamond" w:hAnsi="Garamond" w:cs="Times New Roman"/>
          <w:color w:val="000000"/>
          <w:sz w:val="24"/>
          <w:szCs w:val="24"/>
          <w:lang w:val="sq-AL"/>
        </w:rPr>
        <w:t>, nr. 59532/00, §</w:t>
      </w:r>
      <w:r w:rsidRPr="00407705">
        <w:rPr>
          <w:rFonts w:ascii="Garamond" w:hAnsi="Garamond" w:cs="Times New Roman"/>
          <w:color w:val="000000"/>
          <w:sz w:val="24"/>
          <w:szCs w:val="24"/>
          <w:lang w:val="sq-AL"/>
        </w:rPr>
        <w:t xml:space="preserve">67, 29 korrik 2004; </w:t>
      </w:r>
      <w:r w:rsidRPr="00407705">
        <w:rPr>
          <w:rFonts w:ascii="Garamond" w:hAnsi="Garamond" w:cs="Times New Roman"/>
          <w:i/>
          <w:iCs/>
          <w:color w:val="000000"/>
          <w:sz w:val="24"/>
          <w:szCs w:val="24"/>
          <w:lang w:val="sq-AL"/>
        </w:rPr>
        <w:t xml:space="preserve">Tănase kundër Moldavisë </w:t>
      </w:r>
      <w:r w:rsidR="00A86A13">
        <w:rPr>
          <w:rFonts w:ascii="Garamond" w:hAnsi="Garamond" w:cs="Times New Roman"/>
          <w:color w:val="000000"/>
          <w:sz w:val="24"/>
          <w:szCs w:val="24"/>
          <w:lang w:val="sq-AL"/>
        </w:rPr>
        <w:t>[DHM], nr. 7/08, §</w:t>
      </w:r>
      <w:r w:rsidRPr="00407705">
        <w:rPr>
          <w:rFonts w:ascii="Garamond" w:hAnsi="Garamond" w:cs="Times New Roman"/>
          <w:color w:val="000000"/>
          <w:sz w:val="24"/>
          <w:szCs w:val="24"/>
          <w:lang w:val="sq-AL"/>
        </w:rPr>
        <w:t xml:space="preserve">131, GJEDNJ 2010; dhe </w:t>
      </w:r>
      <w:r w:rsidRPr="00407705">
        <w:rPr>
          <w:rFonts w:ascii="Garamond" w:hAnsi="Garamond" w:cs="Times New Roman"/>
          <w:i/>
          <w:iCs/>
          <w:color w:val="000000"/>
          <w:sz w:val="24"/>
          <w:szCs w:val="24"/>
          <w:lang w:val="sq-AL"/>
        </w:rPr>
        <w:t>Studio Monitori dhe të tjerët kundër Gjeorgjisë</w:t>
      </w:r>
      <w:r w:rsidR="00A86A13">
        <w:rPr>
          <w:rFonts w:ascii="Garamond" w:hAnsi="Garamond" w:cs="Times New Roman"/>
          <w:color w:val="000000"/>
          <w:sz w:val="24"/>
          <w:szCs w:val="24"/>
          <w:lang w:val="sq-AL"/>
        </w:rPr>
        <w:t>, nr. 44920/09 dhe 8942/10, §</w:t>
      </w:r>
      <w:r w:rsidRPr="00407705">
        <w:rPr>
          <w:rFonts w:ascii="Garamond" w:hAnsi="Garamond" w:cs="Times New Roman"/>
          <w:color w:val="000000"/>
          <w:sz w:val="24"/>
          <w:szCs w:val="24"/>
          <w:lang w:val="sq-AL"/>
        </w:rPr>
        <w:t xml:space="preserve">32, 30 janar 2020). </w:t>
      </w:r>
    </w:p>
    <w:p w14:paraId="69AB0D2E" w14:textId="26681A56"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54. Gjykata</w:t>
      </w:r>
      <w:r w:rsidR="00A86A13">
        <w:rPr>
          <w:rFonts w:ascii="Garamond" w:hAnsi="Garamond" w:cs="Times New Roman"/>
          <w:color w:val="000000"/>
          <w:sz w:val="24"/>
          <w:szCs w:val="24"/>
          <w:lang w:val="sq-AL"/>
        </w:rPr>
        <w:t xml:space="preserve"> thekson se garancitë e nenit 6§</w:t>
      </w:r>
      <w:r w:rsidRPr="00407705">
        <w:rPr>
          <w:rFonts w:ascii="Garamond" w:hAnsi="Garamond" w:cs="Times New Roman"/>
          <w:color w:val="000000"/>
          <w:sz w:val="24"/>
          <w:szCs w:val="24"/>
          <w:lang w:val="sq-AL"/>
        </w:rPr>
        <w:t xml:space="preserve">1 të Konventës zbatohen vetëm për “të drejtat dhe detyrimet civile”, të cilat duhet të njihen sipas ligjit të brendshëm, të paktën mbi arsye të diskutueshme. Për këtë arsye, në mënyrë që të përcaktohet nëse pjesa civile e </w:t>
      </w:r>
      <w:r w:rsidR="00F377AE" w:rsidRPr="00407705">
        <w:rPr>
          <w:rFonts w:ascii="Garamond" w:hAnsi="Garamond" w:cs="Times New Roman"/>
          <w:color w:val="000000"/>
          <w:sz w:val="24"/>
          <w:szCs w:val="24"/>
          <w:lang w:val="sq-AL"/>
        </w:rPr>
        <w:t xml:space="preserve">nenit </w:t>
      </w:r>
      <w:r w:rsidRPr="00407705">
        <w:rPr>
          <w:rFonts w:ascii="Garamond" w:hAnsi="Garamond" w:cs="Times New Roman"/>
          <w:color w:val="000000"/>
          <w:sz w:val="24"/>
          <w:szCs w:val="24"/>
          <w:lang w:val="sq-AL"/>
        </w:rPr>
        <w:t xml:space="preserve">6 është e zbatueshme në çështjen në fjalë, dhe për pasojë, nëse kërkuesi i parë mund të mbështetet në garancitë e atij </w:t>
      </w:r>
      <w:r w:rsidR="00F377AE" w:rsidRPr="00407705">
        <w:rPr>
          <w:rFonts w:ascii="Garamond" w:hAnsi="Garamond" w:cs="Times New Roman"/>
          <w:color w:val="000000"/>
          <w:sz w:val="24"/>
          <w:szCs w:val="24"/>
          <w:lang w:val="sq-AL"/>
        </w:rPr>
        <w:t>neni</w:t>
      </w:r>
      <w:r w:rsidRPr="00407705">
        <w:rPr>
          <w:rFonts w:ascii="Garamond" w:hAnsi="Garamond" w:cs="Times New Roman"/>
          <w:color w:val="000000"/>
          <w:sz w:val="24"/>
          <w:szCs w:val="24"/>
          <w:lang w:val="sq-AL"/>
        </w:rPr>
        <w:t>, fillimisht Gjykata duhet të shqyrtojë nëse ai kishte një “të drejtë”</w:t>
      </w:r>
      <w:r w:rsidR="00F377AE">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e cila mund të thuhet se njihej nga ligji </w:t>
      </w:r>
      <w:r w:rsidR="00C57B21" w:rsidRPr="00C57B21">
        <w:rPr>
          <w:rFonts w:ascii="Garamond" w:hAnsi="Garamond" w:cs="Times New Roman"/>
          <w:color w:val="000000"/>
          <w:sz w:val="24"/>
          <w:szCs w:val="24"/>
          <w:lang w:val="sq-AL"/>
        </w:rPr>
        <w:t>vendës</w:t>
      </w:r>
      <w:r w:rsidRPr="00407705">
        <w:rPr>
          <w:rFonts w:ascii="Garamond" w:hAnsi="Garamond" w:cs="Times New Roman"/>
          <w:color w:val="000000"/>
          <w:sz w:val="24"/>
          <w:szCs w:val="24"/>
          <w:lang w:val="sq-AL"/>
        </w:rPr>
        <w:t xml:space="preserve"> dhe</w:t>
      </w:r>
      <w:r w:rsidR="00F377AE">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së dyti, nëse ajo e drejtë ishte një e drejtë “civile”. Mosmarrëveshja duhet të jetë e vërtetë dhe serioze; ajo mund të mos lidhet vetëm me ekzistencën aktuale të një të drejtë, por edhe me objektin dhe mënyrën e ushtrimit të saj; dhe së fundi, rezultati i procedurave duhet të jetë drejtpërdrejtë </w:t>
      </w:r>
      <w:r w:rsidR="000C42F1" w:rsidRPr="000C42F1">
        <w:rPr>
          <w:rFonts w:ascii="Garamond" w:hAnsi="Garamond" w:cs="Times New Roman"/>
          <w:color w:val="000000"/>
          <w:sz w:val="24"/>
          <w:szCs w:val="24"/>
          <w:lang w:val="sq-AL"/>
        </w:rPr>
        <w:t>decisive</w:t>
      </w:r>
      <w:r w:rsidRPr="00407705">
        <w:rPr>
          <w:rFonts w:ascii="Garamond" w:hAnsi="Garamond" w:cs="Times New Roman"/>
          <w:color w:val="000000"/>
          <w:sz w:val="24"/>
          <w:szCs w:val="24"/>
          <w:lang w:val="sq-AL"/>
        </w:rPr>
        <w:t xml:space="preserve"> për të drejtën në fjalë, por lidhjet e parëndësishme</w:t>
      </w:r>
      <w:r w:rsidR="0054754A" w:rsidRPr="00407705">
        <w:rPr>
          <w:rFonts w:ascii="Garamond" w:hAnsi="Garamond" w:cs="Times New Roman"/>
          <w:color w:val="000000"/>
          <w:sz w:val="24"/>
          <w:szCs w:val="24"/>
          <w:lang w:val="sq-AL"/>
        </w:rPr>
        <w:t xml:space="preserve"> </w:t>
      </w:r>
      <w:r w:rsidRPr="00407705">
        <w:rPr>
          <w:rFonts w:ascii="Garamond" w:hAnsi="Garamond" w:cs="Times New Roman"/>
          <w:color w:val="000000"/>
          <w:sz w:val="24"/>
          <w:szCs w:val="24"/>
          <w:lang w:val="sq-AL"/>
        </w:rPr>
        <w:t xml:space="preserve">ose pasojat e largëta nuk mjaftojnë për t’iu adresuar </w:t>
      </w:r>
      <w:r w:rsidR="00F377AE" w:rsidRPr="00407705">
        <w:rPr>
          <w:rFonts w:ascii="Garamond" w:hAnsi="Garamond" w:cs="Times New Roman"/>
          <w:color w:val="000000"/>
          <w:sz w:val="24"/>
          <w:szCs w:val="24"/>
          <w:lang w:val="sq-AL"/>
        </w:rPr>
        <w:t xml:space="preserve">nenit </w:t>
      </w:r>
      <w:r w:rsidR="00F377AE">
        <w:rPr>
          <w:rFonts w:ascii="Garamond" w:hAnsi="Garamond" w:cs="Times New Roman"/>
          <w:color w:val="000000"/>
          <w:sz w:val="24"/>
          <w:szCs w:val="24"/>
          <w:lang w:val="sq-AL"/>
        </w:rPr>
        <w:t>6</w:t>
      </w:r>
      <w:r w:rsidRPr="00407705">
        <w:rPr>
          <w:rFonts w:ascii="Garamond" w:hAnsi="Garamond" w:cs="Times New Roman"/>
          <w:color w:val="000000"/>
          <w:sz w:val="24"/>
          <w:szCs w:val="24"/>
          <w:lang w:val="sq-AL"/>
        </w:rPr>
        <w:t xml:space="preserve">§1 (shih, midis autoriteteve të tjera, </w:t>
      </w:r>
      <w:r w:rsidRPr="00407705">
        <w:rPr>
          <w:rFonts w:ascii="Garamond" w:hAnsi="Garamond" w:cs="Times New Roman"/>
          <w:i/>
          <w:iCs/>
          <w:color w:val="000000"/>
          <w:sz w:val="24"/>
          <w:szCs w:val="24"/>
          <w:lang w:val="sq-AL"/>
        </w:rPr>
        <w:t xml:space="preserve">Baka kundër Hungarisë </w:t>
      </w:r>
      <w:r w:rsidR="00F377AE">
        <w:rPr>
          <w:rFonts w:ascii="Garamond" w:hAnsi="Garamond" w:cs="Times New Roman"/>
          <w:color w:val="000000"/>
          <w:sz w:val="24"/>
          <w:szCs w:val="24"/>
          <w:lang w:val="sq-AL"/>
        </w:rPr>
        <w:t>[DHM], nr. 20261/12, §</w:t>
      </w:r>
      <w:r w:rsidRPr="00407705">
        <w:rPr>
          <w:rFonts w:ascii="Garamond" w:hAnsi="Garamond" w:cs="Times New Roman"/>
          <w:color w:val="000000"/>
          <w:sz w:val="24"/>
          <w:szCs w:val="24"/>
          <w:lang w:val="sq-AL"/>
        </w:rPr>
        <w:t xml:space="preserve">100, 23 qershor 2016). </w:t>
      </w:r>
    </w:p>
    <w:p w14:paraId="69AB0D2F" w14:textId="5838350F"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55. Gjithashtu, Gjykata thekson se as </w:t>
      </w:r>
      <w:r w:rsidR="00F377AE" w:rsidRPr="00407705">
        <w:rPr>
          <w:rFonts w:ascii="Garamond" w:hAnsi="Garamond" w:cs="Times New Roman"/>
          <w:color w:val="000000"/>
          <w:sz w:val="24"/>
          <w:szCs w:val="24"/>
          <w:lang w:val="sq-AL"/>
        </w:rPr>
        <w:t xml:space="preserve">neni </w:t>
      </w:r>
      <w:r w:rsidRPr="00407705">
        <w:rPr>
          <w:rFonts w:ascii="Garamond" w:hAnsi="Garamond" w:cs="Times New Roman"/>
          <w:color w:val="000000"/>
          <w:sz w:val="24"/>
          <w:szCs w:val="24"/>
          <w:lang w:val="sq-AL"/>
        </w:rPr>
        <w:t xml:space="preserve">6 dhe as ndonjë parashikim tjetër i Konventës apo i protokolleve të saj nuk garanton si të tillë një të drejtë për emërimin apo promovimin në shërbimin civil. Megjithatë, Gjykata ka pranuar se e drejta për një procedurë të ligjshme dhe të drejtë promovimi ose për pjesëmarrje të barabartë në një konkurs për një post publik mund të konsiderohen si të drejta të njohura në ligjin e brendshëm, të paktën aty ku gjykatat </w:t>
      </w:r>
      <w:r w:rsidR="00C57B21" w:rsidRPr="00C57B21">
        <w:rPr>
          <w:rFonts w:ascii="Garamond" w:hAnsi="Garamond" w:cs="Times New Roman"/>
          <w:color w:val="000000"/>
          <w:sz w:val="24"/>
          <w:szCs w:val="24"/>
          <w:lang w:val="sq-AL"/>
        </w:rPr>
        <w:t>vendës</w:t>
      </w:r>
      <w:r w:rsidRPr="00407705">
        <w:rPr>
          <w:rFonts w:ascii="Garamond" w:hAnsi="Garamond" w:cs="Times New Roman"/>
          <w:color w:val="000000"/>
          <w:sz w:val="24"/>
          <w:szCs w:val="24"/>
          <w:lang w:val="sq-AL"/>
        </w:rPr>
        <w:t>e kanë njohur ekzistencën e tyre dhe kanë shqyrtuar ankesat përkatëse të kërkuesve (shih</w:t>
      </w:r>
      <w:r w:rsidR="00F377AE">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për shembull</w:t>
      </w:r>
      <w:r w:rsidR="00F377AE">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w:t>
      </w:r>
      <w:r w:rsidRPr="00407705">
        <w:rPr>
          <w:rFonts w:ascii="Garamond" w:hAnsi="Garamond" w:cs="Times New Roman"/>
          <w:i/>
          <w:iCs/>
          <w:color w:val="000000"/>
          <w:sz w:val="24"/>
          <w:szCs w:val="24"/>
          <w:lang w:val="sq-AL"/>
        </w:rPr>
        <w:t xml:space="preserve">Regner kundër Republikës së Çekisë </w:t>
      </w:r>
      <w:r w:rsidRPr="00407705">
        <w:rPr>
          <w:rFonts w:ascii="Garamond" w:hAnsi="Garamond" w:cs="Times New Roman"/>
          <w:color w:val="000000"/>
          <w:sz w:val="24"/>
          <w:szCs w:val="24"/>
          <w:lang w:val="sq-AL"/>
        </w:rPr>
        <w:t xml:space="preserve">[DHM], nr. 35289/11, § 105, 19 shtator 2017, dhe </w:t>
      </w:r>
      <w:r w:rsidRPr="00407705">
        <w:rPr>
          <w:rFonts w:ascii="Garamond" w:hAnsi="Garamond" w:cs="Times New Roman"/>
          <w:i/>
          <w:iCs/>
          <w:color w:val="000000"/>
          <w:sz w:val="24"/>
          <w:szCs w:val="24"/>
          <w:lang w:val="sq-AL"/>
        </w:rPr>
        <w:t>Frezadou kundër Greqisë</w:t>
      </w:r>
      <w:r w:rsidR="00F377AE">
        <w:rPr>
          <w:rFonts w:ascii="Garamond" w:hAnsi="Garamond" w:cs="Times New Roman"/>
          <w:color w:val="000000"/>
          <w:sz w:val="24"/>
          <w:szCs w:val="24"/>
          <w:lang w:val="sq-AL"/>
        </w:rPr>
        <w:t>, nr. 2683/12, §</w:t>
      </w:r>
      <w:r w:rsidRPr="00407705">
        <w:rPr>
          <w:rFonts w:ascii="Garamond" w:hAnsi="Garamond" w:cs="Times New Roman"/>
          <w:color w:val="000000"/>
          <w:sz w:val="24"/>
          <w:szCs w:val="24"/>
          <w:lang w:val="sq-AL"/>
        </w:rPr>
        <w:t xml:space="preserve">28, 8 nëntor 2018, dhe referencat e cituara në vijim). </w:t>
      </w:r>
    </w:p>
    <w:p w14:paraId="69AB0D30" w14:textId="494639E8"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56. Në lidhje me ekzistencën e një të drejte në çështjen konkrete, Gjykata vëren se ligji i brendshëm i ka dhënë kandidatëve të cilët përmbushnin kërkesat statutore të specifikuara në dispozitat përkatëse të drejtën të aplikonin për pozicionin e rektorit të universitetit, të financuar në mënyrë publike. Gjithashtu, ligji i brendshëm parashikonte zgjidhje gjyqësore ndaj çdo parregullsie procedurale në zgjedhjet për pozicionin e rektorit të universitetit (shih paragrafët 47 dhe 48 më sipër). Si rezultat, kërkuesi i parë ishte njëri nga tre kandidatët të cili përmbushte kërkesat statutore të përzgjedhjes dhe kishte kualifikimet e nevojshme për të kandiduar për pozicionin e rektorit të universitetit, të financuar në mënyrë publike. Në zgjedhjet akademike, kërkuesi i parë u rendit i dyti. Në vijim, ai i kundërshtoi ligjshmërinë e zgjedhjeve dhe rezultatet përpara organeve administrative dhe gjykatave </w:t>
      </w:r>
      <w:r w:rsidR="00C57B21" w:rsidRPr="00C57B21">
        <w:rPr>
          <w:rFonts w:ascii="Garamond" w:hAnsi="Garamond" w:cs="Times New Roman"/>
          <w:color w:val="000000"/>
          <w:sz w:val="24"/>
          <w:szCs w:val="24"/>
          <w:lang w:val="sq-AL"/>
        </w:rPr>
        <w:t>vendës</w:t>
      </w:r>
      <w:r w:rsidRPr="00407705">
        <w:rPr>
          <w:rFonts w:ascii="Garamond" w:hAnsi="Garamond" w:cs="Times New Roman"/>
          <w:color w:val="000000"/>
          <w:sz w:val="24"/>
          <w:szCs w:val="24"/>
          <w:lang w:val="sq-AL"/>
        </w:rPr>
        <w:t xml:space="preserve">e. Gjykata vërën se gjykatat nuk i rrëzuan ankimet e tij ndaj vendimeve administrative për arsyen e mosekzitencës së një të drejte, por për shkakun se gjatë zgjedhjeve nuk kishte pasur parregullsi. Në këto rrethana, Gjykata gjykon se kërkuesi i parë mund të pretendojë të ketë të drejtën të marrë pjesë në një proces të ligjshëm dhe të drejtë zgjedhjesh akademike për pozicionin e rektorit të universitetit të financuar në mënyrë publike. </w:t>
      </w:r>
    </w:p>
    <w:p w14:paraId="69AB0D31" w14:textId="7E5E1A1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57. Në lidhje me natyrën civile të së drejtës, Gjykata gjykon se zgjedhjet dhe më pas emërimi në pozicionin e rektorit të universitetit</w:t>
      </w:r>
      <w:r w:rsidR="00F377AE">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pa dyshim që ka të bëjë me ushtrimin e karrierë</w:t>
      </w:r>
      <w:r w:rsidR="00F377AE">
        <w:rPr>
          <w:rFonts w:ascii="Garamond" w:hAnsi="Garamond" w:cs="Times New Roman"/>
          <w:color w:val="000000"/>
          <w:sz w:val="24"/>
          <w:szCs w:val="24"/>
          <w:lang w:val="sq-AL"/>
        </w:rPr>
        <w:t>s profesionale të një individi</w:t>
      </w:r>
      <w:r w:rsidRPr="00407705">
        <w:rPr>
          <w:rFonts w:ascii="Garamond" w:hAnsi="Garamond" w:cs="Times New Roman"/>
          <w:color w:val="000000"/>
          <w:sz w:val="24"/>
          <w:szCs w:val="24"/>
          <w:lang w:val="sq-AL"/>
        </w:rPr>
        <w:t xml:space="preserve"> dhe</w:t>
      </w:r>
      <w:r w:rsidR="00F377AE">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për pasojë, me interesat e tij apo të saj monetare. Gjithashtu, kërkuesi kishte pasur akses në gjykatat e brendshme për të kundërshtuar rezultatin e zgjedhjeve (shih, për shembull, </w:t>
      </w:r>
      <w:r w:rsidRPr="00407705">
        <w:rPr>
          <w:rFonts w:ascii="Garamond" w:hAnsi="Garamond" w:cs="Times New Roman"/>
          <w:i/>
          <w:iCs/>
          <w:color w:val="000000"/>
          <w:sz w:val="24"/>
          <w:szCs w:val="24"/>
          <w:lang w:val="sq-AL"/>
        </w:rPr>
        <w:t xml:space="preserve">Vilho Eskelinen dhe të tjerët kundër Finlandës </w:t>
      </w:r>
      <w:r w:rsidR="00F377AE">
        <w:rPr>
          <w:rFonts w:ascii="Garamond" w:hAnsi="Garamond" w:cs="Times New Roman"/>
          <w:color w:val="000000"/>
          <w:sz w:val="24"/>
          <w:szCs w:val="24"/>
          <w:lang w:val="sq-AL"/>
        </w:rPr>
        <w:t>[DHM], nr. 63235/00, §</w:t>
      </w:r>
      <w:r w:rsidRPr="00407705">
        <w:rPr>
          <w:rFonts w:ascii="Garamond" w:hAnsi="Garamond" w:cs="Times New Roman"/>
          <w:color w:val="000000"/>
          <w:sz w:val="24"/>
          <w:szCs w:val="24"/>
          <w:lang w:val="sq-AL"/>
        </w:rPr>
        <w:t>62, GJEDNJ 2007-II).</w:t>
      </w:r>
    </w:p>
    <w:p w14:paraId="69AB0D32" w14:textId="6AD0D1A6"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58. Së fundmi, Gjykata pranon se procedimet në fjalë ishin në mënyrë të drejtpërdrejtë </w:t>
      </w:r>
      <w:r w:rsidRPr="000C42F1">
        <w:rPr>
          <w:rFonts w:ascii="Garamond" w:hAnsi="Garamond" w:cs="Times New Roman"/>
          <w:color w:val="000000"/>
          <w:sz w:val="24"/>
          <w:szCs w:val="24"/>
          <w:lang w:val="sq-AL"/>
        </w:rPr>
        <w:t>decisive</w:t>
      </w:r>
      <w:r w:rsidRPr="00407705">
        <w:rPr>
          <w:rFonts w:ascii="Garamond" w:hAnsi="Garamond" w:cs="Times New Roman"/>
          <w:color w:val="000000"/>
          <w:sz w:val="24"/>
          <w:szCs w:val="24"/>
          <w:lang w:val="sq-AL"/>
        </w:rPr>
        <w:t xml:space="preserve"> për të drejtat e kërkuesit për aq kohë sa procedurat mund të kishin përfunduar me anulimin dhe rimbajtjen e zgjedhjeve akademike, gjë e cila mund të kishte bërë që ai të zgjidhej në pozicionin e vlerësuar të rektorit të universitetit. Në lidhje me këtë rast, në çështjen </w:t>
      </w:r>
      <w:r w:rsidRPr="00407705">
        <w:rPr>
          <w:rFonts w:ascii="Garamond" w:hAnsi="Garamond" w:cs="Times New Roman"/>
          <w:i/>
          <w:iCs/>
          <w:color w:val="000000"/>
          <w:sz w:val="24"/>
          <w:szCs w:val="24"/>
          <w:lang w:val="sq-AL"/>
        </w:rPr>
        <w:t xml:space="preserve">Tsanova-Gecheva kundër Bullgarisë </w:t>
      </w:r>
      <w:r w:rsidR="00F377AE">
        <w:rPr>
          <w:rFonts w:ascii="Garamond" w:hAnsi="Garamond" w:cs="Times New Roman"/>
          <w:color w:val="000000"/>
          <w:sz w:val="24"/>
          <w:szCs w:val="24"/>
          <w:lang w:val="sq-AL"/>
        </w:rPr>
        <w:t>(nr. 43800/12, §</w:t>
      </w:r>
      <w:r w:rsidRPr="00407705">
        <w:rPr>
          <w:rFonts w:ascii="Garamond" w:hAnsi="Garamond" w:cs="Times New Roman"/>
          <w:color w:val="000000"/>
          <w:sz w:val="24"/>
          <w:szCs w:val="24"/>
          <w:lang w:val="sq-AL"/>
        </w:rPr>
        <w:t>84, 15 shtator 2015) Gjykata vendosi se procedurat ishin decisive për të drejtën e kërkuesit për një procedurë të ligjshme dhe të drejtë</w:t>
      </w:r>
      <w:r w:rsidR="0054754A" w:rsidRPr="00407705">
        <w:rPr>
          <w:rFonts w:ascii="Garamond" w:hAnsi="Garamond" w:cs="Times New Roman"/>
          <w:color w:val="000000"/>
          <w:sz w:val="24"/>
          <w:szCs w:val="24"/>
          <w:lang w:val="sq-AL"/>
        </w:rPr>
        <w:t xml:space="preserve"> </w:t>
      </w:r>
      <w:r w:rsidRPr="00407705">
        <w:rPr>
          <w:rFonts w:ascii="Garamond" w:hAnsi="Garamond" w:cs="Times New Roman"/>
          <w:color w:val="000000"/>
          <w:sz w:val="24"/>
          <w:szCs w:val="24"/>
          <w:lang w:val="sq-AL"/>
        </w:rPr>
        <w:t xml:space="preserve">për aq kohë sa ato mund të kishin përfunduar në anulimin e procedurës së kundërshtuar dhe në organizimin e një konkursi të ri për postin, në rast se gjykatat </w:t>
      </w:r>
      <w:r w:rsidR="00C57B21" w:rsidRPr="00C57B21">
        <w:rPr>
          <w:rFonts w:ascii="Garamond" w:hAnsi="Garamond" w:cs="Times New Roman"/>
          <w:color w:val="000000"/>
          <w:sz w:val="24"/>
          <w:szCs w:val="24"/>
          <w:lang w:val="sq-AL"/>
        </w:rPr>
        <w:t>vendës</w:t>
      </w:r>
      <w:r w:rsidRPr="00407705">
        <w:rPr>
          <w:rFonts w:ascii="Garamond" w:hAnsi="Garamond" w:cs="Times New Roman"/>
          <w:color w:val="000000"/>
          <w:sz w:val="24"/>
          <w:szCs w:val="24"/>
          <w:lang w:val="sq-AL"/>
        </w:rPr>
        <w:t xml:space="preserve">e do të kishin lejuar ankimin e kërkuesit (shih edhe </w:t>
      </w:r>
      <w:r w:rsidRPr="00407705">
        <w:rPr>
          <w:rFonts w:ascii="Garamond" w:hAnsi="Garamond" w:cs="Times New Roman"/>
          <w:i/>
          <w:iCs/>
          <w:color w:val="000000"/>
          <w:sz w:val="24"/>
          <w:szCs w:val="24"/>
          <w:lang w:val="sq-AL"/>
        </w:rPr>
        <w:t xml:space="preserve">Dzhidzheva-Trendafilova kundër Bullgarisë </w:t>
      </w:r>
      <w:r w:rsidRPr="00407705">
        <w:rPr>
          <w:rFonts w:ascii="Garamond" w:hAnsi="Garamond" w:cs="Times New Roman"/>
          <w:color w:val="000000"/>
          <w:sz w:val="24"/>
          <w:szCs w:val="24"/>
          <w:lang w:val="sq-AL"/>
        </w:rPr>
        <w:t xml:space="preserve">(vendim), nr. 12628/09, §43, 9 tetor 2012). </w:t>
      </w:r>
    </w:p>
    <w:p w14:paraId="69AB0D33" w14:textId="36D5C95D"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59. Në lidhje me sa më sipër, Gjykata vendos</w:t>
      </w:r>
      <w:r w:rsidR="00377521">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se </w:t>
      </w:r>
      <w:r w:rsidR="00F377AE" w:rsidRPr="00407705">
        <w:rPr>
          <w:rFonts w:ascii="Garamond" w:hAnsi="Garamond" w:cs="Times New Roman"/>
          <w:color w:val="000000"/>
          <w:sz w:val="24"/>
          <w:szCs w:val="24"/>
          <w:lang w:val="sq-AL"/>
        </w:rPr>
        <w:t xml:space="preserve">neni </w:t>
      </w:r>
      <w:r w:rsidRPr="00407705">
        <w:rPr>
          <w:rFonts w:ascii="Garamond" w:hAnsi="Garamond" w:cs="Times New Roman"/>
          <w:color w:val="000000"/>
          <w:sz w:val="24"/>
          <w:szCs w:val="24"/>
          <w:lang w:val="sq-AL"/>
        </w:rPr>
        <w:t>6 i Konventës</w:t>
      </w:r>
      <w:r w:rsidR="00377521">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sipas pjesës së tij civile</w:t>
      </w:r>
      <w:r w:rsidR="00377521">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është i zbatueshëm në çështjen konkrete. </w:t>
      </w:r>
    </w:p>
    <w:p w14:paraId="69AB0D34" w14:textId="6A8BCAE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60. Gjithashtu, Gjykata, duke vërejtur se ankimi</w:t>
      </w:r>
      <w:r w:rsidR="00D75D52">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 lidhje me kohëzgjatjen e procedurave nuk është as i pambështetur në fakte dhe as i papranueshëm për shkaqe të tjera të listuara në </w:t>
      </w:r>
      <w:r w:rsidR="00D75D52" w:rsidRPr="00407705">
        <w:rPr>
          <w:rFonts w:ascii="Garamond" w:hAnsi="Garamond" w:cs="Times New Roman"/>
          <w:color w:val="000000"/>
          <w:sz w:val="24"/>
          <w:szCs w:val="24"/>
          <w:lang w:val="sq-AL"/>
        </w:rPr>
        <w:t xml:space="preserve">nenin </w:t>
      </w:r>
      <w:r w:rsidRPr="00407705">
        <w:rPr>
          <w:rFonts w:ascii="Garamond" w:hAnsi="Garamond" w:cs="Times New Roman"/>
          <w:color w:val="000000"/>
          <w:sz w:val="24"/>
          <w:szCs w:val="24"/>
          <w:lang w:val="sq-AL"/>
        </w:rPr>
        <w:t xml:space="preserve">35 të Konventës, e deklaron atë të pranueshëm. </w:t>
      </w:r>
    </w:p>
    <w:p w14:paraId="69AB0D35"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07705">
        <w:rPr>
          <w:rFonts w:ascii="Garamond" w:hAnsi="Garamond" w:cs="Times New Roman"/>
          <w:i/>
          <w:iCs/>
          <w:color w:val="000000"/>
          <w:sz w:val="24"/>
          <w:szCs w:val="24"/>
          <w:lang w:val="sq-AL"/>
        </w:rPr>
        <w:t>2. Meritat</w:t>
      </w:r>
    </w:p>
    <w:p w14:paraId="69AB0D36" w14:textId="2D116EBE"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61. Kërkuesi i parë pretendonte se ishte shkelur kërkesa për “afat të arsyeshëm”</w:t>
      </w:r>
      <w:r w:rsidR="00D75D52">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sipas </w:t>
      </w:r>
      <w:r w:rsidR="00D75D52" w:rsidRPr="00407705">
        <w:rPr>
          <w:rFonts w:ascii="Garamond" w:hAnsi="Garamond" w:cs="Times New Roman"/>
          <w:color w:val="000000"/>
          <w:sz w:val="24"/>
          <w:szCs w:val="24"/>
          <w:lang w:val="sq-AL"/>
        </w:rPr>
        <w:t xml:space="preserve">nenit </w:t>
      </w:r>
      <w:r w:rsidRPr="00407705">
        <w:rPr>
          <w:rFonts w:ascii="Garamond" w:hAnsi="Garamond" w:cs="Times New Roman"/>
          <w:color w:val="000000"/>
          <w:sz w:val="24"/>
          <w:szCs w:val="24"/>
          <w:lang w:val="sq-AL"/>
        </w:rPr>
        <w:t>6§1 të Konventës, duke iu referuar vonesës shkaktuar nga Gjykata e Lartë në shqyrtimin e ankimit të tij të kasacionit. Ai theksoi se më 27 tetor 2016, kishte paraqitur një ankim në Gjykatën e Lartë, e cila nuk kishte ndërmarrë ndonjë hap për ta shqyrtuar atë deri më 24 shkurt 2021, kur kishte vendosur ta dërgonte çështjen për rishqyrtim nga një trupë tjetër në Gjykatën Administrative të Apelit. Në vijim, ai argumentoi se nuk kishte kontribuar në ndonjë mënyrë në vonesën në procedura; përkundrazi, ai i kishte kërkuar Gjykatës së Lartë disa herë që të shqyrtonte çështjen e tij. Për më tepër, ai shtoi se duke qenë se mandati i një rektori universiteti ishte i kufizuar për katër v</w:t>
      </w:r>
      <w:r w:rsidR="00D75D52">
        <w:rPr>
          <w:rFonts w:ascii="Garamond" w:hAnsi="Garamond" w:cs="Times New Roman"/>
          <w:color w:val="000000"/>
          <w:sz w:val="24"/>
          <w:szCs w:val="24"/>
          <w:lang w:val="sq-AL"/>
        </w:rPr>
        <w:t>jet</w:t>
      </w:r>
      <w:r w:rsidRPr="00407705">
        <w:rPr>
          <w:rFonts w:ascii="Garamond" w:hAnsi="Garamond" w:cs="Times New Roman"/>
          <w:color w:val="000000"/>
          <w:sz w:val="24"/>
          <w:szCs w:val="24"/>
          <w:lang w:val="sq-AL"/>
        </w:rPr>
        <w:t xml:space="preserve">, mosmarrëveshja e kishte pasur prioritet kohën, gjë e cila do të duhej ta kishte nxitur Gjykatën e Lartë ta merrte shpejt vendimin. Së fundmi, ai argumentoi se në opinionin e tij, vonesa në Gjykatën e Lartë kishte ardhur për shkak të reformave në drejtësi, gjë e cila kishte bërë që Gjykata e Lartë të operonte me shumë pak gjyqtarë. </w:t>
      </w:r>
    </w:p>
    <w:p w14:paraId="69AB0D37" w14:textId="45C1526D"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62. Qeveria pranoi se procedurat në Gjykatën e Lartë nuk kishin respektuar kërkesën për “afat të arsyeshëm”</w:t>
      </w:r>
      <w:r w:rsidR="00B66385">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sipas </w:t>
      </w:r>
      <w:r w:rsidR="00B66385" w:rsidRPr="00407705">
        <w:rPr>
          <w:rFonts w:ascii="Garamond" w:hAnsi="Garamond" w:cs="Times New Roman"/>
          <w:color w:val="000000"/>
          <w:sz w:val="24"/>
          <w:szCs w:val="24"/>
          <w:lang w:val="sq-AL"/>
        </w:rPr>
        <w:t xml:space="preserve">nenit </w:t>
      </w:r>
      <w:r w:rsidR="00B66385">
        <w:rPr>
          <w:rFonts w:ascii="Garamond" w:hAnsi="Garamond" w:cs="Times New Roman"/>
          <w:color w:val="000000"/>
          <w:sz w:val="24"/>
          <w:szCs w:val="24"/>
          <w:lang w:val="sq-AL"/>
        </w:rPr>
        <w:t>6§</w:t>
      </w:r>
      <w:r w:rsidRPr="00407705">
        <w:rPr>
          <w:rFonts w:ascii="Garamond" w:hAnsi="Garamond" w:cs="Times New Roman"/>
          <w:color w:val="000000"/>
          <w:sz w:val="24"/>
          <w:szCs w:val="24"/>
          <w:lang w:val="sq-AL"/>
        </w:rPr>
        <w:t>1 të Konventës, megjithatë, Qeveria shpjegoi se vonesa në shqyrtimin e ankimit të kasacionit të kërkuesit të parë kishte ardhur s</w:t>
      </w:r>
      <w:r w:rsidR="00B66385">
        <w:rPr>
          <w:rFonts w:ascii="Garamond" w:hAnsi="Garamond" w:cs="Times New Roman"/>
          <w:color w:val="000000"/>
          <w:sz w:val="24"/>
          <w:szCs w:val="24"/>
          <w:lang w:val="sq-AL"/>
        </w:rPr>
        <w:t>i pasojë e reformës në gjyqësor</w:t>
      </w:r>
      <w:r w:rsidRPr="00407705">
        <w:rPr>
          <w:rFonts w:ascii="Garamond" w:hAnsi="Garamond" w:cs="Times New Roman"/>
          <w:color w:val="000000"/>
          <w:sz w:val="24"/>
          <w:szCs w:val="24"/>
          <w:lang w:val="sq-AL"/>
        </w:rPr>
        <w:t xml:space="preserve"> dhe, veçanërisht, në </w:t>
      </w:r>
      <w:r w:rsidR="00654098" w:rsidRPr="00407705">
        <w:rPr>
          <w:rFonts w:ascii="Garamond" w:hAnsi="Garamond" w:cs="Times New Roman"/>
          <w:i/>
          <w:color w:val="000000"/>
          <w:sz w:val="24"/>
          <w:szCs w:val="24"/>
          <w:lang w:val="sq-AL"/>
        </w:rPr>
        <w:t>vetting</w:t>
      </w:r>
      <w:r w:rsidRPr="00407705">
        <w:rPr>
          <w:rFonts w:ascii="Garamond" w:hAnsi="Garamond" w:cs="Times New Roman"/>
          <w:color w:val="000000"/>
          <w:sz w:val="24"/>
          <w:szCs w:val="24"/>
          <w:lang w:val="sq-AL"/>
        </w:rPr>
        <w:t xml:space="preserve">-un e gjyqtarëve, reformë e cila kishte qenë një nevojë për sistemin gjyqësor në Shqipëri. Qeveria argumentoi se autoritetet përkatëse </w:t>
      </w:r>
      <w:r w:rsidR="00C57B21" w:rsidRPr="00C57B21">
        <w:rPr>
          <w:rFonts w:ascii="Garamond" w:hAnsi="Garamond" w:cs="Times New Roman"/>
          <w:color w:val="000000"/>
          <w:sz w:val="24"/>
          <w:szCs w:val="24"/>
          <w:lang w:val="sq-AL"/>
        </w:rPr>
        <w:t>vendës</w:t>
      </w:r>
      <w:r w:rsidRPr="00407705">
        <w:rPr>
          <w:rFonts w:ascii="Garamond" w:hAnsi="Garamond" w:cs="Times New Roman"/>
          <w:color w:val="000000"/>
          <w:sz w:val="24"/>
          <w:szCs w:val="24"/>
          <w:lang w:val="sq-AL"/>
        </w:rPr>
        <w:t xml:space="preserve">e kishin miratuar një legjislacion të dytë dhe një sërë rregulloresh të brendshme, dhe se kishin punuar me shpejtësi për të finalizuar procedurën për emërimin e gjyqtarëve shtesë në Gjykatën e Lartë. </w:t>
      </w:r>
    </w:p>
    <w:p w14:paraId="69AB0D38" w14:textId="7663EB1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63. Gjykata thekson se arsyeshmëria e kohëzgjatjes së procedurave duhet të vlerësohet sipas rrethanave të çështjes dhe në referencë të kritereve të mëposhtme: kompleksiteti i çështjes, sjellja e ankuesit dhe e autoriteteve përkatëse, dhe se çfarë rrezikohej për kërkuesin në mosmarrëveshje (shih, midis shumë autoritetesh, </w:t>
      </w:r>
      <w:r w:rsidRPr="00407705">
        <w:rPr>
          <w:rFonts w:ascii="Garamond" w:hAnsi="Garamond" w:cs="Times New Roman"/>
          <w:i/>
          <w:iCs/>
          <w:color w:val="000000"/>
          <w:sz w:val="24"/>
          <w:szCs w:val="24"/>
          <w:lang w:val="sq-AL"/>
        </w:rPr>
        <w:t xml:space="preserve">Sürmeli kundër Gjermanisë </w:t>
      </w:r>
      <w:r w:rsidR="00B66385">
        <w:rPr>
          <w:rFonts w:ascii="Garamond" w:hAnsi="Garamond" w:cs="Times New Roman"/>
          <w:color w:val="000000"/>
          <w:sz w:val="24"/>
          <w:szCs w:val="24"/>
          <w:lang w:val="sq-AL"/>
        </w:rPr>
        <w:t>[DHM], nr. 75529/01, §</w:t>
      </w:r>
      <w:r w:rsidRPr="00407705">
        <w:rPr>
          <w:rFonts w:ascii="Garamond" w:hAnsi="Garamond" w:cs="Times New Roman"/>
          <w:color w:val="000000"/>
          <w:sz w:val="24"/>
          <w:szCs w:val="24"/>
          <w:lang w:val="sq-AL"/>
        </w:rPr>
        <w:t>128, GJEDNJ 2006-VII).</w:t>
      </w:r>
    </w:p>
    <w:p w14:paraId="69AB0D39" w14:textId="539ADB82"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64. Duke u kthyer te çështja e kërkuesit të parë, procedurat filluan më 23 prill 2016 (shih paragrafin 7 më sipër), kur kërkuesi paraqiti një ankim administrativ kundër vendimit të Komisionit Zgjedhor, për një “mosmarrëveshje” të lindur</w:t>
      </w:r>
      <w:r w:rsidR="00B66385">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sipas interpretimit të </w:t>
      </w:r>
      <w:r w:rsidR="00B66385" w:rsidRPr="00407705">
        <w:rPr>
          <w:rFonts w:ascii="Garamond" w:hAnsi="Garamond" w:cs="Times New Roman"/>
          <w:color w:val="000000"/>
          <w:sz w:val="24"/>
          <w:szCs w:val="24"/>
          <w:lang w:val="sq-AL"/>
        </w:rPr>
        <w:t xml:space="preserve">nenit </w:t>
      </w:r>
      <w:r w:rsidR="00B66385">
        <w:rPr>
          <w:rFonts w:ascii="Garamond" w:hAnsi="Garamond" w:cs="Times New Roman"/>
          <w:color w:val="000000"/>
          <w:sz w:val="24"/>
          <w:szCs w:val="24"/>
          <w:lang w:val="sq-AL"/>
        </w:rPr>
        <w:t>6§</w:t>
      </w:r>
      <w:r w:rsidRPr="00407705">
        <w:rPr>
          <w:rFonts w:ascii="Garamond" w:hAnsi="Garamond" w:cs="Times New Roman"/>
          <w:color w:val="000000"/>
          <w:sz w:val="24"/>
          <w:szCs w:val="24"/>
          <w:lang w:val="sq-AL"/>
        </w:rPr>
        <w:t xml:space="preserve">1 (shih, për shembull, </w:t>
      </w:r>
      <w:r w:rsidRPr="00407705">
        <w:rPr>
          <w:rFonts w:ascii="Garamond" w:hAnsi="Garamond" w:cs="Times New Roman"/>
          <w:i/>
          <w:iCs/>
          <w:color w:val="000000"/>
          <w:sz w:val="24"/>
          <w:szCs w:val="24"/>
          <w:lang w:val="sq-AL"/>
        </w:rPr>
        <w:t>Mitkova dhe ish-Republika Jugosllave e Maqedonisë</w:t>
      </w:r>
      <w:r w:rsidRPr="00407705">
        <w:rPr>
          <w:rFonts w:ascii="Garamond" w:hAnsi="Garamond" w:cs="Times New Roman"/>
          <w:color w:val="000000"/>
          <w:sz w:val="24"/>
          <w:szCs w:val="24"/>
          <w:lang w:val="sq-AL"/>
        </w:rPr>
        <w:t>, nr. 48386/09, §49, 15 tetor 2015). Sipas një vendimi të fundit dhënë nga Gj</w:t>
      </w:r>
      <w:r w:rsidR="00B66385">
        <w:rPr>
          <w:rFonts w:ascii="Garamond" w:hAnsi="Garamond" w:cs="Times New Roman"/>
          <w:color w:val="000000"/>
          <w:sz w:val="24"/>
          <w:szCs w:val="24"/>
          <w:lang w:val="sq-AL"/>
        </w:rPr>
        <w:t>ykata e Lartë më 24 shkurt 2021</w:t>
      </w:r>
      <w:r w:rsidRPr="00407705">
        <w:rPr>
          <w:rFonts w:ascii="Garamond" w:hAnsi="Garamond" w:cs="Times New Roman"/>
          <w:color w:val="000000"/>
          <w:sz w:val="24"/>
          <w:szCs w:val="24"/>
          <w:lang w:val="sq-AL"/>
        </w:rPr>
        <w:t xml:space="preserve"> (shih paragrafin 14 më sipër), çështja u kthye për rishqyrtim në Gjykatën Administrative të Apelit, tek e cila procedurat janë ende pezull. Deri më sot, procedurat kanë zgjatur për mbi pesë v</w:t>
      </w:r>
      <w:r w:rsidR="00B66385">
        <w:rPr>
          <w:rFonts w:ascii="Garamond" w:hAnsi="Garamond" w:cs="Times New Roman"/>
          <w:color w:val="000000"/>
          <w:sz w:val="24"/>
          <w:szCs w:val="24"/>
          <w:lang w:val="sq-AL"/>
        </w:rPr>
        <w:t>jet</w:t>
      </w:r>
      <w:r w:rsidRPr="00407705">
        <w:rPr>
          <w:rFonts w:ascii="Garamond" w:hAnsi="Garamond" w:cs="Times New Roman"/>
          <w:color w:val="000000"/>
          <w:sz w:val="24"/>
          <w:szCs w:val="24"/>
          <w:lang w:val="sq-AL"/>
        </w:rPr>
        <w:t xml:space="preserve"> e katër muaj në të tr</w:t>
      </w:r>
      <w:r w:rsidR="00B66385">
        <w:rPr>
          <w:rFonts w:ascii="Garamond" w:hAnsi="Garamond" w:cs="Times New Roman"/>
          <w:color w:val="000000"/>
          <w:sz w:val="24"/>
          <w:szCs w:val="24"/>
          <w:lang w:val="sq-AL"/>
        </w:rPr>
        <w:t>ia</w:t>
      </w:r>
      <w:r w:rsidRPr="00407705">
        <w:rPr>
          <w:rFonts w:ascii="Garamond" w:hAnsi="Garamond" w:cs="Times New Roman"/>
          <w:color w:val="000000"/>
          <w:sz w:val="24"/>
          <w:szCs w:val="24"/>
          <w:lang w:val="sq-AL"/>
        </w:rPr>
        <w:t xml:space="preserve"> nivelet e juridiksionit. </w:t>
      </w:r>
    </w:p>
    <w:p w14:paraId="69AB0D3A" w14:textId="23320CA5"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65. Gjykata e pranon se kohëzgjatja e përgjithshme e procedurave, në këndvështrimin e parë, mund të duket e arsyeshme. Në fakt, procedura e shqyrtimit administrativ dhe procedura e shqyrtimit gjyqësor fillesta</w:t>
      </w:r>
      <w:r w:rsidR="00B66385">
        <w:rPr>
          <w:rFonts w:ascii="Garamond" w:hAnsi="Garamond" w:cs="Times New Roman"/>
          <w:color w:val="000000"/>
          <w:sz w:val="24"/>
          <w:szCs w:val="24"/>
          <w:lang w:val="sq-AL"/>
        </w:rPr>
        <w:t>r janë kryer relativisht shpejt</w:t>
      </w:r>
      <w:r w:rsidRPr="00407705">
        <w:rPr>
          <w:rFonts w:ascii="Garamond" w:hAnsi="Garamond" w:cs="Times New Roman"/>
          <w:color w:val="000000"/>
          <w:sz w:val="24"/>
          <w:szCs w:val="24"/>
          <w:lang w:val="sq-AL"/>
        </w:rPr>
        <w:t xml:space="preserve">. Megjithatë, në kërkesën konkrete, Gjykata shqetësohet për periudhën nga data 27 tetor 2016, kur kërkuesi i parë paraqiti një ankim kasacioni në Gjykatën e Lartë, dhe deri më 24 shkurt 2021, kur ajo gjykatë pranoi ankimin e kasacionit dhe e riktheu çështjen që të rishqyrtohej nga një trupë tjetër në Gjykatën Administrative të Apelit. Në këtë këndvështrim, Gjykata e ka të pamundur të dakordësohet me gjetjet e Gjykatës së Lartë në vendimin e saj të datës 13 korrik 2021, se çështja kishte pasur një vonesë prej një viti e gjashtë muajsh, periudhë kohore e cila fillonte nga data kur ankimi i kasacionit ishte regjistruar në atë gjykatë dhe deri në datën kur kërkuesi i parë e kishte paraqitur kërkesën e tij në mbështetje të </w:t>
      </w:r>
      <w:r w:rsidR="00B47622" w:rsidRPr="00407705">
        <w:rPr>
          <w:rFonts w:ascii="Garamond" w:hAnsi="Garamond" w:cs="Times New Roman"/>
          <w:color w:val="000000"/>
          <w:sz w:val="24"/>
          <w:szCs w:val="24"/>
          <w:lang w:val="sq-AL"/>
        </w:rPr>
        <w:t xml:space="preserve">neneve </w:t>
      </w:r>
      <w:r w:rsidRPr="00407705">
        <w:rPr>
          <w:rFonts w:ascii="Garamond" w:hAnsi="Garamond" w:cs="Times New Roman"/>
          <w:color w:val="000000"/>
          <w:sz w:val="24"/>
          <w:szCs w:val="24"/>
          <w:lang w:val="sq-AL"/>
        </w:rPr>
        <w:t>399/1 e në vijim të KPC</w:t>
      </w:r>
      <w:r w:rsidR="00B47622">
        <w:rPr>
          <w:rFonts w:ascii="Garamond" w:hAnsi="Garamond" w:cs="Times New Roman"/>
          <w:color w:val="000000"/>
          <w:sz w:val="24"/>
          <w:szCs w:val="24"/>
          <w:lang w:val="sq-AL"/>
        </w:rPr>
        <w:t>-së</w:t>
      </w:r>
      <w:r w:rsidRPr="00407705">
        <w:rPr>
          <w:rFonts w:ascii="Garamond" w:hAnsi="Garamond" w:cs="Times New Roman"/>
          <w:color w:val="000000"/>
          <w:sz w:val="24"/>
          <w:szCs w:val="24"/>
          <w:lang w:val="sq-AL"/>
        </w:rPr>
        <w:t xml:space="preserve">. </w:t>
      </w:r>
    </w:p>
    <w:p w14:paraId="69AB0D3B" w14:textId="22FD904B"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66. Nga ana tjetër, Gjykata dakordësohet me konstatimin e Gjykatës së Lartë</w:t>
      </w:r>
      <w:r w:rsidR="00915939">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se lënda e procedimeve, që kishte të bënte me ligjshmërinë dhe rezultatin e zgjedhjeve për pozicionin e rektorit të universitetit nuk sillte problematika veçanërisht komplekse për faktin ose ligjin. </w:t>
      </w:r>
    </w:p>
    <w:p w14:paraId="69AB0D3C"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67. Në lidhje me sjelljen e kërkuesit të parë, Gjykata thekson se gjatë gjithë procedurave ai veproi në mënyrë të kujdesshme, pa shkaktuar vonesa, dhe në disa raste ai kërkoi përshpejtimin e procedurave. </w:t>
      </w:r>
    </w:p>
    <w:p w14:paraId="69AB0D3D" w14:textId="727F8635"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68. Gjykata vëren se</w:t>
      </w:r>
      <w:r w:rsidR="00915939">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sipas dosjes së çështjes</w:t>
      </w:r>
      <w:r w:rsidR="00915939">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nuk rezulton që Gjykata e Lartë të ketë ndërmarrë ndonjë hap procedural</w:t>
      </w:r>
      <w:r w:rsidR="00915939">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 lidhje me ankimin e kasacionit të kërkuesit, duke qenë se çështja e tij mbeti pezull deri më 24 shkurt 2021. Qeveria u shpreh se vonesa ishte shkaktuar nga procesi i </w:t>
      </w:r>
      <w:r w:rsidR="00654098" w:rsidRPr="00407705">
        <w:rPr>
          <w:rFonts w:ascii="Garamond" w:hAnsi="Garamond" w:cs="Times New Roman"/>
          <w:i/>
          <w:color w:val="000000"/>
          <w:sz w:val="24"/>
          <w:szCs w:val="24"/>
          <w:lang w:val="sq-AL"/>
        </w:rPr>
        <w:t>vetting</w:t>
      </w:r>
      <w:r w:rsidRPr="00407705">
        <w:rPr>
          <w:rFonts w:ascii="Garamond" w:hAnsi="Garamond" w:cs="Times New Roman"/>
          <w:color w:val="000000"/>
          <w:sz w:val="24"/>
          <w:szCs w:val="24"/>
          <w:lang w:val="sq-AL"/>
        </w:rPr>
        <w:t xml:space="preserve">-ut. Gjykata e Lartë paraqiti të njëjtin shpjegim në vendimin e saj të datës 13 korrik 2021. Në lidhje me këtë gjë, Gjykata konstaton se në vitin 2016 Shqipëria ndërmori reforma të thella në të gjithë sistemin e drejtësisë, gjë e cila solli ndryshime në Kushtetutë, në organizimin dhe funksionimin e gjykatave më të larta në vend, të tilla si: Gjykata e Lartë, duke përfshirë mënyrën në të cilën gjyqtarët e saj do të zgjidheshin nga institucione të ndryshme, dhe hapi rrugën për </w:t>
      </w:r>
      <w:r w:rsidR="00654098" w:rsidRPr="00407705">
        <w:rPr>
          <w:rFonts w:ascii="Garamond" w:hAnsi="Garamond" w:cs="Times New Roman"/>
          <w:i/>
          <w:color w:val="000000"/>
          <w:sz w:val="24"/>
          <w:szCs w:val="24"/>
          <w:lang w:val="sq-AL"/>
        </w:rPr>
        <w:t>vetting</w:t>
      </w:r>
      <w:r w:rsidRPr="00407705">
        <w:rPr>
          <w:rFonts w:ascii="Garamond" w:hAnsi="Garamond" w:cs="Times New Roman"/>
          <w:color w:val="000000"/>
          <w:sz w:val="24"/>
          <w:szCs w:val="24"/>
          <w:lang w:val="sq-AL"/>
        </w:rPr>
        <w:t xml:space="preserve">-un e të gjithë gjyqtarëve dhe prokurorëve në detyrë. </w:t>
      </w:r>
    </w:p>
    <w:p w14:paraId="69AB0D3E" w14:textId="57C4876E"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69. Megjithatë, përpara ndërmarrjes së procesit të </w:t>
      </w:r>
      <w:r w:rsidR="00654098" w:rsidRPr="00407705">
        <w:rPr>
          <w:rFonts w:ascii="Garamond" w:hAnsi="Garamond" w:cs="Times New Roman"/>
          <w:i/>
          <w:color w:val="000000"/>
          <w:sz w:val="24"/>
          <w:szCs w:val="24"/>
          <w:lang w:val="sq-AL"/>
        </w:rPr>
        <w:t>vetting</w:t>
      </w:r>
      <w:r w:rsidRPr="00407705">
        <w:rPr>
          <w:rFonts w:ascii="Garamond" w:hAnsi="Garamond" w:cs="Times New Roman"/>
          <w:color w:val="000000"/>
          <w:sz w:val="24"/>
          <w:szCs w:val="24"/>
          <w:lang w:val="sq-AL"/>
        </w:rPr>
        <w:t>-ut, Gjykata e Lartë kishte akumuluar një numër çështjesh të prapambetura (</w:t>
      </w:r>
      <w:r w:rsidR="00650F7A" w:rsidRPr="00650F7A">
        <w:rPr>
          <w:rFonts w:ascii="Garamond" w:hAnsi="Garamond" w:cs="Times New Roman"/>
          <w:i/>
          <w:color w:val="000000"/>
          <w:sz w:val="24"/>
          <w:szCs w:val="24"/>
          <w:lang w:val="sq-AL"/>
        </w:rPr>
        <w:t>backlog</w:t>
      </w:r>
      <w:r w:rsidRPr="00407705">
        <w:rPr>
          <w:rFonts w:ascii="Garamond" w:hAnsi="Garamond" w:cs="Times New Roman"/>
          <w:color w:val="000000"/>
          <w:sz w:val="24"/>
          <w:szCs w:val="24"/>
          <w:lang w:val="sq-AL"/>
        </w:rPr>
        <w:t xml:space="preserve">-u) prej 16777 çështjesh (shih paragrafin 28 më sipër). </w:t>
      </w:r>
    </w:p>
    <w:p w14:paraId="69AB0D3F" w14:textId="2B0C9F92"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70. Gjithashtu, Gjykata e Lartë vijoi të vepronte dhe të shqyrtonte ankimet e kasacionit të paktën deri më 21 maj 2019, datë pas së cilës ajo nuk kishte kuorumin statutor të nevojshëm për të marrë vendime (shih paragrafin 25 më sipër). Për pasojë, i takonte Gjykatës së Lartë të shqyrtonte ankimin e kasacionit të kërkuesit të parë deri më atë datë. Duke e marrë në konsideratë vonesën e kuptueshme të shkaktuar nga reformat e thella në sistemin e drejtësisë dhe nga procesi i </w:t>
      </w:r>
      <w:r w:rsidR="00654098" w:rsidRPr="00407705">
        <w:rPr>
          <w:rFonts w:ascii="Garamond" w:hAnsi="Garamond" w:cs="Times New Roman"/>
          <w:i/>
          <w:color w:val="000000"/>
          <w:sz w:val="24"/>
          <w:szCs w:val="24"/>
          <w:lang w:val="sq-AL"/>
        </w:rPr>
        <w:t>vetting</w:t>
      </w:r>
      <w:r w:rsidRPr="00407705">
        <w:rPr>
          <w:rFonts w:ascii="Garamond" w:hAnsi="Garamond" w:cs="Times New Roman"/>
          <w:color w:val="000000"/>
          <w:sz w:val="24"/>
          <w:szCs w:val="24"/>
          <w:lang w:val="sq-AL"/>
        </w:rPr>
        <w:t xml:space="preserve">-ut, Gjykata vëren se </w:t>
      </w:r>
      <w:r w:rsidR="00915939" w:rsidRPr="00407705">
        <w:rPr>
          <w:rFonts w:ascii="Garamond" w:hAnsi="Garamond" w:cs="Times New Roman"/>
          <w:color w:val="000000"/>
          <w:sz w:val="24"/>
          <w:szCs w:val="24"/>
          <w:lang w:val="sq-AL"/>
        </w:rPr>
        <w:t xml:space="preserve">shtetet </w:t>
      </w:r>
      <w:r w:rsidRPr="00407705">
        <w:rPr>
          <w:rFonts w:ascii="Garamond" w:hAnsi="Garamond" w:cs="Times New Roman"/>
          <w:color w:val="000000"/>
          <w:sz w:val="24"/>
          <w:szCs w:val="24"/>
          <w:lang w:val="sq-AL"/>
        </w:rPr>
        <w:t xml:space="preserve">kanë një detyrim të përgjithshëm që t’i organizojnë sistemet e tyre ligjore për të garantuar respektim të kushteve të parashikuara në </w:t>
      </w:r>
      <w:r w:rsidR="00915939" w:rsidRPr="00407705">
        <w:rPr>
          <w:rFonts w:ascii="Garamond" w:hAnsi="Garamond" w:cs="Times New Roman"/>
          <w:color w:val="000000"/>
          <w:sz w:val="24"/>
          <w:szCs w:val="24"/>
          <w:lang w:val="sq-AL"/>
        </w:rPr>
        <w:t xml:space="preserve">nenin </w:t>
      </w:r>
      <w:r w:rsidR="00915939">
        <w:rPr>
          <w:rFonts w:ascii="Garamond" w:hAnsi="Garamond" w:cs="Times New Roman"/>
          <w:color w:val="000000"/>
          <w:sz w:val="24"/>
          <w:szCs w:val="24"/>
          <w:lang w:val="sq-AL"/>
        </w:rPr>
        <w:t>6§</w:t>
      </w:r>
      <w:r w:rsidRPr="00407705">
        <w:rPr>
          <w:rFonts w:ascii="Garamond" w:hAnsi="Garamond" w:cs="Times New Roman"/>
          <w:color w:val="000000"/>
          <w:sz w:val="24"/>
          <w:szCs w:val="24"/>
          <w:lang w:val="sq-AL"/>
        </w:rPr>
        <w:t xml:space="preserve">1, duke përfshirë edhe një seancë të drejtë dëgjimore brenda një afati të arsyeshëm (shih </w:t>
      </w:r>
      <w:r w:rsidRPr="00407705">
        <w:rPr>
          <w:rFonts w:ascii="Garamond" w:hAnsi="Garamond" w:cs="Times New Roman"/>
          <w:i/>
          <w:iCs/>
          <w:color w:val="000000"/>
          <w:sz w:val="24"/>
          <w:szCs w:val="24"/>
          <w:lang w:val="sq-AL"/>
        </w:rPr>
        <w:t xml:space="preserve">Krastanov kundër Bullgarisë, </w:t>
      </w:r>
      <w:r w:rsidR="006A0626">
        <w:rPr>
          <w:rFonts w:ascii="Garamond" w:hAnsi="Garamond" w:cs="Times New Roman"/>
          <w:color w:val="000000"/>
          <w:sz w:val="24"/>
          <w:szCs w:val="24"/>
          <w:lang w:val="sq-AL"/>
        </w:rPr>
        <w:t>nr. 50222/99, §</w:t>
      </w:r>
      <w:r w:rsidRPr="00407705">
        <w:rPr>
          <w:rFonts w:ascii="Garamond" w:hAnsi="Garamond" w:cs="Times New Roman"/>
          <w:color w:val="000000"/>
          <w:sz w:val="24"/>
          <w:szCs w:val="24"/>
          <w:lang w:val="sq-AL"/>
        </w:rPr>
        <w:t xml:space="preserve">74, 30 shtator 2004). </w:t>
      </w:r>
    </w:p>
    <w:p w14:paraId="69AB0D40" w14:textId="482FE939"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71. Gjithashtu, Gjykata mban në konsideratë edhe interpretimin e Gjykatës së Lartë për </w:t>
      </w:r>
      <w:r w:rsidR="006A0626" w:rsidRPr="00407705">
        <w:rPr>
          <w:rFonts w:ascii="Garamond" w:hAnsi="Garamond" w:cs="Times New Roman"/>
          <w:color w:val="000000"/>
          <w:sz w:val="24"/>
          <w:szCs w:val="24"/>
          <w:lang w:val="sq-AL"/>
        </w:rPr>
        <w:t xml:space="preserve">nenin </w:t>
      </w:r>
      <w:r w:rsidR="006A0626">
        <w:rPr>
          <w:rFonts w:ascii="Garamond" w:hAnsi="Garamond" w:cs="Times New Roman"/>
          <w:color w:val="000000"/>
          <w:sz w:val="24"/>
          <w:szCs w:val="24"/>
          <w:lang w:val="sq-AL"/>
        </w:rPr>
        <w:t>399/2§</w:t>
      </w:r>
      <w:r w:rsidRPr="00407705">
        <w:rPr>
          <w:rFonts w:ascii="Garamond" w:hAnsi="Garamond" w:cs="Times New Roman"/>
          <w:color w:val="000000"/>
          <w:sz w:val="24"/>
          <w:szCs w:val="24"/>
          <w:lang w:val="sq-AL"/>
        </w:rPr>
        <w:t>3 të KPC</w:t>
      </w:r>
      <w:r w:rsidR="006A0626">
        <w:rPr>
          <w:rFonts w:ascii="Garamond" w:hAnsi="Garamond" w:cs="Times New Roman"/>
          <w:color w:val="000000"/>
          <w:sz w:val="24"/>
          <w:szCs w:val="24"/>
          <w:lang w:val="sq-AL"/>
        </w:rPr>
        <w:t>-së</w:t>
      </w:r>
      <w:r w:rsidRPr="00407705">
        <w:rPr>
          <w:rFonts w:ascii="Garamond" w:hAnsi="Garamond" w:cs="Times New Roman"/>
          <w:color w:val="000000"/>
          <w:sz w:val="24"/>
          <w:szCs w:val="24"/>
          <w:lang w:val="sq-AL"/>
        </w:rPr>
        <w:t>, sipas së cilës periudhat kohore gjatë të cilave “rrethanat e kanë bërë të pamundur objektivisht [për gjykatën] procedimin”</w:t>
      </w:r>
      <w:r w:rsidR="00E5444C">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me shqyrtimin e një çështje</w:t>
      </w:r>
      <w:r w:rsidR="00E5444C">
        <w:rPr>
          <w:rFonts w:ascii="Garamond" w:hAnsi="Garamond" w:cs="Times New Roman"/>
          <w:color w:val="000000"/>
          <w:sz w:val="24"/>
          <w:szCs w:val="24"/>
          <w:lang w:val="sq-AL"/>
        </w:rPr>
        <w:t>je</w:t>
      </w:r>
      <w:r w:rsidRPr="00407705">
        <w:rPr>
          <w:rFonts w:ascii="Garamond" w:hAnsi="Garamond" w:cs="Times New Roman"/>
          <w:color w:val="000000"/>
          <w:sz w:val="24"/>
          <w:szCs w:val="24"/>
          <w:lang w:val="sq-AL"/>
        </w:rPr>
        <w:t xml:space="preserve"> – të cilat përfshinin, sipas saj, ndikimet e reformave në vijim në sektorin e drejtësisë për funksionimin e vet</w:t>
      </w:r>
      <w:r w:rsidR="00E5444C">
        <w:rPr>
          <w:rFonts w:ascii="Garamond" w:hAnsi="Garamond" w:cs="Times New Roman"/>
          <w:color w:val="000000"/>
          <w:sz w:val="24"/>
          <w:szCs w:val="24"/>
          <w:lang w:val="sq-AL"/>
        </w:rPr>
        <w:t>ë</w:t>
      </w:r>
      <w:r w:rsidRPr="00407705">
        <w:rPr>
          <w:rFonts w:ascii="Garamond" w:hAnsi="Garamond" w:cs="Times New Roman"/>
          <w:color w:val="000000"/>
          <w:sz w:val="24"/>
          <w:szCs w:val="24"/>
          <w:lang w:val="sq-AL"/>
        </w:rPr>
        <w:t xml:space="preserve"> Gjykatës së Lartë – nuk do të duhej të përllogariteshin në kohëzgjatjen e përgjithshme të procedurave (shih paragrafin 15 më sipër). Duke qenë se nuk i takon Gjykatës që të vendosë për interpretimin e duhur të ligjit të brendshëm, ajo gjykon se, sipas rrethanave të kërkesës konkrete, një qasje e tillë nuk do të ishte në harmoni me praktikën e saj l</w:t>
      </w:r>
      <w:r w:rsidR="00B66385">
        <w:rPr>
          <w:rFonts w:ascii="Garamond" w:hAnsi="Garamond" w:cs="Times New Roman"/>
          <w:color w:val="000000"/>
          <w:sz w:val="24"/>
          <w:szCs w:val="24"/>
          <w:lang w:val="sq-AL"/>
        </w:rPr>
        <w:t>igjore</w:t>
      </w:r>
      <w:r w:rsidR="00E5444C">
        <w:rPr>
          <w:rFonts w:ascii="Garamond" w:hAnsi="Garamond" w:cs="Times New Roman"/>
          <w:color w:val="000000"/>
          <w:sz w:val="24"/>
          <w:szCs w:val="24"/>
          <w:lang w:val="sq-AL"/>
        </w:rPr>
        <w:t>,</w:t>
      </w:r>
      <w:r w:rsidR="00B66385">
        <w:rPr>
          <w:rFonts w:ascii="Garamond" w:hAnsi="Garamond" w:cs="Times New Roman"/>
          <w:color w:val="000000"/>
          <w:sz w:val="24"/>
          <w:szCs w:val="24"/>
          <w:lang w:val="sq-AL"/>
        </w:rPr>
        <w:t xml:space="preserve"> në mbështetje të nenit 6§</w:t>
      </w:r>
      <w:r w:rsidRPr="00407705">
        <w:rPr>
          <w:rFonts w:ascii="Garamond" w:hAnsi="Garamond" w:cs="Times New Roman"/>
          <w:color w:val="000000"/>
          <w:sz w:val="24"/>
          <w:szCs w:val="24"/>
          <w:lang w:val="sq-AL"/>
        </w:rPr>
        <w:t>1</w:t>
      </w:r>
      <w:r w:rsidR="00E5444C">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për kërkesën për “një afat të arsyeshëm”, sepse në këtë mënyrë e gjithë barra për ndonjë vonesë të shkaktuar nga reformat në sektori</w:t>
      </w:r>
      <w:r w:rsidR="00B66385">
        <w:rPr>
          <w:rFonts w:ascii="Garamond" w:hAnsi="Garamond" w:cs="Times New Roman"/>
          <w:color w:val="000000"/>
          <w:sz w:val="24"/>
          <w:szCs w:val="24"/>
          <w:lang w:val="sq-AL"/>
        </w:rPr>
        <w:t>n e drejtësisë do të kalonte te</w:t>
      </w:r>
      <w:r w:rsidRPr="00407705">
        <w:rPr>
          <w:rFonts w:ascii="Garamond" w:hAnsi="Garamond" w:cs="Times New Roman"/>
          <w:color w:val="000000"/>
          <w:sz w:val="24"/>
          <w:szCs w:val="24"/>
          <w:lang w:val="sq-AL"/>
        </w:rPr>
        <w:t xml:space="preserve"> pala ndërgjyqëse individuale. </w:t>
      </w:r>
    </w:p>
    <w:p w14:paraId="69AB0D41" w14:textId="39EA1C4A"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72. Së fundmi, në përcaktimin e asaj që rrezikohej për kërkuesin, Gjykata pranon se çështja nuk kishte relevancë të drejtpërdrejtë me mjetet për jetesë të kërkuesit, me përfitimet apo dietat e tij, duke qenë se ai vazhdonte të ishte i punësuar si doktor dhe lektor në universitet. Ai as nuk u pushua dhe as nuk u pezullua nga detyra, procedura këto të cilat nga vet</w:t>
      </w:r>
      <w:r w:rsidR="00B66385">
        <w:rPr>
          <w:rFonts w:ascii="Garamond" w:hAnsi="Garamond" w:cs="Times New Roman"/>
          <w:color w:val="000000"/>
          <w:sz w:val="24"/>
          <w:szCs w:val="24"/>
          <w:lang w:val="sq-AL"/>
        </w:rPr>
        <w:t>ë</w:t>
      </w:r>
      <w:r w:rsidRPr="00407705">
        <w:rPr>
          <w:rFonts w:ascii="Garamond" w:hAnsi="Garamond" w:cs="Times New Roman"/>
          <w:color w:val="000000"/>
          <w:sz w:val="24"/>
          <w:szCs w:val="24"/>
          <w:lang w:val="sq-AL"/>
        </w:rPr>
        <w:t xml:space="preserve"> natyra e tyre do të kishin shkaktuar nevojën për vendime të përshpejtuara (shih, për shembull, </w:t>
      </w:r>
      <w:r w:rsidRPr="00407705">
        <w:rPr>
          <w:rFonts w:ascii="Garamond" w:hAnsi="Garamond" w:cs="Times New Roman"/>
          <w:i/>
          <w:iCs/>
          <w:color w:val="000000"/>
          <w:sz w:val="24"/>
          <w:szCs w:val="24"/>
          <w:lang w:val="sq-AL"/>
        </w:rPr>
        <w:t xml:space="preserve">Launikari kundër Finlandës, </w:t>
      </w:r>
      <w:r w:rsidRPr="00407705">
        <w:rPr>
          <w:rFonts w:ascii="Garamond" w:hAnsi="Garamond" w:cs="Times New Roman"/>
          <w:color w:val="000000"/>
          <w:sz w:val="24"/>
          <w:szCs w:val="24"/>
          <w:lang w:val="sq-AL"/>
        </w:rPr>
        <w:t xml:space="preserve">nr. 34120/96, §36, 5 tetor 2000, e cila kishte të bënte me një mosmarrëveshje punësimi për pushimin e kërkuesit nga detyra, dhe </w:t>
      </w:r>
      <w:r w:rsidRPr="00407705">
        <w:rPr>
          <w:rFonts w:ascii="Garamond" w:hAnsi="Garamond" w:cs="Times New Roman"/>
          <w:i/>
          <w:iCs/>
          <w:color w:val="000000"/>
          <w:sz w:val="24"/>
          <w:szCs w:val="24"/>
          <w:lang w:val="sq-AL"/>
        </w:rPr>
        <w:t>Hajrudinović kundër Sllovenisë</w:t>
      </w:r>
      <w:r w:rsidRPr="00407705">
        <w:rPr>
          <w:rFonts w:ascii="Garamond" w:hAnsi="Garamond" w:cs="Times New Roman"/>
          <w:color w:val="000000"/>
          <w:sz w:val="24"/>
          <w:szCs w:val="24"/>
          <w:lang w:val="sq-AL"/>
        </w:rPr>
        <w:t>, nr. 69319/12, § 45, 21 maj 2015, e cila kishte të bënte me pretendimin e kërkuesit për pagesat e shkurtimit nga puna). Pavarësisht kësaj,</w:t>
      </w:r>
      <w:r w:rsidR="00B66385">
        <w:rPr>
          <w:rFonts w:ascii="Garamond" w:hAnsi="Garamond" w:cs="Times New Roman"/>
          <w:color w:val="000000"/>
          <w:sz w:val="24"/>
          <w:szCs w:val="24"/>
          <w:lang w:val="sq-AL"/>
        </w:rPr>
        <w:t xml:space="preserve"> për sa i përket mandatit katër</w:t>
      </w:r>
      <w:r w:rsidRPr="00407705">
        <w:rPr>
          <w:rFonts w:ascii="Garamond" w:hAnsi="Garamond" w:cs="Times New Roman"/>
          <w:color w:val="000000"/>
          <w:sz w:val="24"/>
          <w:szCs w:val="24"/>
          <w:lang w:val="sq-AL"/>
        </w:rPr>
        <w:t xml:space="preserve">vjeçar për pozicionin e rektorit, Gjykata është e mendimit se çështja ka pasur rëndësi për kërkuesin dhe do të duhej ta kishte nxitur Gjykatën e Lartë ta shqyrtonte atë me kujdes. </w:t>
      </w:r>
    </w:p>
    <w:p w14:paraId="69AB0D42" w14:textId="36732517" w:rsidR="009A0255" w:rsidRPr="00407705" w:rsidRDefault="00D21F9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73. Në këtë situatë</w:t>
      </w:r>
      <w:r w:rsidR="009A0255" w:rsidRPr="00407705">
        <w:rPr>
          <w:rFonts w:ascii="Garamond" w:hAnsi="Garamond" w:cs="Times New Roman"/>
          <w:color w:val="000000"/>
          <w:sz w:val="24"/>
          <w:szCs w:val="24"/>
          <w:lang w:val="sq-AL"/>
        </w:rPr>
        <w:t xml:space="preserve"> është shkelur </w:t>
      </w:r>
      <w:r w:rsidRPr="00407705">
        <w:rPr>
          <w:rFonts w:ascii="Garamond" w:hAnsi="Garamond" w:cs="Times New Roman"/>
          <w:color w:val="000000"/>
          <w:sz w:val="24"/>
          <w:szCs w:val="24"/>
          <w:lang w:val="sq-AL"/>
        </w:rPr>
        <w:t xml:space="preserve">neni </w:t>
      </w:r>
      <w:r w:rsidR="009A0255" w:rsidRPr="00407705">
        <w:rPr>
          <w:rFonts w:ascii="Garamond" w:hAnsi="Garamond" w:cs="Times New Roman"/>
          <w:color w:val="000000"/>
          <w:sz w:val="24"/>
          <w:szCs w:val="24"/>
          <w:lang w:val="sq-AL"/>
        </w:rPr>
        <w:t xml:space="preserve">6§1 i Konventës. </w:t>
      </w:r>
    </w:p>
    <w:p w14:paraId="69AB0D43" w14:textId="037AFF5F" w:rsidR="009A0255" w:rsidRPr="00407705" w:rsidRDefault="009A0255" w:rsidP="009A0255">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407705">
        <w:rPr>
          <w:rFonts w:ascii="Garamond" w:hAnsi="Garamond" w:cs="Times New Roman"/>
          <w:b/>
          <w:bCs/>
          <w:color w:val="000000"/>
          <w:sz w:val="24"/>
          <w:szCs w:val="24"/>
          <w:lang w:val="sq-AL"/>
        </w:rPr>
        <w:t xml:space="preserve">B. Në </w:t>
      </w:r>
      <w:r w:rsidR="006E2791">
        <w:rPr>
          <w:rFonts w:ascii="Garamond" w:hAnsi="Garamond" w:cs="Times New Roman"/>
          <w:b/>
          <w:bCs/>
          <w:color w:val="000000"/>
          <w:sz w:val="24"/>
          <w:szCs w:val="24"/>
          <w:lang w:val="sq-AL"/>
        </w:rPr>
        <w:t>lidhje me kërkesën nr. 17766/19,</w:t>
      </w:r>
      <w:r w:rsidRPr="00407705">
        <w:rPr>
          <w:rFonts w:ascii="Garamond" w:hAnsi="Garamond" w:cs="Times New Roman"/>
          <w:b/>
          <w:bCs/>
          <w:color w:val="000000"/>
          <w:sz w:val="24"/>
          <w:szCs w:val="24"/>
          <w:lang w:val="sq-AL"/>
        </w:rPr>
        <w:t xml:space="preserve"> </w:t>
      </w:r>
      <w:r w:rsidRPr="00407705">
        <w:rPr>
          <w:rFonts w:ascii="Garamond" w:hAnsi="Garamond" w:cs="Times New Roman"/>
          <w:b/>
          <w:bCs/>
          <w:i/>
          <w:iCs/>
          <w:color w:val="000000"/>
          <w:sz w:val="24"/>
          <w:szCs w:val="24"/>
          <w:lang w:val="sq-AL"/>
        </w:rPr>
        <w:t xml:space="preserve">Kola kundër Shqipërisë </w:t>
      </w:r>
    </w:p>
    <w:p w14:paraId="69AB0D44"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07705">
        <w:rPr>
          <w:rFonts w:ascii="Garamond" w:hAnsi="Garamond" w:cs="Times New Roman"/>
          <w:i/>
          <w:iCs/>
          <w:color w:val="000000"/>
          <w:sz w:val="24"/>
          <w:szCs w:val="24"/>
          <w:lang w:val="sq-AL"/>
        </w:rPr>
        <w:t xml:space="preserve">1. Pranueshmëria </w:t>
      </w:r>
    </w:p>
    <w:p w14:paraId="69AB0D45" w14:textId="2F858072" w:rsidR="009A0255" w:rsidRPr="00407705" w:rsidRDefault="009A0255" w:rsidP="009A0255">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407705">
        <w:rPr>
          <w:rFonts w:ascii="Garamond" w:hAnsi="Garamond" w:cs="Times New Roman"/>
          <w:b/>
          <w:bCs/>
          <w:color w:val="000000"/>
          <w:sz w:val="24"/>
          <w:szCs w:val="24"/>
          <w:lang w:val="sq-AL"/>
        </w:rPr>
        <w:t xml:space="preserve">a) Në lidhje me ankimin për kohëzgjatjen e procedurave </w:t>
      </w:r>
    </w:p>
    <w:p w14:paraId="69AB0D46" w14:textId="1C2E11DB"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74. Qeveria parashtroi se kërkuesi i dytë nuk kishte shfrytëzuar zgjidhjen e brendshme të parashikuar nga </w:t>
      </w:r>
      <w:r w:rsidR="00DD7CD8" w:rsidRPr="00407705">
        <w:rPr>
          <w:rFonts w:ascii="Garamond" w:hAnsi="Garamond" w:cs="Times New Roman"/>
          <w:color w:val="000000"/>
          <w:sz w:val="24"/>
          <w:szCs w:val="24"/>
          <w:lang w:val="sq-AL"/>
        </w:rPr>
        <w:t xml:space="preserve">nenet </w:t>
      </w:r>
      <w:r w:rsidRPr="00407705">
        <w:rPr>
          <w:rFonts w:ascii="Garamond" w:hAnsi="Garamond" w:cs="Times New Roman"/>
          <w:color w:val="000000"/>
          <w:sz w:val="24"/>
          <w:szCs w:val="24"/>
          <w:lang w:val="sq-AL"/>
        </w:rPr>
        <w:t>399/1 e në vijim të KPC</w:t>
      </w:r>
      <w:r w:rsidR="00DD7CD8">
        <w:rPr>
          <w:rFonts w:ascii="Garamond" w:hAnsi="Garamond" w:cs="Times New Roman"/>
          <w:color w:val="000000"/>
          <w:sz w:val="24"/>
          <w:szCs w:val="24"/>
          <w:lang w:val="sq-AL"/>
        </w:rPr>
        <w:t>-së</w:t>
      </w:r>
      <w:r w:rsidRPr="00407705">
        <w:rPr>
          <w:rFonts w:ascii="Garamond" w:hAnsi="Garamond" w:cs="Times New Roman"/>
          <w:color w:val="000000"/>
          <w:sz w:val="24"/>
          <w:szCs w:val="24"/>
          <w:lang w:val="sq-AL"/>
        </w:rPr>
        <w:t xml:space="preserve">. Qeveria argumentoi veçanërisht se në mbështetje të </w:t>
      </w:r>
      <w:r w:rsidR="00DD7CD8" w:rsidRPr="00407705">
        <w:rPr>
          <w:rFonts w:ascii="Garamond" w:hAnsi="Garamond" w:cs="Times New Roman"/>
          <w:color w:val="000000"/>
          <w:sz w:val="24"/>
          <w:szCs w:val="24"/>
          <w:lang w:val="sq-AL"/>
        </w:rPr>
        <w:t xml:space="preserve">nenit </w:t>
      </w:r>
      <w:r w:rsidR="00DD7CD8">
        <w:rPr>
          <w:rFonts w:ascii="Garamond" w:hAnsi="Garamond" w:cs="Times New Roman"/>
          <w:color w:val="000000"/>
          <w:sz w:val="24"/>
          <w:szCs w:val="24"/>
          <w:lang w:val="sq-AL"/>
        </w:rPr>
        <w:t>399/6§1</w:t>
      </w:r>
      <w:r w:rsidRPr="00407705">
        <w:rPr>
          <w:rFonts w:ascii="Garamond" w:hAnsi="Garamond" w:cs="Times New Roman"/>
          <w:color w:val="000000"/>
          <w:sz w:val="24"/>
          <w:szCs w:val="24"/>
          <w:lang w:val="sq-AL"/>
        </w:rPr>
        <w:t>(c), ankimet</w:t>
      </w:r>
      <w:r w:rsidR="0054754A" w:rsidRPr="00407705">
        <w:rPr>
          <w:rFonts w:ascii="Garamond" w:hAnsi="Garamond" w:cs="Times New Roman"/>
          <w:color w:val="000000"/>
          <w:sz w:val="24"/>
          <w:szCs w:val="24"/>
          <w:lang w:val="sq-AL"/>
        </w:rPr>
        <w:t xml:space="preserve"> </w:t>
      </w:r>
      <w:r w:rsidRPr="00407705">
        <w:rPr>
          <w:rFonts w:ascii="Garamond" w:hAnsi="Garamond" w:cs="Times New Roman"/>
          <w:color w:val="000000"/>
          <w:sz w:val="24"/>
          <w:szCs w:val="24"/>
          <w:lang w:val="sq-AL"/>
        </w:rPr>
        <w:t xml:space="preserve">në lidhje me kohëzgjatjen e procedurave që ishin pezull përpara një kolegji në Gjykatën e Lartë, mund të paraqiteshin në çdo kohë përpara një kolegji tjetër të Gjykatës së Lartë. </w:t>
      </w:r>
    </w:p>
    <w:p w14:paraId="69AB0D47"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75. Kërkuesi i dytë nuk ra dakord dhe u shpreh se Gjykata e Lartë nuk kushte qenë funksionale, pasi ajo kishte pasur një numër të pamjaftueshëm gjyqtarësh. Për këtë arsye, ai argumentoi se në praktikë nuk kishte pasur asnjë zgjidhje të brendshme efektive për ankimin e tij. </w:t>
      </w:r>
    </w:p>
    <w:p w14:paraId="69AB0D48" w14:textId="175F446C"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76. Gjykata përsërit parimet e përgjithshme në lidhje me shterimin e zgjidhjeve të brendshme të parashikuara në një sërë vendimesh (shih, midis të tjerash, </w:t>
      </w:r>
      <w:r w:rsidRPr="00407705">
        <w:rPr>
          <w:rFonts w:ascii="Garamond" w:hAnsi="Garamond" w:cs="Times New Roman"/>
          <w:i/>
          <w:iCs/>
          <w:color w:val="000000"/>
          <w:sz w:val="24"/>
          <w:szCs w:val="24"/>
          <w:lang w:val="sq-AL"/>
        </w:rPr>
        <w:t>Vučković dhe të tjerët kundër Serbosë</w:t>
      </w:r>
      <w:r w:rsidR="00DD7CD8">
        <w:rPr>
          <w:rFonts w:ascii="Garamond" w:hAnsi="Garamond" w:cs="Times New Roman"/>
          <w:color w:val="000000"/>
          <w:sz w:val="24"/>
          <w:szCs w:val="24"/>
          <w:lang w:val="sq-AL"/>
        </w:rPr>
        <w:t xml:space="preserve"> </w:t>
      </w:r>
      <w:r w:rsidRPr="00407705">
        <w:rPr>
          <w:rFonts w:ascii="Garamond" w:hAnsi="Garamond" w:cs="Times New Roman"/>
          <w:color w:val="000000"/>
          <w:sz w:val="24"/>
          <w:szCs w:val="24"/>
          <w:lang w:val="sq-AL"/>
        </w:rPr>
        <w:t xml:space="preserve">(vendim paraprak) [DHM], </w:t>
      </w:r>
      <w:r w:rsidR="00DD7CD8">
        <w:rPr>
          <w:rFonts w:ascii="Garamond" w:hAnsi="Garamond" w:cs="Times New Roman"/>
          <w:color w:val="000000"/>
          <w:sz w:val="24"/>
          <w:szCs w:val="24"/>
          <w:lang w:val="sq-AL"/>
        </w:rPr>
        <w:t>nr. 17153/11 dhe 29 të tjerë, §</w:t>
      </w:r>
      <w:r w:rsidRPr="00407705">
        <w:rPr>
          <w:rFonts w:ascii="Garamond" w:hAnsi="Garamond" w:cs="Times New Roman"/>
          <w:color w:val="000000"/>
          <w:sz w:val="24"/>
          <w:szCs w:val="24"/>
          <w:lang w:val="sq-AL"/>
        </w:rPr>
        <w:t>69</w:t>
      </w:r>
      <w:r w:rsidR="00DD7CD8">
        <w:rPr>
          <w:rFonts w:ascii="Garamond" w:hAnsi="Garamond" w:cs="Times New Roman"/>
          <w:color w:val="000000"/>
          <w:sz w:val="24"/>
          <w:szCs w:val="24"/>
          <w:lang w:val="sq-AL"/>
        </w:rPr>
        <w:t>–</w:t>
      </w:r>
      <w:r w:rsidRPr="00407705">
        <w:rPr>
          <w:rFonts w:ascii="Garamond" w:hAnsi="Garamond" w:cs="Times New Roman"/>
          <w:color w:val="000000"/>
          <w:sz w:val="24"/>
          <w:szCs w:val="24"/>
          <w:lang w:val="sq-AL"/>
        </w:rPr>
        <w:t>77, 25 mars 2014). Në vijim, ajo thekson se pikëpyetja vendimtare në vlerësimin e efikasitetit të një zgjidhjeje</w:t>
      </w:r>
      <w:r w:rsidR="008E0F0C">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 lidhje me vonesat procedurale është nëse ekziston ose jo mundësia për kërkuesin</w:t>
      </w:r>
      <w:r w:rsidR="008E0F0C">
        <w:rPr>
          <w:rFonts w:ascii="Garamond" w:hAnsi="Garamond" w:cs="Times New Roman"/>
          <w:color w:val="000000"/>
          <w:sz w:val="24"/>
          <w:szCs w:val="24"/>
          <w:lang w:val="sq-AL"/>
        </w:rPr>
        <w:t xml:space="preserve">, </w:t>
      </w:r>
      <w:r w:rsidRPr="00407705">
        <w:rPr>
          <w:rFonts w:ascii="Garamond" w:hAnsi="Garamond" w:cs="Times New Roman"/>
          <w:color w:val="000000"/>
          <w:sz w:val="24"/>
          <w:szCs w:val="24"/>
          <w:lang w:val="sq-AL"/>
        </w:rPr>
        <w:t xml:space="preserve">në mënyrë që këtij të fundit t’i garantohet një zgjidhje e drejtpërdrejtë dhe e shpejtë, në vend të mbrojtjes indirekte të të drejtave të garantuara në mbështetje të </w:t>
      </w:r>
      <w:r w:rsidR="008E0F0C" w:rsidRPr="00407705">
        <w:rPr>
          <w:rFonts w:ascii="Garamond" w:hAnsi="Garamond" w:cs="Times New Roman"/>
          <w:color w:val="000000"/>
          <w:sz w:val="24"/>
          <w:szCs w:val="24"/>
          <w:lang w:val="sq-AL"/>
        </w:rPr>
        <w:t xml:space="preserve">nenit </w:t>
      </w:r>
      <w:r w:rsidRPr="00407705">
        <w:rPr>
          <w:rFonts w:ascii="Garamond" w:hAnsi="Garamond" w:cs="Times New Roman"/>
          <w:color w:val="000000"/>
          <w:sz w:val="24"/>
          <w:szCs w:val="24"/>
          <w:lang w:val="sq-AL"/>
        </w:rPr>
        <w:t xml:space="preserve">6 (shih, </w:t>
      </w:r>
      <w:r w:rsidRPr="00407705">
        <w:rPr>
          <w:rFonts w:ascii="Garamond" w:hAnsi="Garamond" w:cs="Times New Roman"/>
          <w:i/>
          <w:iCs/>
          <w:color w:val="000000"/>
          <w:sz w:val="24"/>
          <w:szCs w:val="24"/>
          <w:lang w:val="sq-AL"/>
        </w:rPr>
        <w:t>mutatis mutandis, Scordino kundër Italisë (nr. 1)</w:t>
      </w:r>
      <w:r w:rsidR="008E0F0C">
        <w:rPr>
          <w:rFonts w:ascii="Garamond" w:hAnsi="Garamond" w:cs="Times New Roman"/>
          <w:color w:val="000000"/>
          <w:sz w:val="24"/>
          <w:szCs w:val="24"/>
          <w:lang w:val="sq-AL"/>
        </w:rPr>
        <w:t xml:space="preserve"> [DHM], nr. 36813/97, §</w:t>
      </w:r>
      <w:r w:rsidRPr="00407705">
        <w:rPr>
          <w:rFonts w:ascii="Garamond" w:hAnsi="Garamond" w:cs="Times New Roman"/>
          <w:color w:val="000000"/>
          <w:sz w:val="24"/>
          <w:szCs w:val="24"/>
          <w:lang w:val="sq-AL"/>
        </w:rPr>
        <w:t xml:space="preserve">195, GJEDNJ 2006, dhe </w:t>
      </w:r>
      <w:r w:rsidRPr="00407705">
        <w:rPr>
          <w:rFonts w:ascii="Garamond" w:hAnsi="Garamond" w:cs="Times New Roman"/>
          <w:i/>
          <w:iCs/>
          <w:color w:val="000000"/>
          <w:sz w:val="24"/>
          <w:szCs w:val="24"/>
          <w:lang w:val="sq-AL"/>
        </w:rPr>
        <w:t xml:space="preserve">Sürmeli </w:t>
      </w:r>
      <w:r w:rsidR="008E0F0C">
        <w:rPr>
          <w:rFonts w:ascii="Garamond" w:hAnsi="Garamond" w:cs="Times New Roman"/>
          <w:color w:val="000000"/>
          <w:sz w:val="24"/>
          <w:szCs w:val="24"/>
          <w:lang w:val="sq-AL"/>
        </w:rPr>
        <w:t>cituar më sipër, §</w:t>
      </w:r>
      <w:r w:rsidRPr="00407705">
        <w:rPr>
          <w:rFonts w:ascii="Garamond" w:hAnsi="Garamond" w:cs="Times New Roman"/>
          <w:color w:val="000000"/>
          <w:sz w:val="24"/>
          <w:szCs w:val="24"/>
          <w:lang w:val="sq-AL"/>
        </w:rPr>
        <w:t xml:space="preserve">101). Më konkretisht, një zgjidhje do të jetë efikase, nëse ajo mund të përdoret ose për të parandaluar shkeljen e pretenduar që të ndodhë ose të vijojë të ndodhë, ose për t’i garantuar kërkuesit zgjidhjen e duhur për çdo shkelje që mund të ketë ndodhur tashmë (shih </w:t>
      </w:r>
      <w:r w:rsidRPr="00407705">
        <w:rPr>
          <w:rFonts w:ascii="Garamond" w:hAnsi="Garamond" w:cs="Times New Roman"/>
          <w:i/>
          <w:iCs/>
          <w:color w:val="000000"/>
          <w:sz w:val="24"/>
          <w:szCs w:val="24"/>
          <w:lang w:val="sq-AL"/>
        </w:rPr>
        <w:t>McFarlane kundër Irlandës</w:t>
      </w:r>
      <w:r w:rsidRPr="00407705">
        <w:rPr>
          <w:rFonts w:ascii="Garamond" w:hAnsi="Garamond" w:cs="Times New Roman"/>
          <w:color w:val="000000"/>
          <w:sz w:val="24"/>
          <w:szCs w:val="24"/>
          <w:lang w:val="sq-AL"/>
        </w:rPr>
        <w:t xml:space="preserve"> [DHM]</w:t>
      </w:r>
      <w:r w:rsidR="008E0F0C">
        <w:rPr>
          <w:rFonts w:ascii="Garamond" w:hAnsi="Garamond" w:cs="Times New Roman"/>
          <w:color w:val="000000"/>
          <w:sz w:val="24"/>
          <w:szCs w:val="24"/>
          <w:lang w:val="sq-AL"/>
        </w:rPr>
        <w:t>, nr. 31333/06, §</w:t>
      </w:r>
      <w:r w:rsidRPr="00407705">
        <w:rPr>
          <w:rFonts w:ascii="Garamond" w:hAnsi="Garamond" w:cs="Times New Roman"/>
          <w:color w:val="000000"/>
          <w:sz w:val="24"/>
          <w:szCs w:val="24"/>
          <w:lang w:val="sq-AL"/>
        </w:rPr>
        <w:t xml:space="preserve">108, 10 shtator 2010). </w:t>
      </w:r>
    </w:p>
    <w:p w14:paraId="69AB0D49" w14:textId="781B2364"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77. Gjykata thekson se Shqipëria ka miratuar një zgjidhje përshpejtuese/parandaluese</w:t>
      </w:r>
      <w:r w:rsidR="008E0F0C">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 lidhje me kohëzgjatjen e procedimeve, e cila ka hyrë në fuqi më 5 nëntor 2017 (shih paragrafin 37 më sipër). Sipas </w:t>
      </w:r>
      <w:r w:rsidR="008E0F0C" w:rsidRPr="00407705">
        <w:rPr>
          <w:rFonts w:ascii="Garamond" w:hAnsi="Garamond" w:cs="Times New Roman"/>
          <w:color w:val="000000"/>
          <w:sz w:val="24"/>
          <w:szCs w:val="24"/>
          <w:lang w:val="sq-AL"/>
        </w:rPr>
        <w:t xml:space="preserve">neneve </w:t>
      </w:r>
      <w:r w:rsidRPr="00407705">
        <w:rPr>
          <w:rFonts w:ascii="Garamond" w:hAnsi="Garamond" w:cs="Times New Roman"/>
          <w:color w:val="000000"/>
          <w:sz w:val="24"/>
          <w:szCs w:val="24"/>
          <w:lang w:val="sq-AL"/>
        </w:rPr>
        <w:t>399/1 e në vijim të KPC</w:t>
      </w:r>
      <w:r w:rsidR="008E0F0C">
        <w:rPr>
          <w:rFonts w:ascii="Garamond" w:hAnsi="Garamond" w:cs="Times New Roman"/>
          <w:color w:val="000000"/>
          <w:sz w:val="24"/>
          <w:szCs w:val="24"/>
          <w:lang w:val="sq-AL"/>
        </w:rPr>
        <w:t>-së</w:t>
      </w:r>
      <w:r w:rsidRPr="00407705">
        <w:rPr>
          <w:rFonts w:ascii="Garamond" w:hAnsi="Garamond" w:cs="Times New Roman"/>
          <w:color w:val="000000"/>
          <w:sz w:val="24"/>
          <w:szCs w:val="24"/>
          <w:lang w:val="sq-AL"/>
        </w:rPr>
        <w:t xml:space="preserve">, një palë në procedurat penale mund të paraqesë një kërkesë për përshpejtim të procedurave. </w:t>
      </w:r>
    </w:p>
    <w:p w14:paraId="69AB0D4A"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78. Duke u rikthyer në çështjen konkrete, Gjykata thekson se kërkuesi i dytë e paraqiti ankimin e tij të kasacionit në Gjykatën e Lartë për përshpejtim të procedurave të kasacionit. </w:t>
      </w:r>
    </w:p>
    <w:p w14:paraId="69AB0D4B" w14:textId="3D210541"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79. Megjithatë, Gjykata nuk është e bindur se një kërkesë për përshpejtim të procedurave do të ishte efikase në rrethanat e kësaj çështjeje. Edhe sikur të hamendësohet se kërkuesi i dytë e ka bërë një kërkesë për përshpejtim të procedurave, funksionimi i Gjykatës së Lartë ishte kaq i dëmtuar nga shkarkimi i gjyqtarëve të saj nga detyra (shih paragrafin 25 më sipër), sa që më 31 korrik 2018, Gjykata e Lartë, e mbledhur në një kolegj tjetër nga ai përpara </w:t>
      </w:r>
      <w:r w:rsidR="001F5D20">
        <w:rPr>
          <w:rFonts w:ascii="Garamond" w:hAnsi="Garamond" w:cs="Times New Roman"/>
          <w:color w:val="000000"/>
          <w:sz w:val="24"/>
          <w:szCs w:val="24"/>
          <w:lang w:val="sq-AL"/>
        </w:rPr>
        <w:t>t</w:t>
      </w:r>
      <w:r w:rsidRPr="00407705">
        <w:rPr>
          <w:rFonts w:ascii="Garamond" w:hAnsi="Garamond" w:cs="Times New Roman"/>
          <w:color w:val="000000"/>
          <w:sz w:val="24"/>
          <w:szCs w:val="24"/>
          <w:lang w:val="sq-AL"/>
        </w:rPr>
        <w:t>ë cilit ishte paraqitur ankimi i kasacionit, nuk do ta kishte pasur të mundur të shqyrtonte atë</w:t>
      </w:r>
      <w:r w:rsidR="0091015F">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për shkak të numrit të pamjaftueshëm të gjyqtarëve (shih paragrafët 25 dhe 33 më sipër). Për më tepër, edhe nëse do të hamendësohej se Gjykata e Lartë mund ta kishte pranuar kërkesën e kërkuesit për përshpejtim dhe t’ia kishte dorëzuar një trupe gjyqësore, duke nisur nga data 22 maj 2019, Gjykata e Lartë nuk ka pasur kuorumin e nevojshëm të gjyqtarëve për të shqyrtuar ankimet e kasacionit të cilësdo natyre. Në rrethanat përjashtimore të kërkesës konkrete, rezulton se objeksioni i </w:t>
      </w:r>
      <w:r w:rsidR="00E52640" w:rsidRPr="00407705">
        <w:rPr>
          <w:rFonts w:ascii="Garamond" w:hAnsi="Garamond" w:cs="Times New Roman"/>
          <w:color w:val="000000"/>
          <w:sz w:val="24"/>
          <w:szCs w:val="24"/>
          <w:lang w:val="sq-AL"/>
        </w:rPr>
        <w:t>Qeverisë</w:t>
      </w:r>
      <w:r w:rsidR="0091015F">
        <w:rPr>
          <w:rFonts w:ascii="Garamond" w:hAnsi="Garamond" w:cs="Times New Roman"/>
          <w:color w:val="000000"/>
          <w:sz w:val="24"/>
          <w:szCs w:val="24"/>
          <w:lang w:val="sq-AL"/>
        </w:rPr>
        <w:t>,</w:t>
      </w:r>
      <w:r w:rsidR="0091015F" w:rsidRPr="00407705">
        <w:rPr>
          <w:rFonts w:ascii="Garamond" w:hAnsi="Garamond" w:cs="Times New Roman"/>
          <w:color w:val="000000"/>
          <w:sz w:val="24"/>
          <w:szCs w:val="24"/>
          <w:lang w:val="sq-AL"/>
        </w:rPr>
        <w:t xml:space="preserve"> </w:t>
      </w:r>
      <w:r w:rsidRPr="00407705">
        <w:rPr>
          <w:rFonts w:ascii="Garamond" w:hAnsi="Garamond" w:cs="Times New Roman"/>
          <w:color w:val="000000"/>
          <w:sz w:val="24"/>
          <w:szCs w:val="24"/>
          <w:lang w:val="sq-AL"/>
        </w:rPr>
        <w:t xml:space="preserve">në lidhje me mosparaqitjen e një kërkese përpara Gjykatës së Lartë për përshpejtim të procedurave nga ana e kërkuesit të dytë duhet të rrëzohet. </w:t>
      </w:r>
    </w:p>
    <w:p w14:paraId="69AB0D4C" w14:textId="059803D5"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80. Së fundmi, Gjykata është e mendimit se duke pasur në konsideratë faktin se kërkuesi i dytë është përballur me “situatën e vazhduar” të funksionimit të pjesshëm të Gjykatës së Lartë deri më 31 korrik 2018, dhe me mungesën e një kuorumi në Gjykatën e Lartë për të shqyrtuar ankimet e kasacionit deri më 22 maj 2019, të cilat ishin me një kohëzgjatje të përkohshme, si edhe faktin se ai e paraqiti kërkesën e tij në Gjykatë pa vonesë, nuk rezulton të ketë asnjë problem </w:t>
      </w:r>
      <w:r w:rsidR="00064244">
        <w:rPr>
          <w:rFonts w:ascii="Garamond" w:hAnsi="Garamond" w:cs="Times New Roman"/>
          <w:color w:val="000000"/>
          <w:sz w:val="24"/>
          <w:szCs w:val="24"/>
          <w:lang w:val="sq-AL"/>
        </w:rPr>
        <w:t>me respektimin e afatit gjashtë</w:t>
      </w:r>
      <w:r w:rsidRPr="00407705">
        <w:rPr>
          <w:rFonts w:ascii="Garamond" w:hAnsi="Garamond" w:cs="Times New Roman"/>
          <w:color w:val="000000"/>
          <w:sz w:val="24"/>
          <w:szCs w:val="24"/>
          <w:lang w:val="sq-AL"/>
        </w:rPr>
        <w:t xml:space="preserve">mujor (shih, për shembull, </w:t>
      </w:r>
      <w:r w:rsidRPr="00407705">
        <w:rPr>
          <w:rFonts w:ascii="Garamond" w:hAnsi="Garamond" w:cs="Times New Roman"/>
          <w:i/>
          <w:iCs/>
          <w:color w:val="000000"/>
          <w:sz w:val="24"/>
          <w:szCs w:val="24"/>
          <w:lang w:val="sq-AL"/>
        </w:rPr>
        <w:t>Cone kundër Rumanisë,</w:t>
      </w:r>
      <w:r w:rsidRPr="00407705">
        <w:rPr>
          <w:rFonts w:ascii="Garamond" w:hAnsi="Garamond" w:cs="Times New Roman"/>
          <w:color w:val="000000"/>
          <w:sz w:val="24"/>
          <w:szCs w:val="24"/>
          <w:lang w:val="sq-AL"/>
        </w:rPr>
        <w:t xml:space="preserve"> nr. 35935/02, §§22, 24 qershor 2008; dhe </w:t>
      </w:r>
      <w:r w:rsidR="00CD40B6">
        <w:rPr>
          <w:rFonts w:ascii="Garamond" w:hAnsi="Garamond" w:cs="Times New Roman"/>
          <w:i/>
          <w:iCs/>
          <w:color w:val="000000"/>
          <w:sz w:val="24"/>
          <w:szCs w:val="24"/>
          <w:lang w:val="sq-AL"/>
        </w:rPr>
        <w:t>a</w:t>
      </w:r>
      <w:r w:rsidRPr="00407705">
        <w:rPr>
          <w:rFonts w:ascii="Garamond" w:hAnsi="Garamond" w:cs="Times New Roman"/>
          <w:i/>
          <w:iCs/>
          <w:color w:val="000000"/>
          <w:sz w:val="24"/>
          <w:szCs w:val="24"/>
          <w:lang w:val="sq-AL"/>
        </w:rPr>
        <w:t xml:space="preserve"> contrario</w:t>
      </w:r>
      <w:r w:rsidRPr="00407705">
        <w:rPr>
          <w:rFonts w:ascii="Garamond" w:hAnsi="Garamond" w:cs="Times New Roman"/>
          <w:color w:val="000000"/>
          <w:sz w:val="24"/>
          <w:szCs w:val="24"/>
          <w:lang w:val="sq-AL"/>
        </w:rPr>
        <w:t xml:space="preserve">, </w:t>
      </w:r>
      <w:r w:rsidRPr="00407705">
        <w:rPr>
          <w:rFonts w:ascii="Garamond" w:hAnsi="Garamond" w:cs="Times New Roman"/>
          <w:i/>
          <w:iCs/>
          <w:color w:val="000000"/>
          <w:sz w:val="24"/>
          <w:szCs w:val="24"/>
          <w:lang w:val="sq-AL"/>
        </w:rPr>
        <w:t xml:space="preserve">Sokolov dhe të tjerët kundër Serbisë </w:t>
      </w:r>
      <w:r w:rsidRPr="00407705">
        <w:rPr>
          <w:rFonts w:ascii="Garamond" w:hAnsi="Garamond" w:cs="Times New Roman"/>
          <w:color w:val="000000"/>
          <w:sz w:val="24"/>
          <w:szCs w:val="24"/>
          <w:lang w:val="sq-AL"/>
        </w:rPr>
        <w:t>(vendim), nr. 30859/10 dhe 6 kërkesa të tjera, §33</w:t>
      </w:r>
      <w:r w:rsidR="00CD40B6">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36, 14 janar 2014). </w:t>
      </w:r>
    </w:p>
    <w:p w14:paraId="69AB0D4D" w14:textId="2169B384"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81. Gjykata vëren se kjo ankesë nuk është as e pabazuar në fakte dhe as e papranueshme për ndonjë nga arsyet e listuara në </w:t>
      </w:r>
      <w:r w:rsidR="00283E3D" w:rsidRPr="00407705">
        <w:rPr>
          <w:rFonts w:ascii="Garamond" w:hAnsi="Garamond" w:cs="Times New Roman"/>
          <w:color w:val="000000"/>
          <w:sz w:val="24"/>
          <w:szCs w:val="24"/>
          <w:lang w:val="sq-AL"/>
        </w:rPr>
        <w:t xml:space="preserve">nenin </w:t>
      </w:r>
      <w:r w:rsidRPr="00407705">
        <w:rPr>
          <w:rFonts w:ascii="Garamond" w:hAnsi="Garamond" w:cs="Times New Roman"/>
          <w:color w:val="000000"/>
          <w:sz w:val="24"/>
          <w:szCs w:val="24"/>
          <w:lang w:val="sq-AL"/>
        </w:rPr>
        <w:t xml:space="preserve">35 të Konventës. Për këtë arsye, ajo duhet të deklarohet e pranueshme. </w:t>
      </w:r>
    </w:p>
    <w:p w14:paraId="69AB0D4E" w14:textId="6F189349" w:rsidR="009A0255" w:rsidRPr="00407705" w:rsidRDefault="009A0255" w:rsidP="009A0255">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407705">
        <w:rPr>
          <w:rFonts w:ascii="Garamond" w:hAnsi="Garamond" w:cs="Times New Roman"/>
          <w:b/>
          <w:bCs/>
          <w:color w:val="000000"/>
          <w:sz w:val="24"/>
          <w:szCs w:val="24"/>
          <w:lang w:val="sq-AL"/>
        </w:rPr>
        <w:t>b) Në lidhje me ankimin për procedura të padrejta</w:t>
      </w:r>
    </w:p>
    <w:p w14:paraId="69AB0D4F"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82. Qeveria parashtroi se çështja është ende pezull në Gjykatën e Lartë. Në vijim të vendimit të saj të datës 1 mars 2016 dhe kthimit të çështjes për rishqyrtim, Gjykata e Apelit në vijim shqyrtoi dhe ofroi arsye të mjaftueshme për dënimin e kërkuesit të dytë. </w:t>
      </w:r>
    </w:p>
    <w:p w14:paraId="69AB0D50" w14:textId="70C69AFD"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83. Kërkuesi i dytë e kundërshtoi këtë aspekt</w:t>
      </w:r>
      <w:r w:rsidR="004C4634">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duke argumentuar se vendimi i gjykatës së apelit nuk ishte arsyetuar mjaftueshëm. </w:t>
      </w:r>
    </w:p>
    <w:p w14:paraId="69AB0D51" w14:textId="659F52DD"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84. Gjykata thekson se më 24 mars 2021, Gjykata e Lartë e kishte deklaruar ankimin e kasacionit të </w:t>
      </w:r>
      <w:r w:rsidR="004C4634">
        <w:rPr>
          <w:rFonts w:ascii="Garamond" w:hAnsi="Garamond" w:cs="Times New Roman"/>
          <w:color w:val="000000"/>
          <w:sz w:val="24"/>
          <w:szCs w:val="24"/>
          <w:lang w:val="sq-AL"/>
        </w:rPr>
        <w:t>kërkuesit të dytë të pranueshëm</w:t>
      </w:r>
      <w:r w:rsidRPr="00407705">
        <w:rPr>
          <w:rFonts w:ascii="Garamond" w:hAnsi="Garamond" w:cs="Times New Roman"/>
          <w:color w:val="000000"/>
          <w:sz w:val="24"/>
          <w:szCs w:val="24"/>
          <w:lang w:val="sq-AL"/>
        </w:rPr>
        <w:t xml:space="preserve"> dhe</w:t>
      </w:r>
      <w:r w:rsidR="004C4634">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për pasojë, shqyrtimi është në fazën e themeli</w:t>
      </w:r>
      <w:r w:rsidR="004C4634">
        <w:rPr>
          <w:rFonts w:ascii="Garamond" w:hAnsi="Garamond" w:cs="Times New Roman"/>
          <w:color w:val="000000"/>
          <w:sz w:val="24"/>
          <w:szCs w:val="24"/>
          <w:lang w:val="sq-AL"/>
        </w:rPr>
        <w:t>t të çështjes. Në këto rrethana</w:t>
      </w:r>
      <w:r w:rsidRPr="00407705">
        <w:rPr>
          <w:rFonts w:ascii="Garamond" w:hAnsi="Garamond" w:cs="Times New Roman"/>
          <w:color w:val="000000"/>
          <w:sz w:val="24"/>
          <w:szCs w:val="24"/>
          <w:lang w:val="sq-AL"/>
        </w:rPr>
        <w:t xml:space="preserve"> dhe duke pasur parasysh faktin se është e drejta e kërkuesit që të ankohet për padrejtësi në procedurat e brendshme përpara Gjykatës Kushtetuese</w:t>
      </w:r>
      <w:r w:rsidR="004C4634">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pas dhënies së vendimit nga Gjykata e Lartë (shih </w:t>
      </w:r>
      <w:r w:rsidRPr="00407705">
        <w:rPr>
          <w:rFonts w:ascii="Garamond" w:hAnsi="Garamond" w:cs="Times New Roman"/>
          <w:i/>
          <w:iCs/>
          <w:color w:val="000000"/>
          <w:sz w:val="24"/>
          <w:szCs w:val="24"/>
          <w:lang w:val="sq-AL"/>
        </w:rPr>
        <w:t>Delijorgji kundër Shqipërisë</w:t>
      </w:r>
      <w:r w:rsidR="004C4634">
        <w:rPr>
          <w:rFonts w:ascii="Garamond" w:hAnsi="Garamond" w:cs="Times New Roman"/>
          <w:color w:val="000000"/>
          <w:sz w:val="24"/>
          <w:szCs w:val="24"/>
          <w:lang w:val="sq-AL"/>
        </w:rPr>
        <w:t>, nr. 6858/11, §</w:t>
      </w:r>
      <w:r w:rsidRPr="00407705">
        <w:rPr>
          <w:rFonts w:ascii="Garamond" w:hAnsi="Garamond" w:cs="Times New Roman"/>
          <w:color w:val="000000"/>
          <w:sz w:val="24"/>
          <w:szCs w:val="24"/>
          <w:lang w:val="sq-AL"/>
        </w:rPr>
        <w:t xml:space="preserve">59, 28 prill 2015, me referenca të tjera), Gjykata e kundërshton këtë ankesë si të parakohshme, në mbështetje të </w:t>
      </w:r>
      <w:r w:rsidR="004C4634" w:rsidRPr="00407705">
        <w:rPr>
          <w:rFonts w:ascii="Garamond" w:hAnsi="Garamond" w:cs="Times New Roman"/>
          <w:color w:val="000000"/>
          <w:sz w:val="24"/>
          <w:szCs w:val="24"/>
          <w:lang w:val="sq-AL"/>
        </w:rPr>
        <w:t xml:space="preserve">nenit </w:t>
      </w:r>
      <w:r w:rsidR="004C4634">
        <w:rPr>
          <w:rFonts w:ascii="Garamond" w:hAnsi="Garamond" w:cs="Times New Roman"/>
          <w:color w:val="000000"/>
          <w:sz w:val="24"/>
          <w:szCs w:val="24"/>
          <w:lang w:val="sq-AL"/>
        </w:rPr>
        <w:t>35§§</w:t>
      </w:r>
      <w:r w:rsidRPr="00407705">
        <w:rPr>
          <w:rFonts w:ascii="Garamond" w:hAnsi="Garamond" w:cs="Times New Roman"/>
          <w:color w:val="000000"/>
          <w:sz w:val="24"/>
          <w:szCs w:val="24"/>
          <w:lang w:val="sq-AL"/>
        </w:rPr>
        <w:t xml:space="preserve">1 dhe 4 të Konventës. </w:t>
      </w:r>
    </w:p>
    <w:p w14:paraId="69AB0D52"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07705">
        <w:rPr>
          <w:rFonts w:ascii="Garamond" w:hAnsi="Garamond" w:cs="Times New Roman"/>
          <w:i/>
          <w:iCs/>
          <w:color w:val="000000"/>
          <w:sz w:val="24"/>
          <w:szCs w:val="24"/>
          <w:lang w:val="sq-AL"/>
        </w:rPr>
        <w:t>2. Meritat</w:t>
      </w:r>
    </w:p>
    <w:p w14:paraId="69AB0D53"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85. Kërkuesi i dytë u shpreh se kohëzgjatja e procedurave penale ndaj tij kishte qenë e paarsyeshme. </w:t>
      </w:r>
    </w:p>
    <w:p w14:paraId="69AB0D54"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86. Qeveria parashtroi se më 23 mars 2017, Gjykata e Apelit kishte lënë në fuqi, në shkallën e fundit, dënimin ndaj kërkuesit. Sipas </w:t>
      </w:r>
      <w:r w:rsidRPr="00E52640">
        <w:rPr>
          <w:rFonts w:ascii="Garamond" w:hAnsi="Garamond" w:cs="Times New Roman"/>
          <w:color w:val="000000"/>
          <w:sz w:val="24"/>
          <w:szCs w:val="24"/>
          <w:lang w:val="sq-AL"/>
        </w:rPr>
        <w:t>Qeverisë</w:t>
      </w:r>
      <w:r w:rsidRPr="00407705">
        <w:rPr>
          <w:rFonts w:ascii="Garamond" w:hAnsi="Garamond" w:cs="Times New Roman"/>
          <w:color w:val="000000"/>
          <w:sz w:val="24"/>
          <w:szCs w:val="24"/>
          <w:lang w:val="sq-AL"/>
        </w:rPr>
        <w:t xml:space="preserve">, ai vendim shënoi fundin e procedurave gjyqësore ndaj tij, kohëzgjatja e të cilave kishte qenë e arsyeshme. </w:t>
      </w:r>
    </w:p>
    <w:p w14:paraId="69AB0D55" w14:textId="08B5524C"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87. Në lidhje me vonesat përpara Gjykatës së Lartë, Qeveria argumentoi se ajo situatë ishte </w:t>
      </w:r>
      <w:r w:rsidRPr="00407705">
        <w:rPr>
          <w:rFonts w:ascii="Garamond" w:hAnsi="Garamond" w:cs="Times New Roman"/>
          <w:i/>
          <w:iCs/>
          <w:color w:val="000000"/>
          <w:sz w:val="24"/>
          <w:szCs w:val="24"/>
          <w:lang w:val="sq-AL"/>
        </w:rPr>
        <w:t>sui generis</w:t>
      </w:r>
      <w:r w:rsidR="00261678">
        <w:rPr>
          <w:rFonts w:ascii="Garamond" w:hAnsi="Garamond" w:cs="Times New Roman"/>
          <w:i/>
          <w:iCs/>
          <w:color w:val="000000"/>
          <w:sz w:val="24"/>
          <w:szCs w:val="24"/>
          <w:lang w:val="sq-AL"/>
        </w:rPr>
        <w:t>,</w:t>
      </w:r>
      <w:r w:rsidRPr="00407705">
        <w:rPr>
          <w:rFonts w:ascii="Garamond" w:hAnsi="Garamond" w:cs="Times New Roman"/>
          <w:i/>
          <w:iCs/>
          <w:color w:val="000000"/>
          <w:sz w:val="24"/>
          <w:szCs w:val="24"/>
          <w:lang w:val="sq-AL"/>
        </w:rPr>
        <w:t xml:space="preserve"> </w:t>
      </w:r>
      <w:r w:rsidRPr="00407705">
        <w:rPr>
          <w:rFonts w:ascii="Garamond" w:hAnsi="Garamond" w:cs="Times New Roman"/>
          <w:color w:val="000000"/>
          <w:sz w:val="24"/>
          <w:szCs w:val="24"/>
          <w:lang w:val="sq-AL"/>
        </w:rPr>
        <w:t xml:space="preserve">për arsye objektive e lidhur me realizimin e reformave në sistemin e drejtësisë, për shkak të të cilave ishte e vështirë të zbatoheshin kërkesat e parashikuara në praktikën gjyqësore të Gjykatës. Qeveria theksoi se nuk kishte asnjë të dhënë në dosjen e çështjes të ndonjë organizimi të dobët nga ana e gjykatave të brendshme ose stafi administrativ gjyqësor. Sidoqoftë, Qeveria parashtroi se </w:t>
      </w:r>
      <w:r w:rsidR="00650F7A" w:rsidRPr="00650F7A">
        <w:rPr>
          <w:rFonts w:ascii="Garamond" w:hAnsi="Garamond" w:cs="Times New Roman"/>
          <w:i/>
          <w:color w:val="000000"/>
          <w:sz w:val="24"/>
          <w:szCs w:val="24"/>
          <w:lang w:val="sq-AL"/>
        </w:rPr>
        <w:t>backlog</w:t>
      </w:r>
      <w:r w:rsidRPr="00407705">
        <w:rPr>
          <w:rFonts w:ascii="Garamond" w:hAnsi="Garamond" w:cs="Times New Roman"/>
          <w:color w:val="000000"/>
          <w:sz w:val="24"/>
          <w:szCs w:val="24"/>
          <w:lang w:val="sq-AL"/>
        </w:rPr>
        <w:t xml:space="preserve">-u (çështjet e prapambetura) në Gjykatën e Lartë ishte i përkohshëm dhe se ishin marrë masa të menjëhershme korrigjuese për të menaxhuar situatën. </w:t>
      </w:r>
    </w:p>
    <w:p w14:paraId="69AB0D56" w14:textId="62E89D60"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88. Gjykata i referohet parimit të përgjithshëm të parashikuar në paragrafin 63 më sipër</w:t>
      </w:r>
      <w:r w:rsidR="00060C92">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 lidhje me vlerësimin e arsyeshmërisë së kohëzgjatjes së procedurave. </w:t>
      </w:r>
    </w:p>
    <w:p w14:paraId="69AB0D57" w14:textId="0672EFCE"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89. Duke u rikthyer në çështjen konkrete, palët nuk e kanë kundërshtuar faktin – dhe Gjykata bie dakord – se procedurat ndaj kërkuesit të dytë filluan më 24 nëntor 2011, kur ai u akuzua për vrasje me paramendim dhe mbajtje pa leje të armëve (shih paragrafin 17 më sipër). Në lidhje me fazën e fundit të procedurave, Gjykata nuk mund të pranojë pretendimin e Qeverisë se procedurat përfunduan më 23 mars 2017, kur Gjykata e Apelit la në fuqi dënimin ndaj kërkuesit (shih paragrafin 20 më sipër), për aq kohë sa ai vendim është apeluar dhe nuk ka marrë ende formën </w:t>
      </w:r>
      <w:r w:rsidRPr="00407705">
        <w:rPr>
          <w:rFonts w:ascii="Garamond" w:hAnsi="Garamond" w:cs="Times New Roman"/>
          <w:i/>
          <w:iCs/>
          <w:color w:val="000000"/>
          <w:sz w:val="24"/>
          <w:szCs w:val="24"/>
          <w:lang w:val="sq-AL"/>
        </w:rPr>
        <w:t xml:space="preserve">res judicata. </w:t>
      </w:r>
      <w:r w:rsidRPr="00407705">
        <w:rPr>
          <w:rFonts w:ascii="Garamond" w:hAnsi="Garamond" w:cs="Times New Roman"/>
          <w:color w:val="000000"/>
          <w:sz w:val="24"/>
          <w:szCs w:val="24"/>
          <w:lang w:val="sq-AL"/>
        </w:rPr>
        <w:t>Në lidhje me këtë aspekt, Gjykata thekson se më 5 mars 2021, Gjykata e Lartë e deklaroi ankimin e kasacionit të kërkuesit të dytë ndaj vendimit të gjykatës së apelit të pranueshëm. Rezulton se procedurat penale ndaj kërkuesit të dytë janë ende në proces dhe se, deri më sot, ato kanë zgjatur për nëntë vite, nëntë muaj dhe gjashtëmbëdhjetë ditë në tr</w:t>
      </w:r>
      <w:r w:rsidR="00060C92">
        <w:rPr>
          <w:rFonts w:ascii="Garamond" w:hAnsi="Garamond" w:cs="Times New Roman"/>
          <w:color w:val="000000"/>
          <w:sz w:val="24"/>
          <w:szCs w:val="24"/>
          <w:lang w:val="sq-AL"/>
        </w:rPr>
        <w:t>i</w:t>
      </w:r>
      <w:r w:rsidRPr="00407705">
        <w:rPr>
          <w:rFonts w:ascii="Garamond" w:hAnsi="Garamond" w:cs="Times New Roman"/>
          <w:color w:val="000000"/>
          <w:sz w:val="24"/>
          <w:szCs w:val="24"/>
          <w:lang w:val="sq-AL"/>
        </w:rPr>
        <w:t xml:space="preserve"> nivele të juridiksionit. </w:t>
      </w:r>
    </w:p>
    <w:p w14:paraId="69AB0D58" w14:textId="2A8EFF2A"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90. Gjykata argumenton se procedurat penale, të cilat përfshijnë d</w:t>
      </w:r>
      <w:r w:rsidR="00060C92">
        <w:rPr>
          <w:rFonts w:ascii="Garamond" w:hAnsi="Garamond" w:cs="Times New Roman"/>
          <w:color w:val="000000"/>
          <w:sz w:val="24"/>
          <w:szCs w:val="24"/>
          <w:lang w:val="sq-AL"/>
        </w:rPr>
        <w:t>y akuza penale dhe dy të bashkë</w:t>
      </w:r>
      <w:r w:rsidRPr="00407705">
        <w:rPr>
          <w:rFonts w:ascii="Garamond" w:hAnsi="Garamond" w:cs="Times New Roman"/>
          <w:color w:val="000000"/>
          <w:sz w:val="24"/>
          <w:szCs w:val="24"/>
          <w:lang w:val="sq-AL"/>
        </w:rPr>
        <w:t xml:space="preserve">pandehur, nuk ishin veçanërisht komplekse dhe kryesisht përfshinin çështje që kishin të bënin me mjaftueshmërinë e provave. </w:t>
      </w:r>
    </w:p>
    <w:p w14:paraId="69AB0D59"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91. Në lidhje me sjelljen e kërkuesit të dytë, nuk ka indicie se ai ka shkaktuar ose ka kontribuar në vonesën e procedurave. </w:t>
      </w:r>
    </w:p>
    <w:p w14:paraId="69AB0D5A" w14:textId="417591D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92. Duke iu rikthyer reagimit të autoriteteve </w:t>
      </w:r>
      <w:r w:rsidR="00C57B21" w:rsidRPr="00C57B21">
        <w:rPr>
          <w:rFonts w:ascii="Garamond" w:hAnsi="Garamond" w:cs="Times New Roman"/>
          <w:color w:val="000000"/>
          <w:sz w:val="24"/>
          <w:szCs w:val="24"/>
          <w:lang w:val="sq-AL"/>
        </w:rPr>
        <w:t>vendës</w:t>
      </w:r>
      <w:r w:rsidRPr="00407705">
        <w:rPr>
          <w:rFonts w:ascii="Garamond" w:hAnsi="Garamond" w:cs="Times New Roman"/>
          <w:color w:val="000000"/>
          <w:sz w:val="24"/>
          <w:szCs w:val="24"/>
          <w:lang w:val="sq-AL"/>
        </w:rPr>
        <w:t>e, Gjykata vëren se Gjykata e Rrethit dhe Gjykata e Apelit kanë dhënë një total prej tr</w:t>
      </w:r>
      <w:r w:rsidR="003A473F">
        <w:rPr>
          <w:rFonts w:ascii="Garamond" w:hAnsi="Garamond" w:cs="Times New Roman"/>
          <w:color w:val="000000"/>
          <w:sz w:val="24"/>
          <w:szCs w:val="24"/>
          <w:lang w:val="sq-AL"/>
        </w:rPr>
        <w:t>i</w:t>
      </w:r>
      <w:r w:rsidRPr="00407705">
        <w:rPr>
          <w:rFonts w:ascii="Garamond" w:hAnsi="Garamond" w:cs="Times New Roman"/>
          <w:color w:val="000000"/>
          <w:sz w:val="24"/>
          <w:szCs w:val="24"/>
          <w:lang w:val="sq-AL"/>
        </w:rPr>
        <w:t xml:space="preserve"> vendimesh</w:t>
      </w:r>
      <w:r w:rsidR="003A473F">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 lidhje me dënimin e kërkuesit brenda një afati të arsyeshëm. Megjithatë, ka pasur të paktën dy momente të rëndësishme vonese gjyqësore. </w:t>
      </w:r>
    </w:p>
    <w:p w14:paraId="69AB0D5B"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93. Periudha e parë, e cila filloi në maj 2013 dhe zgjati pothuajse dy vite dhe dhjetë muaj, kishte të bënte me procedurat në Gjykatën e Lartë, e cila, më 1 mars 2016, pranoi ankimin e kërkuesit të dytë dhe e riktheu çështjen për rishqyrtim nga një kolegj tjetër në Gjykatën e Apelit. Qeveria nuk paraqiti asnjë shpjegim për atë vonesë. </w:t>
      </w:r>
    </w:p>
    <w:p w14:paraId="69AB0D5C" w14:textId="2463A8CE"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94. Edhe periudha e dytë ka të bëjë me procedurat në Gjykatën e Lartë, e cila filloi më 27 mars 2017 dhe janë ende pezull, duke zgjatur për mbi katër v</w:t>
      </w:r>
      <w:r w:rsidR="00837915">
        <w:rPr>
          <w:rFonts w:ascii="Garamond" w:hAnsi="Garamond" w:cs="Times New Roman"/>
          <w:color w:val="000000"/>
          <w:sz w:val="24"/>
          <w:szCs w:val="24"/>
          <w:lang w:val="sq-AL"/>
        </w:rPr>
        <w:t>jet</w:t>
      </w:r>
      <w:r w:rsidRPr="00407705">
        <w:rPr>
          <w:rFonts w:ascii="Garamond" w:hAnsi="Garamond" w:cs="Times New Roman"/>
          <w:color w:val="000000"/>
          <w:sz w:val="24"/>
          <w:szCs w:val="24"/>
          <w:lang w:val="sq-AL"/>
        </w:rPr>
        <w:t xml:space="preserve"> e dy muaj. Si përgjigje ndaj argumentit të Qeverisë</w:t>
      </w:r>
      <w:r w:rsidR="00813A28">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se kjo vonesë u shkaktua nga reformat në sistemin e drejtësisë dhe procesi i </w:t>
      </w:r>
      <w:r w:rsidR="00654098" w:rsidRPr="00407705">
        <w:rPr>
          <w:rFonts w:ascii="Garamond" w:hAnsi="Garamond" w:cs="Times New Roman"/>
          <w:i/>
          <w:color w:val="000000"/>
          <w:sz w:val="24"/>
          <w:szCs w:val="24"/>
          <w:lang w:val="sq-AL"/>
        </w:rPr>
        <w:t>vetting</w:t>
      </w:r>
      <w:r w:rsidRPr="00407705">
        <w:rPr>
          <w:rFonts w:ascii="Garamond" w:hAnsi="Garamond" w:cs="Times New Roman"/>
          <w:color w:val="000000"/>
          <w:sz w:val="24"/>
          <w:szCs w:val="24"/>
          <w:lang w:val="sq-AL"/>
        </w:rPr>
        <w:t>-ut, Gjykata përsërit</w:t>
      </w:r>
      <w:r w:rsidR="00813A28">
        <w:rPr>
          <w:rFonts w:ascii="Garamond" w:hAnsi="Garamond" w:cs="Times New Roman"/>
          <w:color w:val="000000"/>
          <w:sz w:val="24"/>
          <w:szCs w:val="24"/>
          <w:lang w:val="sq-AL"/>
        </w:rPr>
        <w:t>, se</w:t>
      </w:r>
      <w:r w:rsidRPr="00407705">
        <w:rPr>
          <w:rFonts w:ascii="Garamond" w:hAnsi="Garamond" w:cs="Times New Roman"/>
          <w:color w:val="000000"/>
          <w:sz w:val="24"/>
          <w:szCs w:val="24"/>
          <w:lang w:val="sq-AL"/>
        </w:rPr>
        <w:t xml:space="preserve"> pavarësisht reformave të thella</w:t>
      </w:r>
      <w:r w:rsidR="00813A28">
        <w:rPr>
          <w:rFonts w:ascii="Garamond" w:hAnsi="Garamond" w:cs="Times New Roman"/>
          <w:color w:val="000000"/>
          <w:sz w:val="24"/>
          <w:szCs w:val="24"/>
          <w:lang w:val="sq-AL"/>
        </w:rPr>
        <w:t xml:space="preserve"> në sistemin e drejtësisë</w:t>
      </w:r>
      <w:r w:rsidRPr="00407705">
        <w:rPr>
          <w:rFonts w:ascii="Garamond" w:hAnsi="Garamond" w:cs="Times New Roman"/>
          <w:color w:val="000000"/>
          <w:sz w:val="24"/>
          <w:szCs w:val="24"/>
          <w:lang w:val="sq-AL"/>
        </w:rPr>
        <w:t xml:space="preserve"> dhe vonesën e kuptueshme të shkaktuar prej tyre, Shteti i paditur ka detyrimin e përgjithshëm që të organizojë sistemet e tij ligjore për të garantuar respektim të kushteve parashikuara në </w:t>
      </w:r>
      <w:r w:rsidR="00813A28" w:rsidRPr="00407705">
        <w:rPr>
          <w:rFonts w:ascii="Garamond" w:hAnsi="Garamond" w:cs="Times New Roman"/>
          <w:color w:val="000000"/>
          <w:sz w:val="24"/>
          <w:szCs w:val="24"/>
          <w:lang w:val="sq-AL"/>
        </w:rPr>
        <w:t xml:space="preserve">nenin </w:t>
      </w:r>
      <w:r w:rsidRPr="00407705">
        <w:rPr>
          <w:rFonts w:ascii="Garamond" w:hAnsi="Garamond" w:cs="Times New Roman"/>
          <w:color w:val="000000"/>
          <w:sz w:val="24"/>
          <w:szCs w:val="24"/>
          <w:lang w:val="sq-AL"/>
        </w:rPr>
        <w:t xml:space="preserve">6§1, duke përfshirë edhe kushtin për një seancë të drejtë brenda një afati të arsyeshëm (shih edhe paragrafin 70 më sipër). </w:t>
      </w:r>
    </w:p>
    <w:p w14:paraId="69AB0D5D" w14:textId="66BA8AD4"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95. Gjithashtu, Gjykata vëren se nga viti 2012, </w:t>
      </w:r>
      <w:r w:rsidR="00650F7A" w:rsidRPr="00650F7A">
        <w:rPr>
          <w:rFonts w:ascii="Garamond" w:hAnsi="Garamond" w:cs="Times New Roman"/>
          <w:i/>
          <w:color w:val="000000"/>
          <w:sz w:val="24"/>
          <w:szCs w:val="24"/>
          <w:lang w:val="sq-AL"/>
        </w:rPr>
        <w:t>backlog</w:t>
      </w:r>
      <w:r w:rsidRPr="00407705">
        <w:rPr>
          <w:rFonts w:ascii="Garamond" w:hAnsi="Garamond" w:cs="Times New Roman"/>
          <w:color w:val="000000"/>
          <w:sz w:val="24"/>
          <w:szCs w:val="24"/>
          <w:lang w:val="sq-AL"/>
        </w:rPr>
        <w:t xml:space="preserve">-u i Gjykatës së Lartë është rritur gradualisht dhe mbetet në nivele shumë të larta (shih paragrafët 28 dhe 29 më sipër). Për këtë arsye, Gjykata e ka të pamundur të pranojë argumentin e Qeverisë se </w:t>
      </w:r>
      <w:r w:rsidR="00650F7A" w:rsidRPr="00650F7A">
        <w:rPr>
          <w:rFonts w:ascii="Garamond" w:hAnsi="Garamond" w:cs="Times New Roman"/>
          <w:i/>
          <w:color w:val="000000"/>
          <w:sz w:val="24"/>
          <w:szCs w:val="24"/>
          <w:lang w:val="sq-AL"/>
        </w:rPr>
        <w:t>backlog</w:t>
      </w:r>
      <w:r w:rsidRPr="00407705">
        <w:rPr>
          <w:rFonts w:ascii="Garamond" w:hAnsi="Garamond" w:cs="Times New Roman"/>
          <w:color w:val="000000"/>
          <w:sz w:val="24"/>
          <w:szCs w:val="24"/>
          <w:lang w:val="sq-AL"/>
        </w:rPr>
        <w:t>-u në Gjykatën e</w:t>
      </w:r>
      <w:r w:rsidR="00650F7A">
        <w:rPr>
          <w:rFonts w:ascii="Garamond" w:hAnsi="Garamond" w:cs="Times New Roman"/>
          <w:color w:val="000000"/>
          <w:sz w:val="24"/>
          <w:szCs w:val="24"/>
          <w:lang w:val="sq-AL"/>
        </w:rPr>
        <w:t xml:space="preserve"> Lartë është vetëm i përkohshëm</w:t>
      </w:r>
      <w:r w:rsidRPr="00407705">
        <w:rPr>
          <w:rFonts w:ascii="Garamond" w:hAnsi="Garamond" w:cs="Times New Roman"/>
          <w:color w:val="000000"/>
          <w:sz w:val="24"/>
          <w:szCs w:val="24"/>
          <w:lang w:val="sq-AL"/>
        </w:rPr>
        <w:t xml:space="preserve"> ose se pavarësisht masave të marra së fundmi për të reduktuar </w:t>
      </w:r>
      <w:r w:rsidR="00650F7A" w:rsidRPr="00650F7A">
        <w:rPr>
          <w:rFonts w:ascii="Garamond" w:hAnsi="Garamond" w:cs="Times New Roman"/>
          <w:i/>
          <w:color w:val="000000"/>
          <w:sz w:val="24"/>
          <w:szCs w:val="24"/>
          <w:lang w:val="sq-AL"/>
        </w:rPr>
        <w:t>backlog</w:t>
      </w:r>
      <w:r w:rsidRPr="00407705">
        <w:rPr>
          <w:rFonts w:ascii="Garamond" w:hAnsi="Garamond" w:cs="Times New Roman"/>
          <w:color w:val="000000"/>
          <w:sz w:val="24"/>
          <w:szCs w:val="24"/>
          <w:lang w:val="sq-AL"/>
        </w:rPr>
        <w:t>-un e saj (shih paragrafin 29 më sipër), është ndërmarrë një masë mjaftueshëm e shpejtë dhe gjithëpërfshirëse korrigjuese gjatë një sërë vitesh për të trajtuar situatën.</w:t>
      </w:r>
    </w:p>
    <w:p w14:paraId="69AB0D5E" w14:textId="7293A7AE"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96. Së fundmi, Gjykata e pranon</w:t>
      </w:r>
      <w:r w:rsidR="00650F7A">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se</w:t>
      </w:r>
      <w:r w:rsidR="00650F7A">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për shkak se akuza penale ndaj kërkuesit të dytë është e rëndë dhe ka ndikim ndaj të drejtave të tij, procedurat kërkonin një nivel të caktuar përshpejtimi. </w:t>
      </w:r>
    </w:p>
    <w:p w14:paraId="69AB0D5F" w14:textId="1E353B16"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97. Në përputhje me rrethanat, Gjykata arrin në përfundimin se është shkelur </w:t>
      </w:r>
      <w:r w:rsidR="006D4227" w:rsidRPr="00407705">
        <w:rPr>
          <w:rFonts w:ascii="Garamond" w:hAnsi="Garamond" w:cs="Times New Roman"/>
          <w:color w:val="000000"/>
          <w:sz w:val="24"/>
          <w:szCs w:val="24"/>
          <w:lang w:val="sq-AL"/>
        </w:rPr>
        <w:t xml:space="preserve">neni </w:t>
      </w:r>
      <w:r w:rsidRPr="00407705">
        <w:rPr>
          <w:rFonts w:ascii="Garamond" w:hAnsi="Garamond" w:cs="Times New Roman"/>
          <w:color w:val="000000"/>
          <w:sz w:val="24"/>
          <w:szCs w:val="24"/>
          <w:lang w:val="sq-AL"/>
        </w:rPr>
        <w:t xml:space="preserve">6§1 i Konventës. </w:t>
      </w:r>
    </w:p>
    <w:p w14:paraId="69AB0D60" w14:textId="5AFA2E0E"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III. SHKELJE E PRETENDUAR E NENIT 13 SË BASHKU ME NENIN 6§1 TË KONVENTËS </w:t>
      </w:r>
    </w:p>
    <w:p w14:paraId="69AB0D61" w14:textId="54443712"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98. Kërkuesi i parë u ankua, në mbështetje të </w:t>
      </w:r>
      <w:r w:rsidR="006D4227" w:rsidRPr="00407705">
        <w:rPr>
          <w:rFonts w:ascii="Garamond" w:hAnsi="Garamond" w:cs="Times New Roman"/>
          <w:color w:val="000000"/>
          <w:sz w:val="24"/>
          <w:szCs w:val="24"/>
          <w:lang w:val="sq-AL"/>
        </w:rPr>
        <w:t xml:space="preserve">nenit </w:t>
      </w:r>
      <w:r w:rsidRPr="00407705">
        <w:rPr>
          <w:rFonts w:ascii="Garamond" w:hAnsi="Garamond" w:cs="Times New Roman"/>
          <w:color w:val="000000"/>
          <w:sz w:val="24"/>
          <w:szCs w:val="24"/>
          <w:lang w:val="sq-AL"/>
        </w:rPr>
        <w:t>13 të Konventës, për mungesën e një zgjidhje</w:t>
      </w:r>
      <w:r w:rsidR="0012328F">
        <w:rPr>
          <w:rFonts w:ascii="Garamond" w:hAnsi="Garamond" w:cs="Times New Roman"/>
          <w:color w:val="000000"/>
          <w:sz w:val="24"/>
          <w:szCs w:val="24"/>
          <w:lang w:val="sq-AL"/>
        </w:rPr>
        <w:t>je</w:t>
      </w:r>
      <w:r w:rsidRPr="00407705">
        <w:rPr>
          <w:rFonts w:ascii="Garamond" w:hAnsi="Garamond" w:cs="Times New Roman"/>
          <w:color w:val="000000"/>
          <w:sz w:val="24"/>
          <w:szCs w:val="24"/>
          <w:lang w:val="sq-AL"/>
        </w:rPr>
        <w:t xml:space="preserve"> efektive</w:t>
      </w:r>
      <w:r w:rsidR="0012328F">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 lidhje me ankesën e tij për kohëzgjatjen e procedurave. </w:t>
      </w:r>
    </w:p>
    <w:p w14:paraId="69AB0D62"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Neni 13 i Konventës parashikon si më poshtë: </w:t>
      </w:r>
    </w:p>
    <w:p w14:paraId="69AB0D63" w14:textId="5801959D"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“Çdokush, të cilit i janë shkelur të drejtat dhe liritë e përcaktuara në këtë Konventë, ka të drejtën e një zgjidhjeje efektive para një organi kombëtar, pavarësisht se shkelja është kryer nga persona që veprojnë në përmbushje të funksioneve të tyre zyrtare.”</w:t>
      </w:r>
      <w:r w:rsidR="0012328F">
        <w:rPr>
          <w:rFonts w:ascii="Garamond" w:hAnsi="Garamond" w:cs="Times New Roman"/>
          <w:color w:val="000000"/>
          <w:sz w:val="24"/>
          <w:szCs w:val="24"/>
          <w:lang w:val="sq-AL"/>
        </w:rPr>
        <w:t>.</w:t>
      </w:r>
    </w:p>
    <w:p w14:paraId="69AB0D64"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407705">
        <w:rPr>
          <w:rFonts w:ascii="Garamond" w:hAnsi="Garamond" w:cs="Times New Roman"/>
          <w:b/>
          <w:bCs/>
          <w:color w:val="000000"/>
          <w:sz w:val="24"/>
          <w:szCs w:val="24"/>
          <w:lang w:val="sq-AL"/>
        </w:rPr>
        <w:t xml:space="preserve">A. Pranueshmëria </w:t>
      </w:r>
    </w:p>
    <w:p w14:paraId="69AB0D65"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99. Qeveria nuk e kundërshtoi pranueshmërinë e ankimit. </w:t>
      </w:r>
    </w:p>
    <w:p w14:paraId="69AB0D66" w14:textId="650F4BD1"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100. Gjykata vëren se ankimi i kërkuesit të parë</w:t>
      </w:r>
      <w:r w:rsidR="0012328F">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 mbështetje të </w:t>
      </w:r>
      <w:r w:rsidR="0012328F" w:rsidRPr="00407705">
        <w:rPr>
          <w:rFonts w:ascii="Garamond" w:hAnsi="Garamond" w:cs="Times New Roman"/>
          <w:color w:val="000000"/>
          <w:sz w:val="24"/>
          <w:szCs w:val="24"/>
          <w:lang w:val="sq-AL"/>
        </w:rPr>
        <w:t xml:space="preserve">nenit </w:t>
      </w:r>
      <w:r w:rsidRPr="00407705">
        <w:rPr>
          <w:rFonts w:ascii="Garamond" w:hAnsi="Garamond" w:cs="Times New Roman"/>
          <w:color w:val="000000"/>
          <w:sz w:val="24"/>
          <w:szCs w:val="24"/>
          <w:lang w:val="sq-AL"/>
        </w:rPr>
        <w:t>13 nuk është as i pabazuar dukshëm në fakte dhe as i papranueshëm</w:t>
      </w:r>
      <w:r w:rsidR="0012328F">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sipas ndonjë shkaku tjetër</w:t>
      </w:r>
      <w:r w:rsidR="0012328F">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 mbështetje të </w:t>
      </w:r>
      <w:r w:rsidR="0012328F" w:rsidRPr="00407705">
        <w:rPr>
          <w:rFonts w:ascii="Garamond" w:hAnsi="Garamond" w:cs="Times New Roman"/>
          <w:color w:val="000000"/>
          <w:sz w:val="24"/>
          <w:szCs w:val="24"/>
          <w:lang w:val="sq-AL"/>
        </w:rPr>
        <w:t xml:space="preserve">nenit </w:t>
      </w:r>
      <w:r w:rsidRPr="00407705">
        <w:rPr>
          <w:rFonts w:ascii="Garamond" w:hAnsi="Garamond" w:cs="Times New Roman"/>
          <w:color w:val="000000"/>
          <w:sz w:val="24"/>
          <w:szCs w:val="24"/>
          <w:lang w:val="sq-AL"/>
        </w:rPr>
        <w:t xml:space="preserve">35 të Konventës. Për këtë arsye, ankimi duhet të shpallet i pranueshëm. </w:t>
      </w:r>
    </w:p>
    <w:p w14:paraId="69AB0D67"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407705">
        <w:rPr>
          <w:rFonts w:ascii="Garamond" w:hAnsi="Garamond" w:cs="Times New Roman"/>
          <w:b/>
          <w:bCs/>
          <w:color w:val="000000"/>
          <w:sz w:val="24"/>
          <w:szCs w:val="24"/>
          <w:lang w:val="sq-AL"/>
        </w:rPr>
        <w:t xml:space="preserve">B. Meritat </w:t>
      </w:r>
    </w:p>
    <w:p w14:paraId="69AB0D68"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07705">
        <w:rPr>
          <w:rFonts w:ascii="Garamond" w:hAnsi="Garamond" w:cs="Times New Roman"/>
          <w:i/>
          <w:iCs/>
          <w:color w:val="000000"/>
          <w:sz w:val="24"/>
          <w:szCs w:val="24"/>
          <w:lang w:val="sq-AL"/>
        </w:rPr>
        <w:t>1. Parashtrimet e palëve</w:t>
      </w:r>
    </w:p>
    <w:p w14:paraId="69AB0D69" w14:textId="08727AFF"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101. Kërkuesi i parë u ankua se në rrethanat e çështjes së tij, zgjidhja e garantuar sipas </w:t>
      </w:r>
      <w:r w:rsidR="00E87A6B" w:rsidRPr="00407705">
        <w:rPr>
          <w:rFonts w:ascii="Garamond" w:hAnsi="Garamond" w:cs="Times New Roman"/>
          <w:color w:val="000000"/>
          <w:sz w:val="24"/>
          <w:szCs w:val="24"/>
          <w:lang w:val="sq-AL"/>
        </w:rPr>
        <w:t xml:space="preserve">neneve </w:t>
      </w:r>
      <w:r w:rsidRPr="00407705">
        <w:rPr>
          <w:rFonts w:ascii="Garamond" w:hAnsi="Garamond" w:cs="Times New Roman"/>
          <w:color w:val="000000"/>
          <w:sz w:val="24"/>
          <w:szCs w:val="24"/>
          <w:lang w:val="sq-AL"/>
        </w:rPr>
        <w:t>399/1 e në vijim të KPC</w:t>
      </w:r>
      <w:r w:rsidR="00E87A6B">
        <w:rPr>
          <w:rFonts w:ascii="Garamond" w:hAnsi="Garamond" w:cs="Times New Roman"/>
          <w:color w:val="000000"/>
          <w:sz w:val="24"/>
          <w:szCs w:val="24"/>
          <w:lang w:val="sq-AL"/>
        </w:rPr>
        <w:t xml:space="preserve">-së </w:t>
      </w:r>
      <w:r w:rsidRPr="00407705">
        <w:rPr>
          <w:rFonts w:ascii="Garamond" w:hAnsi="Garamond" w:cs="Times New Roman"/>
          <w:color w:val="000000"/>
          <w:sz w:val="24"/>
          <w:szCs w:val="24"/>
          <w:lang w:val="sq-AL"/>
        </w:rPr>
        <w:t xml:space="preserve">nuk kishte qenë efektive sipas interpretimit të </w:t>
      </w:r>
      <w:r w:rsidR="00E87A6B" w:rsidRPr="00407705">
        <w:rPr>
          <w:rFonts w:ascii="Garamond" w:hAnsi="Garamond" w:cs="Times New Roman"/>
          <w:color w:val="000000"/>
          <w:sz w:val="24"/>
          <w:szCs w:val="24"/>
          <w:lang w:val="sq-AL"/>
        </w:rPr>
        <w:t xml:space="preserve">nenit </w:t>
      </w:r>
      <w:r w:rsidRPr="00407705">
        <w:rPr>
          <w:rFonts w:ascii="Garamond" w:hAnsi="Garamond" w:cs="Times New Roman"/>
          <w:color w:val="000000"/>
          <w:sz w:val="24"/>
          <w:szCs w:val="24"/>
          <w:lang w:val="sq-AL"/>
        </w:rPr>
        <w:t xml:space="preserve">13 të Konventës. </w:t>
      </w:r>
    </w:p>
    <w:p w14:paraId="69AB0D6A"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102. Qeveria nuk e kundërshtoi këtë aspekt. </w:t>
      </w:r>
    </w:p>
    <w:p w14:paraId="69AB0D6B"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07705">
        <w:rPr>
          <w:rFonts w:ascii="Garamond" w:hAnsi="Garamond" w:cs="Times New Roman"/>
          <w:i/>
          <w:iCs/>
          <w:color w:val="000000"/>
          <w:sz w:val="24"/>
          <w:szCs w:val="24"/>
          <w:lang w:val="sq-AL"/>
        </w:rPr>
        <w:t>2. Vlerësimi i Gjykatës</w:t>
      </w:r>
    </w:p>
    <w:p w14:paraId="69AB0D6C" w14:textId="612352E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103. Gjykata thekson se në çështjen </w:t>
      </w:r>
      <w:r w:rsidRPr="00407705">
        <w:rPr>
          <w:rFonts w:ascii="Garamond" w:hAnsi="Garamond" w:cs="Times New Roman"/>
          <w:i/>
          <w:iCs/>
          <w:color w:val="000000"/>
          <w:sz w:val="24"/>
          <w:szCs w:val="24"/>
          <w:lang w:val="sq-AL"/>
        </w:rPr>
        <w:t xml:space="preserve">Luli dhe të tjerët </w:t>
      </w:r>
      <w:r w:rsidRPr="00407705">
        <w:rPr>
          <w:rFonts w:ascii="Garamond" w:hAnsi="Garamond" w:cs="Times New Roman"/>
          <w:color w:val="000000"/>
          <w:sz w:val="24"/>
          <w:szCs w:val="24"/>
          <w:lang w:val="sq-AL"/>
        </w:rPr>
        <w:t xml:space="preserve">(cituar më sipër), parashikohet se në mbështetje të </w:t>
      </w:r>
      <w:r w:rsidR="00E87A6B" w:rsidRPr="00407705">
        <w:rPr>
          <w:rFonts w:ascii="Garamond" w:hAnsi="Garamond" w:cs="Times New Roman"/>
          <w:color w:val="000000"/>
          <w:sz w:val="24"/>
          <w:szCs w:val="24"/>
          <w:lang w:val="sq-AL"/>
        </w:rPr>
        <w:t xml:space="preserve">nenit </w:t>
      </w:r>
      <w:r w:rsidRPr="00407705">
        <w:rPr>
          <w:rFonts w:ascii="Garamond" w:hAnsi="Garamond" w:cs="Times New Roman"/>
          <w:color w:val="000000"/>
          <w:sz w:val="24"/>
          <w:szCs w:val="24"/>
          <w:lang w:val="sq-AL"/>
        </w:rPr>
        <w:t>46 të Konventës, Shteti duhet të vendosë një zgjidhje të brendshme</w:t>
      </w:r>
      <w:r w:rsidR="00E87A6B">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 lidhje me kohëzgjatjen e tepruar të procedimeve. Si përgjigje ndaj vendimit të mësipërm, ligjvënësi shqiptar ka bërë një parashikim për një zgjidhje përshpejtuese/parandaluese dhe kompensuese, në përputhje me </w:t>
      </w:r>
      <w:r w:rsidR="00E87A6B" w:rsidRPr="00407705">
        <w:rPr>
          <w:rFonts w:ascii="Garamond" w:hAnsi="Garamond" w:cs="Times New Roman"/>
          <w:color w:val="000000"/>
          <w:sz w:val="24"/>
          <w:szCs w:val="24"/>
          <w:lang w:val="sq-AL"/>
        </w:rPr>
        <w:t xml:space="preserve">nenet </w:t>
      </w:r>
      <w:r w:rsidRPr="00407705">
        <w:rPr>
          <w:rFonts w:ascii="Garamond" w:hAnsi="Garamond" w:cs="Times New Roman"/>
          <w:color w:val="000000"/>
          <w:sz w:val="24"/>
          <w:szCs w:val="24"/>
          <w:lang w:val="sq-AL"/>
        </w:rPr>
        <w:t>399/1 ë ne vijim të KPC</w:t>
      </w:r>
      <w:r w:rsidR="00E87A6B">
        <w:rPr>
          <w:rFonts w:ascii="Garamond" w:hAnsi="Garamond" w:cs="Times New Roman"/>
          <w:color w:val="000000"/>
          <w:sz w:val="24"/>
          <w:szCs w:val="24"/>
          <w:lang w:val="sq-AL"/>
        </w:rPr>
        <w:t>-së</w:t>
      </w:r>
      <w:r w:rsidRPr="00407705">
        <w:rPr>
          <w:rFonts w:ascii="Garamond" w:hAnsi="Garamond" w:cs="Times New Roman"/>
          <w:color w:val="000000"/>
          <w:sz w:val="24"/>
          <w:szCs w:val="24"/>
          <w:lang w:val="sq-AL"/>
        </w:rPr>
        <w:t>. Për këtë arsye, Gjykata do të vlerësojë efikasitetin e përgjithshëm të kësaj zgjidhjeje</w:t>
      </w:r>
      <w:r w:rsidR="0058059B">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sipas interpretimit të </w:t>
      </w:r>
      <w:r w:rsidR="0058059B" w:rsidRPr="00407705">
        <w:rPr>
          <w:rFonts w:ascii="Garamond" w:hAnsi="Garamond" w:cs="Times New Roman"/>
          <w:color w:val="000000"/>
          <w:sz w:val="24"/>
          <w:szCs w:val="24"/>
          <w:lang w:val="sq-AL"/>
        </w:rPr>
        <w:t xml:space="preserve">nenit </w:t>
      </w:r>
      <w:r w:rsidRPr="00407705">
        <w:rPr>
          <w:rFonts w:ascii="Garamond" w:hAnsi="Garamond" w:cs="Times New Roman"/>
          <w:color w:val="000000"/>
          <w:sz w:val="24"/>
          <w:szCs w:val="24"/>
          <w:lang w:val="sq-AL"/>
        </w:rPr>
        <w:t xml:space="preserve">13 të Konventës, përpara se të përcaktojë nëse është efikase për çështjen e kërkuesit të parë. </w:t>
      </w:r>
    </w:p>
    <w:p w14:paraId="69AB0D6D" w14:textId="718ED43B" w:rsidR="009A0255" w:rsidRPr="00407705" w:rsidRDefault="009A0255" w:rsidP="009A0255">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407705">
        <w:rPr>
          <w:rFonts w:ascii="Garamond" w:hAnsi="Garamond" w:cs="Times New Roman"/>
          <w:b/>
          <w:bCs/>
          <w:color w:val="000000"/>
          <w:sz w:val="24"/>
          <w:szCs w:val="24"/>
          <w:lang w:val="sq-AL"/>
        </w:rPr>
        <w:t xml:space="preserve">a) Pajtueshmëria, në parim, e një zgjidhjeje të re me kërkesat e </w:t>
      </w:r>
      <w:r w:rsidR="0058059B" w:rsidRPr="00407705">
        <w:rPr>
          <w:rFonts w:ascii="Garamond" w:hAnsi="Garamond" w:cs="Times New Roman"/>
          <w:b/>
          <w:bCs/>
          <w:color w:val="000000"/>
          <w:sz w:val="24"/>
          <w:szCs w:val="24"/>
          <w:lang w:val="sq-AL"/>
        </w:rPr>
        <w:t xml:space="preserve">nenit </w:t>
      </w:r>
      <w:r w:rsidRPr="00407705">
        <w:rPr>
          <w:rFonts w:ascii="Garamond" w:hAnsi="Garamond" w:cs="Times New Roman"/>
          <w:b/>
          <w:bCs/>
          <w:color w:val="000000"/>
          <w:sz w:val="24"/>
          <w:szCs w:val="24"/>
          <w:lang w:val="sq-AL"/>
        </w:rPr>
        <w:t xml:space="preserve">13 </w:t>
      </w:r>
    </w:p>
    <w:p w14:paraId="69AB0D6E" w14:textId="3A1F1AEF"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104. Parimet përkatëse në lidhje me zbatimin e </w:t>
      </w:r>
      <w:r w:rsidR="00C3636A" w:rsidRPr="00407705">
        <w:rPr>
          <w:rFonts w:ascii="Garamond" w:hAnsi="Garamond" w:cs="Times New Roman"/>
          <w:color w:val="000000"/>
          <w:sz w:val="24"/>
          <w:szCs w:val="24"/>
          <w:lang w:val="sq-AL"/>
        </w:rPr>
        <w:t xml:space="preserve">nenit </w:t>
      </w:r>
      <w:r w:rsidRPr="00407705">
        <w:rPr>
          <w:rFonts w:ascii="Garamond" w:hAnsi="Garamond" w:cs="Times New Roman"/>
          <w:color w:val="000000"/>
          <w:sz w:val="24"/>
          <w:szCs w:val="24"/>
          <w:lang w:val="sq-AL"/>
        </w:rPr>
        <w:t>13 të Konventës</w:t>
      </w:r>
      <w:r w:rsidR="00C3636A">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 lidhje me ankimet për një shkelje të së drejtës për një seancë dëgjimore brenda një afati të arsyeshëm parashikohen në një sërë vendimesh (shih, midis të tjerash, </w:t>
      </w:r>
      <w:r w:rsidRPr="00407705">
        <w:rPr>
          <w:rFonts w:ascii="Garamond" w:hAnsi="Garamond" w:cs="Times New Roman"/>
          <w:i/>
          <w:iCs/>
          <w:color w:val="000000"/>
          <w:sz w:val="24"/>
          <w:szCs w:val="24"/>
          <w:lang w:val="sq-AL"/>
        </w:rPr>
        <w:t xml:space="preserve">Kudła </w:t>
      </w:r>
      <w:r w:rsidRPr="00407705">
        <w:rPr>
          <w:rFonts w:ascii="Garamond" w:hAnsi="Garamond" w:cs="Times New Roman"/>
          <w:color w:val="000000"/>
          <w:sz w:val="24"/>
          <w:szCs w:val="24"/>
          <w:lang w:val="sq-AL"/>
        </w:rPr>
        <w:t xml:space="preserve">cituar më sipër, §157; </w:t>
      </w:r>
      <w:r w:rsidRPr="00407705">
        <w:rPr>
          <w:rFonts w:ascii="Garamond" w:hAnsi="Garamond" w:cs="Times New Roman"/>
          <w:i/>
          <w:iCs/>
          <w:color w:val="000000"/>
          <w:sz w:val="24"/>
          <w:szCs w:val="24"/>
          <w:lang w:val="sq-AL"/>
        </w:rPr>
        <w:t>Scordino (nr. 1)</w:t>
      </w:r>
      <w:r w:rsidR="00C3636A">
        <w:rPr>
          <w:rFonts w:ascii="Garamond" w:hAnsi="Garamond" w:cs="Times New Roman"/>
          <w:color w:val="000000"/>
          <w:sz w:val="24"/>
          <w:szCs w:val="24"/>
          <w:lang w:val="sq-AL"/>
        </w:rPr>
        <w:t>, cituar më sipër, §§</w:t>
      </w:r>
      <w:r w:rsidRPr="00407705">
        <w:rPr>
          <w:rFonts w:ascii="Garamond" w:hAnsi="Garamond" w:cs="Times New Roman"/>
          <w:color w:val="000000"/>
          <w:sz w:val="24"/>
          <w:szCs w:val="24"/>
          <w:lang w:val="sq-AL"/>
        </w:rPr>
        <w:t>182</w:t>
      </w:r>
      <w:r w:rsidR="00C3636A">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89; </w:t>
      </w:r>
      <w:r w:rsidRPr="00407705">
        <w:rPr>
          <w:rFonts w:ascii="Garamond" w:hAnsi="Garamond" w:cs="Times New Roman"/>
          <w:i/>
          <w:iCs/>
          <w:color w:val="000000"/>
          <w:sz w:val="24"/>
          <w:szCs w:val="24"/>
          <w:lang w:val="sq-AL"/>
        </w:rPr>
        <w:t>Sürmeli</w:t>
      </w:r>
      <w:r w:rsidR="00C3636A">
        <w:rPr>
          <w:rFonts w:ascii="Garamond" w:hAnsi="Garamond" w:cs="Times New Roman"/>
          <w:color w:val="000000"/>
          <w:sz w:val="24"/>
          <w:szCs w:val="24"/>
          <w:lang w:val="sq-AL"/>
        </w:rPr>
        <w:t>, cituar më sipër, §§</w:t>
      </w:r>
      <w:r w:rsidRPr="00407705">
        <w:rPr>
          <w:rFonts w:ascii="Garamond" w:hAnsi="Garamond" w:cs="Times New Roman"/>
          <w:color w:val="000000"/>
          <w:sz w:val="24"/>
          <w:szCs w:val="24"/>
          <w:lang w:val="sq-AL"/>
        </w:rPr>
        <w:t>97</w:t>
      </w:r>
      <w:r w:rsidR="00C3636A">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101; dhe </w:t>
      </w:r>
      <w:r w:rsidRPr="00407705">
        <w:rPr>
          <w:rFonts w:ascii="Garamond" w:hAnsi="Garamond" w:cs="Times New Roman"/>
          <w:i/>
          <w:iCs/>
          <w:color w:val="000000"/>
          <w:sz w:val="24"/>
          <w:szCs w:val="24"/>
          <w:lang w:val="sq-AL"/>
        </w:rPr>
        <w:t xml:space="preserve">McFarlane kundër Irlandës </w:t>
      </w:r>
      <w:r w:rsidRPr="00407705">
        <w:rPr>
          <w:rFonts w:ascii="Garamond" w:hAnsi="Garamond" w:cs="Times New Roman"/>
          <w:color w:val="000000"/>
          <w:sz w:val="24"/>
          <w:szCs w:val="24"/>
          <w:lang w:val="sq-AL"/>
        </w:rPr>
        <w:t xml:space="preserve">[DHM], cituar më sipër, §108). </w:t>
      </w:r>
    </w:p>
    <w:p w14:paraId="69AB0D6F" w14:textId="036946C2"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105. Gjykata thekson, veçanërisht, se zgjidhjet në dispozicion të një individi në nivel të brendshëm për paraqitjen e një ankimi</w:t>
      </w:r>
      <w:r w:rsidR="000F3007">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 lidhje me kohëzgjatjen e procedurave janë “efektive”</w:t>
      </w:r>
      <w:r w:rsidR="000F3007">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sipas interpretimit të </w:t>
      </w:r>
      <w:r w:rsidR="000F3007" w:rsidRPr="00407705">
        <w:rPr>
          <w:rFonts w:ascii="Garamond" w:hAnsi="Garamond" w:cs="Times New Roman"/>
          <w:color w:val="000000"/>
          <w:sz w:val="24"/>
          <w:szCs w:val="24"/>
          <w:lang w:val="sq-AL"/>
        </w:rPr>
        <w:t xml:space="preserve">nenit </w:t>
      </w:r>
      <w:r w:rsidRPr="00407705">
        <w:rPr>
          <w:rFonts w:ascii="Garamond" w:hAnsi="Garamond" w:cs="Times New Roman"/>
          <w:color w:val="000000"/>
          <w:sz w:val="24"/>
          <w:szCs w:val="24"/>
          <w:lang w:val="sq-AL"/>
        </w:rPr>
        <w:t xml:space="preserve">13 të Konventës, nëse ato mund të përdoren për të përshpejtuar procedurat përpara gjykatave </w:t>
      </w:r>
      <w:r w:rsidR="00C57B21" w:rsidRPr="00C57B21">
        <w:rPr>
          <w:rFonts w:ascii="Garamond" w:hAnsi="Garamond" w:cs="Times New Roman"/>
          <w:color w:val="000000"/>
          <w:sz w:val="24"/>
          <w:szCs w:val="24"/>
          <w:lang w:val="sq-AL"/>
        </w:rPr>
        <w:t>vendës</w:t>
      </w:r>
      <w:r w:rsidR="000F3007">
        <w:rPr>
          <w:rFonts w:ascii="Garamond" w:hAnsi="Garamond" w:cs="Times New Roman"/>
          <w:color w:val="000000"/>
          <w:sz w:val="24"/>
          <w:szCs w:val="24"/>
          <w:lang w:val="sq-AL"/>
        </w:rPr>
        <w:t>e</w:t>
      </w:r>
      <w:r w:rsidRPr="00407705">
        <w:rPr>
          <w:rFonts w:ascii="Garamond" w:hAnsi="Garamond" w:cs="Times New Roman"/>
          <w:color w:val="000000"/>
          <w:sz w:val="24"/>
          <w:szCs w:val="24"/>
          <w:lang w:val="sq-AL"/>
        </w:rPr>
        <w:t xml:space="preserve"> ose nëse i garantojnë individit korrigjimin e duhur për vonesat të cilat kanë ndodhur. Në rastin kur një sistem i brendshëm ligjor bën një parashikim për miratimin e një mase ndaj Shtetit, një masë e tillë duhet të mbetet efektive, e mjaftueshme dhe e aksesueshme në përputhje me kohëzgjatjen e tepërt të procedurave gjyqësore. Mjaftueshmëria e saj varet nga vonesat e tepërta dhe nga niveli i kompensimit (shih </w:t>
      </w:r>
      <w:r w:rsidRPr="00407705">
        <w:rPr>
          <w:rFonts w:ascii="Garamond" w:hAnsi="Garamond" w:cs="Times New Roman"/>
          <w:i/>
          <w:iCs/>
          <w:color w:val="000000"/>
          <w:sz w:val="24"/>
          <w:szCs w:val="24"/>
          <w:lang w:val="sq-AL"/>
        </w:rPr>
        <w:t xml:space="preserve">Rutkowski dhe të tjerët kundër Polonisë, </w:t>
      </w:r>
      <w:r w:rsidRPr="00407705">
        <w:rPr>
          <w:rFonts w:ascii="Garamond" w:hAnsi="Garamond" w:cs="Times New Roman"/>
          <w:color w:val="000000"/>
          <w:sz w:val="24"/>
          <w:szCs w:val="24"/>
          <w:lang w:val="sq-AL"/>
        </w:rPr>
        <w:t>n</w:t>
      </w:r>
      <w:r w:rsidR="000F3007">
        <w:rPr>
          <w:rFonts w:ascii="Garamond" w:hAnsi="Garamond" w:cs="Times New Roman"/>
          <w:color w:val="000000"/>
          <w:sz w:val="24"/>
          <w:szCs w:val="24"/>
          <w:lang w:val="sq-AL"/>
        </w:rPr>
        <w:t>r. 72287/10 dhe 2 të tjerë , §§</w:t>
      </w:r>
      <w:r w:rsidRPr="00407705">
        <w:rPr>
          <w:rFonts w:ascii="Garamond" w:hAnsi="Garamond" w:cs="Times New Roman"/>
          <w:color w:val="000000"/>
          <w:sz w:val="24"/>
          <w:szCs w:val="24"/>
          <w:lang w:val="sq-AL"/>
        </w:rPr>
        <w:t xml:space="preserve">173, 7 korrik 2015). </w:t>
      </w:r>
    </w:p>
    <w:p w14:paraId="69AB0D70" w14:textId="1AB9C9BA" w:rsidR="009A0255" w:rsidRPr="00407705" w:rsidRDefault="009A0255" w:rsidP="009A025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07705">
        <w:rPr>
          <w:rFonts w:ascii="Garamond" w:hAnsi="Garamond" w:cs="Times New Roman"/>
          <w:i/>
          <w:iCs/>
          <w:color w:val="000000"/>
          <w:sz w:val="24"/>
          <w:szCs w:val="24"/>
          <w:lang w:val="sq-AL"/>
        </w:rPr>
        <w:t>i</w:t>
      </w:r>
      <w:r w:rsidR="000F3007">
        <w:rPr>
          <w:rFonts w:ascii="Garamond" w:hAnsi="Garamond" w:cs="Times New Roman"/>
          <w:i/>
          <w:iCs/>
          <w:color w:val="000000"/>
          <w:sz w:val="24"/>
          <w:szCs w:val="24"/>
          <w:lang w:val="sq-AL"/>
        </w:rPr>
        <w:t xml:space="preserve">. </w:t>
      </w:r>
      <w:r w:rsidRPr="00407705">
        <w:rPr>
          <w:rFonts w:ascii="Garamond" w:hAnsi="Garamond" w:cs="Times New Roman"/>
          <w:i/>
          <w:iCs/>
          <w:color w:val="000000"/>
          <w:sz w:val="24"/>
          <w:szCs w:val="24"/>
          <w:lang w:val="sq-AL"/>
        </w:rPr>
        <w:t xml:space="preserve">Në lidhje me zgjidhjen përshpejtuese/parandaluese </w:t>
      </w:r>
    </w:p>
    <w:p w14:paraId="69AB0D71" w14:textId="04F680A2"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106. Duke u rikthyer te zgjidhja përshpejtuese/parandaluese e miratuar në legjislacionin shqiptar, Gjykata thekson se </w:t>
      </w:r>
      <w:r w:rsidR="000F3007" w:rsidRPr="00407705">
        <w:rPr>
          <w:rFonts w:ascii="Garamond" w:hAnsi="Garamond" w:cs="Times New Roman"/>
          <w:color w:val="000000"/>
          <w:sz w:val="24"/>
          <w:szCs w:val="24"/>
          <w:lang w:val="sq-AL"/>
        </w:rPr>
        <w:t xml:space="preserve">neni </w:t>
      </w:r>
      <w:r w:rsidRPr="00407705">
        <w:rPr>
          <w:rFonts w:ascii="Garamond" w:hAnsi="Garamond" w:cs="Times New Roman"/>
          <w:color w:val="000000"/>
          <w:sz w:val="24"/>
          <w:szCs w:val="24"/>
          <w:lang w:val="sq-AL"/>
        </w:rPr>
        <w:t>399/2 i KPC-së parashikon se kohëzgjatja e procedurave administrative, civile dhe penale konsiderohet e arsyeshme. Një palë mund të paraqesë një kërkesë për konstatimin e një shkeljeje ndaj kërkesës për një “afat të arsyeshëm” dhe përshpejtimit të procedurave</w:t>
      </w:r>
      <w:r w:rsidR="000F3007">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sipas </w:t>
      </w:r>
      <w:r w:rsidR="000F3007" w:rsidRPr="00407705">
        <w:rPr>
          <w:rFonts w:ascii="Garamond" w:hAnsi="Garamond" w:cs="Times New Roman"/>
          <w:color w:val="000000"/>
          <w:sz w:val="24"/>
          <w:szCs w:val="24"/>
          <w:lang w:val="sq-AL"/>
        </w:rPr>
        <w:t xml:space="preserve">nenit </w:t>
      </w:r>
      <w:r w:rsidR="000F3007">
        <w:rPr>
          <w:rFonts w:ascii="Garamond" w:hAnsi="Garamond" w:cs="Times New Roman"/>
          <w:color w:val="000000"/>
          <w:sz w:val="24"/>
          <w:szCs w:val="24"/>
          <w:lang w:val="sq-AL"/>
        </w:rPr>
        <w:t>399/6§</w:t>
      </w:r>
      <w:r w:rsidRPr="00407705">
        <w:rPr>
          <w:rFonts w:ascii="Garamond" w:hAnsi="Garamond" w:cs="Times New Roman"/>
          <w:color w:val="000000"/>
          <w:sz w:val="24"/>
          <w:szCs w:val="24"/>
          <w:lang w:val="sq-AL"/>
        </w:rPr>
        <w:t>1 të KPC</w:t>
      </w:r>
      <w:r w:rsidR="000F3007">
        <w:rPr>
          <w:rFonts w:ascii="Garamond" w:hAnsi="Garamond" w:cs="Times New Roman"/>
          <w:color w:val="000000"/>
          <w:sz w:val="24"/>
          <w:szCs w:val="24"/>
          <w:lang w:val="sq-AL"/>
        </w:rPr>
        <w:t>-së</w:t>
      </w:r>
      <w:r w:rsidRPr="00407705">
        <w:rPr>
          <w:rFonts w:ascii="Garamond" w:hAnsi="Garamond" w:cs="Times New Roman"/>
          <w:color w:val="000000"/>
          <w:sz w:val="24"/>
          <w:szCs w:val="24"/>
          <w:lang w:val="sq-AL"/>
        </w:rPr>
        <w:t xml:space="preserve">. Një kërkesë e tillë do të duhet të shqyrtohet me dyer të mbyllura nga gjykata kompetente. Sipas </w:t>
      </w:r>
      <w:r w:rsidR="00105FD6" w:rsidRPr="00407705">
        <w:rPr>
          <w:rFonts w:ascii="Garamond" w:hAnsi="Garamond" w:cs="Times New Roman"/>
          <w:color w:val="000000"/>
          <w:sz w:val="24"/>
          <w:szCs w:val="24"/>
          <w:lang w:val="sq-AL"/>
        </w:rPr>
        <w:t xml:space="preserve">nenit </w:t>
      </w:r>
      <w:r w:rsidR="00105FD6">
        <w:rPr>
          <w:rFonts w:ascii="Garamond" w:hAnsi="Garamond" w:cs="Times New Roman"/>
          <w:color w:val="000000"/>
          <w:sz w:val="24"/>
          <w:szCs w:val="24"/>
          <w:lang w:val="sq-AL"/>
        </w:rPr>
        <w:t>399/8§</w:t>
      </w:r>
      <w:r w:rsidRPr="00407705">
        <w:rPr>
          <w:rFonts w:ascii="Garamond" w:hAnsi="Garamond" w:cs="Times New Roman"/>
          <w:color w:val="000000"/>
          <w:sz w:val="24"/>
          <w:szCs w:val="24"/>
          <w:lang w:val="sq-AL"/>
        </w:rPr>
        <w:t>1 të KPC</w:t>
      </w:r>
      <w:r w:rsidR="00105FD6">
        <w:rPr>
          <w:rFonts w:ascii="Garamond" w:hAnsi="Garamond" w:cs="Times New Roman"/>
          <w:color w:val="000000"/>
          <w:sz w:val="24"/>
          <w:szCs w:val="24"/>
          <w:lang w:val="sq-AL"/>
        </w:rPr>
        <w:t>-së</w:t>
      </w:r>
      <w:r w:rsidRPr="00407705">
        <w:rPr>
          <w:rFonts w:ascii="Garamond" w:hAnsi="Garamond" w:cs="Times New Roman"/>
          <w:color w:val="000000"/>
          <w:sz w:val="24"/>
          <w:szCs w:val="24"/>
          <w:lang w:val="sq-AL"/>
        </w:rPr>
        <w:t xml:space="preserve">, nëse gjykata kompetente konstaton një shkelje të kërkesës për “afat të arsyeshëm”, ajo do të urdhërojë që të ndërmerren masa të caktuara procedurale brenda një afati që përcaktohet nga vet gjykata. Vendimi i gjykatës është përfundimtar. Në vijim, Gjykata thekson se kriteret e parashikuara në </w:t>
      </w:r>
      <w:r w:rsidR="006A240B" w:rsidRPr="00407705">
        <w:rPr>
          <w:rFonts w:ascii="Garamond" w:hAnsi="Garamond" w:cs="Times New Roman"/>
          <w:color w:val="000000"/>
          <w:sz w:val="24"/>
          <w:szCs w:val="24"/>
          <w:lang w:val="sq-AL"/>
        </w:rPr>
        <w:t xml:space="preserve">nenin </w:t>
      </w:r>
      <w:r w:rsidRPr="00407705">
        <w:rPr>
          <w:rFonts w:ascii="Garamond" w:hAnsi="Garamond" w:cs="Times New Roman"/>
          <w:color w:val="000000"/>
          <w:sz w:val="24"/>
          <w:szCs w:val="24"/>
          <w:lang w:val="sq-AL"/>
        </w:rPr>
        <w:t>399/9 të KPC</w:t>
      </w:r>
      <w:r w:rsidR="006A240B">
        <w:rPr>
          <w:rFonts w:ascii="Garamond" w:hAnsi="Garamond" w:cs="Times New Roman"/>
          <w:color w:val="000000"/>
          <w:sz w:val="24"/>
          <w:szCs w:val="24"/>
          <w:lang w:val="sq-AL"/>
        </w:rPr>
        <w:t>-së</w:t>
      </w:r>
      <w:r w:rsidRPr="00407705">
        <w:rPr>
          <w:rFonts w:ascii="Garamond" w:hAnsi="Garamond" w:cs="Times New Roman"/>
          <w:color w:val="000000"/>
          <w:sz w:val="24"/>
          <w:szCs w:val="24"/>
          <w:lang w:val="sq-AL"/>
        </w:rPr>
        <w:t xml:space="preserve"> për konstatimin e një shkeljeje të kërkesës për “afat të arsyeshëm” janë në përputhje me praktikën gjyqësore përkatëse të Gjykatës, më konkretisht, kompleksiteti i çështjes, reagimet e palëve dhe çfarë është në rrezik për pretenduesin. </w:t>
      </w:r>
    </w:p>
    <w:p w14:paraId="69AB0D72" w14:textId="396979EC"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107. Për këtë arsye, Gjykata është e mendimit</w:t>
      </w:r>
      <w:r w:rsidR="006A240B">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se procedura për zbatimin e zgjidhjes përshpejtuese/parandaluese do të ketë ndikim në kohëzgjatjen e procedurave në tërësi ose duke përshpejtuar procedurat, ose duke parandaluar që ato të marrin një kohë paarsyeshmërisht të gjatë. Një gjë e tillë mbështetet edhe nga vendimet e Gjykatës së Lartë</w:t>
      </w:r>
      <w:r w:rsidR="006A240B">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tek të cilat mbështetet edhe Qeveria (shih paragrafët 39 dhe 43 më sipër), duke treguar se zgjidhja parandaluese në fjalë nuk ka prodhuar vetëm rezultate </w:t>
      </w:r>
      <w:r w:rsidRPr="00407705">
        <w:rPr>
          <w:rFonts w:ascii="Garamond" w:hAnsi="Garamond" w:cs="Times New Roman"/>
          <w:i/>
          <w:iCs/>
          <w:color w:val="000000"/>
          <w:sz w:val="24"/>
          <w:szCs w:val="24"/>
          <w:lang w:val="sq-AL"/>
        </w:rPr>
        <w:t>de jure</w:t>
      </w:r>
      <w:r w:rsidRPr="00407705">
        <w:rPr>
          <w:rFonts w:ascii="Garamond" w:hAnsi="Garamond" w:cs="Times New Roman"/>
          <w:color w:val="000000"/>
          <w:sz w:val="24"/>
          <w:szCs w:val="24"/>
          <w:lang w:val="sq-AL"/>
        </w:rPr>
        <w:t xml:space="preserve">, por edhe </w:t>
      </w:r>
      <w:r w:rsidRPr="00407705">
        <w:rPr>
          <w:rFonts w:ascii="Garamond" w:hAnsi="Garamond" w:cs="Times New Roman"/>
          <w:i/>
          <w:iCs/>
          <w:color w:val="000000"/>
          <w:sz w:val="24"/>
          <w:szCs w:val="24"/>
          <w:lang w:val="sq-AL"/>
        </w:rPr>
        <w:t>de facto</w:t>
      </w:r>
      <w:r w:rsidRPr="00407705">
        <w:rPr>
          <w:rFonts w:ascii="Garamond" w:hAnsi="Garamond" w:cs="Times New Roman"/>
          <w:color w:val="000000"/>
          <w:sz w:val="24"/>
          <w:szCs w:val="24"/>
          <w:lang w:val="sq-AL"/>
        </w:rPr>
        <w:t xml:space="preserve">. </w:t>
      </w:r>
    </w:p>
    <w:p w14:paraId="69AB0D73" w14:textId="5DD377CD"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108. Në vijim, Gjykata thekson se është e nevojshme të theksohet</w:t>
      </w:r>
      <w:r w:rsidR="006A240B">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se, në vlerësim të pajtueshmërisë me kërkesën për “afat të arsyeshëm”, gjykatat e brendshme duhet të kenë në konsideratë të gjithë kohëzgjatjen e procedurave dhe të shqyrtojnë kohëzgjatjen e përgjithshme të të gjitha fazave të procedurave, në vend që ta kufizojnë vlerësimin e kohëzgjatjes së procedurave të brendshme në atë pikë që një individ bën një kërkesë në mbështetje të </w:t>
      </w:r>
      <w:r w:rsidR="006A240B" w:rsidRPr="00407705">
        <w:rPr>
          <w:rFonts w:ascii="Garamond" w:hAnsi="Garamond" w:cs="Times New Roman"/>
          <w:color w:val="000000"/>
          <w:sz w:val="24"/>
          <w:szCs w:val="24"/>
          <w:lang w:val="sq-AL"/>
        </w:rPr>
        <w:t xml:space="preserve">nenit </w:t>
      </w:r>
      <w:r w:rsidR="006A240B">
        <w:rPr>
          <w:rFonts w:ascii="Garamond" w:hAnsi="Garamond" w:cs="Times New Roman"/>
          <w:color w:val="000000"/>
          <w:sz w:val="24"/>
          <w:szCs w:val="24"/>
          <w:lang w:val="sq-AL"/>
        </w:rPr>
        <w:t>399/6§</w:t>
      </w:r>
      <w:r w:rsidRPr="00407705">
        <w:rPr>
          <w:rFonts w:ascii="Garamond" w:hAnsi="Garamond" w:cs="Times New Roman"/>
          <w:color w:val="000000"/>
          <w:sz w:val="24"/>
          <w:szCs w:val="24"/>
          <w:lang w:val="sq-AL"/>
        </w:rPr>
        <w:t>1 të KPC</w:t>
      </w:r>
      <w:r w:rsidR="006A240B">
        <w:rPr>
          <w:rFonts w:ascii="Garamond" w:hAnsi="Garamond" w:cs="Times New Roman"/>
          <w:color w:val="000000"/>
          <w:sz w:val="24"/>
          <w:szCs w:val="24"/>
          <w:lang w:val="sq-AL"/>
        </w:rPr>
        <w:t>-së</w:t>
      </w:r>
      <w:r w:rsidRPr="00407705">
        <w:rPr>
          <w:rFonts w:ascii="Garamond" w:hAnsi="Garamond" w:cs="Times New Roman"/>
          <w:color w:val="000000"/>
          <w:sz w:val="24"/>
          <w:szCs w:val="24"/>
          <w:lang w:val="sq-AL"/>
        </w:rPr>
        <w:t xml:space="preserve"> (shih, </w:t>
      </w:r>
      <w:r w:rsidRPr="00407705">
        <w:rPr>
          <w:rFonts w:ascii="Garamond" w:hAnsi="Garamond" w:cs="Times New Roman"/>
          <w:i/>
          <w:iCs/>
          <w:color w:val="000000"/>
          <w:sz w:val="24"/>
          <w:szCs w:val="24"/>
          <w:lang w:val="sq-AL"/>
        </w:rPr>
        <w:t>mutatis mutandis, Rutkowski dhe të tjerët</w:t>
      </w:r>
      <w:r w:rsidRPr="00407705">
        <w:rPr>
          <w:rFonts w:ascii="Garamond" w:hAnsi="Garamond" w:cs="Times New Roman"/>
          <w:color w:val="000000"/>
          <w:sz w:val="24"/>
          <w:szCs w:val="24"/>
          <w:lang w:val="sq-AL"/>
        </w:rPr>
        <w:t>, cituar më sipër, §§ 212</w:t>
      </w:r>
      <w:r w:rsidR="009A0AF9">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213). Gjithashtu, së bashku me urdhrin që masa të caktuara procedurale të ndërmerren nga autoriteti përgjegjës për të përshpejtuar procedurat e vonuara, gjykata kompetente duhet të përcaktojë një afat të arsyeshëm për masat procedurale në mënyrë që zgjidhja të jetë efektive. </w:t>
      </w:r>
    </w:p>
    <w:p w14:paraId="69AB0D74" w14:textId="316B5E5D"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109. Për sa më sipër, Gjykata nënvizon se, në këtë fazë, nuk ka arsye të besohet se kërkesa për konstatimi e një shkeljeje të kërkesës së “afatit të arsyeshëm” dhe të përshpejtimit të procedurave, sipas legjislacionit shqiptar hyrë në fuqi më 5 nëntor 2017, sipas </w:t>
      </w:r>
      <w:r w:rsidR="009A0AF9" w:rsidRPr="00407705">
        <w:rPr>
          <w:rFonts w:ascii="Garamond" w:hAnsi="Garamond" w:cs="Times New Roman"/>
          <w:color w:val="000000"/>
          <w:sz w:val="24"/>
          <w:szCs w:val="24"/>
          <w:lang w:val="sq-AL"/>
        </w:rPr>
        <w:t xml:space="preserve">neneve </w:t>
      </w:r>
      <w:r w:rsidRPr="00407705">
        <w:rPr>
          <w:rFonts w:ascii="Garamond" w:hAnsi="Garamond" w:cs="Times New Roman"/>
          <w:color w:val="000000"/>
          <w:sz w:val="24"/>
          <w:szCs w:val="24"/>
          <w:lang w:val="sq-AL"/>
        </w:rPr>
        <w:t>399/1 e në vijim të KPC</w:t>
      </w:r>
      <w:r w:rsidR="009A0AF9">
        <w:rPr>
          <w:rFonts w:ascii="Garamond" w:hAnsi="Garamond" w:cs="Times New Roman"/>
          <w:color w:val="000000"/>
          <w:sz w:val="24"/>
          <w:szCs w:val="24"/>
          <w:lang w:val="sq-AL"/>
        </w:rPr>
        <w:t>-së</w:t>
      </w:r>
      <w:r w:rsidRPr="00407705">
        <w:rPr>
          <w:rFonts w:ascii="Garamond" w:hAnsi="Garamond" w:cs="Times New Roman"/>
          <w:color w:val="000000"/>
          <w:sz w:val="24"/>
          <w:szCs w:val="24"/>
          <w:lang w:val="sq-AL"/>
        </w:rPr>
        <w:t xml:space="preserve">, nuk do të ishte efektive. </w:t>
      </w:r>
    </w:p>
    <w:p w14:paraId="69AB0D75" w14:textId="27F6B765"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i/>
          <w:iCs/>
          <w:color w:val="000000"/>
          <w:sz w:val="24"/>
          <w:szCs w:val="24"/>
          <w:lang w:val="sq-AL"/>
        </w:rPr>
        <w:t>ii</w:t>
      </w:r>
      <w:r w:rsidR="00403903">
        <w:rPr>
          <w:rFonts w:ascii="Garamond" w:hAnsi="Garamond" w:cs="Times New Roman"/>
          <w:i/>
          <w:iCs/>
          <w:color w:val="000000"/>
          <w:sz w:val="24"/>
          <w:szCs w:val="24"/>
          <w:lang w:val="sq-AL"/>
        </w:rPr>
        <w:t>.</w:t>
      </w:r>
      <w:r w:rsidRPr="00407705">
        <w:rPr>
          <w:rFonts w:ascii="Garamond" w:hAnsi="Garamond" w:cs="Times New Roman"/>
          <w:i/>
          <w:iCs/>
          <w:color w:val="000000"/>
          <w:sz w:val="24"/>
          <w:szCs w:val="24"/>
          <w:lang w:val="sq-AL"/>
        </w:rPr>
        <w:t xml:space="preserve"> Në lidhje me aspektin kompensues të zgjidhjes</w:t>
      </w:r>
    </w:p>
    <w:p w14:paraId="69AB0D76" w14:textId="32B1FAF5"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110. Gjykata thekson se </w:t>
      </w:r>
      <w:r w:rsidR="00A031AA" w:rsidRPr="00407705">
        <w:rPr>
          <w:rFonts w:ascii="Garamond" w:hAnsi="Garamond" w:cs="Times New Roman"/>
          <w:color w:val="000000"/>
          <w:sz w:val="24"/>
          <w:szCs w:val="24"/>
          <w:lang w:val="sq-AL"/>
        </w:rPr>
        <w:t xml:space="preserve">neni </w:t>
      </w:r>
      <w:r w:rsidRPr="00407705">
        <w:rPr>
          <w:rFonts w:ascii="Garamond" w:hAnsi="Garamond" w:cs="Times New Roman"/>
          <w:color w:val="000000"/>
          <w:sz w:val="24"/>
          <w:szCs w:val="24"/>
          <w:lang w:val="sq-AL"/>
        </w:rPr>
        <w:t>399/6</w:t>
      </w:r>
      <w:r w:rsidR="00A031AA">
        <w:rPr>
          <w:rFonts w:ascii="Garamond" w:hAnsi="Garamond" w:cs="Times New Roman"/>
          <w:color w:val="000000"/>
          <w:sz w:val="24"/>
          <w:szCs w:val="24"/>
          <w:lang w:val="sq-AL"/>
        </w:rPr>
        <w:t>§</w:t>
      </w:r>
      <w:r w:rsidRPr="00407705">
        <w:rPr>
          <w:rFonts w:ascii="Garamond" w:hAnsi="Garamond" w:cs="Times New Roman"/>
          <w:color w:val="000000"/>
          <w:sz w:val="24"/>
          <w:szCs w:val="24"/>
          <w:lang w:val="sq-AL"/>
        </w:rPr>
        <w:t>3 i KPC</w:t>
      </w:r>
      <w:r w:rsidR="00A031AA">
        <w:rPr>
          <w:rFonts w:ascii="Garamond" w:hAnsi="Garamond" w:cs="Times New Roman"/>
          <w:color w:val="000000"/>
          <w:sz w:val="24"/>
          <w:szCs w:val="24"/>
          <w:lang w:val="sq-AL"/>
        </w:rPr>
        <w:t>-së</w:t>
      </w:r>
      <w:r w:rsidRPr="00407705">
        <w:rPr>
          <w:rFonts w:ascii="Garamond" w:hAnsi="Garamond" w:cs="Times New Roman"/>
          <w:color w:val="000000"/>
          <w:sz w:val="24"/>
          <w:szCs w:val="24"/>
          <w:lang w:val="sq-AL"/>
        </w:rPr>
        <w:t xml:space="preserve"> parashikon mundësinë për shpërblim të dëmit të shkaktuar nga kohëzgjatja e pajustifikuar e procedurave. Gjykata përsërit se</w:t>
      </w:r>
      <w:r w:rsidR="00B07489">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nëse Shteti ka marrë një hap të rëndësishëm duke miratuar një zgjidhje kompensuese, kjo zgjidhje duhet të lejojë një margjinë më të gjerë në vlerësimin e Shtetit për t’i mundësuar që ta organizojë zgjidhjen në mënyrë të tillë</w:t>
      </w:r>
      <w:r w:rsidR="00B07489">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që të jetë në përputhje me sistemin e tij ligjor dhe traditat ligjore, si edhe të jetë në harmoni me standardin e jetës në vendin në fjalë (shih </w:t>
      </w:r>
      <w:r w:rsidRPr="00407705">
        <w:rPr>
          <w:rFonts w:ascii="Garamond" w:hAnsi="Garamond" w:cs="Times New Roman"/>
          <w:i/>
          <w:iCs/>
          <w:color w:val="000000"/>
          <w:sz w:val="24"/>
          <w:szCs w:val="24"/>
          <w:lang w:val="sq-AL"/>
        </w:rPr>
        <w:t xml:space="preserve">Scordino (nr. 1), </w:t>
      </w:r>
      <w:r w:rsidR="00B07489">
        <w:rPr>
          <w:rFonts w:ascii="Garamond" w:hAnsi="Garamond" w:cs="Times New Roman"/>
          <w:color w:val="000000"/>
          <w:sz w:val="24"/>
          <w:szCs w:val="24"/>
          <w:lang w:val="sq-AL"/>
        </w:rPr>
        <w:t>cituar më sipër, §</w:t>
      </w:r>
      <w:r w:rsidRPr="00407705">
        <w:rPr>
          <w:rFonts w:ascii="Garamond" w:hAnsi="Garamond" w:cs="Times New Roman"/>
          <w:color w:val="000000"/>
          <w:sz w:val="24"/>
          <w:szCs w:val="24"/>
          <w:lang w:val="sq-AL"/>
        </w:rPr>
        <w:t xml:space="preserve">189). </w:t>
      </w:r>
    </w:p>
    <w:p w14:paraId="69AB0D77" w14:textId="706E764F"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111. Gjykata vëren se kërkesëpadia për kompensim duhet të dorëzohet në gjykatën e shkallës së parë të juridiksionit të përgjithshëm me konstatimin e një shkeljeje të kërkesës për “afat të arsyeshëm”. Kërkesëpadia do të parashkruhet brenda gjashtë muajsh nga konstatimi i shkeljes. Sipas </w:t>
      </w:r>
      <w:r w:rsidR="00277125" w:rsidRPr="00407705">
        <w:rPr>
          <w:rFonts w:ascii="Garamond" w:hAnsi="Garamond" w:cs="Times New Roman"/>
          <w:color w:val="000000"/>
          <w:sz w:val="24"/>
          <w:szCs w:val="24"/>
          <w:lang w:val="sq-AL"/>
        </w:rPr>
        <w:t xml:space="preserve">nenit </w:t>
      </w:r>
      <w:r w:rsidR="00277125">
        <w:rPr>
          <w:rFonts w:ascii="Garamond" w:hAnsi="Garamond" w:cs="Times New Roman"/>
          <w:color w:val="000000"/>
          <w:sz w:val="24"/>
          <w:szCs w:val="24"/>
          <w:lang w:val="sq-AL"/>
        </w:rPr>
        <w:t>399/7§</w:t>
      </w:r>
      <w:r w:rsidRPr="00407705">
        <w:rPr>
          <w:rFonts w:ascii="Garamond" w:hAnsi="Garamond" w:cs="Times New Roman"/>
          <w:color w:val="000000"/>
          <w:sz w:val="24"/>
          <w:szCs w:val="24"/>
          <w:lang w:val="sq-AL"/>
        </w:rPr>
        <w:t>1, kërkesëpadia do të shqyrtohet në përputhje me rregullat e zakonsh</w:t>
      </w:r>
      <w:r w:rsidR="00277125">
        <w:rPr>
          <w:rFonts w:ascii="Garamond" w:hAnsi="Garamond" w:cs="Times New Roman"/>
          <w:color w:val="000000"/>
          <w:sz w:val="24"/>
          <w:szCs w:val="24"/>
          <w:lang w:val="sq-AL"/>
        </w:rPr>
        <w:t>me</w:t>
      </w:r>
      <w:r w:rsidRPr="00407705">
        <w:rPr>
          <w:rFonts w:ascii="Garamond" w:hAnsi="Garamond" w:cs="Times New Roman"/>
          <w:color w:val="000000"/>
          <w:sz w:val="24"/>
          <w:szCs w:val="24"/>
          <w:lang w:val="sq-AL"/>
        </w:rPr>
        <w:t xml:space="preserve"> procedural</w:t>
      </w:r>
      <w:r w:rsidR="00506B9A">
        <w:rPr>
          <w:rFonts w:ascii="Garamond" w:hAnsi="Garamond" w:cs="Times New Roman"/>
          <w:color w:val="000000"/>
          <w:sz w:val="24"/>
          <w:szCs w:val="24"/>
          <w:lang w:val="sq-AL"/>
        </w:rPr>
        <w:t>e</w:t>
      </w:r>
      <w:r w:rsidRPr="00407705">
        <w:rPr>
          <w:rFonts w:ascii="Garamond" w:hAnsi="Garamond" w:cs="Times New Roman"/>
          <w:color w:val="000000"/>
          <w:sz w:val="24"/>
          <w:szCs w:val="24"/>
          <w:lang w:val="sq-AL"/>
        </w:rPr>
        <w:t xml:space="preserve"> brenda tre muajsh nga paraqitja e saj. Nëse kërkesëpadia pranohet, gjykata kompetente merr një vendim në përputhje me Nenin 399/10, në lidhje me kriteret e parashikuara në paragrafin 2 të tij, sipas praktikës gjyqësore të Gjykatës, më konkretisht, sipas kompleksitetit të procedurave, reagimit të kolegjit, dhe çfarë rrezikon</w:t>
      </w:r>
      <w:r w:rsidR="0054754A" w:rsidRPr="00407705">
        <w:rPr>
          <w:rFonts w:ascii="Garamond" w:hAnsi="Garamond" w:cs="Times New Roman"/>
          <w:color w:val="000000"/>
          <w:sz w:val="24"/>
          <w:szCs w:val="24"/>
          <w:lang w:val="sq-AL"/>
        </w:rPr>
        <w:t xml:space="preserve"> </w:t>
      </w:r>
      <w:r w:rsidRPr="00407705">
        <w:rPr>
          <w:rFonts w:ascii="Garamond" w:hAnsi="Garamond" w:cs="Times New Roman"/>
          <w:color w:val="000000"/>
          <w:sz w:val="24"/>
          <w:szCs w:val="24"/>
          <w:lang w:val="sq-AL"/>
        </w:rPr>
        <w:t xml:space="preserve">pretenduesi. </w:t>
      </w:r>
    </w:p>
    <w:p w14:paraId="69AB0D78" w14:textId="4762520C"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112. Gjykata mban në konsideratë vendimet e gjykatave të brendshme</w:t>
      </w:r>
      <w:r w:rsidR="009B0200">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 lidhje me aspektin kompensues të zgjidhjes së re (shih paragrafët 44</w:t>
      </w:r>
      <w:r w:rsidR="009B0200">
        <w:rPr>
          <w:rFonts w:ascii="Garamond" w:hAnsi="Garamond" w:cs="Times New Roman"/>
          <w:color w:val="000000"/>
          <w:sz w:val="24"/>
          <w:szCs w:val="24"/>
          <w:lang w:val="sq-AL"/>
        </w:rPr>
        <w:t>–</w:t>
      </w:r>
      <w:r w:rsidRPr="00407705">
        <w:rPr>
          <w:rFonts w:ascii="Garamond" w:hAnsi="Garamond" w:cs="Times New Roman"/>
          <w:color w:val="000000"/>
          <w:sz w:val="24"/>
          <w:szCs w:val="24"/>
          <w:lang w:val="sq-AL"/>
        </w:rPr>
        <w:t>46 më sipër) dhe gjykon se është e nevojshme që të adresohen disa pyetje</w:t>
      </w:r>
      <w:r w:rsidR="00AF18CE">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 lidhje me efikasitetin e këtij aspekti specifik. </w:t>
      </w:r>
    </w:p>
    <w:p w14:paraId="69AB0D79" w14:textId="6017EBC1"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113. Fillimisht, rregullat procedural</w:t>
      </w:r>
      <w:r w:rsidR="00AF18CE">
        <w:rPr>
          <w:rFonts w:ascii="Garamond" w:hAnsi="Garamond" w:cs="Times New Roman"/>
          <w:color w:val="000000"/>
          <w:sz w:val="24"/>
          <w:szCs w:val="24"/>
          <w:lang w:val="sq-AL"/>
        </w:rPr>
        <w:t>e</w:t>
      </w:r>
      <w:r w:rsidRPr="00407705">
        <w:rPr>
          <w:rFonts w:ascii="Garamond" w:hAnsi="Garamond" w:cs="Times New Roman"/>
          <w:color w:val="000000"/>
          <w:sz w:val="24"/>
          <w:szCs w:val="24"/>
          <w:lang w:val="sq-AL"/>
        </w:rPr>
        <w:t xml:space="preserve"> që drejtojnë shqyrtimin e kërkesëpadisë për kompensim duhet të jenë në përputhje me parimin e drejtësisë së parashikuar në </w:t>
      </w:r>
      <w:r w:rsidR="00AF18CE" w:rsidRPr="00407705">
        <w:rPr>
          <w:rFonts w:ascii="Garamond" w:hAnsi="Garamond" w:cs="Times New Roman"/>
          <w:color w:val="000000"/>
          <w:sz w:val="24"/>
          <w:szCs w:val="24"/>
          <w:lang w:val="sq-AL"/>
        </w:rPr>
        <w:t xml:space="preserve">nenin </w:t>
      </w:r>
      <w:r w:rsidRPr="00407705">
        <w:rPr>
          <w:rFonts w:ascii="Garamond" w:hAnsi="Garamond" w:cs="Times New Roman"/>
          <w:color w:val="000000"/>
          <w:sz w:val="24"/>
          <w:szCs w:val="24"/>
          <w:lang w:val="sq-AL"/>
        </w:rPr>
        <w:t xml:space="preserve">6 të Konventës (shih </w:t>
      </w:r>
      <w:r w:rsidRPr="00407705">
        <w:rPr>
          <w:rFonts w:ascii="Garamond" w:hAnsi="Garamond" w:cs="Times New Roman"/>
          <w:i/>
          <w:iCs/>
          <w:color w:val="000000"/>
          <w:sz w:val="24"/>
          <w:szCs w:val="24"/>
          <w:lang w:val="sq-AL"/>
        </w:rPr>
        <w:t>Finger kundër Bullgarisë</w:t>
      </w:r>
      <w:r w:rsidR="00AF18CE">
        <w:rPr>
          <w:rFonts w:ascii="Garamond" w:hAnsi="Garamond" w:cs="Times New Roman"/>
          <w:color w:val="000000"/>
          <w:sz w:val="24"/>
          <w:szCs w:val="24"/>
          <w:lang w:val="sq-AL"/>
        </w:rPr>
        <w:t>, nr. 37346/05, §</w:t>
      </w:r>
      <w:r w:rsidRPr="00407705">
        <w:rPr>
          <w:rFonts w:ascii="Garamond" w:hAnsi="Garamond" w:cs="Times New Roman"/>
          <w:color w:val="000000"/>
          <w:sz w:val="24"/>
          <w:szCs w:val="24"/>
          <w:lang w:val="sq-AL"/>
        </w:rPr>
        <w:t xml:space="preserve">130, 10 maj 2011). </w:t>
      </w:r>
    </w:p>
    <w:p w14:paraId="69AB0D7A" w14:textId="06D0E2B5"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114. Së dyti, rezulton se kërkesëpadia për kompensim duhet të paraqitet pas konstatimit të shkeljes së kërkesës për “afat të arsyeshëm” në një nivel të juridiksionit. Në lidhje me këtë aspekt dhe konstatimin në paragrafin 108 më sipër, Gjykata nënvizon se në parim, individët duhet të kenë mundësinë të ngrenë kërkesëpadi</w:t>
      </w:r>
      <w:r w:rsidR="00C0224C">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 lidhje me kohëzgjatjen në tërësi të procedurave deri në pikën që, në varësi të çështjes, mund të përfshihen një sërë nivelesh të juridiksionit. </w:t>
      </w:r>
    </w:p>
    <w:p w14:paraId="69AB0D7B" w14:textId="5E8BD919"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115. Së treti, Gjykata thekson nevojën për t’i kryer këto procedura në mënyrë të menjëhershme</w:t>
      </w:r>
      <w:r w:rsidR="00C0224C">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 mënyrë që zgjidhja të mbetet efektive. Në lidhje me këtë aspekt, duhet të mbahet në konsideratë shqyrtimi i këtyre kërkesëpadive</w:t>
      </w:r>
      <w:r w:rsidR="00C0224C">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sipas rregullave të posaç</w:t>
      </w:r>
      <w:r w:rsidR="00C0224C">
        <w:rPr>
          <w:rFonts w:ascii="Garamond" w:hAnsi="Garamond" w:cs="Times New Roman"/>
          <w:color w:val="000000"/>
          <w:sz w:val="24"/>
          <w:szCs w:val="24"/>
          <w:lang w:val="sq-AL"/>
        </w:rPr>
        <w:t>me</w:t>
      </w:r>
      <w:r w:rsidRPr="00407705">
        <w:rPr>
          <w:rFonts w:ascii="Garamond" w:hAnsi="Garamond" w:cs="Times New Roman"/>
          <w:color w:val="000000"/>
          <w:sz w:val="24"/>
          <w:szCs w:val="24"/>
          <w:lang w:val="sq-AL"/>
        </w:rPr>
        <w:t>, të cil</w:t>
      </w:r>
      <w:r w:rsidR="00C0224C">
        <w:rPr>
          <w:rFonts w:ascii="Garamond" w:hAnsi="Garamond" w:cs="Times New Roman"/>
          <w:color w:val="000000"/>
          <w:sz w:val="24"/>
          <w:szCs w:val="24"/>
          <w:lang w:val="sq-AL"/>
        </w:rPr>
        <w:t>a</w:t>
      </w:r>
      <w:r w:rsidRPr="00407705">
        <w:rPr>
          <w:rFonts w:ascii="Garamond" w:hAnsi="Garamond" w:cs="Times New Roman"/>
          <w:color w:val="000000"/>
          <w:sz w:val="24"/>
          <w:szCs w:val="24"/>
          <w:lang w:val="sq-AL"/>
        </w:rPr>
        <w:t xml:space="preserve">t ndryshojnë nga ata që përdoren për kërkesëpadi të zakonshme për shpërblim, për të shmangur rrezikun – në rastin kur shqyrtohen sipas rregullave të përgjithshme të procedurës civile – që zgjidhja të mos jetë mjaftueshëm e shpejtë (shih </w:t>
      </w:r>
      <w:r w:rsidRPr="00407705">
        <w:rPr>
          <w:rFonts w:ascii="Garamond" w:hAnsi="Garamond" w:cs="Times New Roman"/>
          <w:i/>
          <w:iCs/>
          <w:color w:val="000000"/>
          <w:sz w:val="24"/>
          <w:szCs w:val="24"/>
          <w:lang w:val="sq-AL"/>
        </w:rPr>
        <w:t>Scordino (nr. 1)</w:t>
      </w:r>
      <w:r w:rsidRPr="00407705">
        <w:rPr>
          <w:rFonts w:ascii="Garamond" w:hAnsi="Garamond" w:cs="Times New Roman"/>
          <w:color w:val="000000"/>
          <w:sz w:val="24"/>
          <w:szCs w:val="24"/>
          <w:lang w:val="sq-AL"/>
        </w:rPr>
        <w:t xml:space="preserve">, cituar më sipër, § 200). </w:t>
      </w:r>
    </w:p>
    <w:p w14:paraId="69AB0D7C" w14:textId="29A022F2"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116. Së katërti, Gjykata është e mendimit se shumat dhënë si kompensim deri më sot nuk janë të tilla që t’i mundësojnë Gjykatës që të përcaktojë se ato janë të paarsyeshme. Më herët, ajo ka pranuar</w:t>
      </w:r>
      <w:r w:rsidR="00770F92">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se një </w:t>
      </w:r>
      <w:r w:rsidR="00770F92" w:rsidRPr="00407705">
        <w:rPr>
          <w:rFonts w:ascii="Garamond" w:hAnsi="Garamond" w:cs="Times New Roman"/>
          <w:color w:val="000000"/>
          <w:sz w:val="24"/>
          <w:szCs w:val="24"/>
          <w:lang w:val="sq-AL"/>
        </w:rPr>
        <w:t>shtet</w:t>
      </w:r>
      <w:r w:rsidR="00770F92">
        <w:rPr>
          <w:rFonts w:ascii="Garamond" w:hAnsi="Garamond" w:cs="Times New Roman"/>
          <w:color w:val="000000"/>
          <w:sz w:val="24"/>
          <w:szCs w:val="24"/>
          <w:lang w:val="sq-AL"/>
        </w:rPr>
        <w:t>,</w:t>
      </w:r>
      <w:r w:rsidR="00770F92" w:rsidRPr="00407705">
        <w:rPr>
          <w:rFonts w:ascii="Garamond" w:hAnsi="Garamond" w:cs="Times New Roman"/>
          <w:color w:val="000000"/>
          <w:sz w:val="24"/>
          <w:szCs w:val="24"/>
          <w:lang w:val="sq-AL"/>
        </w:rPr>
        <w:t xml:space="preserve"> </w:t>
      </w:r>
      <w:r w:rsidRPr="00407705">
        <w:rPr>
          <w:rFonts w:ascii="Garamond" w:hAnsi="Garamond" w:cs="Times New Roman"/>
          <w:color w:val="000000"/>
          <w:sz w:val="24"/>
          <w:szCs w:val="24"/>
          <w:lang w:val="sq-AL"/>
        </w:rPr>
        <w:t>i cili ka miratuar një sërë zgjidhjesh, njëra prej të cilave ka si syn</w:t>
      </w:r>
      <w:r w:rsidR="00770F92">
        <w:rPr>
          <w:rFonts w:ascii="Garamond" w:hAnsi="Garamond" w:cs="Times New Roman"/>
          <w:color w:val="000000"/>
          <w:sz w:val="24"/>
          <w:szCs w:val="24"/>
          <w:lang w:val="sq-AL"/>
        </w:rPr>
        <w:t xml:space="preserve">im përshpejtimin e procedurave </w:t>
      </w:r>
      <w:r w:rsidRPr="00407705">
        <w:rPr>
          <w:rFonts w:ascii="Garamond" w:hAnsi="Garamond" w:cs="Times New Roman"/>
          <w:color w:val="000000"/>
          <w:sz w:val="24"/>
          <w:szCs w:val="24"/>
          <w:lang w:val="sq-AL"/>
        </w:rPr>
        <w:t>dhe një tjetër kompensimin, mund të japë shuma të cilat edhe pse më të ulëta se</w:t>
      </w:r>
      <w:r w:rsidR="00770F92">
        <w:rPr>
          <w:rFonts w:ascii="Garamond" w:hAnsi="Garamond" w:cs="Times New Roman"/>
          <w:color w:val="000000"/>
          <w:sz w:val="24"/>
          <w:szCs w:val="24"/>
          <w:lang w:val="sq-AL"/>
        </w:rPr>
        <w:t xml:space="preserve"> </w:t>
      </w:r>
      <w:r w:rsidRPr="00407705">
        <w:rPr>
          <w:rFonts w:ascii="Garamond" w:hAnsi="Garamond" w:cs="Times New Roman"/>
          <w:color w:val="000000"/>
          <w:sz w:val="24"/>
          <w:szCs w:val="24"/>
          <w:lang w:val="sq-AL"/>
        </w:rPr>
        <w:t xml:space="preserve">sa ato të dhëna nga Gjykata, nuk janë të paarsyeshme, me kushtin që vendimet përkatëse, të cilat duhet të jenë në përputhje me traditën ligjore dhe standardin e jetesës në vendin në fjalë, janë të shpejta, të arsyetuara dhe të ekzekutuara shumë shpejt (shih </w:t>
      </w:r>
      <w:r w:rsidRPr="00407705">
        <w:rPr>
          <w:rFonts w:ascii="Garamond" w:hAnsi="Garamond" w:cs="Times New Roman"/>
          <w:i/>
          <w:iCs/>
          <w:color w:val="000000"/>
          <w:sz w:val="24"/>
          <w:szCs w:val="24"/>
          <w:lang w:val="sq-AL"/>
        </w:rPr>
        <w:t>Scordino (nr. 1)</w:t>
      </w:r>
      <w:r w:rsidRPr="00407705">
        <w:rPr>
          <w:rFonts w:ascii="Garamond" w:hAnsi="Garamond" w:cs="Times New Roman"/>
          <w:color w:val="000000"/>
          <w:sz w:val="24"/>
          <w:szCs w:val="24"/>
          <w:lang w:val="sq-AL"/>
        </w:rPr>
        <w:t xml:space="preserve">, cituar më sipër, § 206). </w:t>
      </w:r>
    </w:p>
    <w:p w14:paraId="69AB0D7D" w14:textId="1CD09AE8"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117. Së fundmi, Gjykata thekson rëndësinë e zbatimit të menjëhershëm të vendimeve për kompensim</w:t>
      </w:r>
      <w:r w:rsidR="00770F92">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 mënyrë që zgjidhja të vijojë të jetë efikase (shih </w:t>
      </w:r>
      <w:r w:rsidRPr="00407705">
        <w:rPr>
          <w:rFonts w:ascii="Garamond" w:hAnsi="Garamond" w:cs="Times New Roman"/>
          <w:i/>
          <w:iCs/>
          <w:color w:val="000000"/>
          <w:sz w:val="24"/>
          <w:szCs w:val="24"/>
          <w:lang w:val="sq-AL"/>
        </w:rPr>
        <w:t>Gaglione dhe të tjerët kundër Italisë</w:t>
      </w:r>
      <w:r w:rsidR="00770F92">
        <w:rPr>
          <w:rFonts w:ascii="Garamond" w:hAnsi="Garamond" w:cs="Times New Roman"/>
          <w:color w:val="000000"/>
          <w:sz w:val="24"/>
          <w:szCs w:val="24"/>
          <w:lang w:val="sq-AL"/>
        </w:rPr>
        <w:t>, nr. 45867/07, §§</w:t>
      </w:r>
      <w:r w:rsidRPr="00407705">
        <w:rPr>
          <w:rFonts w:ascii="Garamond" w:hAnsi="Garamond" w:cs="Times New Roman"/>
          <w:color w:val="000000"/>
          <w:sz w:val="24"/>
          <w:szCs w:val="24"/>
          <w:lang w:val="sq-AL"/>
        </w:rPr>
        <w:t>34</w:t>
      </w:r>
      <w:r w:rsidR="00770F92">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44, 21 dhjetor 2010). </w:t>
      </w:r>
    </w:p>
    <w:p w14:paraId="69AB0D7E" w14:textId="3F734C19"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118. Thënë kjo, Gjykata është e mendimit</w:t>
      </w:r>
      <w:r w:rsidR="00DC3286">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se në këtë fazë, nuk ka arsye të besohet se aspekti kompensues i zgjidhjes nuk i garanton pretenduesit mundësinë që të përftojë kompensimin e duhur dhe të mjaftueshëm për ankesat e tij ose të saj, ose që të mos garantojë perspektivat e arsyeshme për sukses. Gjykata mban në konsideratë faktin se aspekti kompensues i zgjidhjes është më i organizuar dhe më i aksesueshëm se</w:t>
      </w:r>
      <w:r w:rsidR="00DC3286">
        <w:rPr>
          <w:rFonts w:ascii="Garamond" w:hAnsi="Garamond" w:cs="Times New Roman"/>
          <w:color w:val="000000"/>
          <w:sz w:val="24"/>
          <w:szCs w:val="24"/>
          <w:lang w:val="sq-AL"/>
        </w:rPr>
        <w:t xml:space="preserve"> </w:t>
      </w:r>
      <w:r w:rsidRPr="00407705">
        <w:rPr>
          <w:rFonts w:ascii="Garamond" w:hAnsi="Garamond" w:cs="Times New Roman"/>
          <w:color w:val="000000"/>
          <w:sz w:val="24"/>
          <w:szCs w:val="24"/>
          <w:lang w:val="sq-AL"/>
        </w:rPr>
        <w:t xml:space="preserve">sa një kërkesë në Gjykatë, është më i shpejtë dhe përgatitet në gjuhën e kërkuesit, duke ofruar kështu avantazhe që duhet të mbahen në konsideratë (shih </w:t>
      </w:r>
      <w:r w:rsidRPr="00407705">
        <w:rPr>
          <w:rFonts w:ascii="Garamond" w:hAnsi="Garamond" w:cs="Times New Roman"/>
          <w:i/>
          <w:iCs/>
          <w:color w:val="000000"/>
          <w:sz w:val="24"/>
          <w:szCs w:val="24"/>
          <w:lang w:val="sq-AL"/>
        </w:rPr>
        <w:t>Scordino (nr. 1)</w:t>
      </w:r>
      <w:r w:rsidR="00DC3286">
        <w:rPr>
          <w:rFonts w:ascii="Garamond" w:hAnsi="Garamond" w:cs="Times New Roman"/>
          <w:color w:val="000000"/>
          <w:sz w:val="24"/>
          <w:szCs w:val="24"/>
          <w:lang w:val="sq-AL"/>
        </w:rPr>
        <w:t>, cituar më sipër, §</w:t>
      </w:r>
      <w:r w:rsidRPr="00407705">
        <w:rPr>
          <w:rFonts w:ascii="Garamond" w:hAnsi="Garamond" w:cs="Times New Roman"/>
          <w:color w:val="000000"/>
          <w:sz w:val="24"/>
          <w:szCs w:val="24"/>
          <w:lang w:val="sq-AL"/>
        </w:rPr>
        <w:t xml:space="preserve">268). </w:t>
      </w:r>
    </w:p>
    <w:p w14:paraId="69AB0D7F" w14:textId="680913DE" w:rsidR="009A0255" w:rsidRPr="00407705" w:rsidRDefault="009A0255" w:rsidP="009A025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07705">
        <w:rPr>
          <w:rFonts w:ascii="Garamond" w:hAnsi="Garamond" w:cs="Times New Roman"/>
          <w:i/>
          <w:iCs/>
          <w:color w:val="000000"/>
          <w:sz w:val="24"/>
          <w:szCs w:val="24"/>
          <w:lang w:val="sq-AL"/>
        </w:rPr>
        <w:t>iii</w:t>
      </w:r>
      <w:r w:rsidR="00DC3286">
        <w:rPr>
          <w:rFonts w:ascii="Garamond" w:hAnsi="Garamond" w:cs="Times New Roman"/>
          <w:i/>
          <w:iCs/>
          <w:color w:val="000000"/>
          <w:sz w:val="24"/>
          <w:szCs w:val="24"/>
          <w:lang w:val="sq-AL"/>
        </w:rPr>
        <w:t>.</w:t>
      </w:r>
      <w:r w:rsidRPr="00407705">
        <w:rPr>
          <w:rFonts w:ascii="Garamond" w:hAnsi="Garamond" w:cs="Times New Roman"/>
          <w:i/>
          <w:iCs/>
          <w:color w:val="000000"/>
          <w:sz w:val="24"/>
          <w:szCs w:val="24"/>
          <w:lang w:val="sq-AL"/>
        </w:rPr>
        <w:t xml:space="preserve"> Përfundim </w:t>
      </w:r>
    </w:p>
    <w:p w14:paraId="69AB0D80" w14:textId="32D1CFFA"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119. Për sa më sipër, Gjykata arrin në përfundimin se zgjidhja për përshpejtimin e procedurave dhe ofrimin e kompensimit për individët është efikas</w:t>
      </w:r>
      <w:r w:rsidR="00B3268A">
        <w:rPr>
          <w:rFonts w:ascii="Garamond" w:hAnsi="Garamond" w:cs="Times New Roman"/>
          <w:color w:val="000000"/>
          <w:sz w:val="24"/>
          <w:szCs w:val="24"/>
          <w:lang w:val="sq-AL"/>
        </w:rPr>
        <w:t>e,</w:t>
      </w:r>
      <w:r w:rsidRPr="00407705">
        <w:rPr>
          <w:rFonts w:ascii="Garamond" w:hAnsi="Garamond" w:cs="Times New Roman"/>
          <w:color w:val="000000"/>
          <w:sz w:val="24"/>
          <w:szCs w:val="24"/>
          <w:lang w:val="sq-AL"/>
        </w:rPr>
        <w:t xml:space="preserve"> për faktin se mund të parandalojë vijimësinë e shkeljes së pretenduar të së drejtës së individit</w:t>
      </w:r>
      <w:r w:rsidR="00B3268A">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që çështja e tij të dëgjohet pa vonesa të tepërta, si edhe të garantojë korrigjimin e duhur për shkeljet që kanë ndodhur. Për pasojë, zgjidhja, në parim, përmbush detyrimin e Shtetit të paditur për të garantuar mjete efikase</w:t>
      </w:r>
      <w:r w:rsidR="00B3268A">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 lidhje me shkeljet e pretenduara të të drejtave të një individi sipas Konventës. Për këtë arsye, zgjidhja e re duhet të përdoret nga individët të cilët padisin shkeljen e së drejtës për një seancë dëgjimore brenda një afati të arsyeshëm (shih edhe vendimet e Gjykatës Kushtetuese në paragrafin 38 më sipër). </w:t>
      </w:r>
    </w:p>
    <w:p w14:paraId="69AB0D81" w14:textId="106771D3"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120. Megjithatë, ashtu siç demonstrohet nga vlerësimi në çështjen e kërkuesit të parë (shih paragrafët 121</w:t>
      </w:r>
      <w:r w:rsidR="00B3268A">
        <w:rPr>
          <w:rFonts w:ascii="Garamond" w:hAnsi="Garamond" w:cs="Times New Roman"/>
          <w:color w:val="000000"/>
          <w:sz w:val="24"/>
          <w:szCs w:val="24"/>
          <w:lang w:val="sq-AL"/>
        </w:rPr>
        <w:t>–</w:t>
      </w:r>
      <w:r w:rsidRPr="00407705">
        <w:rPr>
          <w:rFonts w:ascii="Garamond" w:hAnsi="Garamond" w:cs="Times New Roman"/>
          <w:color w:val="000000"/>
          <w:sz w:val="24"/>
          <w:szCs w:val="24"/>
          <w:lang w:val="sq-AL"/>
        </w:rPr>
        <w:t>124 më poshtë), mbetet për t’u parë nëse zgjidhja ka qenë efektive edhe në praktikë. Për më tepër, pozicioni i Gjykatës, ashtu siç u shpjegua më sipër (paragrafi 119) mund t’i nënshtrohet shqyrtimit në të ardhmen, në varësi, veçanërisht, nga kapaciteti i gjykatave të brendshme për të zhvilluar dhe pasur një praktikë gjyqësore konsistente</w:t>
      </w:r>
      <w:r w:rsidR="00DB48E5">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 përputhje me kërkesat e Konventës. Për m</w:t>
      </w:r>
      <w:r w:rsidR="00DB48E5">
        <w:rPr>
          <w:rFonts w:ascii="Garamond" w:hAnsi="Garamond" w:cs="Times New Roman"/>
          <w:color w:val="000000"/>
          <w:sz w:val="24"/>
          <w:szCs w:val="24"/>
          <w:lang w:val="sq-AL"/>
        </w:rPr>
        <w:t xml:space="preserve">ë tepër, barra e provës për </w:t>
      </w:r>
      <w:r w:rsidR="00DB48E5" w:rsidRPr="001C0540">
        <w:rPr>
          <w:rFonts w:ascii="Garamond" w:hAnsi="Garamond" w:cs="Times New Roman"/>
          <w:color w:val="000000"/>
          <w:sz w:val="24"/>
          <w:szCs w:val="24"/>
          <w:lang w:val="sq-AL"/>
        </w:rPr>
        <w:t>sa k</w:t>
      </w:r>
      <w:r w:rsidRPr="001C0540">
        <w:rPr>
          <w:rFonts w:ascii="Garamond" w:hAnsi="Garamond" w:cs="Times New Roman"/>
          <w:color w:val="000000"/>
          <w:sz w:val="24"/>
          <w:szCs w:val="24"/>
          <w:lang w:val="sq-AL"/>
        </w:rPr>
        <w:t>a</w:t>
      </w:r>
      <w:r w:rsidRPr="00407705">
        <w:rPr>
          <w:rFonts w:ascii="Garamond" w:hAnsi="Garamond" w:cs="Times New Roman"/>
          <w:color w:val="000000"/>
          <w:sz w:val="24"/>
          <w:szCs w:val="24"/>
          <w:lang w:val="sq-AL"/>
        </w:rPr>
        <w:t xml:space="preserve"> të bëjë me efikasitetin e zgjidhjes së re</w:t>
      </w:r>
      <w:r w:rsidR="00DB48E5">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praktikisht mbetet në dorë të Qeverisë së paditur (shih, për shembull, </w:t>
      </w:r>
      <w:r w:rsidRPr="00407705">
        <w:rPr>
          <w:rFonts w:ascii="Garamond" w:hAnsi="Garamond" w:cs="Times New Roman"/>
          <w:i/>
          <w:iCs/>
          <w:color w:val="000000"/>
          <w:sz w:val="24"/>
          <w:szCs w:val="24"/>
          <w:lang w:val="sq-AL"/>
        </w:rPr>
        <w:t xml:space="preserve">Taron kundër Gjermanisë </w:t>
      </w:r>
      <w:r w:rsidR="00DB48E5">
        <w:rPr>
          <w:rFonts w:ascii="Garamond" w:hAnsi="Garamond" w:cs="Times New Roman"/>
          <w:color w:val="000000"/>
          <w:sz w:val="24"/>
          <w:szCs w:val="24"/>
          <w:lang w:val="sq-AL"/>
        </w:rPr>
        <w:t>(vendim), nr. 53126/07, §</w:t>
      </w:r>
      <w:r w:rsidRPr="00407705">
        <w:rPr>
          <w:rFonts w:ascii="Garamond" w:hAnsi="Garamond" w:cs="Times New Roman"/>
          <w:color w:val="000000"/>
          <w:sz w:val="24"/>
          <w:szCs w:val="24"/>
          <w:lang w:val="sq-AL"/>
        </w:rPr>
        <w:t xml:space="preserve">45, 29 maj 2012). </w:t>
      </w:r>
    </w:p>
    <w:p w14:paraId="69AB0D82" w14:textId="6B865982"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b/>
          <w:bCs/>
          <w:color w:val="000000"/>
          <w:sz w:val="24"/>
          <w:szCs w:val="24"/>
          <w:lang w:val="sq-AL"/>
        </w:rPr>
        <w:t>b) Vlerësimi i çështjes së kërkuesit të parë</w:t>
      </w:r>
    </w:p>
    <w:p w14:paraId="69AB0D83" w14:textId="267AA2F6"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121. Tashmë, Gjykata do të shqyrtojë faktin</w:t>
      </w:r>
      <w:r w:rsidR="00DB48E5">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nëse kërkuesi i parë kishte një mjet efektiv</w:t>
      </w:r>
      <w:r w:rsidR="00DB48E5">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 lidhje me ankimin e tij</w:t>
      </w:r>
      <w:r w:rsidR="00DB48E5">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për sa i përket kohëzgjatjes së procedurave</w:t>
      </w:r>
      <w:r w:rsidR="00DB48E5">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sipas </w:t>
      </w:r>
      <w:r w:rsidR="00DB48E5" w:rsidRPr="00407705">
        <w:rPr>
          <w:rFonts w:ascii="Garamond" w:hAnsi="Garamond" w:cs="Times New Roman"/>
          <w:color w:val="000000"/>
          <w:sz w:val="24"/>
          <w:szCs w:val="24"/>
          <w:lang w:val="sq-AL"/>
        </w:rPr>
        <w:t xml:space="preserve">nenit </w:t>
      </w:r>
      <w:r w:rsidRPr="00407705">
        <w:rPr>
          <w:rFonts w:ascii="Garamond" w:hAnsi="Garamond" w:cs="Times New Roman"/>
          <w:color w:val="000000"/>
          <w:sz w:val="24"/>
          <w:szCs w:val="24"/>
          <w:lang w:val="sq-AL"/>
        </w:rPr>
        <w:t xml:space="preserve">6§1 të Konventës. </w:t>
      </w:r>
    </w:p>
    <w:p w14:paraId="69AB0D84" w14:textId="5822CC6F"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122. Gjykata vëren se në vijim të hyrjes në fuqi të zgjidhjes përshpejtuese/parandaluese më 5 nëntor 2017, kërkuesi i parë paraqiti një kërkesë për përshpejtim të procedurave, në mbështetje të </w:t>
      </w:r>
      <w:r w:rsidR="000D0958" w:rsidRPr="00407705">
        <w:rPr>
          <w:rFonts w:ascii="Garamond" w:hAnsi="Garamond" w:cs="Times New Roman"/>
          <w:color w:val="000000"/>
          <w:sz w:val="24"/>
          <w:szCs w:val="24"/>
          <w:lang w:val="sq-AL"/>
        </w:rPr>
        <w:t xml:space="preserve">neneve </w:t>
      </w:r>
      <w:r w:rsidR="000D0958">
        <w:rPr>
          <w:rFonts w:ascii="Garamond" w:hAnsi="Garamond" w:cs="Times New Roman"/>
          <w:color w:val="000000"/>
          <w:sz w:val="24"/>
          <w:szCs w:val="24"/>
          <w:lang w:val="sq-AL"/>
        </w:rPr>
        <w:t>399/6, §</w:t>
      </w:r>
      <w:r w:rsidRPr="00407705">
        <w:rPr>
          <w:rFonts w:ascii="Garamond" w:hAnsi="Garamond" w:cs="Times New Roman"/>
          <w:color w:val="000000"/>
          <w:sz w:val="24"/>
          <w:szCs w:val="24"/>
          <w:lang w:val="sq-AL"/>
        </w:rPr>
        <w:t>1 e në vijim të KPC</w:t>
      </w:r>
      <w:r w:rsidR="000D0958">
        <w:rPr>
          <w:rFonts w:ascii="Garamond" w:hAnsi="Garamond" w:cs="Times New Roman"/>
          <w:color w:val="000000"/>
          <w:sz w:val="24"/>
          <w:szCs w:val="24"/>
          <w:lang w:val="sq-AL"/>
        </w:rPr>
        <w:t>-së</w:t>
      </w:r>
      <w:r w:rsidRPr="00407705">
        <w:rPr>
          <w:rFonts w:ascii="Garamond" w:hAnsi="Garamond" w:cs="Times New Roman"/>
          <w:color w:val="000000"/>
          <w:sz w:val="24"/>
          <w:szCs w:val="24"/>
          <w:lang w:val="sq-AL"/>
        </w:rPr>
        <w:t xml:space="preserve"> (shih paragrafët 12 dhe 13 më sipër). Megjithatë, pavarësisht kërkesës, ankimi i tij i kasacionit mbeti pezull në Gjykatën e Lartë deri më 21 shkurt 2021, ndërsa vet</w:t>
      </w:r>
      <w:r w:rsidR="000D0958">
        <w:rPr>
          <w:rFonts w:ascii="Garamond" w:hAnsi="Garamond" w:cs="Times New Roman"/>
          <w:color w:val="000000"/>
          <w:sz w:val="24"/>
          <w:szCs w:val="24"/>
          <w:lang w:val="sq-AL"/>
        </w:rPr>
        <w:t>ë</w:t>
      </w:r>
      <w:r w:rsidRPr="00407705">
        <w:rPr>
          <w:rFonts w:ascii="Garamond" w:hAnsi="Garamond" w:cs="Times New Roman"/>
          <w:color w:val="000000"/>
          <w:sz w:val="24"/>
          <w:szCs w:val="24"/>
          <w:lang w:val="sq-AL"/>
        </w:rPr>
        <w:t xml:space="preserve"> kërkesa për përshpejtimin e procedurave nuk mori përgjigje për më shumë se tre v</w:t>
      </w:r>
      <w:r w:rsidR="009161B7">
        <w:rPr>
          <w:rFonts w:ascii="Garamond" w:hAnsi="Garamond" w:cs="Times New Roman"/>
          <w:color w:val="000000"/>
          <w:sz w:val="24"/>
          <w:szCs w:val="24"/>
          <w:lang w:val="sq-AL"/>
        </w:rPr>
        <w:t>jet</w:t>
      </w:r>
      <w:r w:rsidRPr="00407705">
        <w:rPr>
          <w:rFonts w:ascii="Garamond" w:hAnsi="Garamond" w:cs="Times New Roman"/>
          <w:color w:val="000000"/>
          <w:sz w:val="24"/>
          <w:szCs w:val="24"/>
          <w:lang w:val="sq-AL"/>
        </w:rPr>
        <w:t xml:space="preserve">, që do të thotë, deri më 13 korrik 2021 (shih paragrafin 13 më sipër). </w:t>
      </w:r>
    </w:p>
    <w:p w14:paraId="69AB0D85" w14:textId="68FA078C"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123. Për këtë arsye, Gjykata gjykon se zgjidhja përshpejtuese/parandaluese në çështjen e kërkuesit të parë nuk i shërbeu qëllimit për të përshpejtuar procedurat përpara Gjykatës së Lartë, ose për t’i parandaluar procedurat që të zgjateshin në mënyrë të paarsyeshme. Gjithashtu, kërkuesi i parë nuk mundi as që të kërkonte kompensim për kohëzgjatjen e atyre procedurave, sipas </w:t>
      </w:r>
      <w:r w:rsidR="00E567B9" w:rsidRPr="00407705">
        <w:rPr>
          <w:rFonts w:ascii="Garamond" w:hAnsi="Garamond" w:cs="Times New Roman"/>
          <w:color w:val="000000"/>
          <w:sz w:val="24"/>
          <w:szCs w:val="24"/>
          <w:lang w:val="sq-AL"/>
        </w:rPr>
        <w:t xml:space="preserve">nenit </w:t>
      </w:r>
      <w:r w:rsidR="00E567B9">
        <w:rPr>
          <w:rFonts w:ascii="Garamond" w:hAnsi="Garamond" w:cs="Times New Roman"/>
          <w:color w:val="000000"/>
          <w:sz w:val="24"/>
          <w:szCs w:val="24"/>
          <w:lang w:val="sq-AL"/>
        </w:rPr>
        <w:t>399/6 §</w:t>
      </w:r>
      <w:r w:rsidRPr="00407705">
        <w:rPr>
          <w:rFonts w:ascii="Garamond" w:hAnsi="Garamond" w:cs="Times New Roman"/>
          <w:color w:val="000000"/>
          <w:sz w:val="24"/>
          <w:szCs w:val="24"/>
          <w:lang w:val="sq-AL"/>
        </w:rPr>
        <w:t>3 të KPC</w:t>
      </w:r>
      <w:r w:rsidR="00E567B9">
        <w:rPr>
          <w:rFonts w:ascii="Garamond" w:hAnsi="Garamond" w:cs="Times New Roman"/>
          <w:color w:val="000000"/>
          <w:sz w:val="24"/>
          <w:szCs w:val="24"/>
          <w:lang w:val="sq-AL"/>
        </w:rPr>
        <w:t>-së</w:t>
      </w:r>
      <w:r w:rsidRPr="00407705">
        <w:rPr>
          <w:rFonts w:ascii="Garamond" w:hAnsi="Garamond" w:cs="Times New Roman"/>
          <w:color w:val="000000"/>
          <w:sz w:val="24"/>
          <w:szCs w:val="24"/>
          <w:lang w:val="sq-AL"/>
        </w:rPr>
        <w:t xml:space="preserve">, në mungesë të konstatimit të një shkeljeje të kërkesës për “afat të arsyeshëm”. </w:t>
      </w:r>
    </w:p>
    <w:p w14:paraId="69AB0D86" w14:textId="389AC304"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124. Në këto rrethana, Gjykata konstaton se ka pasur një shkelje të </w:t>
      </w:r>
      <w:r w:rsidR="009E6F74" w:rsidRPr="00407705">
        <w:rPr>
          <w:rFonts w:ascii="Garamond" w:hAnsi="Garamond" w:cs="Times New Roman"/>
          <w:color w:val="000000"/>
          <w:sz w:val="24"/>
          <w:szCs w:val="24"/>
          <w:lang w:val="sq-AL"/>
        </w:rPr>
        <w:t xml:space="preserve">nenit </w:t>
      </w:r>
      <w:r w:rsidRPr="00407705">
        <w:rPr>
          <w:rFonts w:ascii="Garamond" w:hAnsi="Garamond" w:cs="Times New Roman"/>
          <w:color w:val="000000"/>
          <w:sz w:val="24"/>
          <w:szCs w:val="24"/>
          <w:lang w:val="sq-AL"/>
        </w:rPr>
        <w:t xml:space="preserve">13 të Konventës për sa i përket kërkuesit të parë. </w:t>
      </w:r>
    </w:p>
    <w:p w14:paraId="69AB0D87"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IV. SHKELJE TJETËR E PRETENDUAR E KONVENTËS </w:t>
      </w:r>
    </w:p>
    <w:p w14:paraId="69AB0D88" w14:textId="6A7B3D44"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125. Kërkuesi i dytë u ankua se gjykatat e brendshme e kishin ngarkuar me barrën e provës në shkelje të prezumimit të pafajësisë, sipas parashikimit në </w:t>
      </w:r>
      <w:r w:rsidR="003E02B6" w:rsidRPr="00407705">
        <w:rPr>
          <w:rFonts w:ascii="Garamond" w:hAnsi="Garamond" w:cs="Times New Roman"/>
          <w:color w:val="000000"/>
          <w:sz w:val="24"/>
          <w:szCs w:val="24"/>
          <w:lang w:val="sq-AL"/>
        </w:rPr>
        <w:t xml:space="preserve">nenin </w:t>
      </w:r>
      <w:r w:rsidRPr="00407705">
        <w:rPr>
          <w:rFonts w:ascii="Garamond" w:hAnsi="Garamond" w:cs="Times New Roman"/>
          <w:color w:val="000000"/>
          <w:sz w:val="24"/>
          <w:szCs w:val="24"/>
          <w:lang w:val="sq-AL"/>
        </w:rPr>
        <w:t>6§2 të Konventës, i cili parashikon</w:t>
      </w:r>
      <w:r w:rsidR="003E02B6">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si më poshtë: </w:t>
      </w:r>
    </w:p>
    <w:p w14:paraId="69AB0D89"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“Çdo person i akuzuar për një vepër penale prezumohet i pafajshëm, derisa fajësia e tij të provohet ligjërisht.”</w:t>
      </w:r>
    </w:p>
    <w:p w14:paraId="69AB0D8A"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126. Qeveria parashtroi se çështja ishte ende pezull në gjykatat e brendshme dhe se ankesa ishte e papranueshme.</w:t>
      </w:r>
    </w:p>
    <w:p w14:paraId="69AB0D8B" w14:textId="05E6FFD8"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127. Gjykata thekson përfundimet e saj </w:t>
      </w:r>
      <w:r w:rsidR="00E24565">
        <w:rPr>
          <w:rFonts w:ascii="Garamond" w:hAnsi="Garamond" w:cs="Times New Roman"/>
          <w:color w:val="000000"/>
          <w:sz w:val="24"/>
          <w:szCs w:val="24"/>
          <w:lang w:val="sq-AL"/>
        </w:rPr>
        <w:t>sipas paragrafit</w:t>
      </w:r>
      <w:r w:rsidRPr="00407705">
        <w:rPr>
          <w:rFonts w:ascii="Garamond" w:hAnsi="Garamond" w:cs="Times New Roman"/>
          <w:color w:val="000000"/>
          <w:sz w:val="24"/>
          <w:szCs w:val="24"/>
          <w:lang w:val="sq-AL"/>
        </w:rPr>
        <w:t xml:space="preserve"> 84 më sipër</w:t>
      </w:r>
      <w:r w:rsidR="003E02B6">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 lidhje me mundësinë e Gjykatës së Lartë dhe të Gjykatës Kushtetuese për të ofruar një zgjidhje për ankesat e kërkuesit të dytë. Gjykata gjykon se ato gjetj</w:t>
      </w:r>
      <w:r w:rsidR="003E02B6">
        <w:rPr>
          <w:rFonts w:ascii="Garamond" w:hAnsi="Garamond" w:cs="Times New Roman"/>
          <w:color w:val="000000"/>
          <w:sz w:val="24"/>
          <w:szCs w:val="24"/>
          <w:lang w:val="sq-AL"/>
        </w:rPr>
        <w:t>e zbatohen edhe në ankesën konk</w:t>
      </w:r>
      <w:r w:rsidRPr="00407705">
        <w:rPr>
          <w:rFonts w:ascii="Garamond" w:hAnsi="Garamond" w:cs="Times New Roman"/>
          <w:color w:val="000000"/>
          <w:sz w:val="24"/>
          <w:szCs w:val="24"/>
          <w:lang w:val="sq-AL"/>
        </w:rPr>
        <w:t xml:space="preserve">rete, e cila ka të bëjë me shkeljen e pretenduar të prezumimit të pafajësisë, </w:t>
      </w:r>
      <w:r w:rsidRPr="00621E76">
        <w:rPr>
          <w:rFonts w:ascii="Garamond" w:hAnsi="Garamond" w:cs="Times New Roman"/>
          <w:color w:val="000000"/>
          <w:sz w:val="24"/>
          <w:szCs w:val="24"/>
          <w:lang w:val="sq-AL"/>
        </w:rPr>
        <w:t xml:space="preserve">sipas </w:t>
      </w:r>
      <w:r w:rsidR="003E02B6" w:rsidRPr="00621E76">
        <w:rPr>
          <w:rFonts w:ascii="Garamond" w:hAnsi="Garamond" w:cs="Times New Roman"/>
          <w:color w:val="000000"/>
          <w:sz w:val="24"/>
          <w:szCs w:val="24"/>
          <w:lang w:val="sq-AL"/>
        </w:rPr>
        <w:t xml:space="preserve">nenit </w:t>
      </w:r>
      <w:r w:rsidR="00621E76" w:rsidRPr="00407705">
        <w:rPr>
          <w:rFonts w:ascii="Garamond" w:hAnsi="Garamond" w:cs="Times New Roman"/>
          <w:color w:val="000000"/>
          <w:sz w:val="24"/>
          <w:szCs w:val="24"/>
          <w:lang w:val="sq-AL"/>
        </w:rPr>
        <w:t>6§2 të Konventës</w:t>
      </w:r>
      <w:r w:rsidR="00621E76">
        <w:rPr>
          <w:rFonts w:ascii="Garamond" w:hAnsi="Garamond" w:cs="Times New Roman"/>
          <w:color w:val="000000"/>
          <w:sz w:val="24"/>
          <w:szCs w:val="24"/>
          <w:lang w:val="sq-AL"/>
        </w:rPr>
        <w:t>.</w:t>
      </w:r>
      <w:r w:rsidR="00621E76" w:rsidRPr="003E02B6">
        <w:rPr>
          <w:rFonts w:ascii="Garamond" w:hAnsi="Garamond" w:cs="Times New Roman"/>
          <w:color w:val="000000"/>
          <w:sz w:val="24"/>
          <w:szCs w:val="24"/>
          <w:highlight w:val="yellow"/>
          <w:lang w:val="sq-AL"/>
        </w:rPr>
        <w:t xml:space="preserve"> </w:t>
      </w:r>
    </w:p>
    <w:p w14:paraId="69AB0D8C" w14:textId="35D74D8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128. Për sa më sipër, Gjykata shprehet se ankesa konkrete është e papranueshme për mosshterim të zgjidhjeve të brendshme dhe duhet të kundërshtohet në mbështetje të </w:t>
      </w:r>
      <w:r w:rsidR="003E02B6" w:rsidRPr="00407705">
        <w:rPr>
          <w:rFonts w:ascii="Garamond" w:hAnsi="Garamond" w:cs="Times New Roman"/>
          <w:color w:val="000000"/>
          <w:sz w:val="24"/>
          <w:szCs w:val="24"/>
          <w:lang w:val="sq-AL"/>
        </w:rPr>
        <w:t xml:space="preserve">nenit </w:t>
      </w:r>
      <w:r w:rsidRPr="00407705">
        <w:rPr>
          <w:rFonts w:ascii="Garamond" w:hAnsi="Garamond" w:cs="Times New Roman"/>
          <w:color w:val="000000"/>
          <w:sz w:val="24"/>
          <w:szCs w:val="24"/>
          <w:lang w:val="sq-AL"/>
        </w:rPr>
        <w:t xml:space="preserve">35§§1 dhe 4 të Konventës. </w:t>
      </w:r>
    </w:p>
    <w:p w14:paraId="69AB0D8D"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V. ZBATIMI I NENIT 41 TË KONVENTËS </w:t>
      </w:r>
    </w:p>
    <w:p w14:paraId="69AB0D8E"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129. Neni 41 i Konventës parashikon:</w:t>
      </w:r>
    </w:p>
    <w:p w14:paraId="69AB0D8F" w14:textId="1FC61634"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“Kur Gjykata konstaton se ka pasur një shkelje të Konventës ose të protokolleve të saj dhe, nëse e drejta e brendshme e Palës së Lartë Kontraktuese lejon të bëhet vetëm një ndreqje e pjesshme, Gjykata, kur është e nevojshme, i akordon shpërblim të drejtë palës së dëmtuar.”</w:t>
      </w:r>
      <w:r w:rsidR="003E02B6">
        <w:rPr>
          <w:rFonts w:ascii="Garamond" w:hAnsi="Garamond" w:cs="Times New Roman"/>
          <w:color w:val="000000"/>
          <w:sz w:val="24"/>
          <w:szCs w:val="24"/>
          <w:lang w:val="sq-AL"/>
        </w:rPr>
        <w:t>.</w:t>
      </w:r>
    </w:p>
    <w:p w14:paraId="69AB0D90"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07705">
        <w:rPr>
          <w:rFonts w:ascii="Garamond" w:hAnsi="Garamond" w:cs="Times New Roman"/>
          <w:i/>
          <w:iCs/>
          <w:color w:val="000000"/>
          <w:sz w:val="24"/>
          <w:szCs w:val="24"/>
          <w:lang w:val="sq-AL"/>
        </w:rPr>
        <w:t>1. Dëmi</w:t>
      </w:r>
    </w:p>
    <w:p w14:paraId="69AB0D91" w14:textId="7D98F429" w:rsidR="009A0255" w:rsidRPr="00407705" w:rsidRDefault="009A0255" w:rsidP="009A0255">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407705">
        <w:rPr>
          <w:rFonts w:ascii="Garamond" w:hAnsi="Garamond" w:cs="Times New Roman"/>
          <w:b/>
          <w:bCs/>
          <w:color w:val="000000"/>
          <w:sz w:val="24"/>
          <w:szCs w:val="24"/>
          <w:lang w:val="sq-AL"/>
        </w:rPr>
        <w:t>a) Në lidhje me kërkesën nr. 43391/18</w:t>
      </w:r>
      <w:r w:rsidR="003E02B6">
        <w:rPr>
          <w:rFonts w:ascii="Garamond" w:hAnsi="Garamond" w:cs="Times New Roman"/>
          <w:b/>
          <w:bCs/>
          <w:color w:val="000000"/>
          <w:sz w:val="24"/>
          <w:szCs w:val="24"/>
          <w:lang w:val="sq-AL"/>
        </w:rPr>
        <w:t xml:space="preserve">, </w:t>
      </w:r>
      <w:r w:rsidRPr="00407705">
        <w:rPr>
          <w:rFonts w:ascii="Garamond" w:hAnsi="Garamond" w:cs="Times New Roman"/>
          <w:b/>
          <w:bCs/>
          <w:i/>
          <w:iCs/>
          <w:color w:val="000000"/>
          <w:sz w:val="24"/>
          <w:szCs w:val="24"/>
          <w:lang w:val="sq-AL"/>
        </w:rPr>
        <w:t>Bara kundër Shqipërisë</w:t>
      </w:r>
    </w:p>
    <w:p w14:paraId="69AB0D92"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130. Kërkuesi i parë kërkoi 21000 euro (EUR) për dëmin jopasuror.</w:t>
      </w:r>
    </w:p>
    <w:p w14:paraId="69AB0D93"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131. Qeveria parashtroi se pretendimi ishte i paarsyeshëm sipas kuantit. </w:t>
      </w:r>
    </w:p>
    <w:p w14:paraId="69AB0D94"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132. Gjykata nënvizon se kërkuesi i parë nuk parashtroi ndonjë pretendim për shpërblim pasuror, për këtë arsye ajo nuk merr asnjë vendim në lidhje me këtë aspekt. Për sa i përket shpërblimit jopasuror, duke marrë në konsideratë shkeljet e mësipërme, Gjykata bie dakord se shuma e pretenduar nga kërkuesi i parë është e paarsyeshme sipas kuantit. Sipas një vlerësimi mbi baza të barabarta, ajo i akordon kërkuesit të parë 1200 euro për dëmin jopasuror, plus çdo taksë që mund të tarifohet. </w:t>
      </w:r>
    </w:p>
    <w:p w14:paraId="69AB0D95" w14:textId="35731CE1"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b/>
          <w:bCs/>
          <w:color w:val="000000"/>
          <w:sz w:val="24"/>
          <w:szCs w:val="24"/>
          <w:lang w:val="sq-AL"/>
        </w:rPr>
        <w:t>b) Në lidhje me kërkesën nr. 17766/19</w:t>
      </w:r>
      <w:r w:rsidR="003E02B6">
        <w:rPr>
          <w:rFonts w:ascii="Garamond" w:hAnsi="Garamond" w:cs="Times New Roman"/>
          <w:b/>
          <w:bCs/>
          <w:color w:val="000000"/>
          <w:sz w:val="24"/>
          <w:szCs w:val="24"/>
          <w:lang w:val="sq-AL"/>
        </w:rPr>
        <w:t xml:space="preserve">, </w:t>
      </w:r>
      <w:r w:rsidRPr="00407705">
        <w:rPr>
          <w:rFonts w:ascii="Garamond" w:hAnsi="Garamond" w:cs="Times New Roman"/>
          <w:b/>
          <w:bCs/>
          <w:i/>
          <w:iCs/>
          <w:color w:val="000000"/>
          <w:sz w:val="24"/>
          <w:szCs w:val="24"/>
          <w:lang w:val="sq-AL"/>
        </w:rPr>
        <w:t>Kola kundër Shqipërisë</w:t>
      </w:r>
    </w:p>
    <w:p w14:paraId="69AB0D96"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133. Kërkuesi i dytë kërkonte 200 000 euro për dëm pasuror dhe 250 000 euro për dëm jopasuror. </w:t>
      </w:r>
    </w:p>
    <w:p w14:paraId="69AB0D97"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134. Qeveria parashtroi se pretendimet ishin të paarsyeshme për sa i përket kuantit. </w:t>
      </w:r>
    </w:p>
    <w:p w14:paraId="69AB0D98" w14:textId="6367BC33"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135. Gjykata nuk konstaton ndonjë lidhje shkakësore midis shkeljes së konstatuar dhe dëmit pasuror të pretenduar;</w:t>
      </w:r>
      <w:r w:rsidR="0054754A" w:rsidRPr="00407705">
        <w:rPr>
          <w:rFonts w:ascii="Garamond" w:hAnsi="Garamond" w:cs="Times New Roman"/>
          <w:color w:val="000000"/>
          <w:sz w:val="24"/>
          <w:szCs w:val="24"/>
          <w:lang w:val="sq-AL"/>
        </w:rPr>
        <w:t xml:space="preserve"> </w:t>
      </w:r>
      <w:r w:rsidRPr="00407705">
        <w:rPr>
          <w:rFonts w:ascii="Garamond" w:hAnsi="Garamond" w:cs="Times New Roman"/>
          <w:color w:val="000000"/>
          <w:sz w:val="24"/>
          <w:szCs w:val="24"/>
          <w:lang w:val="sq-AL"/>
        </w:rPr>
        <w:t>për këtë arsye, ajo e kundërshton këtë pretendim. Për më tepër, ajo dakordësohet me Qeverinë</w:t>
      </w:r>
      <w:r w:rsidR="0081199D">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 lidhje me faktin se dëmi jopasuror nuk është i arsyeshëm për sa i përket kuantit. Duke bërë një vlerësim mbi baza të barabarta, Gjykata i akordon kërkuesit të dytë 2300 euro për dëmin jopasuror, plus çdo taksë të tarifueshme. </w:t>
      </w:r>
    </w:p>
    <w:p w14:paraId="69AB0D99"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07705">
        <w:rPr>
          <w:rFonts w:ascii="Garamond" w:hAnsi="Garamond" w:cs="Times New Roman"/>
          <w:i/>
          <w:iCs/>
          <w:color w:val="000000"/>
          <w:sz w:val="24"/>
          <w:szCs w:val="24"/>
          <w:lang w:val="sq-AL"/>
        </w:rPr>
        <w:t xml:space="preserve">2. Kostot dhe shpenzimet </w:t>
      </w:r>
    </w:p>
    <w:p w14:paraId="69AB0D9A" w14:textId="72B3019E" w:rsidR="009A0255" w:rsidRPr="00407705" w:rsidRDefault="009A0255" w:rsidP="009A0255">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407705">
        <w:rPr>
          <w:rFonts w:ascii="Garamond" w:hAnsi="Garamond" w:cs="Times New Roman"/>
          <w:b/>
          <w:bCs/>
          <w:color w:val="000000"/>
          <w:sz w:val="24"/>
          <w:szCs w:val="24"/>
          <w:lang w:val="sq-AL"/>
        </w:rPr>
        <w:t>a) Kërkesa nr. 43391/18</w:t>
      </w:r>
      <w:r w:rsidR="0081199D">
        <w:rPr>
          <w:rFonts w:ascii="Garamond" w:hAnsi="Garamond" w:cs="Times New Roman"/>
          <w:b/>
          <w:bCs/>
          <w:color w:val="000000"/>
          <w:sz w:val="24"/>
          <w:szCs w:val="24"/>
          <w:lang w:val="sq-AL"/>
        </w:rPr>
        <w:t>,</w:t>
      </w:r>
      <w:r w:rsidRPr="00407705">
        <w:rPr>
          <w:rFonts w:ascii="Garamond" w:hAnsi="Garamond" w:cs="Times New Roman"/>
          <w:b/>
          <w:bCs/>
          <w:color w:val="000000"/>
          <w:sz w:val="24"/>
          <w:szCs w:val="24"/>
          <w:lang w:val="sq-AL"/>
        </w:rPr>
        <w:t xml:space="preserve"> </w:t>
      </w:r>
      <w:r w:rsidRPr="00407705">
        <w:rPr>
          <w:rFonts w:ascii="Garamond" w:hAnsi="Garamond" w:cs="Times New Roman"/>
          <w:b/>
          <w:bCs/>
          <w:i/>
          <w:iCs/>
          <w:color w:val="000000"/>
          <w:sz w:val="24"/>
          <w:szCs w:val="24"/>
          <w:lang w:val="sq-AL"/>
        </w:rPr>
        <w:t>Bara kundër Shqipërisë</w:t>
      </w:r>
    </w:p>
    <w:p w14:paraId="69AB0D9B" w14:textId="5A2938D6"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136. Kërkuesi i parë kërkoi 500 000 ALL (rreth 4 000 euro) për kostot dhe shpenzimet e bëra në gjykatat </w:t>
      </w:r>
      <w:r w:rsidR="00C57B21" w:rsidRPr="00C57B21">
        <w:rPr>
          <w:rFonts w:ascii="Garamond" w:hAnsi="Garamond" w:cs="Times New Roman"/>
          <w:color w:val="000000"/>
          <w:sz w:val="24"/>
          <w:szCs w:val="24"/>
          <w:lang w:val="sq-AL"/>
        </w:rPr>
        <w:t>vendës</w:t>
      </w:r>
      <w:r w:rsidRPr="00407705">
        <w:rPr>
          <w:rFonts w:ascii="Garamond" w:hAnsi="Garamond" w:cs="Times New Roman"/>
          <w:color w:val="000000"/>
          <w:sz w:val="24"/>
          <w:szCs w:val="24"/>
          <w:lang w:val="sq-AL"/>
        </w:rPr>
        <w:t>e dhe 2 000 euro për ato të bëra në Gjykatë. Ai nuk paraqiti ndonjë faturë në mbështetje të këtyre pretendimeve, megjithatë, ai paraqiti tr</w:t>
      </w:r>
      <w:r w:rsidR="0081199D">
        <w:rPr>
          <w:rFonts w:ascii="Garamond" w:hAnsi="Garamond" w:cs="Times New Roman"/>
          <w:color w:val="000000"/>
          <w:sz w:val="24"/>
          <w:szCs w:val="24"/>
          <w:lang w:val="sq-AL"/>
        </w:rPr>
        <w:t>i</w:t>
      </w:r>
      <w:r w:rsidRPr="00407705">
        <w:rPr>
          <w:rFonts w:ascii="Garamond" w:hAnsi="Garamond" w:cs="Times New Roman"/>
          <w:color w:val="000000"/>
          <w:sz w:val="24"/>
          <w:szCs w:val="24"/>
          <w:lang w:val="sq-AL"/>
        </w:rPr>
        <w:t xml:space="preserve"> marrëveshje të lidhura me përfaqësuesit e tij ligjorë. </w:t>
      </w:r>
    </w:p>
    <w:p w14:paraId="69AB0D9C"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137. Qeveria parashtroi se pretendimet nuk mbështeteshin me prova relevante dhe i kërkoi Gjykatës t’i rrëzonte ato. </w:t>
      </w:r>
    </w:p>
    <w:p w14:paraId="69AB0D9D" w14:textId="37F0FCAB"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138. Sipas praktikës gjyqësore të Gjykatës, një kërkues ka të drejtën të rimbursohet për kostot dhe shpenzimet</w:t>
      </w:r>
      <w:r w:rsidR="005E3E9C">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vetëm nëse tregohet se ato janë bërë faktikisht, se kanë qenë të nevojshme dhe se janë të arsyeshme sipas kuantit. Në çështjen konkrete, Gjykata vëren se kërkuesi nuk paraqiti asnjë provë që të provonte shpenzimet që ai kishte bërë në lidhje me kërkesën</w:t>
      </w:r>
      <w:r w:rsidR="005E3E9C">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sipas </w:t>
      </w:r>
      <w:r w:rsidR="005E3E9C" w:rsidRPr="00407705">
        <w:rPr>
          <w:rFonts w:ascii="Garamond" w:hAnsi="Garamond" w:cs="Times New Roman"/>
          <w:color w:val="000000"/>
          <w:sz w:val="24"/>
          <w:szCs w:val="24"/>
          <w:lang w:val="sq-AL"/>
        </w:rPr>
        <w:t xml:space="preserve">neneve </w:t>
      </w:r>
      <w:r w:rsidRPr="00407705">
        <w:rPr>
          <w:rFonts w:ascii="Garamond" w:hAnsi="Garamond" w:cs="Times New Roman"/>
          <w:color w:val="000000"/>
          <w:sz w:val="24"/>
          <w:szCs w:val="24"/>
          <w:lang w:val="sq-AL"/>
        </w:rPr>
        <w:t>399/1 e në vijim të KPC</w:t>
      </w:r>
      <w:r w:rsidR="005E3E9C">
        <w:rPr>
          <w:rFonts w:ascii="Garamond" w:hAnsi="Garamond" w:cs="Times New Roman"/>
          <w:color w:val="000000"/>
          <w:sz w:val="24"/>
          <w:szCs w:val="24"/>
          <w:lang w:val="sq-AL"/>
        </w:rPr>
        <w:t>-së</w:t>
      </w:r>
      <w:r w:rsidRPr="00407705">
        <w:rPr>
          <w:rFonts w:ascii="Garamond" w:hAnsi="Garamond" w:cs="Times New Roman"/>
          <w:color w:val="000000"/>
          <w:sz w:val="24"/>
          <w:szCs w:val="24"/>
          <w:lang w:val="sq-AL"/>
        </w:rPr>
        <w:t xml:space="preserve"> në Gjykatën e Lartë, sipas </w:t>
      </w:r>
      <w:r w:rsidR="005E3E9C">
        <w:rPr>
          <w:rFonts w:ascii="Garamond" w:hAnsi="Garamond" w:cs="Times New Roman"/>
          <w:color w:val="000000"/>
          <w:sz w:val="24"/>
          <w:szCs w:val="24"/>
          <w:lang w:val="sq-AL"/>
        </w:rPr>
        <w:t>t</w:t>
      </w:r>
      <w:r w:rsidRPr="00407705">
        <w:rPr>
          <w:rFonts w:ascii="Garamond" w:hAnsi="Garamond" w:cs="Times New Roman"/>
          <w:color w:val="000000"/>
          <w:sz w:val="24"/>
          <w:szCs w:val="24"/>
          <w:lang w:val="sq-AL"/>
        </w:rPr>
        <w:t xml:space="preserve">ë cilëve Gjykata konstatoi një shkelje. Duke marrë në konsideratë dokumentet që ajo zotëron dhe kriteret e mësipërme, Gjykata e rrëzon kërkesën për kosto dhe shpenzime në procedurat e brendshme dhe e konsideron të arsyeshme që të akordojë shumën 1200 euro për procedurat në Gjykatë, plus çdo taksë që mund t’i tarifohet kërkuesit të parë. </w:t>
      </w:r>
    </w:p>
    <w:p w14:paraId="69AB0D9E" w14:textId="547B2980" w:rsidR="009A0255" w:rsidRPr="00407705" w:rsidRDefault="009A0255" w:rsidP="009A0255">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407705">
        <w:rPr>
          <w:rFonts w:ascii="Garamond" w:hAnsi="Garamond" w:cs="Times New Roman"/>
          <w:b/>
          <w:bCs/>
          <w:color w:val="000000"/>
          <w:sz w:val="24"/>
          <w:szCs w:val="24"/>
          <w:lang w:val="sq-AL"/>
        </w:rPr>
        <w:t>b) Kërkesa nr. 17766/19</w:t>
      </w:r>
      <w:r w:rsidR="00EE19C3">
        <w:rPr>
          <w:rFonts w:ascii="Garamond" w:hAnsi="Garamond" w:cs="Times New Roman"/>
          <w:b/>
          <w:bCs/>
          <w:color w:val="000000"/>
          <w:sz w:val="24"/>
          <w:szCs w:val="24"/>
          <w:lang w:val="sq-AL"/>
        </w:rPr>
        <w:t xml:space="preserve">, </w:t>
      </w:r>
      <w:r w:rsidRPr="00407705">
        <w:rPr>
          <w:rFonts w:ascii="Garamond" w:hAnsi="Garamond" w:cs="Times New Roman"/>
          <w:b/>
          <w:bCs/>
          <w:i/>
          <w:iCs/>
          <w:color w:val="000000"/>
          <w:sz w:val="24"/>
          <w:szCs w:val="24"/>
          <w:lang w:val="sq-AL"/>
        </w:rPr>
        <w:t>Kola kundër Shqipërisë</w:t>
      </w:r>
    </w:p>
    <w:p w14:paraId="69AB0D9F" w14:textId="441E1FAB"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139. Kërkuesi i dytë kërkoi 25 000 euro për kostot dhe shpenzimet e bëra në gjykatat </w:t>
      </w:r>
      <w:r w:rsidR="00C57B21" w:rsidRPr="00C57B21">
        <w:rPr>
          <w:rFonts w:ascii="Garamond" w:hAnsi="Garamond" w:cs="Times New Roman"/>
          <w:color w:val="000000"/>
          <w:sz w:val="24"/>
          <w:szCs w:val="24"/>
          <w:lang w:val="sq-AL"/>
        </w:rPr>
        <w:t>vendës</w:t>
      </w:r>
      <w:r w:rsidRPr="00407705">
        <w:rPr>
          <w:rFonts w:ascii="Garamond" w:hAnsi="Garamond" w:cs="Times New Roman"/>
          <w:color w:val="000000"/>
          <w:sz w:val="24"/>
          <w:szCs w:val="24"/>
          <w:lang w:val="sq-AL"/>
        </w:rPr>
        <w:t xml:space="preserve">e dhe në Gjykatë. Në mbështetje të këtij pretendimi, ai paraqiti një faturë ku listoheshin shërbimet e avokatit të tij dhe pagesën e plotë të tarifave që i detyrohej atij. </w:t>
      </w:r>
    </w:p>
    <w:p w14:paraId="69AB0DA0"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140. Qeveria parashtroi se kërkuesi i dytë nuk kishte paraqitur një detajim të shumave të pretenduara. Në vijim, Qeveria argumentoi se shuma e pretenduar ishte e paarsyeshme dhe se nuk kishte prova se ato kosto ishin bërë faktikisht. </w:t>
      </w:r>
    </w:p>
    <w:p w14:paraId="69AB0DA1" w14:textId="0E421899"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141. Duke marrë në konsideratë dokumentet që zotëron dhe kriteret e përshkruar më paragrafin 138 më sipër, Gjykata e gjykon si të arsyeshëm akordimin e shumës prej 1200 euro</w:t>
      </w:r>
      <w:r w:rsidR="00D3626E">
        <w:rPr>
          <w:rFonts w:ascii="Garamond" w:hAnsi="Garamond" w:cs="Times New Roman"/>
          <w:color w:val="000000"/>
          <w:sz w:val="24"/>
          <w:szCs w:val="24"/>
          <w:lang w:val="sq-AL"/>
        </w:rPr>
        <w:t>sh</w:t>
      </w:r>
      <w:r w:rsidRPr="00407705">
        <w:rPr>
          <w:rFonts w:ascii="Garamond" w:hAnsi="Garamond" w:cs="Times New Roman"/>
          <w:color w:val="000000"/>
          <w:sz w:val="24"/>
          <w:szCs w:val="24"/>
          <w:lang w:val="sq-AL"/>
        </w:rPr>
        <w:t xml:space="preserve"> për kërkuesin e dytë, shumë e cila mbulon kostot për çdo aspekt, plus çdo taksë që mund të jetë e tarifueshme. </w:t>
      </w:r>
    </w:p>
    <w:p w14:paraId="69AB0DA2"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07705">
        <w:rPr>
          <w:rFonts w:ascii="Garamond" w:hAnsi="Garamond" w:cs="Times New Roman"/>
          <w:i/>
          <w:iCs/>
          <w:color w:val="000000"/>
          <w:sz w:val="24"/>
          <w:szCs w:val="24"/>
          <w:lang w:val="sq-AL"/>
        </w:rPr>
        <w:t xml:space="preserve">3. Interesi për pagesë të pashlyer </w:t>
      </w:r>
    </w:p>
    <w:p w14:paraId="69AB0DA3" w14:textId="3B9354A4"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142. Gjykata e konsideron të përshtatshme që norma e interesit për pagesën e pashlyer duhet të mbështetet në normën margjinale të huadhënies së Bankës Qendrore E</w:t>
      </w:r>
      <w:r w:rsidR="00BD484A">
        <w:rPr>
          <w:rFonts w:ascii="Garamond" w:hAnsi="Garamond" w:cs="Times New Roman"/>
          <w:color w:val="000000"/>
          <w:sz w:val="24"/>
          <w:szCs w:val="24"/>
          <w:lang w:val="sq-AL"/>
        </w:rPr>
        <w:t>v</w:t>
      </w:r>
      <w:r w:rsidRPr="00407705">
        <w:rPr>
          <w:rFonts w:ascii="Garamond" w:hAnsi="Garamond" w:cs="Times New Roman"/>
          <w:color w:val="000000"/>
          <w:sz w:val="24"/>
          <w:szCs w:val="24"/>
          <w:lang w:val="sq-AL"/>
        </w:rPr>
        <w:t xml:space="preserve">ropiane, së cilës i duhen shtuar edhe tre për qind pikë. </w:t>
      </w:r>
    </w:p>
    <w:p w14:paraId="69AB0DA4"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PËR KËTO ARSYE, UNANIMISHT GJYKATA: </w:t>
      </w:r>
    </w:p>
    <w:p w14:paraId="69AB0DA5"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i/>
          <w:iCs/>
          <w:color w:val="000000"/>
          <w:sz w:val="24"/>
          <w:szCs w:val="24"/>
          <w:lang w:val="sq-AL"/>
        </w:rPr>
        <w:t xml:space="preserve">1. Vendos </w:t>
      </w:r>
      <w:r w:rsidRPr="00407705">
        <w:rPr>
          <w:rFonts w:ascii="Garamond" w:hAnsi="Garamond" w:cs="Times New Roman"/>
          <w:color w:val="000000"/>
          <w:sz w:val="24"/>
          <w:szCs w:val="24"/>
          <w:lang w:val="sq-AL"/>
        </w:rPr>
        <w:t xml:space="preserve">t’i bashkojë kërkesat; </w:t>
      </w:r>
    </w:p>
    <w:p w14:paraId="69AB0DA6" w14:textId="6E99F4E1"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i/>
          <w:iCs/>
          <w:color w:val="000000"/>
          <w:sz w:val="24"/>
          <w:szCs w:val="24"/>
          <w:lang w:val="sq-AL"/>
        </w:rPr>
        <w:t xml:space="preserve">2. I shpall </w:t>
      </w:r>
      <w:r w:rsidRPr="00407705">
        <w:rPr>
          <w:rFonts w:ascii="Garamond" w:hAnsi="Garamond" w:cs="Times New Roman"/>
          <w:color w:val="000000"/>
          <w:sz w:val="24"/>
          <w:szCs w:val="24"/>
          <w:lang w:val="sq-AL"/>
        </w:rPr>
        <w:t xml:space="preserve">ankesat e kërkuesve, sipas </w:t>
      </w:r>
      <w:r w:rsidR="00BD484A" w:rsidRPr="00407705">
        <w:rPr>
          <w:rFonts w:ascii="Garamond" w:hAnsi="Garamond" w:cs="Times New Roman"/>
          <w:color w:val="000000"/>
          <w:sz w:val="24"/>
          <w:szCs w:val="24"/>
          <w:lang w:val="sq-AL"/>
        </w:rPr>
        <w:t xml:space="preserve">nenit </w:t>
      </w:r>
      <w:r w:rsidR="00BD484A">
        <w:rPr>
          <w:rFonts w:ascii="Garamond" w:hAnsi="Garamond" w:cs="Times New Roman"/>
          <w:color w:val="000000"/>
          <w:sz w:val="24"/>
          <w:szCs w:val="24"/>
          <w:lang w:val="sq-AL"/>
        </w:rPr>
        <w:t>6§</w:t>
      </w:r>
      <w:r w:rsidRPr="00407705">
        <w:rPr>
          <w:rFonts w:ascii="Garamond" w:hAnsi="Garamond" w:cs="Times New Roman"/>
          <w:color w:val="000000"/>
          <w:sz w:val="24"/>
          <w:szCs w:val="24"/>
          <w:lang w:val="sq-AL"/>
        </w:rPr>
        <w:t>1 të Konventës</w:t>
      </w:r>
      <w:r w:rsidR="00BD484A">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 lidhje me kohëzgjatjen e tepërt të procedurave dhe sipas kërkesës së kërkuesit të parë</w:t>
      </w:r>
      <w:r w:rsidR="00BD484A">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 mbështetje të </w:t>
      </w:r>
      <w:r w:rsidR="00BD484A" w:rsidRPr="00407705">
        <w:rPr>
          <w:rFonts w:ascii="Garamond" w:hAnsi="Garamond" w:cs="Times New Roman"/>
          <w:color w:val="000000"/>
          <w:sz w:val="24"/>
          <w:szCs w:val="24"/>
          <w:lang w:val="sq-AL"/>
        </w:rPr>
        <w:t xml:space="preserve">nenit </w:t>
      </w:r>
      <w:r w:rsidRPr="00407705">
        <w:rPr>
          <w:rFonts w:ascii="Garamond" w:hAnsi="Garamond" w:cs="Times New Roman"/>
          <w:color w:val="000000"/>
          <w:sz w:val="24"/>
          <w:szCs w:val="24"/>
          <w:lang w:val="sq-AL"/>
        </w:rPr>
        <w:t xml:space="preserve">13 të Konventës, në lidhje me mungesën e zgjidhjes efektive për ankesën mbi kohëzgjatjen e procedurave të pranueshme, dhe pjesën tjetër të kërkesës së kërkuesit të dytë, të papranueshme; </w:t>
      </w:r>
    </w:p>
    <w:p w14:paraId="69AB0DA7" w14:textId="05815860"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i/>
          <w:iCs/>
          <w:color w:val="000000"/>
          <w:sz w:val="24"/>
          <w:szCs w:val="24"/>
          <w:lang w:val="sq-AL"/>
        </w:rPr>
        <w:t xml:space="preserve">3. Gjykon </w:t>
      </w:r>
      <w:r w:rsidRPr="00407705">
        <w:rPr>
          <w:rFonts w:ascii="Garamond" w:hAnsi="Garamond" w:cs="Times New Roman"/>
          <w:color w:val="000000"/>
          <w:sz w:val="24"/>
          <w:szCs w:val="24"/>
          <w:lang w:val="sq-AL"/>
        </w:rPr>
        <w:t>se ka</w:t>
      </w:r>
      <w:r w:rsidR="00BD484A">
        <w:rPr>
          <w:rFonts w:ascii="Garamond" w:hAnsi="Garamond" w:cs="Times New Roman"/>
          <w:color w:val="000000"/>
          <w:sz w:val="24"/>
          <w:szCs w:val="24"/>
          <w:lang w:val="sq-AL"/>
        </w:rPr>
        <w:t xml:space="preserve"> pasur një shkelje të nenit 6§</w:t>
      </w:r>
      <w:r w:rsidRPr="00407705">
        <w:rPr>
          <w:rFonts w:ascii="Garamond" w:hAnsi="Garamond" w:cs="Times New Roman"/>
          <w:color w:val="000000"/>
          <w:sz w:val="24"/>
          <w:szCs w:val="24"/>
          <w:lang w:val="sq-AL"/>
        </w:rPr>
        <w:t>1 të Konventës</w:t>
      </w:r>
      <w:r w:rsidR="00BD484A">
        <w:rPr>
          <w:rFonts w:ascii="Garamond" w:hAnsi="Garamond" w:cs="Times New Roman"/>
          <w:color w:val="000000"/>
          <w:sz w:val="24"/>
          <w:szCs w:val="24"/>
          <w:lang w:val="sq-AL"/>
        </w:rPr>
        <w:t>,</w:t>
      </w:r>
      <w:r w:rsidR="0054754A" w:rsidRPr="00407705">
        <w:rPr>
          <w:rFonts w:ascii="Garamond" w:hAnsi="Garamond" w:cs="Times New Roman"/>
          <w:color w:val="000000"/>
          <w:sz w:val="24"/>
          <w:szCs w:val="24"/>
          <w:lang w:val="sq-AL"/>
        </w:rPr>
        <w:t xml:space="preserve"> </w:t>
      </w:r>
      <w:r w:rsidRPr="00407705">
        <w:rPr>
          <w:rFonts w:ascii="Garamond" w:hAnsi="Garamond" w:cs="Times New Roman"/>
          <w:color w:val="000000"/>
          <w:sz w:val="24"/>
          <w:szCs w:val="24"/>
          <w:lang w:val="sq-AL"/>
        </w:rPr>
        <w:t xml:space="preserve">në lidhje me kohëzgjatjen e tepërt të procedurave për të dy kërkuesit; </w:t>
      </w:r>
    </w:p>
    <w:p w14:paraId="69AB0DA8" w14:textId="01B3E6B5"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i/>
          <w:iCs/>
          <w:color w:val="000000"/>
          <w:sz w:val="24"/>
          <w:szCs w:val="24"/>
          <w:lang w:val="sq-AL"/>
        </w:rPr>
        <w:t>4. Gjykon</w:t>
      </w:r>
      <w:r w:rsidRPr="00407705">
        <w:rPr>
          <w:rFonts w:ascii="Garamond" w:hAnsi="Garamond" w:cs="Times New Roman"/>
          <w:color w:val="000000"/>
          <w:sz w:val="24"/>
          <w:szCs w:val="24"/>
          <w:lang w:val="sq-AL"/>
        </w:rPr>
        <w:t xml:space="preserve"> se ka pasur një shkelje të </w:t>
      </w:r>
      <w:r w:rsidR="00BD484A" w:rsidRPr="00407705">
        <w:rPr>
          <w:rFonts w:ascii="Garamond" w:hAnsi="Garamond" w:cs="Times New Roman"/>
          <w:color w:val="000000"/>
          <w:sz w:val="24"/>
          <w:szCs w:val="24"/>
          <w:lang w:val="sq-AL"/>
        </w:rPr>
        <w:t xml:space="preserve">nenit </w:t>
      </w:r>
      <w:r w:rsidRPr="00407705">
        <w:rPr>
          <w:rFonts w:ascii="Garamond" w:hAnsi="Garamond" w:cs="Times New Roman"/>
          <w:color w:val="000000"/>
          <w:sz w:val="24"/>
          <w:szCs w:val="24"/>
          <w:lang w:val="sq-AL"/>
        </w:rPr>
        <w:t>13 të Konventës</w:t>
      </w:r>
      <w:r w:rsidR="00BD484A">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 lidhje me mungesën e një zgjidhje</w:t>
      </w:r>
      <w:r w:rsidR="00BD484A">
        <w:rPr>
          <w:rFonts w:ascii="Garamond" w:hAnsi="Garamond" w:cs="Times New Roman"/>
          <w:color w:val="000000"/>
          <w:sz w:val="24"/>
          <w:szCs w:val="24"/>
          <w:lang w:val="sq-AL"/>
        </w:rPr>
        <w:t>je</w:t>
      </w:r>
      <w:r w:rsidRPr="00407705">
        <w:rPr>
          <w:rFonts w:ascii="Garamond" w:hAnsi="Garamond" w:cs="Times New Roman"/>
          <w:color w:val="000000"/>
          <w:sz w:val="24"/>
          <w:szCs w:val="24"/>
          <w:lang w:val="sq-AL"/>
        </w:rPr>
        <w:t xml:space="preserve"> efektive për ankesën mbi kohëzgjatjen e procedurave</w:t>
      </w:r>
      <w:r w:rsidR="00673EB9">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 lidhje me ankuesin e parë; </w:t>
      </w:r>
    </w:p>
    <w:p w14:paraId="69AB0DA9"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i/>
          <w:iCs/>
          <w:color w:val="000000"/>
          <w:sz w:val="24"/>
          <w:szCs w:val="24"/>
          <w:lang w:val="sq-AL"/>
        </w:rPr>
        <w:t xml:space="preserve">5. Gjykon: </w:t>
      </w:r>
    </w:p>
    <w:p w14:paraId="69AB0DAA" w14:textId="0B88E6AF"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a) se Shteti i paditur duhet të paguajë, brenda tre muajve nga data në të cilën vendimi bëhet përfundimtar, sipas </w:t>
      </w:r>
      <w:r w:rsidR="00E911EE" w:rsidRPr="00407705">
        <w:rPr>
          <w:rFonts w:ascii="Garamond" w:hAnsi="Garamond" w:cs="Times New Roman"/>
          <w:color w:val="000000"/>
          <w:sz w:val="24"/>
          <w:szCs w:val="24"/>
          <w:lang w:val="sq-AL"/>
        </w:rPr>
        <w:t xml:space="preserve">nenit </w:t>
      </w:r>
      <w:r w:rsidRPr="00407705">
        <w:rPr>
          <w:rFonts w:ascii="Garamond" w:hAnsi="Garamond" w:cs="Times New Roman"/>
          <w:color w:val="000000"/>
          <w:sz w:val="24"/>
          <w:szCs w:val="24"/>
          <w:lang w:val="sq-AL"/>
        </w:rPr>
        <w:t xml:space="preserve">44§2 të Konventës, shumat e mëposhtme, të cilat duhet të konvertohen në monedhën e Shtetit të paditur në normën e zbatueshme në datën e shlyerjes: </w:t>
      </w:r>
    </w:p>
    <w:p w14:paraId="69AB0DAB" w14:textId="77DCA836"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i</w:t>
      </w:r>
      <w:r w:rsidR="00673EB9">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1200 euro (një mijë e dy</w:t>
      </w:r>
      <w:r w:rsidR="00E911EE">
        <w:rPr>
          <w:rFonts w:ascii="Garamond" w:hAnsi="Garamond" w:cs="Times New Roman"/>
          <w:color w:val="000000"/>
          <w:sz w:val="24"/>
          <w:szCs w:val="24"/>
          <w:lang w:val="sq-AL"/>
        </w:rPr>
        <w:t>qind euro) për kërkuesin e parë</w:t>
      </w:r>
      <w:r w:rsidRPr="00407705">
        <w:rPr>
          <w:rFonts w:ascii="Garamond" w:hAnsi="Garamond" w:cs="Times New Roman"/>
          <w:color w:val="000000"/>
          <w:sz w:val="24"/>
          <w:szCs w:val="24"/>
          <w:lang w:val="sq-AL"/>
        </w:rPr>
        <w:t xml:space="preserve"> dhe 2300 euro (dy mijë e treqind euro) për kërkuesin e dytë, plus çdo taksë që mund të tarifohet, në lidhje me dëmin jopasuror; </w:t>
      </w:r>
    </w:p>
    <w:p w14:paraId="69AB0DAC" w14:textId="45B6C8F1"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ii</w:t>
      </w:r>
      <w:r w:rsidR="00673EB9">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1200 euro (një mijë e dyqind euro) për secilin kërkues, plus çdo taksë që mund t’i tarifohet kërkuesve, për kostot dhe shpenzimet; </w:t>
      </w:r>
    </w:p>
    <w:p w14:paraId="69AB0DAD" w14:textId="366B66C0"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b) se që nga përfundimi i periudhës së sipërpërmendur tremujore deri në shlyerjen e saj, interesi i thjeshtë do të paguhet për shumat e mësipërme në normën e barasvlershme me normën margjinale të huadhënies së Bankës Qendrore Evropiane gjatë periudhës së vonesës së shlyerjes </w:t>
      </w:r>
      <w:r w:rsidRPr="00A7535F">
        <w:rPr>
          <w:rFonts w:ascii="Garamond" w:hAnsi="Garamond" w:cs="Times New Roman"/>
          <w:color w:val="000000"/>
          <w:sz w:val="24"/>
          <w:szCs w:val="24"/>
          <w:lang w:val="sq-AL"/>
        </w:rPr>
        <w:t>plus tre për qind pikë;</w:t>
      </w:r>
      <w:r w:rsidRPr="00407705">
        <w:rPr>
          <w:rFonts w:ascii="Garamond" w:hAnsi="Garamond" w:cs="Times New Roman"/>
          <w:color w:val="000000"/>
          <w:sz w:val="24"/>
          <w:szCs w:val="24"/>
          <w:lang w:val="sq-AL"/>
        </w:rPr>
        <w:t xml:space="preserve"> </w:t>
      </w:r>
    </w:p>
    <w:p w14:paraId="69AB0DAE"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i/>
          <w:iCs/>
          <w:color w:val="000000"/>
          <w:sz w:val="24"/>
          <w:szCs w:val="24"/>
          <w:lang w:val="sq-AL"/>
        </w:rPr>
        <w:t xml:space="preserve">6. Rrëzon </w:t>
      </w:r>
      <w:r w:rsidRPr="00407705">
        <w:rPr>
          <w:rFonts w:ascii="Garamond" w:hAnsi="Garamond" w:cs="Times New Roman"/>
          <w:color w:val="000000"/>
          <w:sz w:val="24"/>
          <w:szCs w:val="24"/>
          <w:lang w:val="sq-AL"/>
        </w:rPr>
        <w:t xml:space="preserve">pjesën tjetër të pretendimit të kërkuesve për shpërblim të drejtë. </w:t>
      </w:r>
    </w:p>
    <w:p w14:paraId="69AB0DB0" w14:textId="4FE6BAC3"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Hartuar në anglisht dhe njoftuar</w:t>
      </w:r>
      <w:r w:rsidR="0054754A" w:rsidRPr="00407705">
        <w:rPr>
          <w:rFonts w:ascii="Garamond" w:hAnsi="Garamond" w:cs="Times New Roman"/>
          <w:color w:val="000000"/>
          <w:sz w:val="24"/>
          <w:szCs w:val="24"/>
          <w:lang w:val="sq-AL"/>
        </w:rPr>
        <w:t xml:space="preserve"> </w:t>
      </w:r>
      <w:r w:rsidRPr="00407705">
        <w:rPr>
          <w:rFonts w:ascii="Garamond" w:hAnsi="Garamond" w:cs="Times New Roman"/>
          <w:color w:val="000000"/>
          <w:sz w:val="24"/>
          <w:szCs w:val="24"/>
          <w:lang w:val="sq-AL"/>
        </w:rPr>
        <w:t xml:space="preserve">me shkrim më 12 tetor 2021, sipas </w:t>
      </w:r>
      <w:r w:rsidR="00E911EE" w:rsidRPr="00407705">
        <w:rPr>
          <w:rFonts w:ascii="Garamond" w:hAnsi="Garamond" w:cs="Times New Roman"/>
          <w:color w:val="000000"/>
          <w:sz w:val="24"/>
          <w:szCs w:val="24"/>
          <w:lang w:val="sq-AL"/>
        </w:rPr>
        <w:t>rregull</w:t>
      </w:r>
      <w:r w:rsidR="00E911EE">
        <w:rPr>
          <w:rFonts w:ascii="Garamond" w:hAnsi="Garamond" w:cs="Times New Roman"/>
          <w:color w:val="000000"/>
          <w:sz w:val="24"/>
          <w:szCs w:val="24"/>
          <w:lang w:val="sq-AL"/>
        </w:rPr>
        <w:t>ës</w:t>
      </w:r>
      <w:r w:rsidR="00E911EE" w:rsidRPr="00407705">
        <w:rPr>
          <w:rFonts w:ascii="Garamond" w:hAnsi="Garamond" w:cs="Times New Roman"/>
          <w:color w:val="000000"/>
          <w:sz w:val="24"/>
          <w:szCs w:val="24"/>
          <w:lang w:val="sq-AL"/>
        </w:rPr>
        <w:t xml:space="preserve"> </w:t>
      </w:r>
      <w:r w:rsidR="00E911EE">
        <w:rPr>
          <w:rFonts w:ascii="Garamond" w:hAnsi="Garamond" w:cs="Times New Roman"/>
          <w:color w:val="000000"/>
          <w:sz w:val="24"/>
          <w:szCs w:val="24"/>
          <w:lang w:val="sq-AL"/>
        </w:rPr>
        <w:t>77§§</w:t>
      </w:r>
      <w:r w:rsidRPr="00407705">
        <w:rPr>
          <w:rFonts w:ascii="Garamond" w:hAnsi="Garamond" w:cs="Times New Roman"/>
          <w:color w:val="000000"/>
          <w:sz w:val="24"/>
          <w:szCs w:val="24"/>
          <w:lang w:val="sq-AL"/>
        </w:rPr>
        <w:t xml:space="preserve">2 dhe 3 të Rregullores së Gjykatës. </w:t>
      </w:r>
    </w:p>
    <w:p w14:paraId="3A0B35F4" w14:textId="77777777" w:rsidR="0054754A" w:rsidRPr="00407705" w:rsidRDefault="0054754A" w:rsidP="0054754A">
      <w:pPr>
        <w:autoSpaceDE w:val="0"/>
        <w:autoSpaceDN w:val="0"/>
        <w:adjustRightInd w:val="0"/>
        <w:spacing w:after="0" w:line="240" w:lineRule="auto"/>
        <w:ind w:firstLine="284"/>
        <w:jc w:val="right"/>
        <w:rPr>
          <w:rFonts w:ascii="Garamond" w:hAnsi="Garamond" w:cs="Times New Roman"/>
          <w:b/>
          <w:color w:val="000000"/>
          <w:sz w:val="24"/>
          <w:szCs w:val="24"/>
          <w:lang w:val="sq-AL"/>
        </w:rPr>
      </w:pPr>
    </w:p>
    <w:p w14:paraId="1FA3C102" w14:textId="77777777" w:rsidR="0054754A" w:rsidRPr="00407705" w:rsidRDefault="0054754A" w:rsidP="0054754A">
      <w:pPr>
        <w:autoSpaceDE w:val="0"/>
        <w:autoSpaceDN w:val="0"/>
        <w:adjustRightInd w:val="0"/>
        <w:spacing w:after="0" w:line="240" w:lineRule="auto"/>
        <w:ind w:firstLine="284"/>
        <w:jc w:val="right"/>
        <w:rPr>
          <w:rFonts w:ascii="Garamond" w:hAnsi="Garamond" w:cs="Times New Roman"/>
          <w:color w:val="000000"/>
          <w:sz w:val="24"/>
          <w:szCs w:val="24"/>
          <w:lang w:val="sq-AL"/>
        </w:rPr>
      </w:pPr>
      <w:r w:rsidRPr="00407705">
        <w:rPr>
          <w:rFonts w:ascii="Garamond" w:hAnsi="Garamond" w:cs="Times New Roman"/>
          <w:b/>
          <w:color w:val="000000"/>
          <w:sz w:val="24"/>
          <w:szCs w:val="24"/>
          <w:lang w:val="sq-AL"/>
        </w:rPr>
        <w:t>Milan Blaško</w:t>
      </w:r>
      <w:r w:rsidRPr="00407705">
        <w:rPr>
          <w:rFonts w:ascii="Garamond" w:hAnsi="Garamond" w:cs="Times New Roman"/>
          <w:color w:val="000000"/>
          <w:sz w:val="24"/>
          <w:szCs w:val="24"/>
          <w:lang w:val="sq-AL"/>
        </w:rPr>
        <w:t xml:space="preserve"> </w:t>
      </w:r>
    </w:p>
    <w:p w14:paraId="140FD951" w14:textId="77777777" w:rsidR="0054754A" w:rsidRPr="00407705" w:rsidRDefault="0054754A" w:rsidP="0054754A">
      <w:pPr>
        <w:autoSpaceDE w:val="0"/>
        <w:autoSpaceDN w:val="0"/>
        <w:adjustRightInd w:val="0"/>
        <w:spacing w:after="0" w:line="240" w:lineRule="auto"/>
        <w:ind w:firstLine="284"/>
        <w:jc w:val="right"/>
        <w:rPr>
          <w:rFonts w:ascii="Garamond" w:hAnsi="Garamond" w:cs="Times New Roman"/>
          <w:b/>
          <w:color w:val="000000"/>
          <w:sz w:val="24"/>
          <w:szCs w:val="24"/>
          <w:lang w:val="sq-AL"/>
        </w:rPr>
      </w:pPr>
      <w:r w:rsidRPr="00407705">
        <w:rPr>
          <w:rFonts w:ascii="Garamond" w:hAnsi="Garamond" w:cs="Times New Roman"/>
          <w:color w:val="000000"/>
          <w:sz w:val="24"/>
          <w:szCs w:val="24"/>
          <w:lang w:val="sq-AL"/>
        </w:rPr>
        <w:t>Regjistra</w:t>
      </w:r>
      <w:r w:rsidRPr="00407705">
        <w:rPr>
          <w:rFonts w:ascii="Garamond" w:hAnsi="Garamond" w:cs="Times New Roman"/>
          <w:b/>
          <w:color w:val="000000"/>
          <w:sz w:val="24"/>
          <w:szCs w:val="24"/>
          <w:lang w:val="sq-AL"/>
        </w:rPr>
        <w:t xml:space="preserve"> </w:t>
      </w:r>
    </w:p>
    <w:p w14:paraId="7CCDB807" w14:textId="77777777" w:rsidR="0054754A" w:rsidRPr="00407705" w:rsidRDefault="0054754A" w:rsidP="0054754A">
      <w:pPr>
        <w:autoSpaceDE w:val="0"/>
        <w:autoSpaceDN w:val="0"/>
        <w:adjustRightInd w:val="0"/>
        <w:spacing w:after="0" w:line="240" w:lineRule="auto"/>
        <w:ind w:firstLine="284"/>
        <w:jc w:val="right"/>
        <w:rPr>
          <w:rFonts w:ascii="Garamond" w:hAnsi="Garamond" w:cs="Times New Roman"/>
          <w:b/>
          <w:color w:val="000000"/>
          <w:sz w:val="24"/>
          <w:szCs w:val="24"/>
          <w:lang w:val="sq-AL"/>
        </w:rPr>
      </w:pPr>
    </w:p>
    <w:p w14:paraId="5D304DAD" w14:textId="77777777" w:rsidR="0054754A" w:rsidRPr="00407705" w:rsidRDefault="0054754A" w:rsidP="0054754A">
      <w:pPr>
        <w:autoSpaceDE w:val="0"/>
        <w:autoSpaceDN w:val="0"/>
        <w:adjustRightInd w:val="0"/>
        <w:spacing w:after="0" w:line="240" w:lineRule="auto"/>
        <w:ind w:firstLine="284"/>
        <w:jc w:val="right"/>
        <w:rPr>
          <w:rFonts w:ascii="Garamond" w:hAnsi="Garamond" w:cs="Times New Roman"/>
          <w:color w:val="000000"/>
          <w:sz w:val="24"/>
          <w:szCs w:val="24"/>
          <w:lang w:val="sq-AL"/>
        </w:rPr>
      </w:pPr>
      <w:r w:rsidRPr="00407705">
        <w:rPr>
          <w:rFonts w:ascii="Garamond" w:hAnsi="Garamond" w:cs="Times New Roman"/>
          <w:b/>
          <w:color w:val="000000"/>
          <w:sz w:val="24"/>
          <w:szCs w:val="24"/>
          <w:lang w:val="sq-AL"/>
        </w:rPr>
        <w:t>Paul Lemmens</w:t>
      </w:r>
      <w:r w:rsidRPr="00407705">
        <w:rPr>
          <w:rFonts w:ascii="Garamond" w:hAnsi="Garamond" w:cs="Times New Roman"/>
          <w:color w:val="000000"/>
          <w:sz w:val="24"/>
          <w:szCs w:val="24"/>
          <w:lang w:val="sq-AL"/>
        </w:rPr>
        <w:t xml:space="preserve"> </w:t>
      </w:r>
    </w:p>
    <w:p w14:paraId="69AB0DB1" w14:textId="2120DF9C" w:rsidR="009A0255" w:rsidRPr="00407705" w:rsidRDefault="0054754A" w:rsidP="0054754A">
      <w:pPr>
        <w:autoSpaceDE w:val="0"/>
        <w:autoSpaceDN w:val="0"/>
        <w:adjustRightInd w:val="0"/>
        <w:spacing w:after="0" w:line="240" w:lineRule="auto"/>
        <w:ind w:firstLine="284"/>
        <w:jc w:val="right"/>
        <w:rPr>
          <w:rFonts w:ascii="Garamond" w:hAnsi="Garamond" w:cs="Times New Roman"/>
          <w:color w:val="000000"/>
          <w:sz w:val="24"/>
          <w:szCs w:val="24"/>
          <w:lang w:val="sq-AL"/>
        </w:rPr>
      </w:pPr>
      <w:r w:rsidRPr="00407705">
        <w:rPr>
          <w:rFonts w:ascii="Garamond" w:hAnsi="Garamond" w:cs="Times New Roman"/>
          <w:color w:val="000000"/>
          <w:sz w:val="24"/>
          <w:szCs w:val="24"/>
          <w:lang w:val="sq-AL"/>
        </w:rPr>
        <w:t>Kryetar</w:t>
      </w:r>
    </w:p>
    <w:p w14:paraId="69AB0DB8"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9AB0DB9" w14:textId="6D2008D8" w:rsidR="009A0255" w:rsidRPr="00407705" w:rsidRDefault="00E911EE"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Në përputhje me Nenin 45§</w:t>
      </w:r>
      <w:r w:rsidR="009A0255" w:rsidRPr="00407705">
        <w:rPr>
          <w:rFonts w:ascii="Garamond" w:hAnsi="Garamond" w:cs="Times New Roman"/>
          <w:color w:val="000000"/>
          <w:sz w:val="24"/>
          <w:szCs w:val="24"/>
          <w:lang w:val="sq-AL"/>
        </w:rPr>
        <w:t xml:space="preserve">2 të Konventës dhe </w:t>
      </w:r>
      <w:r w:rsidRPr="00407705">
        <w:rPr>
          <w:rFonts w:ascii="Garamond" w:hAnsi="Garamond" w:cs="Times New Roman"/>
          <w:color w:val="000000"/>
          <w:sz w:val="24"/>
          <w:szCs w:val="24"/>
          <w:lang w:val="sq-AL"/>
        </w:rPr>
        <w:t>rregull</w:t>
      </w:r>
      <w:r>
        <w:rPr>
          <w:rFonts w:ascii="Garamond" w:hAnsi="Garamond" w:cs="Times New Roman"/>
          <w:color w:val="000000"/>
          <w:sz w:val="24"/>
          <w:szCs w:val="24"/>
          <w:lang w:val="sq-AL"/>
        </w:rPr>
        <w:t>ës</w:t>
      </w:r>
      <w:r w:rsidRPr="00407705">
        <w:rPr>
          <w:rFonts w:ascii="Garamond" w:hAnsi="Garamond" w:cs="Times New Roman"/>
          <w:color w:val="000000"/>
          <w:sz w:val="24"/>
          <w:szCs w:val="24"/>
          <w:lang w:val="sq-AL"/>
        </w:rPr>
        <w:t xml:space="preserve"> </w:t>
      </w:r>
      <w:r>
        <w:rPr>
          <w:rFonts w:ascii="Garamond" w:hAnsi="Garamond" w:cs="Times New Roman"/>
          <w:color w:val="000000"/>
          <w:sz w:val="24"/>
          <w:szCs w:val="24"/>
          <w:lang w:val="sq-AL"/>
        </w:rPr>
        <w:t>74§</w:t>
      </w:r>
      <w:r w:rsidR="009A0255" w:rsidRPr="00407705">
        <w:rPr>
          <w:rFonts w:ascii="Garamond" w:hAnsi="Garamond" w:cs="Times New Roman"/>
          <w:color w:val="000000"/>
          <w:sz w:val="24"/>
          <w:szCs w:val="24"/>
          <w:lang w:val="sq-AL"/>
        </w:rPr>
        <w:t>2 të Rregullores së Gjykatës, opinioni i veçantë i Gjyqtarëve Dedov dhe Ravarani gjendet në shtojcën e këtij vendimi.</w:t>
      </w:r>
      <w:r w:rsidR="0054754A" w:rsidRPr="00407705">
        <w:rPr>
          <w:rFonts w:ascii="Garamond" w:hAnsi="Garamond" w:cs="Times New Roman"/>
          <w:color w:val="000000"/>
          <w:sz w:val="24"/>
          <w:szCs w:val="24"/>
          <w:lang w:val="sq-AL"/>
        </w:rPr>
        <w:t xml:space="preserve"> </w:t>
      </w:r>
    </w:p>
    <w:p w14:paraId="69AB0DBA" w14:textId="136F9C33" w:rsidR="009A0255" w:rsidRPr="00407705" w:rsidRDefault="0054754A" w:rsidP="009A0255">
      <w:pPr>
        <w:autoSpaceDE w:val="0"/>
        <w:autoSpaceDN w:val="0"/>
        <w:adjustRightInd w:val="0"/>
        <w:spacing w:after="0" w:line="240" w:lineRule="auto"/>
        <w:ind w:firstLine="284"/>
        <w:jc w:val="right"/>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 </w:t>
      </w:r>
      <w:r w:rsidR="009A0255" w:rsidRPr="00407705">
        <w:rPr>
          <w:rFonts w:ascii="Garamond" w:hAnsi="Garamond" w:cs="Times New Roman"/>
          <w:color w:val="000000"/>
          <w:sz w:val="24"/>
          <w:szCs w:val="24"/>
          <w:lang w:val="sq-AL"/>
        </w:rPr>
        <w:t>P.L</w:t>
      </w:r>
    </w:p>
    <w:p w14:paraId="69AB0DBB" w14:textId="046AFF3C" w:rsidR="009A0255" w:rsidRPr="00407705" w:rsidRDefault="0054754A" w:rsidP="009A0255">
      <w:pPr>
        <w:autoSpaceDE w:val="0"/>
        <w:autoSpaceDN w:val="0"/>
        <w:adjustRightInd w:val="0"/>
        <w:spacing w:after="0" w:line="240" w:lineRule="auto"/>
        <w:ind w:firstLine="284"/>
        <w:jc w:val="right"/>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 </w:t>
      </w:r>
      <w:r w:rsidR="009A0255" w:rsidRPr="00407705">
        <w:rPr>
          <w:rFonts w:ascii="Garamond" w:hAnsi="Garamond" w:cs="Times New Roman"/>
          <w:color w:val="000000"/>
          <w:sz w:val="24"/>
          <w:szCs w:val="24"/>
          <w:lang w:val="sq-AL"/>
        </w:rPr>
        <w:t>M.B.</w:t>
      </w:r>
    </w:p>
    <w:p w14:paraId="69AB0DBC"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9AB0DBD" w14:textId="77777777" w:rsidR="009A0255" w:rsidRPr="00407705" w:rsidRDefault="009A0255" w:rsidP="009A0255">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407705">
        <w:rPr>
          <w:rFonts w:ascii="Garamond" w:hAnsi="Garamond" w:cs="Times New Roman"/>
          <w:color w:val="000000"/>
          <w:sz w:val="24"/>
          <w:szCs w:val="24"/>
          <w:lang w:val="sq-AL"/>
        </w:rPr>
        <w:t>OPINIONI I PËRBASHKËT I DAKORDËSUAR I GJYQTARËVE DEDOV DHE RAVARANI</w:t>
      </w:r>
    </w:p>
    <w:p w14:paraId="69AB0DBE" w14:textId="77777777" w:rsidR="009A0255" w:rsidRPr="00407705" w:rsidRDefault="009A0255" w:rsidP="009A0255">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 </w:t>
      </w:r>
    </w:p>
    <w:p w14:paraId="69AB0DBF" w14:textId="463D9476" w:rsidR="009A0255" w:rsidRPr="00407705" w:rsidRDefault="0054754A" w:rsidP="009A0255">
      <w:pPr>
        <w:autoSpaceDE w:val="0"/>
        <w:autoSpaceDN w:val="0"/>
        <w:adjustRightInd w:val="0"/>
        <w:spacing w:after="0" w:line="240" w:lineRule="auto"/>
        <w:ind w:firstLine="284"/>
        <w:jc w:val="center"/>
        <w:rPr>
          <w:rFonts w:ascii="Garamond" w:hAnsi="Garamond" w:cs="Times New Roman"/>
          <w:i/>
          <w:iCs/>
          <w:color w:val="000000"/>
          <w:sz w:val="24"/>
          <w:szCs w:val="24"/>
          <w:lang w:val="sq-AL"/>
        </w:rPr>
      </w:pPr>
      <w:r w:rsidRPr="00407705">
        <w:rPr>
          <w:rFonts w:ascii="Garamond" w:hAnsi="Garamond" w:cs="Times New Roman"/>
          <w:i/>
          <w:iCs/>
          <w:color w:val="000000"/>
          <w:sz w:val="24"/>
          <w:szCs w:val="24"/>
          <w:lang w:val="sq-AL"/>
        </w:rPr>
        <w:t>A l’impossible nul n’est tenu.</w:t>
      </w:r>
    </w:p>
    <w:p w14:paraId="69AB0DC0"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i/>
          <w:iCs/>
          <w:color w:val="000000"/>
          <w:sz w:val="24"/>
          <w:szCs w:val="24"/>
          <w:lang w:val="sq-AL"/>
        </w:rPr>
      </w:pPr>
    </w:p>
    <w:p w14:paraId="69AB0DC1" w14:textId="27769AD4"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1. Ne votuam në favor të konstatimit të një shkelje</w:t>
      </w:r>
      <w:r w:rsidR="000002D1">
        <w:rPr>
          <w:rFonts w:ascii="Garamond" w:hAnsi="Garamond" w:cs="Times New Roman"/>
          <w:color w:val="000000"/>
          <w:sz w:val="24"/>
          <w:szCs w:val="24"/>
          <w:lang w:val="sq-AL"/>
        </w:rPr>
        <w:t>je</w:t>
      </w:r>
      <w:r w:rsidRPr="00407705">
        <w:rPr>
          <w:rFonts w:ascii="Garamond" w:hAnsi="Garamond" w:cs="Times New Roman"/>
          <w:color w:val="000000"/>
          <w:sz w:val="24"/>
          <w:szCs w:val="24"/>
          <w:lang w:val="sq-AL"/>
        </w:rPr>
        <w:t xml:space="preserve"> të </w:t>
      </w:r>
      <w:r w:rsidR="000002D1" w:rsidRPr="00407705">
        <w:rPr>
          <w:rFonts w:ascii="Garamond" w:hAnsi="Garamond" w:cs="Times New Roman"/>
          <w:color w:val="000000"/>
          <w:sz w:val="24"/>
          <w:szCs w:val="24"/>
          <w:lang w:val="sq-AL"/>
        </w:rPr>
        <w:t xml:space="preserve">nenit </w:t>
      </w:r>
      <w:r w:rsidRPr="00407705">
        <w:rPr>
          <w:rFonts w:ascii="Garamond" w:hAnsi="Garamond" w:cs="Times New Roman"/>
          <w:color w:val="000000"/>
          <w:sz w:val="24"/>
          <w:szCs w:val="24"/>
          <w:lang w:val="sq-AL"/>
        </w:rPr>
        <w:t>6 §1 në çështjen konkrete</w:t>
      </w:r>
      <w:r w:rsidR="00214A0A">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pasi ne i njohim dobësitë e papranueshme për trajtimin në kohë të çështjeve të paraqitura në Gjykatën e Lartë të Shqipërisë në harkun kohor të viteve 2016 deri në vitin 2021. </w:t>
      </w:r>
    </w:p>
    <w:p w14:paraId="69AB0DC2"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2. Megjithatë, ne ndiejmë detyrimin të nënvizojmë një pikë për të cilën kemi rezerva serioze në lidhje me konstatimet e vendimit. Ajo që na shqetëson është fakti se periudha nga viti 2018 deri në vitin 2019, kur Gjykata e Lartë duhej të operonte me një numër jashtëzakonisht të reduktuar gjyqtarësh, konkretisht tre dhe në fund katër, teksa numri i gjyqtarëve i parashikuar sipas ligjit ishte nëntëmbëdhjetë; dhe nga muaji maj 2019 deri në mars 2020, kur Gjykata e Lartë e kishte të pamundur të mblidhej, sepse i mungonte kuorumi i nevojshëm, janë përllogaritur në periudhën e përgjithshme të marrë në konsideratë për vlerësimin e kohëzgjatjes së procedurave për të cilat ankohen kërkuesit. </w:t>
      </w:r>
    </w:p>
    <w:p w14:paraId="69AB0DC3" w14:textId="2E45DE7F"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3. Rrjedhjet me të cilat Gjykatës së Lartë iu desh të përballej nga viti 2016 dhe në vijim ishin kryesisht, nëse jo ekskluzivisht, p</w:t>
      </w:r>
      <w:r w:rsidR="0054754A" w:rsidRPr="00407705">
        <w:rPr>
          <w:rFonts w:ascii="Garamond" w:hAnsi="Garamond" w:cs="Times New Roman"/>
          <w:color w:val="000000"/>
          <w:sz w:val="24"/>
          <w:szCs w:val="24"/>
          <w:lang w:val="sq-AL"/>
        </w:rPr>
        <w:t xml:space="preserve">ër shkak të procesit të </w:t>
      </w:r>
      <w:r w:rsidR="00654098" w:rsidRPr="00407705">
        <w:rPr>
          <w:rFonts w:ascii="Garamond" w:hAnsi="Garamond" w:cs="Times New Roman"/>
          <w:i/>
          <w:color w:val="000000"/>
          <w:sz w:val="24"/>
          <w:szCs w:val="24"/>
          <w:lang w:val="sq-AL"/>
        </w:rPr>
        <w:t>vetting</w:t>
      </w:r>
      <w:r w:rsidR="00654098" w:rsidRPr="00407705">
        <w:rPr>
          <w:rFonts w:ascii="Garamond" w:hAnsi="Garamond" w:cs="Times New Roman"/>
          <w:color w:val="000000"/>
          <w:sz w:val="24"/>
          <w:szCs w:val="24"/>
          <w:lang w:val="sq-AL"/>
        </w:rPr>
        <w:t>-ut</w:t>
      </w:r>
      <w:r w:rsidRPr="00407705">
        <w:rPr>
          <w:rFonts w:ascii="Garamond" w:hAnsi="Garamond" w:cs="Times New Roman"/>
          <w:color w:val="000000"/>
          <w:sz w:val="24"/>
          <w:szCs w:val="24"/>
          <w:lang w:val="sq-AL"/>
        </w:rPr>
        <w:t xml:space="preserve"> në gjyqësor, proces i cili ishte ndërmarrë atë vit nga Shqipëria, e inkurajuar dhe e mbështetur nga organet e Këshillit të Evropës, dhe e konsideruar në përputhje me kërkesat e Konventës nga Gjykata (shih </w:t>
      </w:r>
      <w:r w:rsidRPr="00407705">
        <w:rPr>
          <w:rFonts w:ascii="Garamond" w:hAnsi="Garamond" w:cs="Times New Roman"/>
          <w:i/>
          <w:iCs/>
          <w:color w:val="000000"/>
          <w:sz w:val="24"/>
          <w:szCs w:val="24"/>
          <w:lang w:val="sq-AL"/>
        </w:rPr>
        <w:t>Xhoxhaj kundër Shqipërisë</w:t>
      </w:r>
      <w:r w:rsidRPr="00407705">
        <w:rPr>
          <w:rFonts w:ascii="Garamond" w:hAnsi="Garamond" w:cs="Times New Roman"/>
          <w:color w:val="000000"/>
          <w:sz w:val="24"/>
          <w:szCs w:val="24"/>
          <w:lang w:val="sq-AL"/>
        </w:rPr>
        <w:t xml:space="preserve">, nr. 15227/19, 9 shkurt 2021). </w:t>
      </w:r>
    </w:p>
    <w:p w14:paraId="69AB0DC4" w14:textId="23B38C5C"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4. Kur gjykatave shqiptare iu kërkua që të shqyrtonin ankesën e kërkuesit të parë</w:t>
      </w:r>
      <w:r w:rsidR="00214A0A">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 lidhje me kohëzgjatjen e procedurave në të cilat ai ishte përfshirë në kontekstin e zgjidhjes së sapomiratuar për kohëzgjatjen e tepërt të procedurave gjyqësore, gjykatat shqiptare argumentuan se periudha kritike</w:t>
      </w:r>
      <w:r w:rsidR="00214A0A">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gjatë së cilës Gjykata e Lartë nuk e kishte pasur të mundur që të operonte</w:t>
      </w:r>
      <w:r w:rsidR="00214A0A">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përbënte një “element objektiv”</w:t>
      </w:r>
      <w:r w:rsidR="00214A0A">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që duhej të merrej në konsideratë</w:t>
      </w:r>
      <w:r w:rsidR="00214A0A">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 përputhje me ligjin e brendshëm për përllogaritjen e kohëzgjatjes së procedurave. Është e vërtetë se referimi i tyre në këtë argument ishte shumë i përgjithshëm dhe i përgatitur për të zhveshur Gjykatën e Lartë nga çdo fajësim për kohëzgjatje të tepruar të procedurave, por Gjykata mund ta kishte ndarë me lehtësi “shapin nga sheqeri”. </w:t>
      </w:r>
    </w:p>
    <w:p w14:paraId="69AB0DC5" w14:textId="32A30F3B"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5. Në fakt, vendimi e pastron këtë argument me një përzierje disi të çuditshme elementesh abstrakt</w:t>
      </w:r>
      <w:r w:rsidR="00214A0A">
        <w:rPr>
          <w:rFonts w:ascii="Garamond" w:hAnsi="Garamond" w:cs="Times New Roman"/>
          <w:color w:val="000000"/>
          <w:sz w:val="24"/>
          <w:szCs w:val="24"/>
          <w:lang w:val="sq-AL"/>
        </w:rPr>
        <w:t>e</w:t>
      </w:r>
      <w:r w:rsidRPr="00407705">
        <w:rPr>
          <w:rFonts w:ascii="Garamond" w:hAnsi="Garamond" w:cs="Times New Roman"/>
          <w:color w:val="000000"/>
          <w:sz w:val="24"/>
          <w:szCs w:val="24"/>
          <w:lang w:val="sq-AL"/>
        </w:rPr>
        <w:t xml:space="preserve"> dhe konkret</w:t>
      </w:r>
      <w:r w:rsidR="00214A0A">
        <w:rPr>
          <w:rFonts w:ascii="Garamond" w:hAnsi="Garamond" w:cs="Times New Roman"/>
          <w:color w:val="000000"/>
          <w:sz w:val="24"/>
          <w:szCs w:val="24"/>
          <w:lang w:val="sq-AL"/>
        </w:rPr>
        <w:t>e</w:t>
      </w:r>
      <w:r w:rsidRPr="00407705">
        <w:rPr>
          <w:rFonts w:ascii="Garamond" w:hAnsi="Garamond" w:cs="Times New Roman"/>
          <w:color w:val="000000"/>
          <w:sz w:val="24"/>
          <w:szCs w:val="24"/>
          <w:lang w:val="sq-AL"/>
        </w:rPr>
        <w:t xml:space="preserve"> në arsyetim. </w:t>
      </w:r>
    </w:p>
    <w:p w14:paraId="69AB0DC6" w14:textId="181B2A52"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6. Nga aspekti abstrakt, Gjykata “vëren se Shtetet kanë detyrimin e përgjithshëm t’i organizojnë sistemet e ty</w:t>
      </w:r>
      <w:r w:rsidR="00681C71">
        <w:rPr>
          <w:rFonts w:ascii="Garamond" w:hAnsi="Garamond" w:cs="Times New Roman"/>
          <w:color w:val="000000"/>
          <w:sz w:val="24"/>
          <w:szCs w:val="24"/>
          <w:lang w:val="sq-AL"/>
        </w:rPr>
        <w:t>re ligjore</w:t>
      </w:r>
      <w:r w:rsidR="00B17F6B">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 mënyrë që të garantojnë respektimin e kushteve të </w:t>
      </w:r>
      <w:r w:rsidR="00B17F6B" w:rsidRPr="00407705">
        <w:rPr>
          <w:rFonts w:ascii="Garamond" w:hAnsi="Garamond" w:cs="Times New Roman"/>
          <w:color w:val="000000"/>
          <w:sz w:val="24"/>
          <w:szCs w:val="24"/>
          <w:lang w:val="sq-AL"/>
        </w:rPr>
        <w:t xml:space="preserve">nenit </w:t>
      </w:r>
      <w:r w:rsidRPr="00407705">
        <w:rPr>
          <w:rFonts w:ascii="Garamond" w:hAnsi="Garamond" w:cs="Times New Roman"/>
          <w:color w:val="000000"/>
          <w:sz w:val="24"/>
          <w:szCs w:val="24"/>
          <w:lang w:val="sq-AL"/>
        </w:rPr>
        <w:t xml:space="preserve">6§1, duke përfshirë edhe atë për një seancë dëgjimore të drejtë brenda një afati të arsyeshëm” (shih paragrafin 70 të vendimit; ky përcaktim përsëritet edhe në paragrafin 94). Sigurish që ne nuk jemi në kundërshtim me një përcaktim të tillë në nivel parimor dhe abstrakt. Megjithatë, ashtu si në shumë fusha, një përmasë nuk përshtatet me çdo gjë. Në vendet me të vogla, shpesh mund të jetë e pamundur të gjenden mjaftueshëm persona të kualifikuar për të marrë funksione të larta gjyqësore brenda një periudhe të shkurtër kohore. Mbushja e vendeve të lira me kandidatë që janë mesatarisht të kualifikuar nuk duket të jetë një zgjidhje, sepse emërime të tilla bëhen për një periudhë të gjatë dhe të gjithë duhet ta dinë se një zgjidhje afatshkurtër mund të shkaktojë efekte katastrofike në planin afatgjatë. </w:t>
      </w:r>
    </w:p>
    <w:p w14:paraId="69AB0DC7" w14:textId="65335BE3"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7. Në nivel konkret, vendimi konstaton se</w:t>
      </w:r>
      <w:r w:rsidR="00B17F6B">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 lidhje me kërkuesin e parë, “çështja ishte me rëndësi për kërkuesin dhe do të duhej ta kishte nxitur Gjykatën e Lartë ta shqyrtonte atë me kujdes” (shih paragrafin 72 </w:t>
      </w:r>
      <w:r w:rsidRPr="00407705">
        <w:rPr>
          <w:rFonts w:ascii="Garamond" w:hAnsi="Garamond" w:cs="Times New Roman"/>
          <w:i/>
          <w:iCs/>
          <w:color w:val="000000"/>
          <w:sz w:val="24"/>
          <w:szCs w:val="24"/>
          <w:lang w:val="sq-AL"/>
        </w:rPr>
        <w:t>in fine</w:t>
      </w:r>
      <w:r w:rsidRPr="00407705">
        <w:rPr>
          <w:rFonts w:ascii="Garamond" w:hAnsi="Garamond" w:cs="Times New Roman"/>
          <w:color w:val="000000"/>
          <w:sz w:val="24"/>
          <w:szCs w:val="24"/>
          <w:lang w:val="sq-AL"/>
        </w:rPr>
        <w:t xml:space="preserve"> të vendimit), dhe në lidhje me kërkuesin e dytë “duke iu referuar faktit se sa e rëndë ishte akuza penale ndaj kërkuesit të dytë dhe ndikimit të saj në të drejtat e tij, procedurat kërkonin një nivel të caktuar përshpejtimi” (shih paragrafin 96). </w:t>
      </w:r>
    </w:p>
    <w:p w14:paraId="69AB0DC8" w14:textId="7D30D15F"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8. Këtu vendimi përfshihet në një lloj mikromenaxhimi dhe vlerëson rëndësinë </w:t>
      </w:r>
      <w:r w:rsidRPr="00407705">
        <w:rPr>
          <w:rFonts w:ascii="Garamond" w:hAnsi="Garamond" w:cs="Times New Roman"/>
          <w:i/>
          <w:iCs/>
          <w:color w:val="000000"/>
          <w:sz w:val="24"/>
          <w:szCs w:val="24"/>
          <w:lang w:val="sq-AL"/>
        </w:rPr>
        <w:t>relative</w:t>
      </w:r>
      <w:r w:rsidRPr="00407705">
        <w:rPr>
          <w:rFonts w:ascii="Garamond" w:hAnsi="Garamond" w:cs="Times New Roman"/>
          <w:color w:val="000000"/>
          <w:sz w:val="24"/>
          <w:szCs w:val="24"/>
          <w:lang w:val="sq-AL"/>
        </w:rPr>
        <w:t xml:space="preserve"> të </w:t>
      </w:r>
      <w:r w:rsidR="00862C23">
        <w:rPr>
          <w:rFonts w:ascii="Garamond" w:hAnsi="Garamond" w:cs="Times New Roman"/>
          <w:color w:val="000000"/>
          <w:sz w:val="24"/>
          <w:szCs w:val="24"/>
          <w:lang w:val="sq-AL"/>
        </w:rPr>
        <w:t xml:space="preserve">të </w:t>
      </w:r>
      <w:r w:rsidRPr="00407705">
        <w:rPr>
          <w:rFonts w:ascii="Garamond" w:hAnsi="Garamond" w:cs="Times New Roman"/>
          <w:color w:val="000000"/>
          <w:sz w:val="24"/>
          <w:szCs w:val="24"/>
          <w:lang w:val="sq-AL"/>
        </w:rPr>
        <w:t>dy</w:t>
      </w:r>
      <w:r w:rsidR="00862C23">
        <w:rPr>
          <w:rFonts w:ascii="Garamond" w:hAnsi="Garamond" w:cs="Times New Roman"/>
          <w:color w:val="000000"/>
          <w:sz w:val="24"/>
          <w:szCs w:val="24"/>
          <w:lang w:val="sq-AL"/>
        </w:rPr>
        <w:t>ja</w:t>
      </w:r>
      <w:r w:rsidRPr="00407705">
        <w:rPr>
          <w:rFonts w:ascii="Garamond" w:hAnsi="Garamond" w:cs="Times New Roman"/>
          <w:color w:val="000000"/>
          <w:sz w:val="24"/>
          <w:szCs w:val="24"/>
          <w:lang w:val="sq-AL"/>
        </w:rPr>
        <w:t xml:space="preserve"> çështjeve të brendshme me të cilat kanë lidhje ankesat e kërkuesve respektivë. Për të qenë në gjendje që ta kryejë këtë ushtrim në mënyrën e duhur, Gjykata do të duhej të kishte një pasqyrë të plotë të çështjeve të tjera të mbetura pezull dhe të mund të vendosë se cilat çështje ishin të një rëndësie më të vogël, në mënyrë që prioriteti të cilin ajo ia kërkoi gjykatave të brendshme për dy çështjet konkrete të justifikohej me të vërtetë në terma praktikë. Megjithatë, Gjykata nuk e zotëronte këtë informacion të rëndësishëm. </w:t>
      </w:r>
    </w:p>
    <w:p w14:paraId="69AB0DC9" w14:textId="4D63C16C"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9. Për pasojë, do të kishte qenë më e preferueshme për Dhomën që të angazhohej në një vlerësim më të balancuar</w:t>
      </w:r>
      <w:r w:rsidR="00D336F6">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duke marrë në konsideratë vështirësitë konkrete me të cilat përballej gjyqësori dhe të cilat as vet</w:t>
      </w:r>
      <w:r w:rsidR="00D336F6">
        <w:rPr>
          <w:rFonts w:ascii="Garamond" w:hAnsi="Garamond" w:cs="Times New Roman"/>
          <w:color w:val="000000"/>
          <w:sz w:val="24"/>
          <w:szCs w:val="24"/>
          <w:lang w:val="sq-AL"/>
        </w:rPr>
        <w:t>ë</w:t>
      </w:r>
      <w:r w:rsidRPr="00407705">
        <w:rPr>
          <w:rFonts w:ascii="Garamond" w:hAnsi="Garamond" w:cs="Times New Roman"/>
          <w:color w:val="000000"/>
          <w:sz w:val="24"/>
          <w:szCs w:val="24"/>
          <w:lang w:val="sq-AL"/>
        </w:rPr>
        <w:t xml:space="preserve"> gjyqësori dhe as autoritetet </w:t>
      </w:r>
      <w:r w:rsidR="003B2BA9" w:rsidRPr="00407705">
        <w:rPr>
          <w:rFonts w:ascii="Garamond" w:hAnsi="Garamond" w:cs="Times New Roman"/>
          <w:color w:val="000000"/>
          <w:sz w:val="24"/>
          <w:szCs w:val="24"/>
          <w:lang w:val="sq-AL"/>
        </w:rPr>
        <w:t xml:space="preserve">shtetërore </w:t>
      </w:r>
      <w:r w:rsidRPr="00407705">
        <w:rPr>
          <w:rFonts w:ascii="Garamond" w:hAnsi="Garamond" w:cs="Times New Roman"/>
          <w:color w:val="000000"/>
          <w:sz w:val="24"/>
          <w:szCs w:val="24"/>
          <w:lang w:val="sq-AL"/>
        </w:rPr>
        <w:t xml:space="preserve">në përgjithësi nuk mund t’i zgjidhnin në një afat të shkurtër. </w:t>
      </w:r>
    </w:p>
    <w:p w14:paraId="69AB0DCA" w14:textId="33F13C3D"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10. Në rrethana të tjera, më herët, Gjykata kishte treguar një qasje shumë më të kujdesshme ndaj problemeve konkrete</w:t>
      </w:r>
      <w:r w:rsidR="003B2BA9">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me të cilat do të duhej të përballej një shtet i vogël</w:t>
      </w:r>
      <w:r w:rsidR="003B2BA9">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pas ndërmarrjes së reformave të thella gjyqësore (shih, për shembull, </w:t>
      </w:r>
      <w:r w:rsidRPr="00407705">
        <w:rPr>
          <w:rFonts w:ascii="Garamond" w:hAnsi="Garamond" w:cs="Times New Roman"/>
          <w:i/>
          <w:iCs/>
          <w:color w:val="000000"/>
          <w:sz w:val="24"/>
          <w:szCs w:val="24"/>
          <w:lang w:val="sq-AL"/>
        </w:rPr>
        <w:t>P.H. kundër Irlandës</w:t>
      </w:r>
      <w:r w:rsidRPr="00407705">
        <w:rPr>
          <w:rFonts w:ascii="Garamond" w:hAnsi="Garamond" w:cs="Times New Roman"/>
          <w:color w:val="000000"/>
          <w:sz w:val="24"/>
          <w:szCs w:val="24"/>
          <w:lang w:val="sq-AL"/>
        </w:rPr>
        <w:t xml:space="preserve"> (vendim), [Komisioni], nr. 45046/46, 10 tetor 2017, ku Gjykata i shprehu konsiderata autoriteteve irlandeze, të cilat të përballura me një numër serioz të çështjeve të prapambetura dhe një periudhë mesatarisht rreth tridhjetë e katër muaj për trajtimin e një ankimi nga Gjykata e Lartë në Gjykatën Supreme, e kishin ndryshuar ndjeshëm sistemin ligjor kombëtar</w:t>
      </w:r>
      <w:r w:rsidR="003B2BA9">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duke krijuar një Gjykatë Apeli, dhe ajo që ishte më e rëndësishmja, i mori në konsideratë ato vështirësi teksa vlerësoi kohëzgjatjen e përgjithshme të procedurave për të cilat ankohej kërkuesi). </w:t>
      </w:r>
    </w:p>
    <w:p w14:paraId="69AB0DCB" w14:textId="48A0B81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705">
        <w:rPr>
          <w:rFonts w:ascii="Garamond" w:hAnsi="Garamond" w:cs="Times New Roman"/>
          <w:color w:val="000000"/>
          <w:sz w:val="24"/>
          <w:szCs w:val="24"/>
          <w:lang w:val="sq-AL"/>
        </w:rPr>
        <w:t xml:space="preserve">11. Si pasojë, pa neglizhuar dobësitë </w:t>
      </w:r>
      <w:r w:rsidRPr="00407705">
        <w:rPr>
          <w:rFonts w:ascii="Garamond" w:hAnsi="Garamond" w:cs="Times New Roman"/>
          <w:i/>
          <w:iCs/>
          <w:color w:val="000000"/>
          <w:sz w:val="24"/>
          <w:szCs w:val="24"/>
          <w:lang w:val="sq-AL"/>
        </w:rPr>
        <w:t xml:space="preserve">përpara </w:t>
      </w:r>
      <w:r w:rsidRPr="00407705">
        <w:rPr>
          <w:rFonts w:ascii="Garamond" w:hAnsi="Garamond" w:cs="Times New Roman"/>
          <w:color w:val="000000"/>
          <w:sz w:val="24"/>
          <w:szCs w:val="24"/>
          <w:lang w:val="sq-AL"/>
        </w:rPr>
        <w:t xml:space="preserve">se procesi i </w:t>
      </w:r>
      <w:r w:rsidR="00654098" w:rsidRPr="00407705">
        <w:rPr>
          <w:rFonts w:ascii="Garamond" w:hAnsi="Garamond" w:cs="Times New Roman"/>
          <w:i/>
          <w:color w:val="000000"/>
          <w:sz w:val="24"/>
          <w:szCs w:val="24"/>
          <w:lang w:val="sq-AL"/>
        </w:rPr>
        <w:t>vetting</w:t>
      </w:r>
      <w:r w:rsidR="00654098" w:rsidRPr="00407705">
        <w:rPr>
          <w:rFonts w:ascii="Garamond" w:hAnsi="Garamond" w:cs="Times New Roman"/>
          <w:color w:val="000000"/>
          <w:sz w:val="24"/>
          <w:szCs w:val="24"/>
          <w:lang w:val="sq-AL"/>
        </w:rPr>
        <w:t>-ut</w:t>
      </w:r>
      <w:r w:rsidR="0054754A" w:rsidRPr="00407705">
        <w:rPr>
          <w:rFonts w:ascii="Garamond" w:hAnsi="Garamond" w:cs="Times New Roman"/>
          <w:color w:val="000000"/>
          <w:sz w:val="24"/>
          <w:szCs w:val="24"/>
          <w:lang w:val="sq-AL"/>
        </w:rPr>
        <w:t xml:space="preserve"> </w:t>
      </w:r>
      <w:r w:rsidRPr="00407705">
        <w:rPr>
          <w:rFonts w:ascii="Garamond" w:hAnsi="Garamond" w:cs="Times New Roman"/>
          <w:color w:val="000000"/>
          <w:sz w:val="24"/>
          <w:szCs w:val="24"/>
          <w:lang w:val="sq-AL"/>
        </w:rPr>
        <w:t xml:space="preserve">të prodhonte efektet e tij dramatike në gjyqësor, vendimi mund të shkonte përtej marrjes në konsideratë modestisht të vështirësive të shkaktuara nga procesi i </w:t>
      </w:r>
      <w:r w:rsidR="00654098" w:rsidRPr="00407705">
        <w:rPr>
          <w:rFonts w:ascii="Garamond" w:hAnsi="Garamond" w:cs="Times New Roman"/>
          <w:i/>
          <w:color w:val="000000"/>
          <w:sz w:val="24"/>
          <w:szCs w:val="24"/>
          <w:lang w:val="sq-AL"/>
        </w:rPr>
        <w:t>vetting</w:t>
      </w:r>
      <w:r w:rsidR="00654098" w:rsidRPr="00407705">
        <w:rPr>
          <w:rFonts w:ascii="Garamond" w:hAnsi="Garamond" w:cs="Times New Roman"/>
          <w:color w:val="000000"/>
          <w:sz w:val="24"/>
          <w:szCs w:val="24"/>
          <w:lang w:val="sq-AL"/>
        </w:rPr>
        <w:t>-ut</w:t>
      </w:r>
      <w:r w:rsidR="0054754A" w:rsidRPr="00407705">
        <w:rPr>
          <w:rFonts w:ascii="Garamond" w:hAnsi="Garamond" w:cs="Times New Roman"/>
          <w:color w:val="000000"/>
          <w:sz w:val="24"/>
          <w:szCs w:val="24"/>
          <w:lang w:val="sq-AL"/>
        </w:rPr>
        <w:t xml:space="preserve"> </w:t>
      </w:r>
      <w:r w:rsidRPr="00407705">
        <w:rPr>
          <w:rFonts w:ascii="Garamond" w:hAnsi="Garamond" w:cs="Times New Roman"/>
          <w:color w:val="000000"/>
          <w:sz w:val="24"/>
          <w:szCs w:val="24"/>
          <w:lang w:val="sq-AL"/>
        </w:rPr>
        <w:t>dhe ta hiqte periudhën përkatëse – në vend që ta vlerësonte</w:t>
      </w:r>
      <w:r w:rsidR="003B2BA9">
        <w:rPr>
          <w:rFonts w:ascii="Garamond" w:hAnsi="Garamond" w:cs="Times New Roman"/>
          <w:color w:val="000000"/>
          <w:sz w:val="24"/>
          <w:szCs w:val="24"/>
          <w:lang w:val="sq-AL"/>
        </w:rPr>
        <w:t>,</w:t>
      </w:r>
      <w:r w:rsidRPr="00407705">
        <w:rPr>
          <w:rFonts w:ascii="Garamond" w:hAnsi="Garamond" w:cs="Times New Roman"/>
          <w:color w:val="000000"/>
          <w:sz w:val="24"/>
          <w:szCs w:val="24"/>
          <w:lang w:val="sq-AL"/>
        </w:rPr>
        <w:t xml:space="preserve"> në mënyrë të konsoliduar (shih paragrafin 65 të vendimit) – nga vonesa e përgjithshme me të cilën u deshën që të përballeshin dy kërkuesit. </w:t>
      </w:r>
    </w:p>
    <w:p w14:paraId="69AB0DCC" w14:textId="77777777" w:rsidR="009A0255" w:rsidRPr="00407705" w:rsidRDefault="009A0255" w:rsidP="009A0255">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9AB0DCD" w14:textId="77777777" w:rsidR="009A0255" w:rsidRPr="00407705" w:rsidRDefault="009A0255" w:rsidP="009A0255">
      <w:pPr>
        <w:pStyle w:val="JuPara"/>
        <w:ind w:firstLine="284"/>
        <w:jc w:val="center"/>
        <w:rPr>
          <w:rFonts w:ascii="Garamond" w:hAnsi="Garamond" w:cstheme="minorHAnsi"/>
          <w:b/>
          <w:bCs/>
          <w:iCs/>
          <w:lang w:val="sq-AL"/>
        </w:rPr>
      </w:pPr>
      <w:r w:rsidRPr="00407705">
        <w:rPr>
          <w:rFonts w:ascii="Garamond" w:hAnsi="Garamond" w:cstheme="minorHAnsi"/>
          <w:bCs/>
          <w:iCs/>
          <w:lang w:val="sq-AL"/>
        </w:rPr>
        <w:t>SHTOJCË</w:t>
      </w:r>
    </w:p>
    <w:p w14:paraId="69AB0DCE" w14:textId="77777777" w:rsidR="009A0255" w:rsidRDefault="009A0255" w:rsidP="009A0255">
      <w:pPr>
        <w:pStyle w:val="JuPara"/>
        <w:ind w:firstLine="284"/>
        <w:rPr>
          <w:rFonts w:ascii="Garamond" w:hAnsi="Garamond" w:cstheme="minorHAnsi"/>
          <w:iCs/>
          <w:lang w:val="sq-AL"/>
        </w:rPr>
      </w:pPr>
      <w:r w:rsidRPr="00407705">
        <w:rPr>
          <w:rFonts w:ascii="Garamond" w:hAnsi="Garamond" w:cstheme="minorHAnsi"/>
          <w:iCs/>
          <w:lang w:val="sq-AL"/>
        </w:rPr>
        <w:t xml:space="preserve">Lista e kërkuesve: </w:t>
      </w:r>
    </w:p>
    <w:p w14:paraId="62095EA7" w14:textId="77777777" w:rsidR="00727E02" w:rsidRPr="00407705" w:rsidRDefault="00727E02" w:rsidP="009A0255">
      <w:pPr>
        <w:pStyle w:val="JuPara"/>
        <w:ind w:firstLine="284"/>
        <w:rPr>
          <w:rFonts w:ascii="Garamond" w:hAnsi="Garamond" w:cstheme="minorHAnsi"/>
          <w:iCs/>
          <w:lang w:val="sq-AL"/>
        </w:rPr>
      </w:pPr>
      <w:bookmarkStart w:id="0" w:name="_GoBack"/>
      <w:bookmarkEnd w:id="0"/>
    </w:p>
    <w:tbl>
      <w:tblPr>
        <w:tblStyle w:val="TableGrid"/>
        <w:tblW w:w="0" w:type="auto"/>
        <w:jc w:val="center"/>
        <w:tblLook w:val="04A0" w:firstRow="1" w:lastRow="0" w:firstColumn="1" w:lastColumn="0" w:noHBand="0" w:noVBand="1"/>
      </w:tblPr>
      <w:tblGrid>
        <w:gridCol w:w="506"/>
        <w:gridCol w:w="1589"/>
        <w:gridCol w:w="1239"/>
        <w:gridCol w:w="1175"/>
        <w:gridCol w:w="1064"/>
        <w:gridCol w:w="1262"/>
      </w:tblGrid>
      <w:tr w:rsidR="009A0255" w:rsidRPr="0081199D" w14:paraId="69AB0DD5" w14:textId="77777777" w:rsidTr="0081199D">
        <w:trPr>
          <w:jc w:val="center"/>
        </w:trPr>
        <w:tc>
          <w:tcPr>
            <w:tcW w:w="398" w:type="dxa"/>
          </w:tcPr>
          <w:p w14:paraId="69AB0DCF" w14:textId="77777777" w:rsidR="009A0255" w:rsidRPr="0081199D" w:rsidRDefault="009A0255" w:rsidP="009A0255">
            <w:pPr>
              <w:pStyle w:val="JuPara"/>
              <w:widowControl w:val="0"/>
              <w:rPr>
                <w:rFonts w:ascii="Garamond" w:hAnsi="Garamond" w:cstheme="minorHAnsi"/>
                <w:b/>
                <w:bCs/>
                <w:iCs/>
                <w:sz w:val="20"/>
                <w:szCs w:val="20"/>
              </w:rPr>
            </w:pPr>
            <w:r w:rsidRPr="0081199D">
              <w:rPr>
                <w:rFonts w:ascii="Garamond" w:hAnsi="Garamond" w:cstheme="minorHAnsi"/>
                <w:b/>
                <w:bCs/>
                <w:iCs/>
                <w:sz w:val="20"/>
                <w:szCs w:val="20"/>
              </w:rPr>
              <w:t xml:space="preserve">Nr. </w:t>
            </w:r>
          </w:p>
        </w:tc>
        <w:tc>
          <w:tcPr>
            <w:tcW w:w="0" w:type="auto"/>
          </w:tcPr>
          <w:p w14:paraId="69AB0DD0" w14:textId="77777777" w:rsidR="009A0255" w:rsidRPr="0081199D" w:rsidRDefault="009A0255" w:rsidP="009A0255">
            <w:pPr>
              <w:pStyle w:val="JuPara"/>
              <w:widowControl w:val="0"/>
              <w:rPr>
                <w:rFonts w:ascii="Garamond" w:hAnsi="Garamond" w:cstheme="minorHAnsi"/>
                <w:b/>
                <w:bCs/>
                <w:iCs/>
                <w:sz w:val="20"/>
                <w:szCs w:val="20"/>
              </w:rPr>
            </w:pPr>
            <w:r w:rsidRPr="0081199D">
              <w:rPr>
                <w:rFonts w:ascii="Garamond" w:hAnsi="Garamond" w:cstheme="minorHAnsi"/>
                <w:b/>
                <w:bCs/>
                <w:iCs/>
                <w:sz w:val="20"/>
                <w:szCs w:val="20"/>
              </w:rPr>
              <w:t xml:space="preserve">Emri i kërkuesit </w:t>
            </w:r>
          </w:p>
        </w:tc>
        <w:tc>
          <w:tcPr>
            <w:tcW w:w="0" w:type="auto"/>
          </w:tcPr>
          <w:p w14:paraId="69AB0DD1" w14:textId="77777777" w:rsidR="009A0255" w:rsidRPr="0081199D" w:rsidRDefault="009A0255" w:rsidP="009A0255">
            <w:pPr>
              <w:pStyle w:val="JuPara"/>
              <w:widowControl w:val="0"/>
              <w:rPr>
                <w:rFonts w:ascii="Garamond" w:hAnsi="Garamond" w:cstheme="minorHAnsi"/>
                <w:b/>
                <w:bCs/>
                <w:iCs/>
                <w:sz w:val="20"/>
                <w:szCs w:val="20"/>
              </w:rPr>
            </w:pPr>
            <w:r w:rsidRPr="0081199D">
              <w:rPr>
                <w:rFonts w:ascii="Garamond" w:hAnsi="Garamond" w:cstheme="minorHAnsi"/>
                <w:b/>
                <w:bCs/>
                <w:iCs/>
                <w:sz w:val="20"/>
                <w:szCs w:val="20"/>
              </w:rPr>
              <w:t>Viti i lindjes</w:t>
            </w:r>
          </w:p>
        </w:tc>
        <w:tc>
          <w:tcPr>
            <w:tcW w:w="0" w:type="auto"/>
          </w:tcPr>
          <w:p w14:paraId="69AB0DD2" w14:textId="77777777" w:rsidR="009A0255" w:rsidRPr="0081199D" w:rsidRDefault="009A0255" w:rsidP="009A0255">
            <w:pPr>
              <w:pStyle w:val="JuPara"/>
              <w:widowControl w:val="0"/>
              <w:rPr>
                <w:rFonts w:ascii="Garamond" w:hAnsi="Garamond" w:cstheme="minorHAnsi"/>
                <w:b/>
                <w:bCs/>
                <w:iCs/>
                <w:sz w:val="20"/>
                <w:szCs w:val="20"/>
              </w:rPr>
            </w:pPr>
            <w:r w:rsidRPr="0081199D">
              <w:rPr>
                <w:rFonts w:ascii="Garamond" w:hAnsi="Garamond" w:cstheme="minorHAnsi"/>
                <w:b/>
                <w:bCs/>
                <w:iCs/>
                <w:sz w:val="20"/>
                <w:szCs w:val="20"/>
              </w:rPr>
              <w:t xml:space="preserve">Kërkesa nr. </w:t>
            </w:r>
          </w:p>
        </w:tc>
        <w:tc>
          <w:tcPr>
            <w:tcW w:w="0" w:type="auto"/>
          </w:tcPr>
          <w:p w14:paraId="69AB0DD3" w14:textId="77777777" w:rsidR="009A0255" w:rsidRPr="0081199D" w:rsidRDefault="009A0255" w:rsidP="009A0255">
            <w:pPr>
              <w:pStyle w:val="JuPara"/>
              <w:widowControl w:val="0"/>
              <w:rPr>
                <w:rFonts w:ascii="Garamond" w:hAnsi="Garamond" w:cstheme="minorHAnsi"/>
                <w:b/>
                <w:bCs/>
                <w:iCs/>
                <w:sz w:val="20"/>
                <w:szCs w:val="20"/>
              </w:rPr>
            </w:pPr>
            <w:r w:rsidRPr="0081199D">
              <w:rPr>
                <w:rFonts w:ascii="Garamond" w:hAnsi="Garamond" w:cstheme="minorHAnsi"/>
                <w:b/>
                <w:bCs/>
                <w:iCs/>
                <w:sz w:val="20"/>
                <w:szCs w:val="20"/>
              </w:rPr>
              <w:t xml:space="preserve">Kombësia </w:t>
            </w:r>
          </w:p>
        </w:tc>
        <w:tc>
          <w:tcPr>
            <w:tcW w:w="0" w:type="auto"/>
          </w:tcPr>
          <w:p w14:paraId="69AB0DD4" w14:textId="77777777" w:rsidR="009A0255" w:rsidRPr="0081199D" w:rsidRDefault="009A0255" w:rsidP="009A0255">
            <w:pPr>
              <w:pStyle w:val="JuPara"/>
              <w:widowControl w:val="0"/>
              <w:rPr>
                <w:rFonts w:ascii="Garamond" w:hAnsi="Garamond" w:cstheme="minorHAnsi"/>
                <w:b/>
                <w:bCs/>
                <w:iCs/>
                <w:sz w:val="20"/>
                <w:szCs w:val="20"/>
              </w:rPr>
            </w:pPr>
            <w:r w:rsidRPr="0081199D">
              <w:rPr>
                <w:rFonts w:ascii="Garamond" w:hAnsi="Garamond" w:cstheme="minorHAnsi"/>
                <w:b/>
                <w:bCs/>
                <w:iCs/>
                <w:sz w:val="20"/>
                <w:szCs w:val="20"/>
              </w:rPr>
              <w:t xml:space="preserve">Vendbanimi </w:t>
            </w:r>
          </w:p>
        </w:tc>
      </w:tr>
      <w:tr w:rsidR="009A0255" w:rsidRPr="0081199D" w14:paraId="69AB0DDC" w14:textId="77777777" w:rsidTr="0081199D">
        <w:trPr>
          <w:jc w:val="center"/>
        </w:trPr>
        <w:tc>
          <w:tcPr>
            <w:tcW w:w="398" w:type="dxa"/>
          </w:tcPr>
          <w:p w14:paraId="69AB0DD6" w14:textId="77777777" w:rsidR="009A0255" w:rsidRPr="0081199D" w:rsidRDefault="009A0255" w:rsidP="0054754A">
            <w:pPr>
              <w:pStyle w:val="JuPara"/>
              <w:widowControl w:val="0"/>
              <w:jc w:val="right"/>
              <w:rPr>
                <w:rFonts w:ascii="Garamond" w:hAnsi="Garamond" w:cstheme="minorHAnsi"/>
                <w:iCs/>
                <w:sz w:val="20"/>
                <w:szCs w:val="20"/>
              </w:rPr>
            </w:pPr>
            <w:r w:rsidRPr="0081199D">
              <w:rPr>
                <w:rFonts w:ascii="Garamond" w:hAnsi="Garamond" w:cstheme="minorHAnsi"/>
                <w:iCs/>
                <w:sz w:val="20"/>
                <w:szCs w:val="20"/>
              </w:rPr>
              <w:t>1</w:t>
            </w:r>
          </w:p>
        </w:tc>
        <w:tc>
          <w:tcPr>
            <w:tcW w:w="0" w:type="auto"/>
          </w:tcPr>
          <w:p w14:paraId="69AB0DD7" w14:textId="4BE36C18" w:rsidR="009A0255" w:rsidRPr="0081199D" w:rsidRDefault="009A0255" w:rsidP="009A0255">
            <w:pPr>
              <w:pStyle w:val="JuPara"/>
              <w:widowControl w:val="0"/>
              <w:rPr>
                <w:rFonts w:ascii="Garamond" w:hAnsi="Garamond" w:cstheme="minorHAnsi"/>
                <w:iCs/>
                <w:sz w:val="20"/>
                <w:szCs w:val="20"/>
              </w:rPr>
            </w:pPr>
            <w:r w:rsidRPr="0081199D">
              <w:rPr>
                <w:rFonts w:ascii="Garamond" w:hAnsi="Garamond" w:cstheme="minorHAnsi"/>
                <w:iCs/>
                <w:sz w:val="20"/>
                <w:szCs w:val="20"/>
              </w:rPr>
              <w:t xml:space="preserve">Petrit </w:t>
            </w:r>
            <w:r w:rsidR="0054754A" w:rsidRPr="0081199D">
              <w:rPr>
                <w:rFonts w:ascii="Garamond" w:hAnsi="Garamond" w:cstheme="minorHAnsi"/>
                <w:iCs/>
                <w:sz w:val="20"/>
                <w:szCs w:val="20"/>
              </w:rPr>
              <w:t>Bara</w:t>
            </w:r>
          </w:p>
        </w:tc>
        <w:tc>
          <w:tcPr>
            <w:tcW w:w="0" w:type="auto"/>
          </w:tcPr>
          <w:p w14:paraId="69AB0DD8" w14:textId="77777777" w:rsidR="009A0255" w:rsidRPr="0081199D" w:rsidRDefault="009A0255" w:rsidP="003B2BA9">
            <w:pPr>
              <w:pStyle w:val="JuPara"/>
              <w:widowControl w:val="0"/>
              <w:jc w:val="right"/>
              <w:rPr>
                <w:rFonts w:ascii="Garamond" w:hAnsi="Garamond" w:cstheme="minorHAnsi"/>
                <w:iCs/>
                <w:sz w:val="20"/>
                <w:szCs w:val="20"/>
              </w:rPr>
            </w:pPr>
            <w:r w:rsidRPr="0081199D">
              <w:rPr>
                <w:rFonts w:ascii="Garamond" w:hAnsi="Garamond" w:cstheme="minorHAnsi"/>
                <w:iCs/>
                <w:sz w:val="20"/>
                <w:szCs w:val="20"/>
              </w:rPr>
              <w:t>1953</w:t>
            </w:r>
          </w:p>
        </w:tc>
        <w:tc>
          <w:tcPr>
            <w:tcW w:w="0" w:type="auto"/>
          </w:tcPr>
          <w:p w14:paraId="69AB0DD9" w14:textId="77777777" w:rsidR="009A0255" w:rsidRPr="0081199D" w:rsidRDefault="009A0255" w:rsidP="003B2BA9">
            <w:pPr>
              <w:pStyle w:val="JuPara"/>
              <w:widowControl w:val="0"/>
              <w:jc w:val="right"/>
              <w:rPr>
                <w:rFonts w:ascii="Garamond" w:hAnsi="Garamond" w:cstheme="minorHAnsi"/>
                <w:iCs/>
                <w:sz w:val="20"/>
                <w:szCs w:val="20"/>
              </w:rPr>
            </w:pPr>
            <w:r w:rsidRPr="0081199D">
              <w:rPr>
                <w:rFonts w:ascii="Garamond" w:hAnsi="Garamond" w:cstheme="minorHAnsi"/>
                <w:iCs/>
                <w:sz w:val="20"/>
                <w:szCs w:val="20"/>
              </w:rPr>
              <w:t>43391/18</w:t>
            </w:r>
          </w:p>
        </w:tc>
        <w:tc>
          <w:tcPr>
            <w:tcW w:w="0" w:type="auto"/>
          </w:tcPr>
          <w:p w14:paraId="69AB0DDA" w14:textId="77777777" w:rsidR="009A0255" w:rsidRPr="0081199D" w:rsidRDefault="009A0255" w:rsidP="009A0255">
            <w:pPr>
              <w:pStyle w:val="JuPara"/>
              <w:widowControl w:val="0"/>
              <w:rPr>
                <w:rFonts w:ascii="Garamond" w:hAnsi="Garamond" w:cstheme="minorHAnsi"/>
                <w:iCs/>
                <w:sz w:val="20"/>
                <w:szCs w:val="20"/>
              </w:rPr>
            </w:pPr>
            <w:r w:rsidRPr="0081199D">
              <w:rPr>
                <w:rFonts w:ascii="Garamond" w:hAnsi="Garamond" w:cstheme="minorHAnsi"/>
                <w:iCs/>
                <w:sz w:val="20"/>
                <w:szCs w:val="20"/>
              </w:rPr>
              <w:t xml:space="preserve">Shqiptar </w:t>
            </w:r>
          </w:p>
        </w:tc>
        <w:tc>
          <w:tcPr>
            <w:tcW w:w="0" w:type="auto"/>
          </w:tcPr>
          <w:p w14:paraId="69AB0DDB" w14:textId="5B6A0514" w:rsidR="009A0255" w:rsidRPr="0081199D" w:rsidRDefault="0054754A" w:rsidP="009A0255">
            <w:pPr>
              <w:pStyle w:val="JuPara"/>
              <w:widowControl w:val="0"/>
              <w:rPr>
                <w:rFonts w:ascii="Garamond" w:hAnsi="Garamond" w:cstheme="minorHAnsi"/>
                <w:iCs/>
                <w:sz w:val="20"/>
                <w:szCs w:val="20"/>
              </w:rPr>
            </w:pPr>
            <w:r w:rsidRPr="0081199D">
              <w:rPr>
                <w:rFonts w:ascii="Garamond" w:hAnsi="Garamond" w:cstheme="minorHAnsi"/>
                <w:iCs/>
                <w:sz w:val="20"/>
                <w:szCs w:val="20"/>
              </w:rPr>
              <w:t>Tiranë</w:t>
            </w:r>
          </w:p>
        </w:tc>
      </w:tr>
      <w:tr w:rsidR="009A0255" w:rsidRPr="0081199D" w14:paraId="69AB0DE3" w14:textId="77777777" w:rsidTr="0081199D">
        <w:trPr>
          <w:jc w:val="center"/>
        </w:trPr>
        <w:tc>
          <w:tcPr>
            <w:tcW w:w="398" w:type="dxa"/>
          </w:tcPr>
          <w:p w14:paraId="69AB0DDD" w14:textId="77777777" w:rsidR="009A0255" w:rsidRPr="0081199D" w:rsidRDefault="009A0255" w:rsidP="0054754A">
            <w:pPr>
              <w:pStyle w:val="JuPara"/>
              <w:widowControl w:val="0"/>
              <w:jc w:val="right"/>
              <w:rPr>
                <w:rFonts w:ascii="Garamond" w:hAnsi="Garamond" w:cstheme="minorHAnsi"/>
                <w:iCs/>
                <w:sz w:val="20"/>
                <w:szCs w:val="20"/>
              </w:rPr>
            </w:pPr>
            <w:r w:rsidRPr="0081199D">
              <w:rPr>
                <w:rFonts w:ascii="Garamond" w:hAnsi="Garamond" w:cstheme="minorHAnsi"/>
                <w:iCs/>
                <w:sz w:val="20"/>
                <w:szCs w:val="20"/>
              </w:rPr>
              <w:t>2</w:t>
            </w:r>
          </w:p>
        </w:tc>
        <w:tc>
          <w:tcPr>
            <w:tcW w:w="0" w:type="auto"/>
          </w:tcPr>
          <w:p w14:paraId="69AB0DDE" w14:textId="3A1502D9" w:rsidR="009A0255" w:rsidRPr="0081199D" w:rsidRDefault="009A0255" w:rsidP="009A0255">
            <w:pPr>
              <w:pStyle w:val="JuPara"/>
              <w:widowControl w:val="0"/>
              <w:rPr>
                <w:rFonts w:ascii="Garamond" w:hAnsi="Garamond" w:cstheme="minorHAnsi"/>
                <w:iCs/>
                <w:sz w:val="20"/>
                <w:szCs w:val="20"/>
              </w:rPr>
            </w:pPr>
            <w:r w:rsidRPr="0081199D">
              <w:rPr>
                <w:rFonts w:ascii="Garamond" w:hAnsi="Garamond" w:cstheme="minorHAnsi"/>
                <w:iCs/>
                <w:sz w:val="20"/>
                <w:szCs w:val="20"/>
              </w:rPr>
              <w:t xml:space="preserve">Eduard </w:t>
            </w:r>
            <w:r w:rsidR="0054754A" w:rsidRPr="0081199D">
              <w:rPr>
                <w:rFonts w:ascii="Garamond" w:hAnsi="Garamond" w:cstheme="minorHAnsi"/>
                <w:iCs/>
                <w:sz w:val="20"/>
                <w:szCs w:val="20"/>
              </w:rPr>
              <w:t>Kola</w:t>
            </w:r>
          </w:p>
        </w:tc>
        <w:tc>
          <w:tcPr>
            <w:tcW w:w="0" w:type="auto"/>
          </w:tcPr>
          <w:p w14:paraId="69AB0DDF" w14:textId="77777777" w:rsidR="009A0255" w:rsidRPr="0081199D" w:rsidRDefault="009A0255" w:rsidP="003B2BA9">
            <w:pPr>
              <w:pStyle w:val="JuPara"/>
              <w:widowControl w:val="0"/>
              <w:jc w:val="right"/>
              <w:rPr>
                <w:rFonts w:ascii="Garamond" w:hAnsi="Garamond" w:cstheme="minorHAnsi"/>
                <w:iCs/>
                <w:sz w:val="20"/>
                <w:szCs w:val="20"/>
              </w:rPr>
            </w:pPr>
            <w:r w:rsidRPr="0081199D">
              <w:rPr>
                <w:rFonts w:ascii="Garamond" w:hAnsi="Garamond" w:cstheme="minorHAnsi"/>
                <w:iCs/>
                <w:sz w:val="20"/>
                <w:szCs w:val="20"/>
              </w:rPr>
              <w:t>1986</w:t>
            </w:r>
          </w:p>
        </w:tc>
        <w:tc>
          <w:tcPr>
            <w:tcW w:w="0" w:type="auto"/>
          </w:tcPr>
          <w:p w14:paraId="69AB0DE0" w14:textId="77777777" w:rsidR="009A0255" w:rsidRPr="0081199D" w:rsidRDefault="009A0255" w:rsidP="003B2BA9">
            <w:pPr>
              <w:pStyle w:val="JuPara"/>
              <w:widowControl w:val="0"/>
              <w:jc w:val="right"/>
              <w:rPr>
                <w:rFonts w:ascii="Garamond" w:hAnsi="Garamond" w:cstheme="minorHAnsi"/>
                <w:iCs/>
                <w:sz w:val="20"/>
                <w:szCs w:val="20"/>
              </w:rPr>
            </w:pPr>
            <w:r w:rsidRPr="0081199D">
              <w:rPr>
                <w:rFonts w:ascii="Garamond" w:hAnsi="Garamond" w:cstheme="minorHAnsi"/>
                <w:iCs/>
                <w:sz w:val="20"/>
                <w:szCs w:val="20"/>
              </w:rPr>
              <w:t>17766/19</w:t>
            </w:r>
          </w:p>
        </w:tc>
        <w:tc>
          <w:tcPr>
            <w:tcW w:w="0" w:type="auto"/>
          </w:tcPr>
          <w:p w14:paraId="69AB0DE1" w14:textId="77777777" w:rsidR="009A0255" w:rsidRPr="0081199D" w:rsidRDefault="009A0255" w:rsidP="009A0255">
            <w:pPr>
              <w:pStyle w:val="JuPara"/>
              <w:widowControl w:val="0"/>
              <w:rPr>
                <w:rFonts w:ascii="Garamond" w:hAnsi="Garamond" w:cstheme="minorHAnsi"/>
                <w:iCs/>
                <w:sz w:val="20"/>
                <w:szCs w:val="20"/>
              </w:rPr>
            </w:pPr>
            <w:r w:rsidRPr="0081199D">
              <w:rPr>
                <w:rFonts w:ascii="Garamond" w:hAnsi="Garamond" w:cstheme="minorHAnsi"/>
                <w:iCs/>
                <w:sz w:val="20"/>
                <w:szCs w:val="20"/>
              </w:rPr>
              <w:t xml:space="preserve">Shqiptar </w:t>
            </w:r>
          </w:p>
        </w:tc>
        <w:tc>
          <w:tcPr>
            <w:tcW w:w="0" w:type="auto"/>
          </w:tcPr>
          <w:p w14:paraId="69AB0DE2" w14:textId="48B61C6E" w:rsidR="009A0255" w:rsidRPr="0081199D" w:rsidRDefault="0054754A" w:rsidP="009A0255">
            <w:pPr>
              <w:pStyle w:val="JuPara"/>
              <w:widowControl w:val="0"/>
              <w:rPr>
                <w:rFonts w:ascii="Garamond" w:hAnsi="Garamond" w:cstheme="minorHAnsi"/>
                <w:iCs/>
                <w:sz w:val="20"/>
                <w:szCs w:val="20"/>
              </w:rPr>
            </w:pPr>
            <w:r w:rsidRPr="0081199D">
              <w:rPr>
                <w:rFonts w:ascii="Garamond" w:hAnsi="Garamond" w:cstheme="minorHAnsi"/>
                <w:iCs/>
                <w:sz w:val="20"/>
                <w:szCs w:val="20"/>
              </w:rPr>
              <w:t>Shkodër</w:t>
            </w:r>
          </w:p>
        </w:tc>
      </w:tr>
    </w:tbl>
    <w:p w14:paraId="69AB0DE4" w14:textId="77777777" w:rsidR="003C3138" w:rsidRPr="00407705" w:rsidRDefault="003C3138" w:rsidP="009A0255">
      <w:pPr>
        <w:pStyle w:val="JuPara"/>
        <w:ind w:firstLine="284"/>
        <w:rPr>
          <w:rFonts w:ascii="Garamond" w:hAnsi="Garamond"/>
          <w:lang w:val="sq-AL"/>
        </w:rPr>
      </w:pPr>
    </w:p>
    <w:sectPr w:rsidR="003C3138" w:rsidRPr="00407705" w:rsidSect="00260FFB">
      <w:footerReference w:type="default" r:id="rId13"/>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D0CE97" w14:textId="77777777" w:rsidR="007243A8" w:rsidRDefault="007243A8" w:rsidP="009A0255">
      <w:pPr>
        <w:spacing w:after="0" w:line="240" w:lineRule="auto"/>
      </w:pPr>
      <w:r>
        <w:separator/>
      </w:r>
    </w:p>
  </w:endnote>
  <w:endnote w:type="continuationSeparator" w:id="0">
    <w:p w14:paraId="08E8E37A" w14:textId="77777777" w:rsidR="007243A8" w:rsidRDefault="007243A8" w:rsidP="009A0255">
      <w:pPr>
        <w:spacing w:after="0" w:line="240" w:lineRule="auto"/>
      </w:pPr>
      <w:r>
        <w:continuationSeparator/>
      </w:r>
    </w:p>
  </w:endnote>
  <w:endnote w:type="continuationNotice" w:id="1">
    <w:p w14:paraId="5D084C49" w14:textId="77777777" w:rsidR="007243A8" w:rsidRDefault="007243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1902320"/>
      <w:docPartObj>
        <w:docPartGallery w:val="Page Numbers (Bottom of Page)"/>
        <w:docPartUnique/>
      </w:docPartObj>
    </w:sdtPr>
    <w:sdtEndPr>
      <w:rPr>
        <w:noProof/>
      </w:rPr>
    </w:sdtEndPr>
    <w:sdtContent>
      <w:p w14:paraId="1C1061A6" w14:textId="0B055B5E" w:rsidR="007243A8" w:rsidRDefault="007243A8">
        <w:pPr>
          <w:pStyle w:val="Footer"/>
          <w:jc w:val="center"/>
        </w:pPr>
        <w:r>
          <w:fldChar w:fldCharType="begin"/>
        </w:r>
        <w:r>
          <w:instrText xml:space="preserve"> PAGE   \* MERGEFORMAT </w:instrText>
        </w:r>
        <w:r>
          <w:fldChar w:fldCharType="separate"/>
        </w:r>
        <w:r w:rsidR="00727E02">
          <w:rPr>
            <w:noProof/>
          </w:rPr>
          <w:t>24</w:t>
        </w:r>
        <w:r>
          <w:rPr>
            <w:noProof/>
          </w:rPr>
          <w:fldChar w:fldCharType="end"/>
        </w:r>
      </w:p>
    </w:sdtContent>
  </w:sdt>
  <w:p w14:paraId="55F5174E" w14:textId="77777777" w:rsidR="007243A8" w:rsidRDefault="007243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D2886B" w14:textId="77777777" w:rsidR="007243A8" w:rsidRDefault="007243A8" w:rsidP="009A0255">
      <w:pPr>
        <w:spacing w:after="0" w:line="240" w:lineRule="auto"/>
      </w:pPr>
      <w:r>
        <w:separator/>
      </w:r>
    </w:p>
  </w:footnote>
  <w:footnote w:type="continuationSeparator" w:id="0">
    <w:p w14:paraId="0B7D7821" w14:textId="77777777" w:rsidR="007243A8" w:rsidRDefault="007243A8" w:rsidP="009A0255">
      <w:pPr>
        <w:spacing w:after="0" w:line="240" w:lineRule="auto"/>
      </w:pPr>
      <w:r>
        <w:continuationSeparator/>
      </w:r>
    </w:p>
  </w:footnote>
  <w:footnote w:type="continuationNotice" w:id="1">
    <w:p w14:paraId="3CC7DF6C" w14:textId="77777777" w:rsidR="007243A8" w:rsidRDefault="007243A8">
      <w:pPr>
        <w:spacing w:after="0" w:line="240" w:lineRule="auto"/>
      </w:pPr>
    </w:p>
  </w:footnote>
  <w:footnote w:id="2">
    <w:p w14:paraId="24FE8686" w14:textId="77777777" w:rsidR="007243A8" w:rsidRPr="00F6354A" w:rsidRDefault="007243A8" w:rsidP="00F6354A">
      <w:pPr>
        <w:autoSpaceDE w:val="0"/>
        <w:autoSpaceDN w:val="0"/>
        <w:adjustRightInd w:val="0"/>
        <w:spacing w:after="0" w:line="240" w:lineRule="auto"/>
        <w:jc w:val="both"/>
        <w:rPr>
          <w:rFonts w:ascii="Garamond" w:hAnsi="Garamond" w:cs="Times New Roman"/>
          <w:sz w:val="20"/>
          <w:szCs w:val="20"/>
          <w:lang w:val="sq-AL"/>
        </w:rPr>
      </w:pPr>
      <w:r w:rsidRPr="00F6354A">
        <w:rPr>
          <w:rStyle w:val="FootnoteReference"/>
          <w:lang w:val="sq-AL"/>
        </w:rPr>
        <w:footnoteRef/>
      </w:r>
      <w:r w:rsidRPr="00F6354A">
        <w:rPr>
          <w:lang w:val="sq-AL"/>
        </w:rPr>
        <w:t xml:space="preserve"> </w:t>
      </w:r>
      <w:r w:rsidRPr="00F6354A">
        <w:rPr>
          <w:rFonts w:ascii="Garamond" w:hAnsi="Garamond" w:cs="Times New Roman"/>
          <w:sz w:val="20"/>
          <w:szCs w:val="20"/>
          <w:lang w:val="sq-AL"/>
        </w:rPr>
        <w:t xml:space="preserve">Marrë nga një deklaratë për shtyp lëshuar nga Gjykata e Lartë më 21 mars 2013, e cila mund të aksesohet në: </w:t>
      </w:r>
    </w:p>
    <w:p w14:paraId="432E7DDB" w14:textId="4A4FC3F0" w:rsidR="007243A8" w:rsidRPr="00F6354A" w:rsidRDefault="007243A8" w:rsidP="00F6354A">
      <w:pPr>
        <w:autoSpaceDE w:val="0"/>
        <w:autoSpaceDN w:val="0"/>
        <w:adjustRightInd w:val="0"/>
        <w:spacing w:after="0" w:line="240" w:lineRule="auto"/>
        <w:jc w:val="both"/>
        <w:rPr>
          <w:rFonts w:ascii="Garamond" w:hAnsi="Garamond"/>
          <w:sz w:val="20"/>
          <w:szCs w:val="20"/>
          <w:lang w:val="sq-AL"/>
        </w:rPr>
      </w:pPr>
      <w:r w:rsidRPr="00F6354A">
        <w:rPr>
          <w:rFonts w:ascii="Garamond" w:hAnsi="Garamond" w:cs="Times New Roman"/>
          <w:sz w:val="20"/>
          <w:szCs w:val="20"/>
          <w:u w:val="single"/>
          <w:lang w:val="sq-AL"/>
        </w:rPr>
        <w:t>http://wwwgjykataelarte.gov.al.web/Kryetarja_eGjykates_se_Larte_Znj_Shpresa_Becaj_ka_mbledhur_diten_e_enjte_trupen_gjyqesore_te_Gjykates_se_Larte</w:t>
      </w:r>
    </w:p>
  </w:footnote>
  <w:footnote w:id="3">
    <w:p w14:paraId="0F458F59" w14:textId="77777777" w:rsidR="007243A8" w:rsidRPr="00F6354A" w:rsidRDefault="007243A8" w:rsidP="00F6354A">
      <w:pPr>
        <w:autoSpaceDE w:val="0"/>
        <w:autoSpaceDN w:val="0"/>
        <w:adjustRightInd w:val="0"/>
        <w:spacing w:after="0" w:line="240" w:lineRule="auto"/>
        <w:jc w:val="both"/>
        <w:rPr>
          <w:rFonts w:ascii="Garamond" w:hAnsi="Garamond" w:cs="Times New Roman"/>
          <w:sz w:val="20"/>
          <w:szCs w:val="20"/>
          <w:lang w:val="sq-AL"/>
        </w:rPr>
      </w:pPr>
      <w:r w:rsidRPr="00F6354A">
        <w:rPr>
          <w:rStyle w:val="FootnoteReference"/>
          <w:lang w:val="sq-AL"/>
        </w:rPr>
        <w:footnoteRef/>
      </w:r>
      <w:r w:rsidRPr="00F6354A">
        <w:rPr>
          <w:lang w:val="sq-AL"/>
        </w:rPr>
        <w:t xml:space="preserve"> </w:t>
      </w:r>
      <w:r w:rsidRPr="00F6354A">
        <w:rPr>
          <w:rFonts w:ascii="Garamond" w:hAnsi="Garamond" w:cs="Times New Roman"/>
          <w:sz w:val="20"/>
          <w:szCs w:val="20"/>
          <w:lang w:val="sq-AL"/>
        </w:rPr>
        <w:t xml:space="preserve">Marrë nga një deklaratë për shtyp lëshuar nga Gjykata e Lartë më 18 shkurt 2015, e cila mund të aksesohet në: </w:t>
      </w:r>
    </w:p>
    <w:p w14:paraId="1BAB6E0F" w14:textId="2085DBD8" w:rsidR="007243A8" w:rsidRPr="00F6354A" w:rsidRDefault="007243A8" w:rsidP="00F6354A">
      <w:pPr>
        <w:autoSpaceDE w:val="0"/>
        <w:autoSpaceDN w:val="0"/>
        <w:adjustRightInd w:val="0"/>
        <w:spacing w:after="0" w:line="240" w:lineRule="auto"/>
        <w:jc w:val="both"/>
        <w:rPr>
          <w:rFonts w:ascii="Garamond" w:hAnsi="Garamond"/>
          <w:sz w:val="20"/>
          <w:szCs w:val="20"/>
          <w:lang w:val="sq-AL"/>
        </w:rPr>
      </w:pPr>
      <w:r w:rsidRPr="00F6354A">
        <w:rPr>
          <w:rFonts w:ascii="Garamond" w:hAnsi="Garamond" w:cs="Times New Roman"/>
          <w:sz w:val="20"/>
          <w:szCs w:val="20"/>
          <w:u w:val="single"/>
          <w:lang w:val="sq-AL"/>
        </w:rPr>
        <w:t>http://www.gjykataelarte.gov.al/web/NJOFTIM_P_R__2475_1_php</w:t>
      </w:r>
    </w:p>
  </w:footnote>
  <w:footnote w:id="4">
    <w:p w14:paraId="0B2BC7EA" w14:textId="640F8ADA" w:rsidR="007243A8" w:rsidRPr="00F6354A" w:rsidRDefault="007243A8" w:rsidP="00F6354A">
      <w:pPr>
        <w:autoSpaceDE w:val="0"/>
        <w:autoSpaceDN w:val="0"/>
        <w:adjustRightInd w:val="0"/>
        <w:spacing w:after="0" w:line="240" w:lineRule="auto"/>
        <w:jc w:val="both"/>
        <w:rPr>
          <w:rFonts w:ascii="Garamond" w:hAnsi="Garamond" w:cs="Times New Roman"/>
          <w:sz w:val="20"/>
          <w:szCs w:val="20"/>
          <w:lang w:val="sq-AL"/>
        </w:rPr>
      </w:pPr>
      <w:r w:rsidRPr="00F6354A">
        <w:rPr>
          <w:rStyle w:val="FootnoteReference"/>
          <w:lang w:val="sq-AL"/>
        </w:rPr>
        <w:footnoteRef/>
      </w:r>
      <w:r w:rsidRPr="00F6354A">
        <w:rPr>
          <w:lang w:val="sq-AL"/>
        </w:rPr>
        <w:t xml:space="preserve"> </w:t>
      </w:r>
      <w:r w:rsidRPr="00F6354A">
        <w:rPr>
          <w:rFonts w:ascii="Garamond" w:hAnsi="Garamond" w:cs="Times New Roman"/>
          <w:sz w:val="20"/>
          <w:szCs w:val="20"/>
          <w:lang w:val="sq-AL"/>
        </w:rPr>
        <w:t xml:space="preserve">Progresraporti vjetor i Komisionit Evropian për Shqipërinë 2016 (SWD(2016) 364), faqe 60, i cili mund të gjendet në: </w:t>
      </w:r>
    </w:p>
    <w:p w14:paraId="6B646865" w14:textId="29A113AE" w:rsidR="007243A8" w:rsidRPr="00F6354A" w:rsidRDefault="007243A8" w:rsidP="00F6354A">
      <w:pPr>
        <w:pStyle w:val="FootnoteText"/>
        <w:jc w:val="both"/>
        <w:rPr>
          <w:lang w:val="sq-AL"/>
        </w:rPr>
      </w:pPr>
      <w:r w:rsidRPr="00F6354A">
        <w:rPr>
          <w:rFonts w:ascii="Garamond" w:hAnsi="Garamond"/>
          <w:u w:val="single"/>
          <w:lang w:val="sq-AL"/>
        </w:rPr>
        <w:t>https://ce.europa.eu/neighbourhoodenlargement/sites/near/files/pdf/key_documents/2016/20161109_report_albania.pdf</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0255"/>
    <w:rsid w:val="000002D1"/>
    <w:rsid w:val="000043B1"/>
    <w:rsid w:val="00014B59"/>
    <w:rsid w:val="000362ED"/>
    <w:rsid w:val="00060C92"/>
    <w:rsid w:val="00064244"/>
    <w:rsid w:val="00081217"/>
    <w:rsid w:val="000B6756"/>
    <w:rsid w:val="000C42F1"/>
    <w:rsid w:val="000D08D8"/>
    <w:rsid w:val="000D0958"/>
    <w:rsid w:val="000E6B9C"/>
    <w:rsid w:val="000F3007"/>
    <w:rsid w:val="00103147"/>
    <w:rsid w:val="00105FD6"/>
    <w:rsid w:val="001066EF"/>
    <w:rsid w:val="0012328F"/>
    <w:rsid w:val="001368F4"/>
    <w:rsid w:val="00144C01"/>
    <w:rsid w:val="00147963"/>
    <w:rsid w:val="00152A61"/>
    <w:rsid w:val="00156B75"/>
    <w:rsid w:val="00161BD1"/>
    <w:rsid w:val="001A1CC4"/>
    <w:rsid w:val="001C0540"/>
    <w:rsid w:val="001D62AE"/>
    <w:rsid w:val="001F5D20"/>
    <w:rsid w:val="00213E42"/>
    <w:rsid w:val="00214A0A"/>
    <w:rsid w:val="002224AE"/>
    <w:rsid w:val="00235025"/>
    <w:rsid w:val="00255DFB"/>
    <w:rsid w:val="00257E01"/>
    <w:rsid w:val="00260FFB"/>
    <w:rsid w:val="00261678"/>
    <w:rsid w:val="00275833"/>
    <w:rsid w:val="00277125"/>
    <w:rsid w:val="00283E3D"/>
    <w:rsid w:val="00284B62"/>
    <w:rsid w:val="002A586B"/>
    <w:rsid w:val="002B12C9"/>
    <w:rsid w:val="002C158A"/>
    <w:rsid w:val="002C3D59"/>
    <w:rsid w:val="002C45EF"/>
    <w:rsid w:val="00336249"/>
    <w:rsid w:val="00350BA1"/>
    <w:rsid w:val="00372D2A"/>
    <w:rsid w:val="00377521"/>
    <w:rsid w:val="00377C84"/>
    <w:rsid w:val="00393917"/>
    <w:rsid w:val="003A1188"/>
    <w:rsid w:val="003A473F"/>
    <w:rsid w:val="003B2BA9"/>
    <w:rsid w:val="003C3138"/>
    <w:rsid w:val="003E02B6"/>
    <w:rsid w:val="00403903"/>
    <w:rsid w:val="00407705"/>
    <w:rsid w:val="00426A8C"/>
    <w:rsid w:val="0046438E"/>
    <w:rsid w:val="004771BF"/>
    <w:rsid w:val="00495A8E"/>
    <w:rsid w:val="004C4634"/>
    <w:rsid w:val="004E01DA"/>
    <w:rsid w:val="00506B9A"/>
    <w:rsid w:val="00520FA5"/>
    <w:rsid w:val="0054754A"/>
    <w:rsid w:val="0056118B"/>
    <w:rsid w:val="0058059B"/>
    <w:rsid w:val="00587D33"/>
    <w:rsid w:val="005A3BD3"/>
    <w:rsid w:val="005C51A4"/>
    <w:rsid w:val="005E3E9C"/>
    <w:rsid w:val="0060639E"/>
    <w:rsid w:val="00621E76"/>
    <w:rsid w:val="00650F7A"/>
    <w:rsid w:val="00654098"/>
    <w:rsid w:val="00666777"/>
    <w:rsid w:val="00673EB9"/>
    <w:rsid w:val="00681C71"/>
    <w:rsid w:val="006921F9"/>
    <w:rsid w:val="006A0626"/>
    <w:rsid w:val="006A240B"/>
    <w:rsid w:val="006A72D7"/>
    <w:rsid w:val="006B7D86"/>
    <w:rsid w:val="006D4227"/>
    <w:rsid w:val="006E2791"/>
    <w:rsid w:val="007243A8"/>
    <w:rsid w:val="00727E02"/>
    <w:rsid w:val="00735A59"/>
    <w:rsid w:val="007479F3"/>
    <w:rsid w:val="00765733"/>
    <w:rsid w:val="00770145"/>
    <w:rsid w:val="00770F92"/>
    <w:rsid w:val="00774ECE"/>
    <w:rsid w:val="00796601"/>
    <w:rsid w:val="007B5985"/>
    <w:rsid w:val="007D39B1"/>
    <w:rsid w:val="007F75B2"/>
    <w:rsid w:val="0081199D"/>
    <w:rsid w:val="008123CF"/>
    <w:rsid w:val="00813A28"/>
    <w:rsid w:val="00830CBA"/>
    <w:rsid w:val="00837915"/>
    <w:rsid w:val="00862C23"/>
    <w:rsid w:val="00897B52"/>
    <w:rsid w:val="008E0F0C"/>
    <w:rsid w:val="00907CCF"/>
    <w:rsid w:val="0091015F"/>
    <w:rsid w:val="00915939"/>
    <w:rsid w:val="009161B7"/>
    <w:rsid w:val="0092696F"/>
    <w:rsid w:val="009663C2"/>
    <w:rsid w:val="0097583D"/>
    <w:rsid w:val="009A0255"/>
    <w:rsid w:val="009A0AF9"/>
    <w:rsid w:val="009B0200"/>
    <w:rsid w:val="009B21A8"/>
    <w:rsid w:val="009E6F74"/>
    <w:rsid w:val="00A031AA"/>
    <w:rsid w:val="00A04BA7"/>
    <w:rsid w:val="00A4255C"/>
    <w:rsid w:val="00A53364"/>
    <w:rsid w:val="00A7535F"/>
    <w:rsid w:val="00A86A13"/>
    <w:rsid w:val="00AA48AE"/>
    <w:rsid w:val="00AD30AC"/>
    <w:rsid w:val="00AE4547"/>
    <w:rsid w:val="00AF18CE"/>
    <w:rsid w:val="00B07489"/>
    <w:rsid w:val="00B17F6B"/>
    <w:rsid w:val="00B3268A"/>
    <w:rsid w:val="00B47622"/>
    <w:rsid w:val="00B635EA"/>
    <w:rsid w:val="00B66385"/>
    <w:rsid w:val="00BB05AC"/>
    <w:rsid w:val="00BD484A"/>
    <w:rsid w:val="00C0224C"/>
    <w:rsid w:val="00C213F4"/>
    <w:rsid w:val="00C3636A"/>
    <w:rsid w:val="00C570D2"/>
    <w:rsid w:val="00C57B21"/>
    <w:rsid w:val="00C73325"/>
    <w:rsid w:val="00CD40B6"/>
    <w:rsid w:val="00CF75F9"/>
    <w:rsid w:val="00CF7CAE"/>
    <w:rsid w:val="00D21F95"/>
    <w:rsid w:val="00D336F6"/>
    <w:rsid w:val="00D3626E"/>
    <w:rsid w:val="00D75D52"/>
    <w:rsid w:val="00D92E77"/>
    <w:rsid w:val="00D955C6"/>
    <w:rsid w:val="00DB48E5"/>
    <w:rsid w:val="00DC3286"/>
    <w:rsid w:val="00DC4ECB"/>
    <w:rsid w:val="00DD7CD8"/>
    <w:rsid w:val="00DE64EA"/>
    <w:rsid w:val="00E02110"/>
    <w:rsid w:val="00E12CB5"/>
    <w:rsid w:val="00E24565"/>
    <w:rsid w:val="00E52640"/>
    <w:rsid w:val="00E5444C"/>
    <w:rsid w:val="00E567B9"/>
    <w:rsid w:val="00E61693"/>
    <w:rsid w:val="00E87A6B"/>
    <w:rsid w:val="00E911EE"/>
    <w:rsid w:val="00ED6620"/>
    <w:rsid w:val="00EE19C3"/>
    <w:rsid w:val="00F01237"/>
    <w:rsid w:val="00F377AE"/>
    <w:rsid w:val="00F6354A"/>
    <w:rsid w:val="00F71474"/>
    <w:rsid w:val="00F81A67"/>
    <w:rsid w:val="00FA00E2"/>
    <w:rsid w:val="00FF47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B0C6A"/>
  <w15:docId w15:val="{6D343C17-E18E-467F-B799-DED96518D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8"/>
    <w:rsid w:val="009A0255"/>
    <w:pPr>
      <w:autoSpaceDE w:val="0"/>
      <w:autoSpaceDN w:val="0"/>
      <w:adjustRightInd w:val="0"/>
      <w:spacing w:after="0" w:line="240" w:lineRule="auto"/>
    </w:pPr>
    <w:rPr>
      <w:rFonts w:ascii="Times New Roman" w:hAnsi="Times New Roman" w:cs="Times New Roman"/>
      <w:color w:val="000000"/>
      <w:sz w:val="20"/>
      <w:szCs w:val="20"/>
    </w:rPr>
  </w:style>
  <w:style w:type="character" w:customStyle="1" w:styleId="FootnoteTextChar">
    <w:name w:val="Footnote Text Char"/>
    <w:basedOn w:val="DefaultParagraphFont"/>
    <w:link w:val="FootnoteText"/>
    <w:uiPriority w:val="98"/>
    <w:rsid w:val="009A0255"/>
    <w:rPr>
      <w:rFonts w:ascii="Times New Roman" w:hAnsi="Times New Roman" w:cs="Times New Roman"/>
      <w:color w:val="000000"/>
      <w:sz w:val="20"/>
      <w:szCs w:val="20"/>
    </w:rPr>
  </w:style>
  <w:style w:type="paragraph" w:styleId="NoSpacing">
    <w:name w:val="No Spacing"/>
    <w:basedOn w:val="Normal"/>
    <w:uiPriority w:val="99"/>
    <w:qFormat/>
    <w:rsid w:val="009A0255"/>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JuPara">
    <w:name w:val="Ju_Para"/>
    <w:aliases w:val="_Para"/>
    <w:basedOn w:val="Normal"/>
    <w:link w:val="JuParaChar"/>
    <w:uiPriority w:val="4"/>
    <w:qFormat/>
    <w:rsid w:val="009A0255"/>
    <w:pPr>
      <w:autoSpaceDE w:val="0"/>
      <w:autoSpaceDN w:val="0"/>
      <w:adjustRightInd w:val="0"/>
      <w:spacing w:after="0" w:line="240" w:lineRule="auto"/>
      <w:jc w:val="both"/>
    </w:pPr>
    <w:rPr>
      <w:rFonts w:ascii="Times New Roman" w:hAnsi="Times New Roman" w:cs="Times New Roman"/>
      <w:color w:val="000000"/>
      <w:sz w:val="24"/>
      <w:szCs w:val="24"/>
    </w:rPr>
  </w:style>
  <w:style w:type="paragraph" w:customStyle="1" w:styleId="DecHTitle">
    <w:name w:val="Dec_H_Title"/>
    <w:aliases w:val="_Title_1"/>
    <w:uiPriority w:val="99"/>
    <w:rsid w:val="009A0255"/>
    <w:pPr>
      <w:autoSpaceDE w:val="0"/>
      <w:autoSpaceDN w:val="0"/>
      <w:adjustRightInd w:val="0"/>
      <w:spacing w:after="0" w:line="240" w:lineRule="auto"/>
      <w:jc w:val="both"/>
    </w:pPr>
    <w:rPr>
      <w:rFonts w:ascii="Times New Roman" w:hAnsi="Times New Roman" w:cs="Times New Roman"/>
      <w:color w:val="000000"/>
      <w:sz w:val="24"/>
      <w:szCs w:val="24"/>
    </w:rPr>
  </w:style>
  <w:style w:type="character" w:styleId="FootnoteReference">
    <w:name w:val="footnote reference"/>
    <w:basedOn w:val="DefaultParagraphFont"/>
    <w:uiPriority w:val="99"/>
    <w:semiHidden/>
    <w:unhideWhenUsed/>
    <w:rsid w:val="009A0255"/>
    <w:rPr>
      <w:vertAlign w:val="superscript"/>
    </w:rPr>
  </w:style>
  <w:style w:type="table" w:styleId="TableGrid">
    <w:name w:val="Table Grid"/>
    <w:basedOn w:val="TableNormal"/>
    <w:uiPriority w:val="59"/>
    <w:rsid w:val="009A0255"/>
    <w:pPr>
      <w:spacing w:after="0" w:line="240" w:lineRule="auto"/>
    </w:pPr>
    <w:rPr>
      <w:rFonts w:eastAsiaTheme="minorEastAsia"/>
      <w:sz w:val="24"/>
      <w:szCs w:val="24"/>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JuParaChar">
    <w:name w:val="Ju_Para Char"/>
    <w:aliases w:val="_Para Char"/>
    <w:link w:val="JuPara"/>
    <w:uiPriority w:val="4"/>
    <w:rsid w:val="009A0255"/>
    <w:rPr>
      <w:rFonts w:ascii="Times New Roman" w:hAnsi="Times New Roman" w:cs="Times New Roman"/>
      <w:color w:val="000000"/>
      <w:sz w:val="24"/>
      <w:szCs w:val="24"/>
    </w:rPr>
  </w:style>
  <w:style w:type="paragraph" w:styleId="ListParagraph">
    <w:name w:val="List Paragraph"/>
    <w:basedOn w:val="Normal"/>
    <w:uiPriority w:val="34"/>
    <w:qFormat/>
    <w:rsid w:val="009A0255"/>
    <w:pPr>
      <w:ind w:left="720"/>
      <w:contextualSpacing/>
    </w:pPr>
  </w:style>
  <w:style w:type="paragraph" w:styleId="Header">
    <w:name w:val="header"/>
    <w:basedOn w:val="Normal"/>
    <w:link w:val="HeaderChar"/>
    <w:uiPriority w:val="99"/>
    <w:unhideWhenUsed/>
    <w:rsid w:val="00C733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3325"/>
  </w:style>
  <w:style w:type="paragraph" w:styleId="Footer">
    <w:name w:val="footer"/>
    <w:basedOn w:val="Normal"/>
    <w:link w:val="FooterChar"/>
    <w:uiPriority w:val="99"/>
    <w:unhideWhenUsed/>
    <w:rsid w:val="00C733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33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99988A9DD3CB4B83BC63364F11C3ADA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43391-18</Nr_x002e__x0020_akti>
    <Data_x0020_e_x0020_Krijimit xmlns="0e656187-b300-4fb0-8bf4-3a50f872073c">2022-04-04T12:07:45Z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2022-04-03T22:00:00Z</Date_x0020_protokolli>
    <Titulli xmlns="0e656187-b300-4fb0-8bf4-3a50f872073c">Kërkesat nr. 43391/18 dhe 17766/19, Çështja Bara dhe Kola kundër Shqipërisë</Titulli>
    <Modifikuesi xmlns="0e656187-b300-4fb0-8bf4-3a50f872073c">alma.lisaku</Modifikuesi>
    <Nr_x002e__x0020_prot_x0020_QBZ xmlns="0e656187-b300-4fb0-8bf4-3a50f872073c">504/1</Nr_x002e__x0020_prot_x0020_QBZ>
    <Data_x0020_e_x0020_Modifikimit xmlns="0e656187-b300-4fb0-8bf4-3a50f872073c">2022-04-05T10:24:20Z</Data_x0020_e_x0020_Modifikimit>
    <Dekretuar xmlns="0e656187-b300-4fb0-8bf4-3a50f872073c">false</Dekretuar>
    <Data xmlns="0e656187-b300-4fb0-8bf4-3a50f872073c">2022-02-27T23:00:00Z</Data>
    <Nr_x002e__x0020_protokolli_x0020_i_x0020_aktit xmlns="0e656187-b300-4fb0-8bf4-3a50f872073c">1505/1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9988A9DD3CB4B83BC63364F11C3ADA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6FC4D3-4C3D-4A5C-AF0F-19C70A11E78A}">
  <ds:schemaRefs>
    <ds:schemaRef ds:uri="http://schemas.microsoft.com/sharepoint/v3/contenttype/forms"/>
  </ds:schemaRefs>
</ds:datastoreItem>
</file>

<file path=customXml/itemProps2.xml><?xml version="1.0" encoding="utf-8"?>
<ds:datastoreItem xmlns:ds="http://schemas.openxmlformats.org/officeDocument/2006/customXml" ds:itemID="{4FE60EB0-3D2E-43A9-88EA-F02ADC88B9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B7EF3C2-3ABA-47E8-BE6E-8CFE195EA6EF}">
  <ds:schemaRefs>
    <ds:schemaRef ds:uri="http://purl.org/dc/dcmitype/"/>
    <ds:schemaRef ds:uri="http://www.w3.org/XML/1998/namespace"/>
    <ds:schemaRef ds:uri="http://schemas.openxmlformats.org/package/2006/metadata/core-properties"/>
    <ds:schemaRef ds:uri="0e656187-b300-4fb0-8bf4-3a50f872073c"/>
    <ds:schemaRef ds:uri="http://schemas.microsoft.com/office/2006/metadata/properties"/>
    <ds:schemaRef ds:uri="http://schemas.microsoft.com/office/2006/documentManagement/types"/>
    <ds:schemaRef ds:uri="http://purl.org/dc/terms/"/>
    <ds:schemaRef ds:uri="http://purl.org/dc/elements/1.1/"/>
  </ds:schemaRefs>
</ds:datastoreItem>
</file>

<file path=customXml/itemProps4.xml><?xml version="1.0" encoding="utf-8"?>
<ds:datastoreItem xmlns:ds="http://schemas.openxmlformats.org/officeDocument/2006/customXml" ds:itemID="{4FA89078-9894-4CBE-884F-0C510A4C7953}">
  <ds:schemaRefs>
    <ds:schemaRef ds:uri="http://schemas.microsoft.com/sharepoint/v3/contenttype/forms"/>
  </ds:schemaRefs>
</ds:datastoreItem>
</file>

<file path=customXml/itemProps5.xml><?xml version="1.0" encoding="utf-8"?>
<ds:datastoreItem xmlns:ds="http://schemas.openxmlformats.org/officeDocument/2006/customXml" ds:itemID="{F5399235-108C-4A72-B602-447CEDF7C5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38F9337-1266-41BF-8AAA-9B3CA4C57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24</Pages>
  <Words>12797</Words>
  <Characters>72949</Characters>
  <Application>Microsoft Office Word</Application>
  <DocSecurity>0</DocSecurity>
  <Lines>607</Lines>
  <Paragraphs>171</Paragraphs>
  <ScaleCrop>false</ScaleCrop>
  <HeadingPairs>
    <vt:vector size="2" baseType="variant">
      <vt:variant>
        <vt:lpstr>Title</vt:lpstr>
      </vt:variant>
      <vt:variant>
        <vt:i4>1</vt:i4>
      </vt:variant>
    </vt:vector>
  </HeadingPairs>
  <TitlesOfParts>
    <vt:vector size="1" baseType="lpstr">
      <vt:lpstr>Kërkesat nr. 43391/18 dhe 17766/19, Çështja Bara dhe Kola kundër Shqipërisë</vt:lpstr>
    </vt:vector>
  </TitlesOfParts>
  <Company/>
  <LinksUpToDate>false</LinksUpToDate>
  <CharactersWithSpaces>85575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Kërkesat nr. 43391/18 dhe 17766/19, Çështja Bara dhe Kola kundër Shqipërisë</dc:title>
  <dc:creator>Nevila Samarxhi</dc:creator>
  <cp:lastModifiedBy>Entela Suli</cp:lastModifiedBy>
  <cp:revision>155</cp:revision>
  <dcterms:created xsi:type="dcterms:W3CDTF">2022-04-04T13:51:00Z</dcterms:created>
  <dcterms:modified xsi:type="dcterms:W3CDTF">2022-04-05T10:48:00Z</dcterms:modified>
</cp:coreProperties>
</file>