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324C21" w14:textId="0228F03A" w:rsidR="00EC24E5" w:rsidRDefault="00EC24E5" w:rsidP="008A4A4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564306">
        <w:rPr>
          <w:rFonts w:ascii="Garamond" w:hAnsi="Garamond" w:cs="Times New Roman"/>
          <w:color w:val="000000"/>
        </w:rPr>
        <w:t>GJYKATA EVROPIANE E TË DREJTAVE TË NJERIUT</w:t>
      </w:r>
    </w:p>
    <w:p w14:paraId="3A5C531E" w14:textId="6D16EBC7" w:rsidR="008A4A4D" w:rsidRPr="00456824" w:rsidRDefault="008A4A4D" w:rsidP="008A4A4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456824">
        <w:rPr>
          <w:rFonts w:ascii="Garamond" w:hAnsi="Garamond" w:cs="Times New Roman"/>
          <w:bCs/>
          <w:color w:val="000000"/>
        </w:rPr>
        <w:t>SEKSIONI I TRETË</w:t>
      </w:r>
    </w:p>
    <w:p w14:paraId="6A983ADC" w14:textId="77777777" w:rsidR="008A4A4D" w:rsidRPr="00564306" w:rsidRDefault="008A4A4D" w:rsidP="008A4A4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</w:p>
    <w:p w14:paraId="19A27057" w14:textId="35788696" w:rsidR="008A4A4D" w:rsidRPr="00564306" w:rsidRDefault="008A4A4D" w:rsidP="008A4A4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  <w:r w:rsidRPr="00564306">
        <w:rPr>
          <w:rFonts w:ascii="Garamond" w:hAnsi="Garamond" w:cs="Times New Roman"/>
          <w:b/>
          <w:color w:val="000000"/>
        </w:rPr>
        <w:t>VENDIM</w:t>
      </w:r>
    </w:p>
    <w:p w14:paraId="07BC6943" w14:textId="03EE5134" w:rsidR="008A4A4D" w:rsidRPr="00564306" w:rsidRDefault="00564306" w:rsidP="008A4A4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  <w:r w:rsidRPr="00564306">
        <w:rPr>
          <w:rFonts w:ascii="Garamond" w:hAnsi="Garamond" w:cs="Times New Roman"/>
          <w:b/>
          <w:color w:val="000000"/>
        </w:rPr>
        <w:t>KËRKESA NR. 33104/15</w:t>
      </w:r>
    </w:p>
    <w:p w14:paraId="6BCFE748" w14:textId="77777777" w:rsidR="008A4A4D" w:rsidRPr="00564306" w:rsidRDefault="008A4A4D" w:rsidP="008A4A4D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58F29AF0" w14:textId="1CA7887D" w:rsidR="008A4A4D" w:rsidRPr="00867037" w:rsidRDefault="008A4A4D" w:rsidP="0045682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  <w:r w:rsidRPr="00867037">
        <w:rPr>
          <w:rFonts w:ascii="Garamond" w:hAnsi="Garamond" w:cs="Times New Roman"/>
          <w:b/>
          <w:bCs/>
          <w:color w:val="000000"/>
        </w:rPr>
        <w:t>AGONSET SHPK</w:t>
      </w:r>
      <w:r w:rsidR="00456824" w:rsidRPr="00867037">
        <w:rPr>
          <w:rFonts w:ascii="Garamond" w:hAnsi="Garamond" w:cs="Times New Roman"/>
          <w:b/>
          <w:bCs/>
          <w:color w:val="000000"/>
        </w:rPr>
        <w:t xml:space="preserve"> KUNDËR SHQIPËRISË</w:t>
      </w:r>
    </w:p>
    <w:p w14:paraId="1421E807" w14:textId="77777777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73CF0937" w14:textId="77777777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Gjykata Evropiane e të Drejtave të Njeriut (Seksioni i Tretë) e mbledhur më 10 maj 2022, si Komision, i përbërë nga: </w:t>
      </w:r>
    </w:p>
    <w:p w14:paraId="68A1776B" w14:textId="4B505C62" w:rsidR="008A4A4D" w:rsidRPr="00564306" w:rsidRDefault="008A4A4D" w:rsidP="008A4A4D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  <w:color w:val="000000"/>
        </w:rPr>
      </w:pPr>
      <w:r w:rsidRPr="00564306">
        <w:rPr>
          <w:rFonts w:ascii="Garamond" w:hAnsi="Garamond" w:cs="Times New Roman"/>
          <w:color w:val="000000"/>
        </w:rPr>
        <w:t>- Andreas Zünd,</w:t>
      </w:r>
      <w:r w:rsidRPr="00564306">
        <w:rPr>
          <w:rFonts w:ascii="Garamond" w:hAnsi="Garamond" w:cs="Times New Roman"/>
          <w:i/>
          <w:iCs/>
          <w:color w:val="000000"/>
        </w:rPr>
        <w:t xml:space="preserve"> </w:t>
      </w:r>
      <w:r w:rsidR="000917B4" w:rsidRPr="00564306">
        <w:rPr>
          <w:rFonts w:ascii="Garamond" w:hAnsi="Garamond" w:cs="Times New Roman"/>
          <w:i/>
          <w:iCs/>
          <w:color w:val="000000"/>
        </w:rPr>
        <w:t>kryetar</w:t>
      </w:r>
      <w:r w:rsidRPr="00564306">
        <w:rPr>
          <w:rFonts w:ascii="Garamond" w:hAnsi="Garamond" w:cs="Times New Roman"/>
          <w:i/>
          <w:iCs/>
          <w:color w:val="000000"/>
        </w:rPr>
        <w:t>,</w:t>
      </w:r>
    </w:p>
    <w:p w14:paraId="156F2834" w14:textId="6D33060B" w:rsidR="008A4A4D" w:rsidRPr="00564306" w:rsidRDefault="008A4A4D" w:rsidP="008A4A4D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i/>
          <w:iCs/>
          <w:color w:val="000000"/>
        </w:rPr>
      </w:pPr>
      <w:r w:rsidRPr="00564306">
        <w:rPr>
          <w:rFonts w:ascii="Garamond" w:hAnsi="Garamond" w:cs="Times New Roman"/>
          <w:i/>
          <w:iCs/>
          <w:color w:val="000000"/>
        </w:rPr>
        <w:t xml:space="preserve">- </w:t>
      </w:r>
      <w:r w:rsidRPr="00564306">
        <w:rPr>
          <w:rFonts w:ascii="Garamond" w:hAnsi="Garamond" w:cs="Times New Roman"/>
          <w:color w:val="000000"/>
        </w:rPr>
        <w:t>Darian Pavli,</w:t>
      </w:r>
    </w:p>
    <w:p w14:paraId="64660EAE" w14:textId="1C2A7CA8" w:rsidR="008A4A4D" w:rsidRPr="00564306" w:rsidRDefault="008A4A4D" w:rsidP="008A4A4D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- Mikhail Lobov, </w:t>
      </w:r>
      <w:r w:rsidRPr="00564306">
        <w:rPr>
          <w:rFonts w:ascii="Garamond" w:hAnsi="Garamond" w:cs="Times New Roman"/>
          <w:i/>
          <w:iCs/>
          <w:color w:val="000000"/>
        </w:rPr>
        <w:t>gjyqtarë,</w:t>
      </w:r>
    </w:p>
    <w:p w14:paraId="3A4E2777" w14:textId="591A3F4C" w:rsidR="008A4A4D" w:rsidRPr="00564306" w:rsidRDefault="008A4A4D" w:rsidP="008A4A4D">
      <w:pPr>
        <w:tabs>
          <w:tab w:val="left" w:pos="560"/>
          <w:tab w:val="left" w:pos="112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dhe Olga Chernishova, </w:t>
      </w:r>
      <w:r w:rsidR="000917B4" w:rsidRPr="00564306">
        <w:rPr>
          <w:rFonts w:ascii="Garamond" w:hAnsi="Garamond" w:cs="Times New Roman"/>
          <w:i/>
          <w:iCs/>
          <w:color w:val="000000"/>
        </w:rPr>
        <w:t xml:space="preserve">zëvendëssekretare </w:t>
      </w:r>
      <w:r w:rsidRPr="00564306">
        <w:rPr>
          <w:rFonts w:ascii="Garamond" w:hAnsi="Garamond" w:cs="Times New Roman"/>
          <w:i/>
          <w:iCs/>
          <w:color w:val="000000"/>
        </w:rPr>
        <w:t xml:space="preserve">e </w:t>
      </w:r>
      <w:r w:rsidR="00D114BE" w:rsidRPr="00564306">
        <w:rPr>
          <w:rFonts w:ascii="Garamond" w:hAnsi="Garamond" w:cs="Times New Roman"/>
          <w:i/>
          <w:iCs/>
          <w:color w:val="000000"/>
        </w:rPr>
        <w:t>seksionit</w:t>
      </w:r>
      <w:r w:rsidRPr="00564306">
        <w:rPr>
          <w:rFonts w:ascii="Garamond" w:hAnsi="Garamond" w:cs="Times New Roman"/>
          <w:i/>
          <w:iCs/>
          <w:color w:val="000000"/>
        </w:rPr>
        <w:t xml:space="preserve">, </w:t>
      </w:r>
    </w:p>
    <w:p w14:paraId="634CDC8A" w14:textId="27000C81" w:rsidR="008A4A4D" w:rsidRPr="00564306" w:rsidRDefault="00456824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pasi </w:t>
      </w:r>
      <w:r w:rsidR="008A4A4D" w:rsidRPr="00564306">
        <w:rPr>
          <w:rFonts w:ascii="Garamond" w:hAnsi="Garamond" w:cs="Times New Roman"/>
          <w:color w:val="000000"/>
        </w:rPr>
        <w:t xml:space="preserve">mori në konsideratë: </w:t>
      </w:r>
    </w:p>
    <w:p w14:paraId="16B591F2" w14:textId="1BF47BBD" w:rsidR="008A4A4D" w:rsidRPr="00564306" w:rsidRDefault="00456824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kërkesën </w:t>
      </w:r>
      <w:r w:rsidR="008A4A4D" w:rsidRPr="00564306">
        <w:rPr>
          <w:rFonts w:ascii="Garamond" w:hAnsi="Garamond" w:cs="Times New Roman"/>
          <w:color w:val="000000"/>
        </w:rPr>
        <w:t>(nr. 33104/15) kundër Shqipërisë paraqitur në Gjykatë</w:t>
      </w:r>
      <w:r w:rsidR="00854180">
        <w:rPr>
          <w:rFonts w:ascii="Garamond" w:hAnsi="Garamond" w:cs="Times New Roman"/>
          <w:color w:val="000000"/>
        </w:rPr>
        <w:t>,</w:t>
      </w:r>
      <w:r w:rsidR="008A4A4D" w:rsidRPr="00564306">
        <w:rPr>
          <w:rFonts w:ascii="Garamond" w:hAnsi="Garamond" w:cs="Times New Roman"/>
          <w:color w:val="000000"/>
        </w:rPr>
        <w:t xml:space="preserve"> në mbështetje të </w:t>
      </w:r>
      <w:r w:rsidRPr="00564306">
        <w:rPr>
          <w:rFonts w:ascii="Garamond" w:hAnsi="Garamond" w:cs="Times New Roman"/>
          <w:color w:val="000000"/>
        </w:rPr>
        <w:t xml:space="preserve">nenit </w:t>
      </w:r>
      <w:r w:rsidR="008A4A4D" w:rsidRPr="00564306">
        <w:rPr>
          <w:rFonts w:ascii="Garamond" w:hAnsi="Garamond" w:cs="Times New Roman"/>
          <w:color w:val="000000"/>
        </w:rPr>
        <w:t xml:space="preserve">34 të Konventës për Mbrojtjen e të Drejtave të Njeriut dhe Lirive Themelore (“Konventa”), më 27 qershor 2015, nga Agonset </w:t>
      </w:r>
      <w:r w:rsidRPr="00564306">
        <w:rPr>
          <w:rFonts w:ascii="Garamond" w:hAnsi="Garamond" w:cs="Times New Roman"/>
          <w:color w:val="000000"/>
        </w:rPr>
        <w:t xml:space="preserve">sh.p.k., </w:t>
      </w:r>
      <w:r w:rsidR="008A4A4D" w:rsidRPr="00564306">
        <w:rPr>
          <w:rFonts w:ascii="Garamond" w:hAnsi="Garamond" w:cs="Times New Roman"/>
          <w:color w:val="000000"/>
        </w:rPr>
        <w:t>një kompani e regjistruar në Shqipëri (“kompania kërkuese”), e cila u përfaqësua nga z. A. Saccucci, një avokat i cili e ushtron profesionin e tij në Romë;</w:t>
      </w:r>
    </w:p>
    <w:p w14:paraId="4EACB566" w14:textId="713995CF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vendimin për t’i përcjellë </w:t>
      </w:r>
      <w:r w:rsidR="00854180" w:rsidRPr="00564306">
        <w:rPr>
          <w:rFonts w:ascii="Garamond" w:hAnsi="Garamond" w:cs="Times New Roman"/>
          <w:color w:val="000000"/>
        </w:rPr>
        <w:t xml:space="preserve">qeverisë shqiptare </w:t>
      </w:r>
      <w:r w:rsidRPr="00564306">
        <w:rPr>
          <w:rFonts w:ascii="Garamond" w:hAnsi="Garamond" w:cs="Times New Roman"/>
          <w:color w:val="000000"/>
        </w:rPr>
        <w:t xml:space="preserve">(“Qeveria”) ankesat në lidhje me të drejtën e kompanisë kërkuese për liri të fjalës dhe të drejtën e saj për të mos u diskriminuar </w:t>
      </w:r>
      <w:r w:rsidR="00456824">
        <w:rPr>
          <w:rFonts w:ascii="Garamond" w:hAnsi="Garamond" w:cs="Times New Roman"/>
          <w:color w:val="000000"/>
        </w:rPr>
        <w:t>–</w:t>
      </w:r>
      <w:r w:rsidRPr="00564306">
        <w:rPr>
          <w:rFonts w:ascii="Garamond" w:hAnsi="Garamond" w:cs="Times New Roman"/>
          <w:color w:val="000000"/>
        </w:rPr>
        <w:t xml:space="preserve"> Qeveria u përfaqësua nga </w:t>
      </w:r>
      <w:r w:rsidR="00705BD3" w:rsidRPr="00564306">
        <w:rPr>
          <w:rFonts w:ascii="Garamond" w:hAnsi="Garamond" w:cs="Times New Roman"/>
          <w:color w:val="000000"/>
        </w:rPr>
        <w:t xml:space="preserve">agjenti </w:t>
      </w:r>
      <w:r w:rsidRPr="00564306">
        <w:rPr>
          <w:rFonts w:ascii="Garamond" w:hAnsi="Garamond" w:cs="Times New Roman"/>
          <w:color w:val="000000"/>
        </w:rPr>
        <w:t xml:space="preserve">i saj, z. Artur Metani, Avokati i Përgjithshëm i Shtetit – si edhe vendimin për ta deklaruar pjesën tjetër të kërkesës së papranueshme; </w:t>
      </w:r>
    </w:p>
    <w:p w14:paraId="52B7E4A4" w14:textId="7FDE4A12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vendimin për t’i dhënë prioritet kërkesës (</w:t>
      </w:r>
      <w:r w:rsidR="00705BD3" w:rsidRPr="00564306">
        <w:rPr>
          <w:rFonts w:ascii="Garamond" w:hAnsi="Garamond" w:cs="Times New Roman"/>
          <w:color w:val="000000"/>
        </w:rPr>
        <w:t xml:space="preserve">rregulli </w:t>
      </w:r>
      <w:r w:rsidRPr="00564306">
        <w:rPr>
          <w:rFonts w:ascii="Garamond" w:hAnsi="Garamond" w:cs="Times New Roman"/>
          <w:color w:val="000000"/>
        </w:rPr>
        <w:t xml:space="preserve">41 i Rregullores së Gjykatës); </w:t>
      </w:r>
    </w:p>
    <w:p w14:paraId="73CB5891" w14:textId="7C2E11DF" w:rsidR="008A4A4D" w:rsidRPr="00564306" w:rsidRDefault="008A4A4D" w:rsidP="00705BD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konstatimet e palëve</w:t>
      </w:r>
      <w:r w:rsidR="00705BD3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</w:t>
      </w:r>
    </w:p>
    <w:p w14:paraId="5B11AF94" w14:textId="51B8964C" w:rsidR="008A4A4D" w:rsidRPr="00564306" w:rsidRDefault="00705BD3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pasi </w:t>
      </w:r>
      <w:r w:rsidR="008A4A4D" w:rsidRPr="00564306">
        <w:rPr>
          <w:rFonts w:ascii="Garamond" w:hAnsi="Garamond" w:cs="Times New Roman"/>
          <w:color w:val="000000"/>
        </w:rPr>
        <w:t xml:space="preserve">diskutoi, vendos si më poshtë: </w:t>
      </w:r>
    </w:p>
    <w:p w14:paraId="4E91C937" w14:textId="77777777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LËNDA E ÇËSHTJES </w:t>
      </w:r>
    </w:p>
    <w:p w14:paraId="5D072B5B" w14:textId="496BEBC3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1. Çështja konkrete ka të bëjë me pamundësinë e kompanisë kërkuese për të marrë pjesë në procedurën për një “konkurs bukurie” për dhënien e një licence kombëtare për transmetim digjital dhe pamundësinë e saj për të aplikuar për të. </w:t>
      </w:r>
    </w:p>
    <w:p w14:paraId="771722CA" w14:textId="158234BE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2. Kompania kërkuese u themelua më 3 maj 2012, dhe më 5 prill 2013, u prezantua zyrtarisht kanali televiziv </w:t>
      </w:r>
      <w:r w:rsidR="006955E8">
        <w:rPr>
          <w:rFonts w:ascii="Garamond" w:hAnsi="Garamond" w:cs="Times New Roman"/>
          <w:color w:val="000000"/>
        </w:rPr>
        <w:t>“</w:t>
      </w:r>
      <w:r w:rsidRPr="00564306">
        <w:rPr>
          <w:rFonts w:ascii="Garamond" w:hAnsi="Garamond" w:cs="Times New Roman"/>
          <w:color w:val="000000"/>
        </w:rPr>
        <w:t>Agon Channel Albania</w:t>
      </w:r>
      <w:r w:rsidR="006955E8">
        <w:rPr>
          <w:rFonts w:ascii="Garamond" w:hAnsi="Garamond" w:cs="Times New Roman"/>
          <w:color w:val="000000"/>
        </w:rPr>
        <w:t>”</w:t>
      </w:r>
      <w:r w:rsidRPr="00564306">
        <w:rPr>
          <w:rFonts w:ascii="Garamond" w:hAnsi="Garamond" w:cs="Times New Roman"/>
          <w:color w:val="000000"/>
        </w:rPr>
        <w:t>. Ky kanal kishte marrë leje për të ofruar shërbim satelitor audioviziv të programacionit, gjë e cila e lejonte kompaninë kërkuese të transmetonte programacionin e saj në rrjetet e licencuar</w:t>
      </w:r>
      <w:r w:rsidR="006955E8">
        <w:rPr>
          <w:rFonts w:ascii="Garamond" w:hAnsi="Garamond" w:cs="Times New Roman"/>
          <w:color w:val="000000"/>
        </w:rPr>
        <w:t>a</w:t>
      </w:r>
      <w:r w:rsidRPr="00564306">
        <w:rPr>
          <w:rFonts w:ascii="Garamond" w:hAnsi="Garamond" w:cs="Times New Roman"/>
          <w:color w:val="000000"/>
        </w:rPr>
        <w:t xml:space="preserve">. Ligji i vitit 2013 për </w:t>
      </w:r>
      <w:r w:rsidR="00562EAA" w:rsidRPr="00564306">
        <w:rPr>
          <w:rFonts w:ascii="Garamond" w:hAnsi="Garamond" w:cs="Times New Roman"/>
          <w:color w:val="000000"/>
        </w:rPr>
        <w:t>mediat audiovizive</w:t>
      </w:r>
      <w:r w:rsidR="00562EAA">
        <w:rPr>
          <w:rFonts w:ascii="Garamond" w:hAnsi="Garamond" w:cs="Times New Roman"/>
          <w:color w:val="000000"/>
        </w:rPr>
        <w:t xml:space="preserve"> </w:t>
      </w:r>
      <w:r w:rsidRPr="00564306">
        <w:rPr>
          <w:rFonts w:ascii="Garamond" w:hAnsi="Garamond" w:cs="Times New Roman"/>
          <w:color w:val="000000"/>
        </w:rPr>
        <w:t xml:space="preserve">(“LMA”) e parashikonte Autoritetin e Mediave Audiovizive (“AMA”) si organin kombëtar rregullator dhe licencues. Në vitin 2013, në mbështetje të </w:t>
      </w:r>
      <w:r w:rsidR="00562EAA" w:rsidRPr="00564306">
        <w:rPr>
          <w:rFonts w:ascii="Garamond" w:hAnsi="Garamond" w:cs="Times New Roman"/>
          <w:color w:val="000000"/>
        </w:rPr>
        <w:t xml:space="preserve">nenit </w:t>
      </w:r>
      <w:r w:rsidRPr="00564306">
        <w:rPr>
          <w:rFonts w:ascii="Garamond" w:hAnsi="Garamond" w:cs="Times New Roman"/>
          <w:color w:val="000000"/>
        </w:rPr>
        <w:t xml:space="preserve">139 të LMA-së, AMA miratoi një rregullore për licencimin e rrjeteve dhe </w:t>
      </w:r>
      <w:r w:rsidR="00562EAA">
        <w:rPr>
          <w:rFonts w:ascii="Garamond" w:hAnsi="Garamond" w:cs="Times New Roman"/>
          <w:color w:val="000000"/>
        </w:rPr>
        <w:t xml:space="preserve">të </w:t>
      </w:r>
      <w:r w:rsidRPr="00564306">
        <w:rPr>
          <w:rFonts w:ascii="Garamond" w:hAnsi="Garamond" w:cs="Times New Roman"/>
          <w:color w:val="000000"/>
        </w:rPr>
        <w:t>programeve kombëtare digjitale</w:t>
      </w:r>
      <w:r w:rsidR="00562EAA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me rastin e “procedurës për një konkurs bukurie” (“rregullorja”). Sipas </w:t>
      </w:r>
      <w:r w:rsidR="00562EAA" w:rsidRPr="00564306">
        <w:rPr>
          <w:rFonts w:ascii="Garamond" w:hAnsi="Garamond" w:cs="Times New Roman"/>
          <w:color w:val="000000"/>
        </w:rPr>
        <w:t xml:space="preserve">nenit </w:t>
      </w:r>
      <w:r w:rsidRPr="00564306">
        <w:rPr>
          <w:rFonts w:ascii="Garamond" w:hAnsi="Garamond" w:cs="Times New Roman"/>
          <w:color w:val="000000"/>
        </w:rPr>
        <w:t xml:space="preserve">4 të rregullores, vetëm operatorët privatë, të cilët ishin pajisur më herët me licenca për një mbulim në nivel kombëtar (“transmetuesit kombëtarë”), u ftuan të merrnin pjesë në procedurë. Në korrik 2013, ajo lançoi procedurën për konkursin e bukurisë. </w:t>
      </w:r>
    </w:p>
    <w:p w14:paraId="4D9E8C54" w14:textId="02174E7C" w:rsidR="008A4A4D" w:rsidRPr="00564306" w:rsidRDefault="008A4A4D" w:rsidP="00562EA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3. Pas një padie të ngritur nga tre transmetues kombëtarë, më 31 korrik 2013, Gjykata e Rrethit Tiranë urdhëroi AMA-n të pezullonte procedurën për lëshimin e licencave kombëtare digjitale deri në shqyrtimin e padisë</w:t>
      </w:r>
      <w:r w:rsidR="00562EAA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në lidhje me anulimin e nenit 16 të rregullores. Më 8 tetor 2014, Gjykata Administrative e Apelit Tiranë, duke e gjykuar çështjen si gjykatë e shkallës së parë, në mbështetje të </w:t>
      </w:r>
      <w:r w:rsidR="00562EAA" w:rsidRPr="00564306">
        <w:rPr>
          <w:rFonts w:ascii="Garamond" w:hAnsi="Garamond" w:cs="Times New Roman"/>
          <w:color w:val="000000"/>
        </w:rPr>
        <w:t xml:space="preserve">nenit </w:t>
      </w:r>
      <w:r w:rsidR="00562EAA">
        <w:rPr>
          <w:rFonts w:ascii="Garamond" w:hAnsi="Garamond" w:cs="Times New Roman"/>
          <w:color w:val="000000"/>
        </w:rPr>
        <w:t>10§</w:t>
      </w:r>
      <w:r w:rsidRPr="00564306">
        <w:rPr>
          <w:rFonts w:ascii="Garamond" w:hAnsi="Garamond" w:cs="Times New Roman"/>
          <w:color w:val="000000"/>
        </w:rPr>
        <w:t xml:space="preserve">2(b) të </w:t>
      </w:r>
      <w:r w:rsidR="00562EAA" w:rsidRPr="00564306">
        <w:rPr>
          <w:rFonts w:ascii="Garamond" w:hAnsi="Garamond" w:cs="Times New Roman"/>
          <w:color w:val="000000"/>
        </w:rPr>
        <w:t>ligjit për gjykatat administrative</w:t>
      </w:r>
      <w:r w:rsidRPr="00564306">
        <w:rPr>
          <w:rFonts w:ascii="Garamond" w:hAnsi="Garamond" w:cs="Times New Roman"/>
          <w:color w:val="000000"/>
        </w:rPr>
        <w:t xml:space="preserve">, vendosi të anulonte </w:t>
      </w:r>
      <w:r w:rsidR="00562EAA" w:rsidRPr="00564306">
        <w:rPr>
          <w:rFonts w:ascii="Garamond" w:hAnsi="Garamond" w:cs="Times New Roman"/>
          <w:color w:val="000000"/>
        </w:rPr>
        <w:t xml:space="preserve">nenin </w:t>
      </w:r>
      <w:r w:rsidRPr="00564306">
        <w:rPr>
          <w:rFonts w:ascii="Garamond" w:hAnsi="Garamond" w:cs="Times New Roman"/>
          <w:color w:val="000000"/>
        </w:rPr>
        <w:t>16 të rregullores</w:t>
      </w:r>
      <w:r w:rsidR="00562EAA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për sa kishte të bënte me kërkesat financiare për të marrë pjesë në procedurën për konkursin e bukurisë, dhe e urdhëroi AMA-n të miratonte një rregullore të re. </w:t>
      </w:r>
    </w:p>
    <w:p w14:paraId="567A508D" w14:textId="440CBD4B" w:rsidR="008A4A4D" w:rsidRPr="00564306" w:rsidRDefault="008A4A4D" w:rsidP="00562EA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4. Më 30 tetor 2014, kompania kërkuese u ankua pranë AMA-s për tr</w:t>
      </w:r>
      <w:r w:rsidR="00562EAA">
        <w:rPr>
          <w:rFonts w:ascii="Garamond" w:hAnsi="Garamond" w:cs="Times New Roman"/>
          <w:color w:val="000000"/>
        </w:rPr>
        <w:t>i</w:t>
      </w:r>
      <w:r w:rsidRPr="00564306">
        <w:rPr>
          <w:rFonts w:ascii="Garamond" w:hAnsi="Garamond" w:cs="Times New Roman"/>
          <w:color w:val="000000"/>
        </w:rPr>
        <w:t xml:space="preserve"> shkaqe të lidhura me procedurën e konkursit të bukurisë të lançuar në korrik 2013. Së pari, ajo argumentoi se ndalimi i transmetuesve jokombëtarë për të marrë pjesë në procedurën për konkursin e bukurisë, </w:t>
      </w:r>
      <w:r w:rsidRPr="00564306">
        <w:rPr>
          <w:rFonts w:ascii="Garamond" w:hAnsi="Garamond" w:cs="Times New Roman"/>
          <w:color w:val="000000"/>
        </w:rPr>
        <w:lastRenderedPageBreak/>
        <w:t>pavarësisht kapaciteteve të tyre teknike për të ofruar mbulim kombëtar, ishte arbitrar dhe i padrejtë. Së dyti, duke qenë se transmetuesit kombëtarë nuk mbulonin një pjesë të madhe të territorit kombëtar, kompania kërkuese pretendonte</w:t>
      </w:r>
      <w:r w:rsidR="00143CF1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se AMA, me anë të veprimeve të saj, i kishte lejuar që të përfitonin nga pozicioni i tyre i paligjshëm. Së treti, pezullimi i procedurës për konkursin e bukurisë dhe mosveprimi për një kohë të gjatë i AMA-s e kishin penguar rregullatorin që të lëshonte licencën digjitale për kompaninë kërkuese</w:t>
      </w:r>
      <w:r w:rsidR="00143CF1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në mënyrë që kjo e fundit të transmetonte programet e saj digjitale. </w:t>
      </w:r>
    </w:p>
    <w:p w14:paraId="2D71097D" w14:textId="37C6D032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5. Më 16 prill 2015, AMA miratoi një rregullore të re për licencimin e rrjeteve dhe programeve kombëtare digjitale</w:t>
      </w:r>
      <w:r w:rsidR="00143CF1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me anë të procedurës për një konkurs bukurie, dhe ftoi pesë transmetues kombëtarë që të merrnin pjesë. Kompanisë kërkuese nuk i ishte ofruar asnjë ftesë. </w:t>
      </w:r>
    </w:p>
    <w:p w14:paraId="6485D933" w14:textId="47699DFD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6. Më 19 maj 2015, kompania kërkuese ridërgoi pranë AMA-s shkresën e saj të datës 30 tetor 2014, sepse shkresa kishte humbur. Nuk u kthye asnjë përgjigje. </w:t>
      </w:r>
    </w:p>
    <w:p w14:paraId="22F45EA8" w14:textId="77777777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VLERËSIMI I GJYKATËS</w:t>
      </w:r>
    </w:p>
    <w:p w14:paraId="17A255A8" w14:textId="307FC68F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7. Kompania kërkuese u ankua se ishin shkelur e drejta e saj për lirinë e fjalës, sipas </w:t>
      </w:r>
      <w:r w:rsidR="00143CF1" w:rsidRPr="00564306">
        <w:rPr>
          <w:rFonts w:ascii="Garamond" w:hAnsi="Garamond" w:cs="Times New Roman"/>
          <w:color w:val="000000"/>
        </w:rPr>
        <w:t xml:space="preserve">nenit </w:t>
      </w:r>
      <w:r w:rsidRPr="00564306">
        <w:rPr>
          <w:rFonts w:ascii="Garamond" w:hAnsi="Garamond" w:cs="Times New Roman"/>
          <w:color w:val="000000"/>
        </w:rPr>
        <w:t xml:space="preserve">10 të Konventës, si edhe e drejta për të mos u diskriminuar, sipas </w:t>
      </w:r>
      <w:r w:rsidR="00143CF1" w:rsidRPr="00564306">
        <w:rPr>
          <w:rFonts w:ascii="Garamond" w:hAnsi="Garamond" w:cs="Times New Roman"/>
          <w:color w:val="000000"/>
        </w:rPr>
        <w:t xml:space="preserve">nenit </w:t>
      </w:r>
      <w:r w:rsidRPr="00564306">
        <w:rPr>
          <w:rFonts w:ascii="Garamond" w:hAnsi="Garamond" w:cs="Times New Roman"/>
          <w:color w:val="000000"/>
        </w:rPr>
        <w:t xml:space="preserve">14 të Konventës dhe </w:t>
      </w:r>
      <w:r w:rsidR="00143CF1" w:rsidRPr="00564306">
        <w:rPr>
          <w:rFonts w:ascii="Garamond" w:hAnsi="Garamond" w:cs="Times New Roman"/>
          <w:color w:val="000000"/>
        </w:rPr>
        <w:t xml:space="preserve">nenit </w:t>
      </w:r>
      <w:r w:rsidRPr="00564306">
        <w:rPr>
          <w:rFonts w:ascii="Garamond" w:hAnsi="Garamond" w:cs="Times New Roman"/>
          <w:color w:val="000000"/>
        </w:rPr>
        <w:t xml:space="preserve">1 të </w:t>
      </w:r>
      <w:r w:rsidR="00143CF1" w:rsidRPr="00564306">
        <w:rPr>
          <w:rFonts w:ascii="Garamond" w:hAnsi="Garamond" w:cs="Times New Roman"/>
          <w:color w:val="000000"/>
        </w:rPr>
        <w:t>protokollit n</w:t>
      </w:r>
      <w:r w:rsidRPr="00564306">
        <w:rPr>
          <w:rFonts w:ascii="Garamond" w:hAnsi="Garamond" w:cs="Times New Roman"/>
          <w:color w:val="000000"/>
        </w:rPr>
        <w:t xml:space="preserve">r. 12, sepse kompania kërkuese nuk ishte ftuar që të merrte pjesë në procedurën për “konkursin e bukurisë”, dhe për faktin se nuk mund të aplikonte për marrjen e licencës për transmetimet digjitale. </w:t>
      </w:r>
    </w:p>
    <w:p w14:paraId="49BCC374" w14:textId="6F099234" w:rsidR="008A4A4D" w:rsidRPr="00564306" w:rsidRDefault="008A4A4D" w:rsidP="00143CF1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8. Më 8 qershor 2016, kompania kërkuese parashtroi ankesa të tjera në mbështetje të </w:t>
      </w:r>
      <w:r w:rsidR="00143CF1" w:rsidRPr="00564306">
        <w:rPr>
          <w:rFonts w:ascii="Garamond" w:hAnsi="Garamond" w:cs="Times New Roman"/>
          <w:color w:val="000000"/>
        </w:rPr>
        <w:t xml:space="preserve">nenit </w:t>
      </w:r>
      <w:r w:rsidRPr="00564306">
        <w:rPr>
          <w:rFonts w:ascii="Garamond" w:hAnsi="Garamond" w:cs="Times New Roman"/>
          <w:color w:val="000000"/>
        </w:rPr>
        <w:t xml:space="preserve">6§2 dhe </w:t>
      </w:r>
      <w:r w:rsidR="00143CF1" w:rsidRPr="00564306">
        <w:rPr>
          <w:rFonts w:ascii="Garamond" w:hAnsi="Garamond" w:cs="Times New Roman"/>
          <w:color w:val="000000"/>
        </w:rPr>
        <w:t xml:space="preserve">nenit </w:t>
      </w:r>
      <w:r w:rsidRPr="00564306">
        <w:rPr>
          <w:rFonts w:ascii="Garamond" w:hAnsi="Garamond" w:cs="Times New Roman"/>
          <w:color w:val="000000"/>
        </w:rPr>
        <w:t xml:space="preserve">10 të Konventës, dhe </w:t>
      </w:r>
      <w:r w:rsidR="00143CF1" w:rsidRPr="00564306">
        <w:rPr>
          <w:rFonts w:ascii="Garamond" w:hAnsi="Garamond" w:cs="Times New Roman"/>
          <w:color w:val="000000"/>
        </w:rPr>
        <w:t xml:space="preserve">nenit </w:t>
      </w:r>
      <w:r w:rsidRPr="00564306">
        <w:rPr>
          <w:rFonts w:ascii="Garamond" w:hAnsi="Garamond" w:cs="Times New Roman"/>
          <w:color w:val="000000"/>
        </w:rPr>
        <w:t xml:space="preserve">1 të </w:t>
      </w:r>
      <w:r w:rsidR="00143CF1" w:rsidRPr="00564306">
        <w:rPr>
          <w:rFonts w:ascii="Garamond" w:hAnsi="Garamond" w:cs="Times New Roman"/>
          <w:color w:val="000000"/>
        </w:rPr>
        <w:t>protokollit nr</w:t>
      </w:r>
      <w:r w:rsidRPr="00564306">
        <w:rPr>
          <w:rFonts w:ascii="Garamond" w:hAnsi="Garamond" w:cs="Times New Roman"/>
          <w:color w:val="000000"/>
        </w:rPr>
        <w:t>. 1 të Konventës</w:t>
      </w:r>
      <w:r w:rsidR="00143CF1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në lidhje me konfiskimin e pajisjeve të saj dhe objekte të tjer</w:t>
      </w:r>
      <w:r w:rsidR="00143CF1">
        <w:rPr>
          <w:rFonts w:ascii="Garamond" w:hAnsi="Garamond" w:cs="Times New Roman"/>
          <w:color w:val="000000"/>
        </w:rPr>
        <w:t>a</w:t>
      </w:r>
      <w:r w:rsidRPr="00564306">
        <w:rPr>
          <w:rFonts w:ascii="Garamond" w:hAnsi="Garamond" w:cs="Times New Roman"/>
          <w:color w:val="000000"/>
        </w:rPr>
        <w:t xml:space="preserve"> nën pronësinë e saj, dhe nisjen e procedurave penale ndaj disa prej </w:t>
      </w:r>
      <w:r w:rsidR="00143CF1" w:rsidRPr="00564306">
        <w:rPr>
          <w:rFonts w:ascii="Garamond" w:hAnsi="Garamond" w:cs="Times New Roman"/>
          <w:color w:val="000000"/>
        </w:rPr>
        <w:t>aksionarëve</w:t>
      </w:r>
      <w:r w:rsidRPr="00564306">
        <w:rPr>
          <w:rFonts w:ascii="Garamond" w:hAnsi="Garamond" w:cs="Times New Roman"/>
          <w:color w:val="000000"/>
        </w:rPr>
        <w:t xml:space="preserve"> të saj. Këto ankesa nuk u paraqitën në formën e duhur të një kërkese dhe nuk u komunikuan. </w:t>
      </w:r>
    </w:p>
    <w:p w14:paraId="69A32689" w14:textId="413705DD" w:rsidR="008A4A4D" w:rsidRPr="00564306" w:rsidRDefault="008A4A4D" w:rsidP="0025273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9. Gjykata thekson se Qeveria ngriti kundërshtimin se kërkuesi nuk kishte shteruar mjetet e brendshme. Në të vërtetë, kompania kërkuese nuk ka paraqitur ndonjë ankesë përpara gjykatave vend</w:t>
      </w:r>
      <w:r w:rsidR="00252733">
        <w:rPr>
          <w:rFonts w:ascii="Garamond" w:hAnsi="Garamond" w:cs="Times New Roman"/>
          <w:color w:val="000000"/>
        </w:rPr>
        <w:t>ë</w:t>
      </w:r>
      <w:r w:rsidRPr="00564306">
        <w:rPr>
          <w:rFonts w:ascii="Garamond" w:hAnsi="Garamond" w:cs="Times New Roman"/>
          <w:color w:val="000000"/>
        </w:rPr>
        <w:t xml:space="preserve">se. </w:t>
      </w:r>
    </w:p>
    <w:p w14:paraId="330A371A" w14:textId="3C1B2234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10. Parimet e përgjithshme në lidhje me shterimin e mjeteve të brendshme dhe parimi i subsidiaritetit janë përmbledhur në vendimin </w:t>
      </w:r>
      <w:r w:rsidRPr="00564306">
        <w:rPr>
          <w:rFonts w:ascii="Garamond" w:hAnsi="Garamond" w:cs="Times New Roman"/>
          <w:i/>
          <w:iCs/>
          <w:color w:val="000000"/>
        </w:rPr>
        <w:t xml:space="preserve">Vučković dhe </w:t>
      </w:r>
      <w:r w:rsidR="008E5EDB" w:rsidRPr="00564306">
        <w:rPr>
          <w:rFonts w:ascii="Garamond" w:hAnsi="Garamond" w:cs="Times New Roman"/>
          <w:i/>
          <w:iCs/>
          <w:color w:val="000000"/>
        </w:rPr>
        <w:t xml:space="preserve">të </w:t>
      </w:r>
      <w:r w:rsidRPr="00564306">
        <w:rPr>
          <w:rFonts w:ascii="Garamond" w:hAnsi="Garamond" w:cs="Times New Roman"/>
          <w:i/>
          <w:iCs/>
          <w:color w:val="000000"/>
        </w:rPr>
        <w:t xml:space="preserve">Tjerët kundër Serbisë </w:t>
      </w:r>
      <w:r w:rsidRPr="00564306">
        <w:rPr>
          <w:rFonts w:ascii="Garamond" w:hAnsi="Garamond" w:cs="Times New Roman"/>
          <w:color w:val="000000"/>
        </w:rPr>
        <w:t>((kundërshtim paraprak) [DHM], nr. 17153/11 dhe 29 të tjerë, §§ 69</w:t>
      </w:r>
      <w:r w:rsidR="008E5EDB">
        <w:rPr>
          <w:rFonts w:ascii="Garamond" w:hAnsi="Garamond" w:cs="Times New Roman"/>
          <w:color w:val="000000"/>
        </w:rPr>
        <w:t>–</w:t>
      </w:r>
      <w:r w:rsidRPr="00564306">
        <w:rPr>
          <w:rFonts w:ascii="Garamond" w:hAnsi="Garamond" w:cs="Times New Roman"/>
          <w:color w:val="000000"/>
        </w:rPr>
        <w:t xml:space="preserve">77, 25 mars 2014). </w:t>
      </w:r>
    </w:p>
    <w:p w14:paraId="29F0B86A" w14:textId="334248B1" w:rsidR="008A4A4D" w:rsidRPr="00564306" w:rsidRDefault="008A4A4D" w:rsidP="00F015A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11. Në çështjen konkrete, kompania kërkuese pretendon se ka paraqitur një ankesë pranë AMA-s më 30 tetor 2014, por nuk ka marrë asnjë përgjigje për këtë ankesë. Megjithatë, kompania kërkuese paraqiti një padi pranë Gjykatës Administrative për mosreagimin e AMA-s ndaj asaj ankese. Ajo mund të kishte kundërshtuar edhe rregulloren e re të miratuar nga AMA më 16 prill 2015. Praktika e gjykatave administrative, siç parashtrohet nga Qeveria, tregon se ato mund të shqyrtojnë ankesat për ligjshmërinë e rregullores. Kompania kërkuese mund të kishte ngritur edhe çështjet</w:t>
      </w:r>
      <w:r w:rsidR="00F015AB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në lidhje me kushtetu</w:t>
      </w:r>
      <w:r w:rsidR="00F015AB">
        <w:rPr>
          <w:rFonts w:ascii="Garamond" w:hAnsi="Garamond" w:cs="Times New Roman"/>
          <w:color w:val="000000"/>
        </w:rPr>
        <w:t>tsh</w:t>
      </w:r>
      <w:r w:rsidRPr="00564306">
        <w:rPr>
          <w:rFonts w:ascii="Garamond" w:hAnsi="Garamond" w:cs="Times New Roman"/>
          <w:color w:val="000000"/>
        </w:rPr>
        <w:t xml:space="preserve">mërinë e legjislacionit të zbatueshëm përpara Gjykatës Administrative, gjë e cila kishte fuqinë që t’i pezullonte procedurat dhe ta referonte çështjen kushtetuese pranë Gjykatës Kushtetuese. </w:t>
      </w:r>
    </w:p>
    <w:p w14:paraId="12DF776D" w14:textId="3B0DEA29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12. Në lidhje me dyshimet e kompanisë kërkuese</w:t>
      </w:r>
      <w:r w:rsidR="004C7937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në lidhje me perspektivën për sukses të ndonjë prej mjeteve të përmendura më sipër, Gjykata thekson se ekzistenca e dyshimeve për perspektivat e suksesit të një mjeti të caktuar, të cilat nuk janë dukshëm të kota, nuk është një arsye e vlefshme që të mos i shterosh këto mjete (shih, </w:t>
      </w:r>
      <w:r w:rsidRPr="00564306">
        <w:rPr>
          <w:rFonts w:ascii="Garamond" w:hAnsi="Garamond" w:cs="Times New Roman"/>
          <w:i/>
          <w:iCs/>
          <w:color w:val="000000"/>
        </w:rPr>
        <w:t xml:space="preserve">inter alia, Tamm kundër Estonisë </w:t>
      </w:r>
      <w:r w:rsidRPr="00564306">
        <w:rPr>
          <w:rFonts w:ascii="Garamond" w:hAnsi="Garamond" w:cs="Times New Roman"/>
          <w:color w:val="000000"/>
        </w:rPr>
        <w:t xml:space="preserve">(vendim), nr. 15301/04, 2 shtator 2008, dhe </w:t>
      </w:r>
      <w:r w:rsidRPr="00564306">
        <w:rPr>
          <w:rFonts w:ascii="Garamond" w:hAnsi="Garamond" w:cs="Times New Roman"/>
          <w:i/>
          <w:iCs/>
          <w:color w:val="000000"/>
        </w:rPr>
        <w:t xml:space="preserve">Mendrei kundër Hungarisë </w:t>
      </w:r>
      <w:r w:rsidR="004C7937">
        <w:rPr>
          <w:rFonts w:ascii="Garamond" w:hAnsi="Garamond" w:cs="Times New Roman"/>
          <w:color w:val="000000"/>
        </w:rPr>
        <w:t>(vendim), nr. 54927/15, §</w:t>
      </w:r>
      <w:r w:rsidRPr="00564306">
        <w:rPr>
          <w:rFonts w:ascii="Garamond" w:hAnsi="Garamond" w:cs="Times New Roman"/>
          <w:color w:val="000000"/>
        </w:rPr>
        <w:t xml:space="preserve">26, 19 qershor 2018). </w:t>
      </w:r>
    </w:p>
    <w:p w14:paraId="21F55DED" w14:textId="2C17185A" w:rsidR="008A4A4D" w:rsidRPr="00564306" w:rsidRDefault="008A4A4D" w:rsidP="004C793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13. Gjykata thekson</w:t>
      </w:r>
      <w:r w:rsidR="004C7937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se në mbështetje të </w:t>
      </w:r>
      <w:r w:rsidR="004C7937" w:rsidRPr="00564306">
        <w:rPr>
          <w:rFonts w:ascii="Garamond" w:hAnsi="Garamond" w:cs="Times New Roman"/>
          <w:color w:val="000000"/>
        </w:rPr>
        <w:t xml:space="preserve">nenit </w:t>
      </w:r>
      <w:r w:rsidRPr="00564306">
        <w:rPr>
          <w:rFonts w:ascii="Garamond" w:hAnsi="Garamond" w:cs="Times New Roman"/>
          <w:color w:val="000000"/>
        </w:rPr>
        <w:t xml:space="preserve">122 të Kushtetutës së Shqipërisë, çdo marrëveshje e ratifikuar ndërkombëtare përbën një pjesë të sistemit të brendshëm ligjor (pasi është publikuar në Gazetën Zyrtare), në parim është e zbatueshme në mënyrë të drejtpërdrejtë dhe ka prioritet kundrejt ligjeve të vendit, që nuk përputhen me të. Sipas </w:t>
      </w:r>
      <w:r w:rsidR="004C7937" w:rsidRPr="00564306">
        <w:rPr>
          <w:rFonts w:ascii="Garamond" w:hAnsi="Garamond" w:cs="Times New Roman"/>
          <w:color w:val="000000"/>
        </w:rPr>
        <w:t xml:space="preserve">nenit </w:t>
      </w:r>
      <w:r w:rsidR="004C7937">
        <w:rPr>
          <w:rFonts w:ascii="Garamond" w:hAnsi="Garamond" w:cs="Times New Roman"/>
          <w:color w:val="000000"/>
        </w:rPr>
        <w:t>17§</w:t>
      </w:r>
      <w:r w:rsidRPr="00564306">
        <w:rPr>
          <w:rFonts w:ascii="Garamond" w:hAnsi="Garamond" w:cs="Times New Roman"/>
          <w:color w:val="000000"/>
        </w:rPr>
        <w:t xml:space="preserve">2 të Kushtetutës, çdo kufizim i të drejtave dhe </w:t>
      </w:r>
      <w:r w:rsidR="004C7937">
        <w:rPr>
          <w:rFonts w:ascii="Garamond" w:hAnsi="Garamond" w:cs="Times New Roman"/>
          <w:color w:val="000000"/>
        </w:rPr>
        <w:t xml:space="preserve">i </w:t>
      </w:r>
      <w:r w:rsidRPr="00564306">
        <w:rPr>
          <w:rFonts w:ascii="Garamond" w:hAnsi="Garamond" w:cs="Times New Roman"/>
          <w:color w:val="000000"/>
        </w:rPr>
        <w:t>lirive kushtetuese</w:t>
      </w:r>
      <w:r w:rsidR="004C7937">
        <w:rPr>
          <w:rFonts w:ascii="Garamond" w:hAnsi="Garamond" w:cs="Times New Roman"/>
          <w:color w:val="000000"/>
        </w:rPr>
        <w:t>:</w:t>
      </w:r>
      <w:r w:rsidRPr="00564306">
        <w:rPr>
          <w:rFonts w:ascii="Garamond" w:hAnsi="Garamond" w:cs="Times New Roman"/>
          <w:color w:val="000000"/>
        </w:rPr>
        <w:t xml:space="preserve"> “në asnjë rast nuk duhet të tejkalojë kufizimet e parashikuara në Konventën Evropiane të të Drejtave të Njeriut”.</w:t>
      </w:r>
    </w:p>
    <w:p w14:paraId="5D2111F5" w14:textId="338385BE" w:rsidR="008A4A4D" w:rsidRPr="00564306" w:rsidRDefault="008A4A4D" w:rsidP="005D1E8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lastRenderedPageBreak/>
        <w:t>14. Si rrjedhim, Konventa përbën një pjesë integrale të sistemit ligjor shqiptar, ku ajo ka përparësi ndaj parashikimeve statutore</w:t>
      </w:r>
      <w:r w:rsidR="004C7937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që janë në kundërshtim me të, dhe është e zbatueshme në mënyrë të drejtpërdrejtë. Për këtë arsye, ishte në dorë të kompanisë kërkuese në çështjen konkrete që të argumentonte përpara autoriteteve vend</w:t>
      </w:r>
      <w:r w:rsidR="005D1E85">
        <w:rPr>
          <w:rFonts w:ascii="Garamond" w:hAnsi="Garamond" w:cs="Times New Roman"/>
          <w:color w:val="000000"/>
        </w:rPr>
        <w:t>ë</w:t>
      </w:r>
      <w:r w:rsidRPr="00564306">
        <w:rPr>
          <w:rFonts w:ascii="Garamond" w:hAnsi="Garamond" w:cs="Times New Roman"/>
          <w:color w:val="000000"/>
        </w:rPr>
        <w:t>se</w:t>
      </w:r>
      <w:r w:rsidR="005D1E85">
        <w:rPr>
          <w:rFonts w:ascii="Garamond" w:hAnsi="Garamond" w:cs="Times New Roman"/>
          <w:color w:val="000000"/>
        </w:rPr>
        <w:t>,</w:t>
      </w:r>
      <w:r w:rsidRPr="00564306">
        <w:rPr>
          <w:rFonts w:ascii="Garamond" w:hAnsi="Garamond" w:cs="Times New Roman"/>
          <w:color w:val="000000"/>
        </w:rPr>
        <w:t xml:space="preserve"> se në rrethanat e çështjes konkrete ishin shkelur e drejta e saj për lirinë e fjalës, si edhe e drejta për të mos u diskriminuar, në kundërshtim me dispozitat përkatëse kushtetuese dhe </w:t>
      </w:r>
      <w:r w:rsidR="005D1E85" w:rsidRPr="00564306">
        <w:rPr>
          <w:rFonts w:ascii="Garamond" w:hAnsi="Garamond" w:cs="Times New Roman"/>
          <w:color w:val="000000"/>
        </w:rPr>
        <w:t xml:space="preserve">nenet </w:t>
      </w:r>
      <w:r w:rsidRPr="00564306">
        <w:rPr>
          <w:rFonts w:ascii="Garamond" w:hAnsi="Garamond" w:cs="Times New Roman"/>
          <w:color w:val="000000"/>
        </w:rPr>
        <w:t xml:space="preserve">10 dhe 14 të Konventës (shih </w:t>
      </w:r>
      <w:r w:rsidRPr="00564306">
        <w:rPr>
          <w:rFonts w:ascii="Garamond" w:hAnsi="Garamond" w:cs="Times New Roman"/>
          <w:i/>
          <w:iCs/>
          <w:color w:val="000000"/>
        </w:rPr>
        <w:t>Shpata kundër Institutit të Sigurimeve Shoqërore</w:t>
      </w:r>
      <w:r w:rsidRPr="00564306">
        <w:rPr>
          <w:rFonts w:ascii="Garamond" w:hAnsi="Garamond" w:cs="Times New Roman"/>
          <w:color w:val="000000"/>
        </w:rPr>
        <w:t xml:space="preserve">, Gjykata e Lartë e Shqipërisë, vendimi i datës 22 korrik 2021, ku Gjykata e Lartë zbatoi në mënyrë të drejtpërdrejtë </w:t>
      </w:r>
      <w:r w:rsidR="005D1E85" w:rsidRPr="00564306">
        <w:rPr>
          <w:rFonts w:ascii="Garamond" w:hAnsi="Garamond" w:cs="Times New Roman"/>
          <w:color w:val="000000"/>
        </w:rPr>
        <w:t xml:space="preserve">nenin </w:t>
      </w:r>
      <w:r w:rsidRPr="00564306">
        <w:rPr>
          <w:rFonts w:ascii="Garamond" w:hAnsi="Garamond" w:cs="Times New Roman"/>
          <w:color w:val="000000"/>
        </w:rPr>
        <w:t xml:space="preserve">6 të Konventës, duke u mbështetur në çështjen </w:t>
      </w:r>
      <w:r w:rsidRPr="00564306">
        <w:rPr>
          <w:rFonts w:ascii="Garamond" w:hAnsi="Garamond" w:cs="Times New Roman"/>
          <w:i/>
          <w:iCs/>
          <w:color w:val="000000"/>
        </w:rPr>
        <w:t>Dauti kundër Shqipërisë</w:t>
      </w:r>
      <w:r w:rsidRPr="00564306">
        <w:rPr>
          <w:rFonts w:ascii="Garamond" w:hAnsi="Garamond" w:cs="Times New Roman"/>
          <w:color w:val="000000"/>
        </w:rPr>
        <w:t>, nr. 19206/05, 3 shkurt 2009). Në këtë mënyrë, autoritetet kombëtare do të kishin pasur mundësinë t’</w:t>
      </w:r>
      <w:r w:rsidR="005D1E85">
        <w:rPr>
          <w:rFonts w:ascii="Garamond" w:hAnsi="Garamond" w:cs="Times New Roman"/>
          <w:color w:val="000000"/>
        </w:rPr>
        <w:t>u</w:t>
      </w:r>
      <w:r w:rsidRPr="00564306">
        <w:rPr>
          <w:rFonts w:ascii="Garamond" w:hAnsi="Garamond" w:cs="Times New Roman"/>
          <w:color w:val="000000"/>
        </w:rPr>
        <w:t xml:space="preserve"> përgjigjeshin këtyre argumenteve. Në lidhje me këtë aspekt, argumenti i kompanisë kërkuese se ajo nuk kishte asnjë shpresë për sukses, sepse një pjesë e ankesës së saj mbështetej në një parashikim statutor, dhe se pjesa tjetër në një rregull dytësor, nuk mund të pranohet (krahaso </w:t>
      </w:r>
      <w:r w:rsidRPr="00564306">
        <w:rPr>
          <w:rFonts w:ascii="Garamond" w:hAnsi="Garamond" w:cs="Times New Roman"/>
          <w:i/>
          <w:iCs/>
          <w:color w:val="000000"/>
        </w:rPr>
        <w:t>Habulinec dhe Filipović</w:t>
      </w:r>
      <w:r w:rsidRPr="00564306">
        <w:rPr>
          <w:rFonts w:ascii="Garamond" w:hAnsi="Garamond" w:cs="Times New Roman"/>
          <w:color w:val="000000"/>
        </w:rPr>
        <w:t xml:space="preserve"> </w:t>
      </w:r>
      <w:r w:rsidRPr="00564306">
        <w:rPr>
          <w:rFonts w:ascii="Garamond" w:hAnsi="Garamond" w:cs="Times New Roman"/>
          <w:i/>
          <w:iCs/>
          <w:color w:val="000000"/>
        </w:rPr>
        <w:t xml:space="preserve">kundër Kroacisë </w:t>
      </w:r>
      <w:r w:rsidR="005D1E85">
        <w:rPr>
          <w:rFonts w:ascii="Garamond" w:hAnsi="Garamond" w:cs="Times New Roman"/>
          <w:color w:val="000000"/>
        </w:rPr>
        <w:t>(vendim), nr. 51166/10, §</w:t>
      </w:r>
      <w:r w:rsidRPr="00564306">
        <w:rPr>
          <w:rFonts w:ascii="Garamond" w:hAnsi="Garamond" w:cs="Times New Roman"/>
          <w:color w:val="000000"/>
        </w:rPr>
        <w:t xml:space="preserve">30, 4 qershor 2013). </w:t>
      </w:r>
    </w:p>
    <w:p w14:paraId="58BABB12" w14:textId="77CBB1B7" w:rsidR="008A4A4D" w:rsidRPr="00564306" w:rsidRDefault="008A4A4D" w:rsidP="005D1E8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15. Nëse kompania kërkuese do ta kishte respektuar këtë kërkesë, ajo do t’u kishte dhënë gjykatave vend</w:t>
      </w:r>
      <w:r w:rsidR="005D1E85">
        <w:rPr>
          <w:rFonts w:ascii="Garamond" w:hAnsi="Garamond" w:cs="Times New Roman"/>
          <w:color w:val="000000"/>
        </w:rPr>
        <w:t>ë</w:t>
      </w:r>
      <w:r w:rsidRPr="00564306">
        <w:rPr>
          <w:rFonts w:ascii="Garamond" w:hAnsi="Garamond" w:cs="Times New Roman"/>
          <w:color w:val="000000"/>
        </w:rPr>
        <w:t>se mundësinë për të cilën është hartuar rregulli për shterimin e mjeteve të brendshme në mbështetje të Shteteve, më konkretisht për të përcaktuar çështjen e pajtueshmërisë së masave vend</w:t>
      </w:r>
      <w:r w:rsidR="005D1E85">
        <w:rPr>
          <w:rFonts w:ascii="Garamond" w:hAnsi="Garamond" w:cs="Times New Roman"/>
          <w:color w:val="000000"/>
        </w:rPr>
        <w:t>ë</w:t>
      </w:r>
      <w:r w:rsidRPr="00564306">
        <w:rPr>
          <w:rFonts w:ascii="Garamond" w:hAnsi="Garamond" w:cs="Times New Roman"/>
          <w:color w:val="000000"/>
        </w:rPr>
        <w:t>se të kundërshtuara, ose mosveprimet për të marrë masa, sipas Konventës, dhe nëse kompania kërkuese, sidoqoftë, do të kishte parashtruar kërkesat e saj përpara Gjykatës Evropiane, kjo Gjykatë do të kishte pasur edhe opinionet e gjykatave vend</w:t>
      </w:r>
      <w:r w:rsidR="005D1E85">
        <w:rPr>
          <w:rFonts w:ascii="Garamond" w:hAnsi="Garamond" w:cs="Times New Roman"/>
          <w:color w:val="000000"/>
        </w:rPr>
        <w:t>ë</w:t>
      </w:r>
      <w:r w:rsidRPr="00564306">
        <w:rPr>
          <w:rFonts w:ascii="Garamond" w:hAnsi="Garamond" w:cs="Times New Roman"/>
          <w:color w:val="000000"/>
        </w:rPr>
        <w:t>se. Për këtë arsye, kompania kërkuese nuk ka ndërmarrë hapat e duhur për të bërë të mundur që gjykatat vend</w:t>
      </w:r>
      <w:r w:rsidR="005D1E85">
        <w:rPr>
          <w:rFonts w:ascii="Garamond" w:hAnsi="Garamond" w:cs="Times New Roman"/>
          <w:color w:val="000000"/>
        </w:rPr>
        <w:t>ë</w:t>
      </w:r>
      <w:r w:rsidRPr="00564306">
        <w:rPr>
          <w:rFonts w:ascii="Garamond" w:hAnsi="Garamond" w:cs="Times New Roman"/>
          <w:color w:val="000000"/>
        </w:rPr>
        <w:t xml:space="preserve">se të përmbushnin rolin e tyre themelor në sistemin mbrojtës së Konventës, ku Gjykata Evropiane është suplementare (shih, midis autoriteteve të tjerë, </w:t>
      </w:r>
      <w:r w:rsidRPr="00564306">
        <w:rPr>
          <w:rFonts w:ascii="Garamond" w:hAnsi="Garamond" w:cs="Times New Roman"/>
          <w:i/>
          <w:iCs/>
          <w:color w:val="000000"/>
        </w:rPr>
        <w:t>Vučković</w:t>
      </w:r>
      <w:r w:rsidR="005D1E85">
        <w:rPr>
          <w:rFonts w:ascii="Garamond" w:hAnsi="Garamond" w:cs="Times New Roman"/>
          <w:color w:val="000000"/>
        </w:rPr>
        <w:t>, cituar më sipër, §</w:t>
      </w:r>
      <w:r w:rsidRPr="00564306">
        <w:rPr>
          <w:rFonts w:ascii="Garamond" w:hAnsi="Garamond" w:cs="Times New Roman"/>
          <w:color w:val="000000"/>
        </w:rPr>
        <w:t xml:space="preserve">90). Gjithashtu, Gjykata nuk identifikon ndonjë arsye të posaçme që ta përjashtojë kompaninë kërkuese nga kërkesa për të shfrytëzuar mjetet e brendshme në respektim të rregullave dhe procedurave të zbatueshme të ligjit të brendshëm. </w:t>
      </w:r>
    </w:p>
    <w:p w14:paraId="0EA77DEE" w14:textId="33E9D3B1" w:rsidR="008A4A4D" w:rsidRPr="00564306" w:rsidRDefault="008A4A4D" w:rsidP="005D1E8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16. Përkundrejt situatës së sipërpërmendur, Gjykata arrin në përfundimin se kompania kërkuese, në përputhje me parimin e subsidiaritetit, përpara se ta dorëzonte kërkesën e saj në Gjykatë, do të duhej t’i kishte paraqitur argumentet e saj përpara autoriteteve vend</w:t>
      </w:r>
      <w:r w:rsidR="005D1E85">
        <w:rPr>
          <w:rFonts w:ascii="Garamond" w:hAnsi="Garamond" w:cs="Times New Roman"/>
          <w:color w:val="000000"/>
        </w:rPr>
        <w:t>ë</w:t>
      </w:r>
      <w:r w:rsidRPr="00564306">
        <w:rPr>
          <w:rFonts w:ascii="Garamond" w:hAnsi="Garamond" w:cs="Times New Roman"/>
          <w:color w:val="000000"/>
        </w:rPr>
        <w:t xml:space="preserve">se, duke u thënë atyre, në këtë mënyrë, mundësinë që të vendosnin për shkeljet e pretenduara të Konventës. </w:t>
      </w:r>
    </w:p>
    <w:p w14:paraId="4A96C583" w14:textId="5B254896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17. Për pasojë, kërkesa duhet të kundërshtohet në respektim të </w:t>
      </w:r>
      <w:r w:rsidR="005D1E85" w:rsidRPr="00564306">
        <w:rPr>
          <w:rFonts w:ascii="Garamond" w:hAnsi="Garamond" w:cs="Times New Roman"/>
          <w:color w:val="000000"/>
        </w:rPr>
        <w:t xml:space="preserve">nenit </w:t>
      </w:r>
      <w:r w:rsidR="005D1E85">
        <w:rPr>
          <w:rFonts w:ascii="Garamond" w:hAnsi="Garamond" w:cs="Times New Roman"/>
          <w:color w:val="000000"/>
        </w:rPr>
        <w:t>35§§</w:t>
      </w:r>
      <w:r w:rsidRPr="00564306">
        <w:rPr>
          <w:rFonts w:ascii="Garamond" w:hAnsi="Garamond" w:cs="Times New Roman"/>
          <w:color w:val="000000"/>
        </w:rPr>
        <w:t xml:space="preserve">1 dhe 4 të Konventës për mosshfrytëzim të mjeteve të brendshme. </w:t>
      </w:r>
    </w:p>
    <w:p w14:paraId="24EC1364" w14:textId="0846E757" w:rsidR="008A4A4D" w:rsidRPr="00564306" w:rsidRDefault="008A4A4D" w:rsidP="005D1E8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Për këto arsye, Gjykata, në mënyrë unanime</w:t>
      </w:r>
      <w:r w:rsidR="005D1E85">
        <w:rPr>
          <w:rFonts w:ascii="Garamond" w:hAnsi="Garamond" w:cs="Times New Roman"/>
          <w:color w:val="000000"/>
        </w:rPr>
        <w:t>:</w:t>
      </w:r>
      <w:r w:rsidRPr="00564306">
        <w:rPr>
          <w:rFonts w:ascii="Garamond" w:hAnsi="Garamond" w:cs="Times New Roman"/>
          <w:color w:val="000000"/>
        </w:rPr>
        <w:t xml:space="preserve"> </w:t>
      </w:r>
    </w:p>
    <w:p w14:paraId="07874CA1" w14:textId="77777777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i/>
          <w:iCs/>
          <w:color w:val="000000"/>
        </w:rPr>
        <w:t xml:space="preserve">E deklaron </w:t>
      </w:r>
      <w:r w:rsidRPr="00564306">
        <w:rPr>
          <w:rFonts w:ascii="Garamond" w:hAnsi="Garamond" w:cs="Times New Roman"/>
          <w:color w:val="000000"/>
        </w:rPr>
        <w:t xml:space="preserve">kërkesën të papranueshme. </w:t>
      </w:r>
    </w:p>
    <w:p w14:paraId="6E5532BF" w14:textId="77777777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 xml:space="preserve">Hartuar në gjuhën angleze dhe njoftuar me shkrim më 2 qershor 2022. </w:t>
      </w:r>
    </w:p>
    <w:p w14:paraId="79491304" w14:textId="77777777" w:rsidR="008A4A4D" w:rsidRPr="00564306" w:rsidRDefault="008A4A4D" w:rsidP="008A4A4D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0A78C5C3" w14:textId="77777777" w:rsidR="00646B42" w:rsidRDefault="00646B42" w:rsidP="00646B42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b/>
          <w:color w:val="000000"/>
        </w:rPr>
        <w:t>Olga Chernishova</w:t>
      </w:r>
      <w:r w:rsidRPr="00A97BF2">
        <w:rPr>
          <w:rFonts w:ascii="Garamond" w:hAnsi="Garamond" w:cs="Times New Roman"/>
          <w:color w:val="000000"/>
        </w:rPr>
        <w:t xml:space="preserve"> </w:t>
      </w:r>
    </w:p>
    <w:p w14:paraId="5647784B" w14:textId="5268DB0F" w:rsidR="00646B42" w:rsidRPr="00564306" w:rsidRDefault="00D47803" w:rsidP="00D4780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                                                                                            </w:t>
      </w:r>
      <w:bookmarkStart w:id="0" w:name="_GoBack"/>
      <w:bookmarkEnd w:id="0"/>
      <w:r w:rsidR="00646B42" w:rsidRPr="00564306">
        <w:rPr>
          <w:rFonts w:ascii="Garamond" w:hAnsi="Garamond" w:cs="Times New Roman"/>
          <w:color w:val="000000"/>
        </w:rPr>
        <w:t>ZËVENDËSSEKRETARE</w:t>
      </w:r>
    </w:p>
    <w:p w14:paraId="0EDEC6C4" w14:textId="77777777" w:rsidR="00646B42" w:rsidRDefault="00646B42" w:rsidP="00A97BF2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</w:p>
    <w:p w14:paraId="2E941E55" w14:textId="0BC52C11" w:rsidR="00A97BF2" w:rsidRDefault="00A97BF2" w:rsidP="00A97BF2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b/>
          <w:color w:val="000000"/>
        </w:rPr>
        <w:t>Andreas Zünd</w:t>
      </w:r>
    </w:p>
    <w:p w14:paraId="036B7E7D" w14:textId="035C6CC3" w:rsidR="008A4A4D" w:rsidRPr="00564306" w:rsidRDefault="00A97BF2" w:rsidP="00A97BF2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564306">
        <w:rPr>
          <w:rFonts w:ascii="Garamond" w:hAnsi="Garamond" w:cs="Times New Roman"/>
          <w:color w:val="000000"/>
        </w:rPr>
        <w:t>KRYETAR</w:t>
      </w:r>
    </w:p>
    <w:p w14:paraId="263836A2" w14:textId="77777777" w:rsidR="00A97BF2" w:rsidRDefault="00A97BF2" w:rsidP="00A97BF2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</w:p>
    <w:p w14:paraId="5027D558" w14:textId="77777777" w:rsidR="00646B42" w:rsidRPr="00564306" w:rsidRDefault="00646B42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</w:p>
    <w:sectPr w:rsidR="00646B42" w:rsidRPr="00564306" w:rsidSect="008A4A4D">
      <w:endnotePr>
        <w:numFmt w:val="decimal"/>
      </w:endnotePr>
      <w:pgSz w:w="11906" w:h="16838" w:code="9"/>
      <w:pgMar w:top="1418" w:right="1418" w:bottom="1418" w:left="1418" w:header="1304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6D48D2" w14:textId="77777777" w:rsidR="00EC24E5" w:rsidRPr="00DC2D95" w:rsidRDefault="00EC24E5">
      <w:r w:rsidRPr="00DC2D95">
        <w:separator/>
      </w:r>
    </w:p>
  </w:endnote>
  <w:endnote w:type="continuationSeparator" w:id="0">
    <w:p w14:paraId="0F39A49C" w14:textId="77777777" w:rsidR="00EC24E5" w:rsidRPr="00DC2D95" w:rsidRDefault="00EC24E5">
      <w:r w:rsidRPr="00DC2D95">
        <w:continuationSeparator/>
      </w:r>
    </w:p>
  </w:endnote>
  <w:endnote w:type="continuationNotice" w:id="1">
    <w:p w14:paraId="321978DB" w14:textId="77777777" w:rsidR="00EC24E5" w:rsidRDefault="00EC24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1B42B9" w14:textId="77777777" w:rsidR="00EC24E5" w:rsidRPr="00DC2D95" w:rsidRDefault="00EC24E5">
      <w:r w:rsidRPr="00DC2D95">
        <w:separator/>
      </w:r>
    </w:p>
  </w:footnote>
  <w:footnote w:type="continuationSeparator" w:id="0">
    <w:p w14:paraId="75C496C5" w14:textId="77777777" w:rsidR="00EC24E5" w:rsidRPr="00DC2D95" w:rsidRDefault="00EC24E5">
      <w:r w:rsidRPr="00DC2D95">
        <w:continuationSeparator/>
      </w:r>
    </w:p>
  </w:footnote>
  <w:footnote w:type="continuationNotice" w:id="1">
    <w:p w14:paraId="4C24FD51" w14:textId="77777777" w:rsidR="00EC24E5" w:rsidRDefault="00EC24E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6906F28"/>
    <w:multiLevelType w:val="hybridMultilevel"/>
    <w:tmpl w:val="9FB8ECA0"/>
    <w:lvl w:ilvl="0" w:tplc="DA765B4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0B4056B3"/>
    <w:multiLevelType w:val="hybridMultilevel"/>
    <w:tmpl w:val="8A9AA3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0F5BFC"/>
    <w:multiLevelType w:val="multilevel"/>
    <w:tmpl w:val="79FEA660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3">
    <w:nsid w:val="150A561F"/>
    <w:multiLevelType w:val="hybridMultilevel"/>
    <w:tmpl w:val="5AA62832"/>
    <w:lvl w:ilvl="0" w:tplc="49CEC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6F55A9E"/>
    <w:multiLevelType w:val="hybridMultilevel"/>
    <w:tmpl w:val="5CB06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1B6A59FE"/>
    <w:multiLevelType w:val="hybridMultilevel"/>
    <w:tmpl w:val="61AA1A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1A4DBE"/>
    <w:multiLevelType w:val="hybridMultilevel"/>
    <w:tmpl w:val="EE90C8E4"/>
    <w:lvl w:ilvl="0" w:tplc="972C1E4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204A6243"/>
    <w:multiLevelType w:val="hybridMultilevel"/>
    <w:tmpl w:val="F0CC71C2"/>
    <w:lvl w:ilvl="0" w:tplc="0D9EBF8C">
      <w:start w:val="1"/>
      <w:numFmt w:val="lowerLetter"/>
      <w:lvlText w:val="(%1)"/>
      <w:lvlJc w:val="left"/>
      <w:pPr>
        <w:ind w:left="644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22233E37"/>
    <w:multiLevelType w:val="hybridMultilevel"/>
    <w:tmpl w:val="837C8C46"/>
    <w:lvl w:ilvl="0" w:tplc="8FF04F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3CB51E06"/>
    <w:multiLevelType w:val="hybridMultilevel"/>
    <w:tmpl w:val="B128E5A0"/>
    <w:lvl w:ilvl="0" w:tplc="38E638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2696EB6"/>
    <w:multiLevelType w:val="hybridMultilevel"/>
    <w:tmpl w:val="E2AED25E"/>
    <w:lvl w:ilvl="0" w:tplc="8D04415C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6">
    <w:nsid w:val="4A722B15"/>
    <w:multiLevelType w:val="hybridMultilevel"/>
    <w:tmpl w:val="78D4BC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8">
    <w:nsid w:val="52247AF7"/>
    <w:multiLevelType w:val="hybridMultilevel"/>
    <w:tmpl w:val="61DE0A3C"/>
    <w:lvl w:ilvl="0" w:tplc="676649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7982584"/>
    <w:multiLevelType w:val="hybridMultilevel"/>
    <w:tmpl w:val="21E6E4A2"/>
    <w:lvl w:ilvl="0" w:tplc="49D250F4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1">
    <w:nsid w:val="74261E34"/>
    <w:multiLevelType w:val="hybridMultilevel"/>
    <w:tmpl w:val="6C58F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CA0262"/>
    <w:multiLevelType w:val="hybridMultilevel"/>
    <w:tmpl w:val="8ED62104"/>
    <w:lvl w:ilvl="0" w:tplc="0E7E601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7054552"/>
    <w:multiLevelType w:val="hybridMultilevel"/>
    <w:tmpl w:val="B79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8"/>
  </w:num>
  <w:num w:numId="3">
    <w:abstractNumId w:val="15"/>
  </w:num>
  <w:num w:numId="4">
    <w:abstractNumId w:val="25"/>
  </w:num>
  <w:num w:numId="5">
    <w:abstractNumId w:val="21"/>
  </w:num>
  <w:num w:numId="6">
    <w:abstractNumId w:val="27"/>
  </w:num>
  <w:num w:numId="7">
    <w:abstractNumId w:val="25"/>
  </w:num>
  <w:num w:numId="8">
    <w:abstractNumId w:val="27"/>
  </w:num>
  <w:num w:numId="9">
    <w:abstractNumId w:val="12"/>
  </w:num>
  <w:num w:numId="10">
    <w:abstractNumId w:val="9"/>
  </w:num>
  <w:num w:numId="11">
    <w:abstractNumId w:val="30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6"/>
  </w:num>
  <w:num w:numId="22">
    <w:abstractNumId w:val="10"/>
  </w:num>
  <w:num w:numId="23">
    <w:abstractNumId w:val="20"/>
  </w:num>
  <w:num w:numId="24">
    <w:abstractNumId w:val="28"/>
  </w:num>
  <w:num w:numId="25">
    <w:abstractNumId w:val="32"/>
  </w:num>
  <w:num w:numId="26">
    <w:abstractNumId w:val="17"/>
  </w:num>
  <w:num w:numId="27">
    <w:abstractNumId w:val="13"/>
  </w:num>
  <w:num w:numId="28">
    <w:abstractNumId w:val="22"/>
  </w:num>
  <w:num w:numId="29">
    <w:abstractNumId w:val="29"/>
  </w:num>
  <w:num w:numId="30">
    <w:abstractNumId w:val="19"/>
  </w:num>
  <w:num w:numId="31">
    <w:abstractNumId w:val="24"/>
  </w:num>
  <w:num w:numId="32">
    <w:abstractNumId w:val="31"/>
  </w:num>
  <w:num w:numId="33">
    <w:abstractNumId w:val="11"/>
  </w:num>
  <w:num w:numId="34">
    <w:abstractNumId w:val="26"/>
  </w:num>
  <w:num w:numId="35">
    <w:abstractNumId w:val="33"/>
  </w:num>
  <w:num w:numId="36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3"/>
    <w:docVar w:name="EMM" w:val="0"/>
    <w:docVar w:name="NBEMMDOC" w:val="0"/>
  </w:docVars>
  <w:rsids>
    <w:rsidRoot w:val="00DC2D95"/>
    <w:rsid w:val="0005109E"/>
    <w:rsid w:val="00052D03"/>
    <w:rsid w:val="0005568E"/>
    <w:rsid w:val="000658B1"/>
    <w:rsid w:val="00066A6C"/>
    <w:rsid w:val="00081483"/>
    <w:rsid w:val="000917B4"/>
    <w:rsid w:val="000956EB"/>
    <w:rsid w:val="00095FD8"/>
    <w:rsid w:val="000A5327"/>
    <w:rsid w:val="000A7592"/>
    <w:rsid w:val="000B1FA9"/>
    <w:rsid w:val="000B3B01"/>
    <w:rsid w:val="000C5DB6"/>
    <w:rsid w:val="000D0E41"/>
    <w:rsid w:val="000D61E7"/>
    <w:rsid w:val="000E3A89"/>
    <w:rsid w:val="000E49E4"/>
    <w:rsid w:val="000F4E59"/>
    <w:rsid w:val="0012779B"/>
    <w:rsid w:val="00131C8D"/>
    <w:rsid w:val="00132029"/>
    <w:rsid w:val="00143CF1"/>
    <w:rsid w:val="001541C2"/>
    <w:rsid w:val="0015620F"/>
    <w:rsid w:val="00166CCA"/>
    <w:rsid w:val="001704AA"/>
    <w:rsid w:val="00174974"/>
    <w:rsid w:val="00180553"/>
    <w:rsid w:val="0019109B"/>
    <w:rsid w:val="00197F33"/>
    <w:rsid w:val="001C3398"/>
    <w:rsid w:val="001C43FA"/>
    <w:rsid w:val="001C7C3E"/>
    <w:rsid w:val="001D1233"/>
    <w:rsid w:val="001E5E02"/>
    <w:rsid w:val="0020316D"/>
    <w:rsid w:val="002164AD"/>
    <w:rsid w:val="00216F37"/>
    <w:rsid w:val="00223591"/>
    <w:rsid w:val="002434AF"/>
    <w:rsid w:val="00252733"/>
    <w:rsid w:val="0026446B"/>
    <w:rsid w:val="00265403"/>
    <w:rsid w:val="00270F26"/>
    <w:rsid w:val="00275766"/>
    <w:rsid w:val="00280FD1"/>
    <w:rsid w:val="002A08EC"/>
    <w:rsid w:val="002A1D67"/>
    <w:rsid w:val="002A7085"/>
    <w:rsid w:val="002A7443"/>
    <w:rsid w:val="002A7AE3"/>
    <w:rsid w:val="002C242B"/>
    <w:rsid w:val="002F6C2B"/>
    <w:rsid w:val="00301F07"/>
    <w:rsid w:val="00310AD6"/>
    <w:rsid w:val="003131F7"/>
    <w:rsid w:val="003142C5"/>
    <w:rsid w:val="00323848"/>
    <w:rsid w:val="003325A4"/>
    <w:rsid w:val="00335D4B"/>
    <w:rsid w:val="00344D46"/>
    <w:rsid w:val="00361D0C"/>
    <w:rsid w:val="00380971"/>
    <w:rsid w:val="003862F4"/>
    <w:rsid w:val="003B50D7"/>
    <w:rsid w:val="003B77AA"/>
    <w:rsid w:val="003C2361"/>
    <w:rsid w:val="003C3468"/>
    <w:rsid w:val="003C6390"/>
    <w:rsid w:val="003C6A39"/>
    <w:rsid w:val="003D54EF"/>
    <w:rsid w:val="003E3C60"/>
    <w:rsid w:val="004227BD"/>
    <w:rsid w:val="004324C6"/>
    <w:rsid w:val="00452087"/>
    <w:rsid w:val="00456012"/>
    <w:rsid w:val="00456824"/>
    <w:rsid w:val="004576F3"/>
    <w:rsid w:val="00464268"/>
    <w:rsid w:val="004679DE"/>
    <w:rsid w:val="004A0389"/>
    <w:rsid w:val="004A4329"/>
    <w:rsid w:val="004A4C71"/>
    <w:rsid w:val="004B0190"/>
    <w:rsid w:val="004B4B60"/>
    <w:rsid w:val="004B4E73"/>
    <w:rsid w:val="004C7937"/>
    <w:rsid w:val="005067BA"/>
    <w:rsid w:val="0052097D"/>
    <w:rsid w:val="00524A3B"/>
    <w:rsid w:val="00561C14"/>
    <w:rsid w:val="00562EAA"/>
    <w:rsid w:val="00564306"/>
    <w:rsid w:val="00567561"/>
    <w:rsid w:val="00573FCD"/>
    <w:rsid w:val="00575841"/>
    <w:rsid w:val="00595F91"/>
    <w:rsid w:val="005A0CD3"/>
    <w:rsid w:val="005A7CF3"/>
    <w:rsid w:val="005B0669"/>
    <w:rsid w:val="005B546C"/>
    <w:rsid w:val="005B7AF5"/>
    <w:rsid w:val="005C337E"/>
    <w:rsid w:val="005C4EE4"/>
    <w:rsid w:val="005D10C5"/>
    <w:rsid w:val="005D1E85"/>
    <w:rsid w:val="005E56C2"/>
    <w:rsid w:val="005F11CB"/>
    <w:rsid w:val="005F5E05"/>
    <w:rsid w:val="006146F9"/>
    <w:rsid w:val="00614F9E"/>
    <w:rsid w:val="00615DF6"/>
    <w:rsid w:val="006262FA"/>
    <w:rsid w:val="006267D3"/>
    <w:rsid w:val="006300E9"/>
    <w:rsid w:val="00630487"/>
    <w:rsid w:val="00644F14"/>
    <w:rsid w:val="00646B42"/>
    <w:rsid w:val="00651A01"/>
    <w:rsid w:val="00653EF4"/>
    <w:rsid w:val="00656B81"/>
    <w:rsid w:val="00687739"/>
    <w:rsid w:val="006955E8"/>
    <w:rsid w:val="00695994"/>
    <w:rsid w:val="006A6D18"/>
    <w:rsid w:val="006C38A3"/>
    <w:rsid w:val="006C5459"/>
    <w:rsid w:val="006D24ED"/>
    <w:rsid w:val="006D2A07"/>
    <w:rsid w:val="006D4D63"/>
    <w:rsid w:val="006E123B"/>
    <w:rsid w:val="007040EB"/>
    <w:rsid w:val="00704AE6"/>
    <w:rsid w:val="00705BD3"/>
    <w:rsid w:val="00723E48"/>
    <w:rsid w:val="00723E56"/>
    <w:rsid w:val="007464F1"/>
    <w:rsid w:val="00755C67"/>
    <w:rsid w:val="007907C0"/>
    <w:rsid w:val="0079386B"/>
    <w:rsid w:val="007A798F"/>
    <w:rsid w:val="007B2364"/>
    <w:rsid w:val="007B4BB4"/>
    <w:rsid w:val="007C2795"/>
    <w:rsid w:val="007C6682"/>
    <w:rsid w:val="007D3C54"/>
    <w:rsid w:val="007E2771"/>
    <w:rsid w:val="00803EE8"/>
    <w:rsid w:val="00805E99"/>
    <w:rsid w:val="00807131"/>
    <w:rsid w:val="00812D10"/>
    <w:rsid w:val="00814E28"/>
    <w:rsid w:val="008531A6"/>
    <w:rsid w:val="00854180"/>
    <w:rsid w:val="00867037"/>
    <w:rsid w:val="00881BB1"/>
    <w:rsid w:val="00882DC5"/>
    <w:rsid w:val="00886EC9"/>
    <w:rsid w:val="008A4A4D"/>
    <w:rsid w:val="008D10E4"/>
    <w:rsid w:val="008E5EDB"/>
    <w:rsid w:val="008F0A92"/>
    <w:rsid w:val="008F7189"/>
    <w:rsid w:val="00904E3D"/>
    <w:rsid w:val="00911CBE"/>
    <w:rsid w:val="009241DF"/>
    <w:rsid w:val="00934DB4"/>
    <w:rsid w:val="0094237C"/>
    <w:rsid w:val="00944250"/>
    <w:rsid w:val="00946A19"/>
    <w:rsid w:val="00956B2A"/>
    <w:rsid w:val="0096293E"/>
    <w:rsid w:val="009656DE"/>
    <w:rsid w:val="00975E89"/>
    <w:rsid w:val="009838D4"/>
    <w:rsid w:val="0098480A"/>
    <w:rsid w:val="009A767D"/>
    <w:rsid w:val="009B4560"/>
    <w:rsid w:val="009B6F49"/>
    <w:rsid w:val="009C21E8"/>
    <w:rsid w:val="009C440C"/>
    <w:rsid w:val="009D35EF"/>
    <w:rsid w:val="009E01FB"/>
    <w:rsid w:val="009F4D41"/>
    <w:rsid w:val="00A1409C"/>
    <w:rsid w:val="00A248DD"/>
    <w:rsid w:val="00A47FE1"/>
    <w:rsid w:val="00A61644"/>
    <w:rsid w:val="00A6389A"/>
    <w:rsid w:val="00A97BF2"/>
    <w:rsid w:val="00AA5AEE"/>
    <w:rsid w:val="00AC58E5"/>
    <w:rsid w:val="00AD1811"/>
    <w:rsid w:val="00B0423F"/>
    <w:rsid w:val="00B06BB9"/>
    <w:rsid w:val="00B10CDB"/>
    <w:rsid w:val="00B129CD"/>
    <w:rsid w:val="00B140D3"/>
    <w:rsid w:val="00B24865"/>
    <w:rsid w:val="00B32955"/>
    <w:rsid w:val="00B50BAC"/>
    <w:rsid w:val="00B52949"/>
    <w:rsid w:val="00B60352"/>
    <w:rsid w:val="00B61689"/>
    <w:rsid w:val="00B91E61"/>
    <w:rsid w:val="00B96D2C"/>
    <w:rsid w:val="00B96F3E"/>
    <w:rsid w:val="00BA774A"/>
    <w:rsid w:val="00BB1EAE"/>
    <w:rsid w:val="00BB600E"/>
    <w:rsid w:val="00BC06F9"/>
    <w:rsid w:val="00BC4A12"/>
    <w:rsid w:val="00BD1692"/>
    <w:rsid w:val="00C42C12"/>
    <w:rsid w:val="00C533AB"/>
    <w:rsid w:val="00C57DB6"/>
    <w:rsid w:val="00C57EB6"/>
    <w:rsid w:val="00C64222"/>
    <w:rsid w:val="00C90243"/>
    <w:rsid w:val="00CA7EB6"/>
    <w:rsid w:val="00CB387E"/>
    <w:rsid w:val="00CB5239"/>
    <w:rsid w:val="00CB5806"/>
    <w:rsid w:val="00CC1287"/>
    <w:rsid w:val="00CC2615"/>
    <w:rsid w:val="00CD1DE6"/>
    <w:rsid w:val="00CD66A6"/>
    <w:rsid w:val="00CE65D7"/>
    <w:rsid w:val="00CF1F53"/>
    <w:rsid w:val="00CF5142"/>
    <w:rsid w:val="00CF6E07"/>
    <w:rsid w:val="00D114BE"/>
    <w:rsid w:val="00D22A99"/>
    <w:rsid w:val="00D34BCF"/>
    <w:rsid w:val="00D415D6"/>
    <w:rsid w:val="00D47803"/>
    <w:rsid w:val="00D47A3C"/>
    <w:rsid w:val="00D57690"/>
    <w:rsid w:val="00D7197D"/>
    <w:rsid w:val="00D81050"/>
    <w:rsid w:val="00D837F4"/>
    <w:rsid w:val="00D92F25"/>
    <w:rsid w:val="00DA703B"/>
    <w:rsid w:val="00DB4B6A"/>
    <w:rsid w:val="00DB56E2"/>
    <w:rsid w:val="00DB6354"/>
    <w:rsid w:val="00DB6EEA"/>
    <w:rsid w:val="00DC2D95"/>
    <w:rsid w:val="00DD6561"/>
    <w:rsid w:val="00DE43D3"/>
    <w:rsid w:val="00DF21A8"/>
    <w:rsid w:val="00DF7D39"/>
    <w:rsid w:val="00E5464B"/>
    <w:rsid w:val="00E66C4F"/>
    <w:rsid w:val="00E7380C"/>
    <w:rsid w:val="00E75CE5"/>
    <w:rsid w:val="00EA5ED3"/>
    <w:rsid w:val="00EC24E5"/>
    <w:rsid w:val="00EC2741"/>
    <w:rsid w:val="00EC7C5D"/>
    <w:rsid w:val="00EC7F4F"/>
    <w:rsid w:val="00EE206F"/>
    <w:rsid w:val="00EE38CA"/>
    <w:rsid w:val="00EF4A6A"/>
    <w:rsid w:val="00F015AB"/>
    <w:rsid w:val="00F06309"/>
    <w:rsid w:val="00F24642"/>
    <w:rsid w:val="00F24AB9"/>
    <w:rsid w:val="00F30C8E"/>
    <w:rsid w:val="00F47618"/>
    <w:rsid w:val="00F479AC"/>
    <w:rsid w:val="00F83A97"/>
    <w:rsid w:val="00F8532D"/>
    <w:rsid w:val="00F90CCF"/>
    <w:rsid w:val="00FB5F13"/>
    <w:rsid w:val="00FE7F01"/>
    <w:rsid w:val="00FF4D2C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7E8F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1" w:defUnhideWhenUsed="1" w:defQFormat="0" w:count="267">
    <w:lsdException w:name="Normal" w:semiHidden="0" w:uiPriority="0" w:unhideWhenUsed="0" w:qFormat="1"/>
    <w:lsdException w:name="heading 1" w:semiHidden="0" w:unhideWhenUsed="0"/>
    <w:lsdException w:name="heading 5" w:qFormat="1"/>
    <w:lsdException w:name="heading 7" w:qFormat="1"/>
    <w:lsdException w:name="heading 8" w:qFormat="1"/>
    <w:lsdException w:name="heading 9" w:qFormat="1"/>
    <w:lsdException w:name="header" w:uiPriority="99"/>
    <w:lsdException w:name="caption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semiHidden/>
    <w:rsid w:val="006D24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rsid w:val="006D24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6D24E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6D24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6D24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6D24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6D24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6D24E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6D24E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6D24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6D24ED"/>
    <w:pPr>
      <w:tabs>
        <w:tab w:val="center" w:pos="851"/>
        <w:tab w:val="center" w:pos="6407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qFormat/>
    <w:rsid w:val="006D24ED"/>
    <w:pPr>
      <w:ind w:firstLine="284"/>
    </w:pPr>
  </w:style>
  <w:style w:type="character" w:styleId="PageNumber">
    <w:name w:val="page number"/>
    <w:uiPriority w:val="98"/>
    <w:semiHidden/>
    <w:rsid w:val="006D24E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6D2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6D2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6D24E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6D24E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D24E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6D24E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6D24E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99"/>
    <w:rsid w:val="006D2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4ED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6D24ED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6D24ED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6D24ED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6D24E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6D24ED"/>
    <w:rPr>
      <w:sz w:val="24"/>
      <w:szCs w:val="24"/>
    </w:rPr>
    <w:tblPr>
      <w:jc w:val="center"/>
      <w:tblInd w:w="0" w:type="dxa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6D24E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6D24ED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6D24E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6D24E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6D24E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6D24E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6D24ED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6D24ED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6D24ED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6D24E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6D24E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6D24ED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rsid w:val="006D24E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6D24E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6D24E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6D24E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6D24E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6D24E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6D24E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6D24E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6D24E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6D24E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6D24E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6D24ED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6D24ED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6D24ED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6D24ED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6D24E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6D24ED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6D24E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6D24ED"/>
    <w:rPr>
      <w:color w:val="636363" w:themeColor="text2" w:themeShade="80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6D24ED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6D24E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6D24E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qFormat/>
    <w:rsid w:val="006D24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6D24E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6D24E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6D24E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qFormat/>
    <w:rsid w:val="006D24ED"/>
    <w:rPr>
      <w:b/>
      <w:bCs/>
    </w:rPr>
  </w:style>
  <w:style w:type="character" w:styleId="Emphasis">
    <w:name w:val="Emphasis"/>
    <w:uiPriority w:val="98"/>
    <w:qFormat/>
    <w:rsid w:val="006D24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9"/>
    <w:qFormat/>
    <w:rsid w:val="006D24ED"/>
  </w:style>
  <w:style w:type="character" w:customStyle="1" w:styleId="NoSpacingChar">
    <w:name w:val="No Spacing Char"/>
    <w:basedOn w:val="DefaultParagraphFont"/>
    <w:link w:val="NoSpacing"/>
    <w:uiPriority w:val="98"/>
    <w:rsid w:val="006D24E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qFormat/>
    <w:rsid w:val="006D24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qFormat/>
    <w:rsid w:val="006D24E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rsid w:val="006D24E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6D24E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6D24E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qFormat/>
    <w:rsid w:val="006D24ED"/>
    <w:rPr>
      <w:i/>
      <w:iCs/>
    </w:rPr>
  </w:style>
  <w:style w:type="character" w:styleId="IntenseEmphasis">
    <w:name w:val="Intense Emphasis"/>
    <w:uiPriority w:val="98"/>
    <w:qFormat/>
    <w:rsid w:val="006D24ED"/>
    <w:rPr>
      <w:b/>
      <w:bCs/>
    </w:rPr>
  </w:style>
  <w:style w:type="character" w:styleId="SubtleReference">
    <w:name w:val="Subtle Reference"/>
    <w:uiPriority w:val="98"/>
    <w:qFormat/>
    <w:rsid w:val="006D24ED"/>
    <w:rPr>
      <w:smallCaps/>
    </w:rPr>
  </w:style>
  <w:style w:type="character" w:styleId="IntenseReference">
    <w:name w:val="Intense Reference"/>
    <w:uiPriority w:val="98"/>
    <w:qFormat/>
    <w:rsid w:val="006D24ED"/>
    <w:rPr>
      <w:smallCaps/>
      <w:spacing w:val="5"/>
      <w:u w:val="single"/>
    </w:rPr>
  </w:style>
  <w:style w:type="character" w:styleId="BookTitle">
    <w:name w:val="Book Title"/>
    <w:uiPriority w:val="98"/>
    <w:qFormat/>
    <w:rsid w:val="006D24E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6D24E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6D24E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6D24E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6D24ED"/>
  </w:style>
  <w:style w:type="paragraph" w:styleId="BlockText">
    <w:name w:val="Block Text"/>
    <w:basedOn w:val="Normal"/>
    <w:uiPriority w:val="98"/>
    <w:semiHidden/>
    <w:rsid w:val="006D24E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6D2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6D24E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6D2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6D24E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6D24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6D24E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6D2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6D24E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6D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6D24E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6D2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6D24E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6D2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6D24E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6D24E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6D24E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6D24E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6D24E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D24E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6D2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6D24E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6D24ED"/>
  </w:style>
  <w:style w:type="character" w:customStyle="1" w:styleId="DateChar">
    <w:name w:val="Date Char"/>
    <w:basedOn w:val="DefaultParagraphFont"/>
    <w:link w:val="Date"/>
    <w:uiPriority w:val="98"/>
    <w:semiHidden/>
    <w:rsid w:val="006D24E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6D24E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6D24E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6D24E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6D24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6D24E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6D24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6D24E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6D24E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6D24E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6D2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6D24E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6D24ED"/>
  </w:style>
  <w:style w:type="paragraph" w:styleId="HTMLAddress">
    <w:name w:val="HTML Address"/>
    <w:basedOn w:val="Normal"/>
    <w:link w:val="HTMLAddressChar"/>
    <w:uiPriority w:val="98"/>
    <w:semiHidden/>
    <w:rsid w:val="006D24E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6D24E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6D24ED"/>
    <w:rPr>
      <w:i/>
      <w:iCs/>
    </w:rPr>
  </w:style>
  <w:style w:type="character" w:styleId="HTMLCode">
    <w:name w:val="HTML Code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6D24E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6D24E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6D24E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6D24ED"/>
    <w:rPr>
      <w:i/>
      <w:iCs/>
    </w:rPr>
  </w:style>
  <w:style w:type="character" w:styleId="Hyperlink">
    <w:name w:val="Hyperlink"/>
    <w:basedOn w:val="DefaultParagraphFont"/>
    <w:uiPriority w:val="98"/>
    <w:rsid w:val="006D24E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6D24E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6D24E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6D24E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6D24E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6D24E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6D24E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6D24E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6D24E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6D24E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6D24E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6D24ED"/>
    <w:rPr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6D24ED"/>
    <w:rPr>
      <w:color w:val="00548C" w:themeColor="accen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6D24ED"/>
    <w:rPr>
      <w:color w:val="8F0000" w:themeColor="accent2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6D24ED"/>
    <w:rPr>
      <w:color w:val="474747" w:themeColor="accent3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6D24ED"/>
    <w:rPr>
      <w:color w:val="707070" w:themeColor="accent4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6D24ED"/>
    <w:rPr>
      <w:color w:val="474747" w:themeColor="accent5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6D24ED"/>
    <w:rPr>
      <w:color w:val="393939" w:themeColor="accent6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6D24ED"/>
  </w:style>
  <w:style w:type="paragraph" w:styleId="List">
    <w:name w:val="List"/>
    <w:basedOn w:val="Normal"/>
    <w:uiPriority w:val="98"/>
    <w:semiHidden/>
    <w:rsid w:val="006D24E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6D24E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6D24E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6D24E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6D24E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6D24E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6D24E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6D24E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6D24E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6D24E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6D2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6D2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6D2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6D2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6D2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6D24E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6D24E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6D24E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6D24E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6D24E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6D2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6D24E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6D2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6D24E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6D24E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6D24ED"/>
    <w:pPr>
      <w:ind w:left="720"/>
    </w:pPr>
  </w:style>
  <w:style w:type="table" w:customStyle="1" w:styleId="ECHRTableNoLines">
    <w:name w:val="ECHR_Table_No_Lines"/>
    <w:basedOn w:val="TableNormal"/>
    <w:uiPriority w:val="99"/>
    <w:rsid w:val="006D24ED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6D24E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6D24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6D24E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6D24E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6D24E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6D24E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6D24E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24ED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24ED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24ED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6D24E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6D24ED"/>
  </w:style>
  <w:style w:type="table" w:styleId="TableProfessional">
    <w:name w:val="Table Professional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6D24E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6D24E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6D24ED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6D24E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rsid w:val="006D24ED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rsid w:val="006D24E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6D24ED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6D24E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6D24ED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6D24ED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6D24ED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6D24E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6D24E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6D24E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qFormat/>
    <w:rsid w:val="006D24E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6D24E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qFormat/>
    <w:rsid w:val="006D24E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rsid w:val="006D24ED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rsid w:val="006D24E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qFormat/>
    <w:rsid w:val="006D24E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6D24E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rsid w:val="006D24E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rsid w:val="006D24E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6D24E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rsid w:val="006D24E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6D24E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qFormat/>
    <w:rsid w:val="006D24ED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qFormat/>
    <w:rsid w:val="006D24ED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qFormat/>
    <w:rsid w:val="006D24ED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6D24ED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6D24ED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6D24E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qFormat/>
    <w:rsid w:val="006D24E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qFormat/>
    <w:rsid w:val="006D24E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6D24ED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CFTableStyle">
    <w:name w:val="PCF_Table_Style"/>
    <w:aliases w:val="ECHR_PCF_Table_Style"/>
    <w:basedOn w:val="TableNormal"/>
    <w:uiPriority w:val="99"/>
    <w:rsid w:val="006D24ED"/>
    <w:rPr>
      <w:color w:val="000000" w:themeColor="text1"/>
      <w:sz w:val="18"/>
      <w:szCs w:val="24"/>
    </w:rPr>
    <w:tblPr>
      <w:tblInd w:w="0" w:type="dxa"/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6D24E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6D24ED"/>
    <w:rPr>
      <w:rFonts w:eastAsiaTheme="minorEastAsia"/>
      <w:sz w:val="24"/>
      <w:szCs w:val="24"/>
      <w:lang w:eastAsia="en-GB"/>
    </w:rPr>
    <w:tblPr>
      <w:tblInd w:w="0" w:type="dxa"/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6D24ED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rsid w:val="006D24ED"/>
    <w:rPr>
      <w:sz w:val="4"/>
    </w:rPr>
  </w:style>
  <w:style w:type="table" w:customStyle="1" w:styleId="ECHRTableGrey">
    <w:name w:val="ECHR_Table_Grey"/>
    <w:basedOn w:val="TableNormal"/>
    <w:uiPriority w:val="99"/>
    <w:rsid w:val="006D24ED"/>
    <w:pPr>
      <w:tabs>
        <w:tab w:val="left" w:pos="397"/>
      </w:tabs>
    </w:pPr>
    <w:tblPr>
      <w:jc w:val="center"/>
      <w:tblInd w:w="0" w:type="dxa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6D24ED"/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DC2D95"/>
    <w:rPr>
      <w:sz w:val="24"/>
      <w:szCs w:val="24"/>
      <w:lang w:val="sq-AL"/>
    </w:rPr>
  </w:style>
  <w:style w:type="table" w:customStyle="1" w:styleId="GridTable1Light1">
    <w:name w:val="Grid Table 1 Light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CHRListTable2">
    <w:name w:val="ECHR_List_Table2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GridTable1Light-Accent11">
    <w:name w:val="Grid Table 1 Light - Accent 1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ECHRA1StyleBulletedSquare1">
    <w:name w:val="ECHR_A1_Style_Bulleted_Square1"/>
    <w:basedOn w:val="NoList"/>
    <w:rsid w:val="00DC2D95"/>
  </w:style>
  <w:style w:type="numbering" w:customStyle="1" w:styleId="ECHRA1StyleNumberedList1">
    <w:name w:val="ECHR_A1_Style_Numbered_List1"/>
    <w:basedOn w:val="NoList"/>
    <w:rsid w:val="00DC2D95"/>
  </w:style>
  <w:style w:type="table" w:customStyle="1" w:styleId="ECHRDNTable1">
    <w:name w:val="ECHR_DN_Table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">
    <w:name w:val="ECHR_Header_Table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">
    <w:name w:val="ECHR_Header_Table_Reduced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">
    <w:name w:val="ECHR_List_Table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">
    <w:name w:val="ECHR_Table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">
    <w:name w:val="ECHR_Table_Box_Header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1">
    <w:name w:val="ECHR_Table_Fax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">
    <w:name w:val="ECHR_Table_For_Internal_Use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">
    <w:name w:val="ECHR_Table_Memo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">
    <w:name w:val="ECHR_Table_No_Lines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">
    <w:name w:val="ECHR_Table_Odd_Banded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">
    <w:name w:val="ECHR_Table_Simple_Box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">
    <w:name w:val="ECHR_Ltr_Table_Address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">
    <w:name w:val="ECHR_PCF_Table_Style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0">
    <w:name w:val="Table Grid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">
    <w:name w:val="ECHR_UG_Table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">
    <w:name w:val="ECHR_UG_Table_White_Box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">
    <w:name w:val="ECHR_A1_Style_List1"/>
    <w:basedOn w:val="NoList"/>
    <w:uiPriority w:val="99"/>
    <w:rsid w:val="00DC2D95"/>
  </w:style>
  <w:style w:type="table" w:customStyle="1" w:styleId="ECHRTable20161">
    <w:name w:val="ECHR_Table_2016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">
    <w:name w:val="ECHR_Table_2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">
    <w:name w:val="ECHR_Table_2019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">
    <w:name w:val="Medium Shading 2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D95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0072BC" w:themeColor="accent1"/>
        <w:bottom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C00000" w:themeColor="accent2"/>
        <w:bottom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5F5F5F" w:themeColor="accent3"/>
        <w:bottom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969696" w:themeColor="accent4"/>
        <w:bottom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DC2D95"/>
    <w:tblPr>
      <w:tblStyleRowBandSize w:val="1"/>
      <w:tblStyleColBandSize w:val="1"/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D9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C2D95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C2D95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rsid w:val="00DC2D95"/>
    <w:tblPr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CHRA1StyleBulletedSquare2">
    <w:name w:val="ECHR_A1_Style_Bulleted_Square2"/>
    <w:basedOn w:val="NoList"/>
    <w:rsid w:val="00DC2D95"/>
  </w:style>
  <w:style w:type="numbering" w:customStyle="1" w:styleId="ECHRA1StyleList2">
    <w:name w:val="ECHR_A1_Style_List2"/>
    <w:basedOn w:val="NoList"/>
    <w:uiPriority w:val="99"/>
    <w:rsid w:val="00DC2D95"/>
  </w:style>
  <w:style w:type="numbering" w:customStyle="1" w:styleId="ECHRA1StyleNumberedList2">
    <w:name w:val="ECHR_A1_Style_Numbered_List2"/>
    <w:basedOn w:val="NoList"/>
    <w:rsid w:val="00DC2D95"/>
  </w:style>
  <w:style w:type="character" w:customStyle="1" w:styleId="NoteHeadingChar1">
    <w:name w:val="Note Heading Char1"/>
    <w:basedOn w:val="DefaultParagraphFont"/>
    <w:uiPriority w:val="99"/>
    <w:semiHidden/>
    <w:rsid w:val="00DC2D95"/>
    <w:rPr>
      <w:sz w:val="24"/>
      <w:szCs w:val="24"/>
      <w:lang w:val="sq-AL"/>
    </w:rPr>
  </w:style>
  <w:style w:type="numbering" w:customStyle="1" w:styleId="ECHRA1StyleBulletedSquare21">
    <w:name w:val="ECHR_A1_Style_Bulleted_Square21"/>
    <w:basedOn w:val="NoList"/>
    <w:rsid w:val="00DC2D95"/>
  </w:style>
  <w:style w:type="numbering" w:customStyle="1" w:styleId="ECHRA1StyleNumberedList21">
    <w:name w:val="ECHR_A1_Style_Numbered_List21"/>
    <w:basedOn w:val="NoList"/>
    <w:rsid w:val="00DC2D95"/>
  </w:style>
  <w:style w:type="table" w:customStyle="1" w:styleId="ECHRDNTable2">
    <w:name w:val="ECHR_DN_Table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2">
    <w:name w:val="ECHR_Header_Table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2">
    <w:name w:val="ECHR_Header_Table_Reduced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3">
    <w:name w:val="ECHR_List_Table3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20">
    <w:name w:val="ECHR_Table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2">
    <w:name w:val="ECHR_Table_Box_Header2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2">
    <w:name w:val="ECHR_Table_Fax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2">
    <w:name w:val="ECHR_Table_For_Internal_Use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2">
    <w:name w:val="ECHR_Table_Memo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2">
    <w:name w:val="ECHR_Table_No_Lines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2">
    <w:name w:val="ECHR_Table_Odd_Banded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2">
    <w:name w:val="ECHR_Table_Simple_Box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2">
    <w:name w:val="ECHR_Ltr_Table_Address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2">
    <w:name w:val="ECHR_PCF_Table_Style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20">
    <w:name w:val="Table Grid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2">
    <w:name w:val="ECHR_UG_Table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2">
    <w:name w:val="ECHR_UG_Table_White_Box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">
    <w:name w:val="ECHR_Table_Grey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21">
    <w:name w:val="ECHR_A1_Style_List21"/>
    <w:basedOn w:val="NoList"/>
    <w:uiPriority w:val="99"/>
    <w:rsid w:val="00DC2D95"/>
  </w:style>
  <w:style w:type="table" w:customStyle="1" w:styleId="ECHRTable20162">
    <w:name w:val="ECHR_Table_2016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2">
    <w:name w:val="ECHR_Table_2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2">
    <w:name w:val="ECHR_Table_2019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2">
    <w:name w:val="Medium Shading 2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1">
    <w:name w:val="ECHR_A1_Style_Bulleted_Square11"/>
    <w:basedOn w:val="NoList"/>
    <w:rsid w:val="00DC2D95"/>
  </w:style>
  <w:style w:type="numbering" w:customStyle="1" w:styleId="ECHRA1StyleList11">
    <w:name w:val="ECHR_A1_Style_List11"/>
    <w:basedOn w:val="NoList"/>
    <w:uiPriority w:val="99"/>
    <w:rsid w:val="00DC2D95"/>
  </w:style>
  <w:style w:type="numbering" w:customStyle="1" w:styleId="ECHRA1StyleNumberedList11">
    <w:name w:val="ECHR_A1_Style_Numbered_List11"/>
    <w:basedOn w:val="NoList"/>
    <w:rsid w:val="00DC2D95"/>
  </w:style>
  <w:style w:type="table" w:customStyle="1" w:styleId="ECHRTable201911">
    <w:name w:val="ECHR_Table_2019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1">
    <w:name w:val="ECHR_Table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1">
    <w:name w:val="ECHR_Table_Box_Header1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LtrTableAddress11">
    <w:name w:val="ECHR_Ltr_Table_Address11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">
    <w:name w:val="ECHR_UG_Table11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">
    <w:name w:val="ECHR_UG_Table_White_Box11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1">
    <w:name w:val="ECHR_PCF_Table_Style11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1">
    <w:name w:val="ECHR_Table_Fax11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1">
    <w:name w:val="ECHR_Table_Memo11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1">
    <w:name w:val="ECHR_DN_Table11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1">
    <w:name w:val="ECHR_Table_Simple_Box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1">
    <w:name w:val="ECHR_Table_No_Lines11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1">
    <w:name w:val="ECHR_Table_For_Internal_Use11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1">
    <w:name w:val="ECHR_List_Table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1">
    <w:name w:val="ECHR_Header_Table11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1">
    <w:name w:val="ECHR_Table_Odd_Banded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1">
    <w:name w:val="ECHR_Header_Table_Reduced11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1">
    <w:name w:val="Light Grid1"/>
    <w:basedOn w:val="TableNormal"/>
    <w:next w:val="LightGrid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rsid w:val="00DC2D95"/>
    <w:rPr>
      <w:color w:val="00548C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rsid w:val="00DC2D95"/>
    <w:rPr>
      <w:color w:val="8F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rsid w:val="00DC2D95"/>
    <w:rPr>
      <w:color w:val="70707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rsid w:val="00DC2D95"/>
    <w:rPr>
      <w:color w:val="393939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1">
    <w:name w:val="Medium Grid 11"/>
    <w:basedOn w:val="TableNormal"/>
    <w:next w:val="MediumGrid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semiHidden/>
    <w:unhideWhenUsed/>
    <w:rsid w:val="00DC2D95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semiHidden/>
    <w:unhideWhenUsed/>
    <w:rsid w:val="00DC2D95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11">
    <w:name w:val="Table Web 11"/>
    <w:basedOn w:val="TableNormal"/>
    <w:next w:val="TableWeb1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CHRTable211">
    <w:name w:val="ECHR_Table_2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1">
    <w:name w:val="ECHR_Table_2016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ListTable21">
    <w:name w:val="ECHR_List_Table21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11">
    <w:name w:val="ECHR_A1_Style_Bulleted_Square111"/>
    <w:basedOn w:val="NoList"/>
    <w:rsid w:val="00DC2D95"/>
  </w:style>
  <w:style w:type="numbering" w:customStyle="1" w:styleId="ECHRA1StyleNumberedList111">
    <w:name w:val="ECHR_A1_Style_Numbered_List111"/>
    <w:basedOn w:val="NoList"/>
    <w:rsid w:val="00DC2D95"/>
  </w:style>
  <w:style w:type="table" w:customStyle="1" w:styleId="ECHRDNTable111">
    <w:name w:val="ECHR_DN_Table11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1">
    <w:name w:val="ECHR_Header_Table11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1">
    <w:name w:val="ECHR_Header_Table_Reduced11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1">
    <w:name w:val="ECHR_List_Table11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1">
    <w:name w:val="ECHR_Table1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1">
    <w:name w:val="ECHR_Table_Fax11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1">
    <w:name w:val="ECHR_Table_For_Internal_Use11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1">
    <w:name w:val="ECHR_Table_Memo11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1">
    <w:name w:val="ECHR_Table_No_Lines11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1">
    <w:name w:val="ECHR_Table_Odd_Banded1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1">
    <w:name w:val="ECHR_Table_Simple_Box11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1">
    <w:name w:val="ECHR_Ltr_Table_Address11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1">
    <w:name w:val="ECHR_PCF_Table_Style11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1">
    <w:name w:val="ECHR_UG_Table11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1">
    <w:name w:val="ECHR_UG_Table_White_Box11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1">
    <w:name w:val="ECHR_Table_Grey1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111">
    <w:name w:val="ECHR_A1_Style_List111"/>
    <w:basedOn w:val="NoList"/>
    <w:uiPriority w:val="99"/>
    <w:rsid w:val="00DC2D95"/>
  </w:style>
  <w:style w:type="table" w:customStyle="1" w:styleId="ECHRTable2016111">
    <w:name w:val="ECHR_Table_2016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1">
    <w:name w:val="ECHR_Table_21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1">
    <w:name w:val="ECHR_Table_2019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1">
    <w:name w:val="Medium Shading 211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2">
    <w:name w:val="Colorful Grid2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2">
    <w:name w:val="Colorful List2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2">
    <w:name w:val="Colorful Shading2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2">
    <w:name w:val="Light Grid2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2">
    <w:name w:val="Light List2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2">
    <w:name w:val="Light Shading2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2">
    <w:name w:val="Medium Grid 12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2">
    <w:name w:val="Medium Grid 22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2">
    <w:name w:val="Medium Grid 2 - Accent 12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2">
    <w:name w:val="Medium Grid 2 - Accent 22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2">
    <w:name w:val="Medium Grid 2 - Accent 32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2">
    <w:name w:val="Medium Grid 2 - Accent 42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2">
    <w:name w:val="Medium Grid 2 - Accent 52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2">
    <w:name w:val="Medium Grid 2 - Accent 62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2">
    <w:name w:val="Medium Grid 32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2">
    <w:name w:val="Medium List 12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2">
    <w:name w:val="Medium List 22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2">
    <w:name w:val="Medium List 2 - Accent 12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2">
    <w:name w:val="Medium List 2 - Accent 22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2">
    <w:name w:val="Medium List 2 - Accent 32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2">
    <w:name w:val="Medium List 2 - Accent 42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2">
    <w:name w:val="Medium List 2 - Accent 52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2">
    <w:name w:val="Medium List 2 - Accent 62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3">
    <w:name w:val="ECHR_A1_Style_Bulleted_Square3"/>
    <w:basedOn w:val="NoList"/>
    <w:rsid w:val="00DC2D95"/>
  </w:style>
  <w:style w:type="numbering" w:customStyle="1" w:styleId="ECHRA1StyleNumberedList3">
    <w:name w:val="ECHR_A1_Style_Numbered_List3"/>
    <w:basedOn w:val="NoList"/>
    <w:rsid w:val="00DC2D95"/>
  </w:style>
  <w:style w:type="table" w:customStyle="1" w:styleId="ECHRDNTable3">
    <w:name w:val="ECHR_DN_Table3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3">
    <w:name w:val="ECHR_Header_Table3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3">
    <w:name w:val="ECHR_Header_Table_Reduced3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4">
    <w:name w:val="ECHR_List_Table4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Fax3">
    <w:name w:val="ECHR_Table_Fax3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3">
    <w:name w:val="ECHR_Table_For_Internal_Use3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3">
    <w:name w:val="ECHR_Table_Memo3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3">
    <w:name w:val="ECHR_Table_No_Lines3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SimpleBox3">
    <w:name w:val="ECHR_Table_Simple_Box3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3">
    <w:name w:val="ECHR_Ltr_Table_Address3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3">
    <w:name w:val="ECHR_PCF_Table_Style3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30">
    <w:name w:val="Table Grid3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3">
    <w:name w:val="ECHR_UG_Table3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3">
    <w:name w:val="ECHR_UG_Table_White_Box3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2">
    <w:name w:val="ECHR_Table_Grey2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3">
    <w:name w:val="ECHR_A1_Style_List3"/>
    <w:basedOn w:val="NoList"/>
    <w:uiPriority w:val="99"/>
    <w:rsid w:val="00DC2D95"/>
  </w:style>
  <w:style w:type="table" w:customStyle="1" w:styleId="ECHRTable20163">
    <w:name w:val="ECHR_Table_2016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3">
    <w:name w:val="ECHR_Table_23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3">
    <w:name w:val="ECHR_Table_2019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2">
    <w:name w:val="ECHR_A1_Style_Bulleted_Square12"/>
    <w:basedOn w:val="NoList"/>
    <w:rsid w:val="00DC2D95"/>
  </w:style>
  <w:style w:type="numbering" w:customStyle="1" w:styleId="ECHRA1StyleList12">
    <w:name w:val="ECHR_A1_Style_List12"/>
    <w:basedOn w:val="NoList"/>
    <w:uiPriority w:val="99"/>
    <w:rsid w:val="00DC2D95"/>
  </w:style>
  <w:style w:type="numbering" w:customStyle="1" w:styleId="ECHRA1StyleNumberedList12">
    <w:name w:val="ECHR_A1_Style_Numbered_List12"/>
    <w:basedOn w:val="NoList"/>
    <w:rsid w:val="00DC2D95"/>
  </w:style>
  <w:style w:type="table" w:customStyle="1" w:styleId="ECHRTable201912">
    <w:name w:val="ECHR_Table_2019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2">
    <w:name w:val="ECHR_Table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LtrTableAddress12">
    <w:name w:val="ECHR_Ltr_Table_Address12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2">
    <w:name w:val="ECHR_UG_Table12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2">
    <w:name w:val="ECHR_UG_Table_White_Box12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2">
    <w:name w:val="ECHR_PCF_Table_Style12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2">
    <w:name w:val="ECHR_Table_Fax12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2">
    <w:name w:val="ECHR_Table_Memo12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2">
    <w:name w:val="ECHR_DN_Table12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2">
    <w:name w:val="ECHR_Table_Simple_Box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2">
    <w:name w:val="ECHR_Table_No_Lines12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2">
    <w:name w:val="ECHR_Table_For_Internal_Use12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2">
    <w:name w:val="ECHR_List_Table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2">
    <w:name w:val="ECHR_Header_Table12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2">
    <w:name w:val="ECHR_Table_Odd_Banded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2">
    <w:name w:val="ECHR_Header_Table_Reduced12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12">
    <w:name w:val="Medium Shading 212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CHRTable212">
    <w:name w:val="ECHR_Table_2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2">
    <w:name w:val="ECHR_Table_2016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numbering" w:customStyle="1" w:styleId="ECHRA1StyleBulletedSquare112">
    <w:name w:val="ECHR_A1_Style_Bulleted_Square112"/>
    <w:basedOn w:val="NoList"/>
    <w:rsid w:val="00DC2D95"/>
  </w:style>
  <w:style w:type="numbering" w:customStyle="1" w:styleId="ECHRA1StyleNumberedList112">
    <w:name w:val="ECHR_A1_Style_Numbered_List112"/>
    <w:basedOn w:val="NoList"/>
    <w:rsid w:val="00DC2D95"/>
  </w:style>
  <w:style w:type="table" w:customStyle="1" w:styleId="ECHRDNTable112">
    <w:name w:val="ECHR_DN_Table11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2">
    <w:name w:val="ECHR_Header_Table11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2">
    <w:name w:val="ECHR_Header_Table_Reduced11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2">
    <w:name w:val="ECHR_List_Table112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2">
    <w:name w:val="ECHR_Table1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2">
    <w:name w:val="ECHR_Table_Fax11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2">
    <w:name w:val="ECHR_Table_For_Internal_Use11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2">
    <w:name w:val="ECHR_Table_Memo11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2">
    <w:name w:val="ECHR_Table_No_Lines11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2">
    <w:name w:val="ECHR_Table_Odd_Banded1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2">
    <w:name w:val="ECHR_Table_Simple_Box11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2">
    <w:name w:val="ECHR_Ltr_Table_Address11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2">
    <w:name w:val="ECHR_PCF_Table_Style11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2">
    <w:name w:val="Table Grid11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2">
    <w:name w:val="ECHR_UG_Table11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2">
    <w:name w:val="ECHR_UG_Table_White_Box11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12">
    <w:name w:val="ECHR_A1_Style_List112"/>
    <w:basedOn w:val="NoList"/>
    <w:uiPriority w:val="99"/>
    <w:rsid w:val="00DC2D95"/>
  </w:style>
  <w:style w:type="table" w:customStyle="1" w:styleId="ECHRTable2016112">
    <w:name w:val="ECHR_Table_2016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2">
    <w:name w:val="ECHR_Table_21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2">
    <w:name w:val="ECHR_Table_2019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2">
    <w:name w:val="Medium Shading 211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3">
    <w:name w:val="Colorful Grid3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3">
    <w:name w:val="Colorful Grid - Accent 13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3">
    <w:name w:val="Colorful Grid - Accent 23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3">
    <w:name w:val="Colorful Grid - Accent 33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3">
    <w:name w:val="Colorful Grid - Accent 43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3">
    <w:name w:val="Colorful Grid - Accent 53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3">
    <w:name w:val="Colorful Grid - Accent 63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3">
    <w:name w:val="Colorful List - Accent 13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3">
    <w:name w:val="Colorful List - Accent 23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3">
    <w:name w:val="Colorful List - Accent 33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3">
    <w:name w:val="Colorful List - Accent 43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3">
    <w:name w:val="Colorful List - Accent 53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3">
    <w:name w:val="Colorful List - Accent 63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3">
    <w:name w:val="Colorful Shading - Accent 13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3">
    <w:name w:val="Colorful Shading - Accent 23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3">
    <w:name w:val="Colorful Shading - Accent 33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3">
    <w:name w:val="Colorful Shading - Accent 43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3">
    <w:name w:val="Colorful Shading - Accent 53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3">
    <w:name w:val="Colorful Shading - Accent 63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3">
    <w:name w:val="Dark List3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3">
    <w:name w:val="Dark List - Accent 13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3">
    <w:name w:val="Dark List - Accent 23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3">
    <w:name w:val="Dark List - Accent 33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3">
    <w:name w:val="Dark List - Accent 43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3">
    <w:name w:val="Dark List - Accent 53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3">
    <w:name w:val="Dark List - Accent 63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3">
    <w:name w:val="Light Grid3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3">
    <w:name w:val="Light Grid - Accent 23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3">
    <w:name w:val="Light Grid - Accent 33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3">
    <w:name w:val="Light Grid - Accent 43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3">
    <w:name w:val="Light Grid - Accent 53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3">
    <w:name w:val="Light Grid - Accent 63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3">
    <w:name w:val="Light List3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3">
    <w:name w:val="Light List - Accent 23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3">
    <w:name w:val="Light List - Accent 43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3">
    <w:name w:val="Light List - Accent 53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3">
    <w:name w:val="Light List - Accent 63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3">
    <w:name w:val="Light Shading - Accent 23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3">
    <w:name w:val="Light Shading - Accent 33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3">
    <w:name w:val="Light Shading - Accent 53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3">
    <w:name w:val="Light Shading - Accent 63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3">
    <w:name w:val="Medium Grid 1 - Accent 13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3">
    <w:name w:val="Medium Grid 1 - Accent 23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3">
    <w:name w:val="Medium Grid 1 - Accent 33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3">
    <w:name w:val="Medium Grid 1 - Accent 43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3">
    <w:name w:val="Medium Grid 1 - Accent 53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3">
    <w:name w:val="Medium Grid 1 - Accent 63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3">
    <w:name w:val="Medium Grid 23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3">
    <w:name w:val="Medium Grid 2 - Accent 13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3">
    <w:name w:val="Medium Grid 2 - Accent 23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3">
    <w:name w:val="Medium Grid 2 - Accent 33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3">
    <w:name w:val="Medium Grid 2 - Accent 43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3">
    <w:name w:val="Medium Grid 2 - Accent 53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3">
    <w:name w:val="Medium Grid 2 - Accent 63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3">
    <w:name w:val="Medium Grid 3 - Accent 13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3">
    <w:name w:val="Medium Grid 3 - Accent 33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3">
    <w:name w:val="Medium Grid 3 - Accent 53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3">
    <w:name w:val="Medium List 1 - Accent 23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3">
    <w:name w:val="Medium List 1 - Accent 33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3">
    <w:name w:val="Medium List 1 - Accent 43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3">
    <w:name w:val="Medium List 1 - Accent 53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3">
    <w:name w:val="Medium List 1 - Accent 63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3">
    <w:name w:val="Medium List 23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3">
    <w:name w:val="Medium List 2 - Accent 13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3">
    <w:name w:val="Medium List 2 - Accent 23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3">
    <w:name w:val="Medium List 2 - Accent 33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3">
    <w:name w:val="Medium List 2 - Accent 43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3">
    <w:name w:val="Medium List 2 - Accent 53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3">
    <w:name w:val="Medium List 2 - Accent 63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3">
    <w:name w:val="Medium Shading 1 - Accent 23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3">
    <w:name w:val="Medium Shading 1 - Accent 33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3">
    <w:name w:val="Medium Shading 1 - Accent 43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3">
    <w:name w:val="Medium Shading 1 - Accent 53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3">
    <w:name w:val="Medium Shading 2 - Accent 23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3">
    <w:name w:val="Medium Shading 2 - Accent 33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3">
    <w:name w:val="Medium Shading 2 - Accent 43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3">
    <w:name w:val="Medium Shading 2 - Accent 53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3">
    <w:name w:val="Medium Shading 2 - Accent 63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1" w:defUnhideWhenUsed="1" w:defQFormat="0" w:count="267">
    <w:lsdException w:name="Normal" w:semiHidden="0" w:uiPriority="0" w:unhideWhenUsed="0" w:qFormat="1"/>
    <w:lsdException w:name="heading 1" w:semiHidden="0" w:unhideWhenUsed="0"/>
    <w:lsdException w:name="heading 5" w:qFormat="1"/>
    <w:lsdException w:name="heading 7" w:qFormat="1"/>
    <w:lsdException w:name="heading 8" w:qFormat="1"/>
    <w:lsdException w:name="heading 9" w:qFormat="1"/>
    <w:lsdException w:name="header" w:uiPriority="99"/>
    <w:lsdException w:name="caption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semiHidden/>
    <w:rsid w:val="006D24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rsid w:val="006D24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6D24E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6D24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6D24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6D24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6D24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6D24E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6D24E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6D24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6D24ED"/>
    <w:pPr>
      <w:tabs>
        <w:tab w:val="center" w:pos="851"/>
        <w:tab w:val="center" w:pos="6407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qFormat/>
    <w:rsid w:val="006D24ED"/>
    <w:pPr>
      <w:ind w:firstLine="284"/>
    </w:pPr>
  </w:style>
  <w:style w:type="character" w:styleId="PageNumber">
    <w:name w:val="page number"/>
    <w:uiPriority w:val="98"/>
    <w:semiHidden/>
    <w:rsid w:val="006D24E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6D2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6D2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6D24E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6D24E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D24E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6D24E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6D24E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99"/>
    <w:rsid w:val="006D2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4ED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6D24ED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6D24ED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6D24ED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6D24E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6D24ED"/>
    <w:rPr>
      <w:sz w:val="24"/>
      <w:szCs w:val="24"/>
    </w:rPr>
    <w:tblPr>
      <w:jc w:val="center"/>
      <w:tblInd w:w="0" w:type="dxa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6D24E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6D24ED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6D24E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6D24E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6D24E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6D24E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6D24ED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6D24ED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6D24ED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6D24E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6D24E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6D24ED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rsid w:val="006D24E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6D24E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6D24E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6D24E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6D24E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6D24E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6D24E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6D24E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6D24E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6D24E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6D24E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6D24ED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6D24ED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6D24ED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6D24ED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6D24E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6D24ED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6D24E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6D24ED"/>
    <w:rPr>
      <w:color w:val="636363" w:themeColor="text2" w:themeShade="80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6D24ED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6D24E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6D24E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qFormat/>
    <w:rsid w:val="006D24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6D24E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6D24E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6D24E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qFormat/>
    <w:rsid w:val="006D24ED"/>
    <w:rPr>
      <w:b/>
      <w:bCs/>
    </w:rPr>
  </w:style>
  <w:style w:type="character" w:styleId="Emphasis">
    <w:name w:val="Emphasis"/>
    <w:uiPriority w:val="98"/>
    <w:qFormat/>
    <w:rsid w:val="006D24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9"/>
    <w:qFormat/>
    <w:rsid w:val="006D24ED"/>
  </w:style>
  <w:style w:type="character" w:customStyle="1" w:styleId="NoSpacingChar">
    <w:name w:val="No Spacing Char"/>
    <w:basedOn w:val="DefaultParagraphFont"/>
    <w:link w:val="NoSpacing"/>
    <w:uiPriority w:val="98"/>
    <w:rsid w:val="006D24E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qFormat/>
    <w:rsid w:val="006D24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qFormat/>
    <w:rsid w:val="006D24E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rsid w:val="006D24E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6D24E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6D24E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qFormat/>
    <w:rsid w:val="006D24ED"/>
    <w:rPr>
      <w:i/>
      <w:iCs/>
    </w:rPr>
  </w:style>
  <w:style w:type="character" w:styleId="IntenseEmphasis">
    <w:name w:val="Intense Emphasis"/>
    <w:uiPriority w:val="98"/>
    <w:qFormat/>
    <w:rsid w:val="006D24ED"/>
    <w:rPr>
      <w:b/>
      <w:bCs/>
    </w:rPr>
  </w:style>
  <w:style w:type="character" w:styleId="SubtleReference">
    <w:name w:val="Subtle Reference"/>
    <w:uiPriority w:val="98"/>
    <w:qFormat/>
    <w:rsid w:val="006D24ED"/>
    <w:rPr>
      <w:smallCaps/>
    </w:rPr>
  </w:style>
  <w:style w:type="character" w:styleId="IntenseReference">
    <w:name w:val="Intense Reference"/>
    <w:uiPriority w:val="98"/>
    <w:qFormat/>
    <w:rsid w:val="006D24ED"/>
    <w:rPr>
      <w:smallCaps/>
      <w:spacing w:val="5"/>
      <w:u w:val="single"/>
    </w:rPr>
  </w:style>
  <w:style w:type="character" w:styleId="BookTitle">
    <w:name w:val="Book Title"/>
    <w:uiPriority w:val="98"/>
    <w:qFormat/>
    <w:rsid w:val="006D24E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6D24E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6D24E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6D24E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6D24ED"/>
  </w:style>
  <w:style w:type="paragraph" w:styleId="BlockText">
    <w:name w:val="Block Text"/>
    <w:basedOn w:val="Normal"/>
    <w:uiPriority w:val="98"/>
    <w:semiHidden/>
    <w:rsid w:val="006D24E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6D2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6D24E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6D2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6D24E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6D24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6D24E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6D2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6D24E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6D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6D24E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6D2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6D24E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6D2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6D24E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6D24E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6D24E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6D24E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6D24E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D24E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6D2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6D24E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6D24ED"/>
  </w:style>
  <w:style w:type="character" w:customStyle="1" w:styleId="DateChar">
    <w:name w:val="Date Char"/>
    <w:basedOn w:val="DefaultParagraphFont"/>
    <w:link w:val="Date"/>
    <w:uiPriority w:val="98"/>
    <w:semiHidden/>
    <w:rsid w:val="006D24E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6D24E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6D24E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6D24E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6D24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6D24E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6D24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6D24E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6D24E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6D24E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6D2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6D24E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6D24ED"/>
  </w:style>
  <w:style w:type="paragraph" w:styleId="HTMLAddress">
    <w:name w:val="HTML Address"/>
    <w:basedOn w:val="Normal"/>
    <w:link w:val="HTMLAddressChar"/>
    <w:uiPriority w:val="98"/>
    <w:semiHidden/>
    <w:rsid w:val="006D24E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6D24E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6D24ED"/>
    <w:rPr>
      <w:i/>
      <w:iCs/>
    </w:rPr>
  </w:style>
  <w:style w:type="character" w:styleId="HTMLCode">
    <w:name w:val="HTML Code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6D24E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6D24E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6D24E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6D24ED"/>
    <w:rPr>
      <w:i/>
      <w:iCs/>
    </w:rPr>
  </w:style>
  <w:style w:type="character" w:styleId="Hyperlink">
    <w:name w:val="Hyperlink"/>
    <w:basedOn w:val="DefaultParagraphFont"/>
    <w:uiPriority w:val="98"/>
    <w:rsid w:val="006D24E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6D24E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6D24E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6D24E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6D24E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6D24E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6D24E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6D24E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6D24E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6D24E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6D24E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6D24ED"/>
    <w:rPr>
      <w:color w:val="000000" w:themeColor="tex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6D24ED"/>
    <w:rPr>
      <w:color w:val="00548C" w:themeColor="accent1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6D24ED"/>
    <w:rPr>
      <w:color w:val="8F0000" w:themeColor="accent2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6D24ED"/>
    <w:rPr>
      <w:color w:val="474747" w:themeColor="accent3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6D24ED"/>
    <w:rPr>
      <w:color w:val="707070" w:themeColor="accent4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6D24ED"/>
    <w:rPr>
      <w:color w:val="474747" w:themeColor="accent5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6D24ED"/>
    <w:rPr>
      <w:color w:val="393939" w:themeColor="accent6" w:themeShade="BF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6D24ED"/>
  </w:style>
  <w:style w:type="paragraph" w:styleId="List">
    <w:name w:val="List"/>
    <w:basedOn w:val="Normal"/>
    <w:uiPriority w:val="98"/>
    <w:semiHidden/>
    <w:rsid w:val="006D24E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6D24E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6D24E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6D24E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6D24E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6D24E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6D24E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6D24E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6D24E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6D24E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6D2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6D2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6D2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6D2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6D2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6D24E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6D24E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6D24E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6D24E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6D24E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6D2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6D24E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bottom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bottom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bottom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bottom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6D2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6D24E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6D24E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6D24ED"/>
    <w:pPr>
      <w:ind w:left="720"/>
    </w:pPr>
  </w:style>
  <w:style w:type="table" w:customStyle="1" w:styleId="ECHRTableNoLines">
    <w:name w:val="ECHR_Table_No_Lines"/>
    <w:basedOn w:val="TableNormal"/>
    <w:uiPriority w:val="99"/>
    <w:rsid w:val="006D24ED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6D24E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6D24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6D24E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6D24E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6D24E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6D24E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6D24E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24ED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24ED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24ED"/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6D24E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6D24ED"/>
  </w:style>
  <w:style w:type="table" w:styleId="TableProfessional">
    <w:name w:val="Table Professional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6D24E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6D24E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6D24ED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6D24E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rsid w:val="006D24ED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rsid w:val="006D24E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6D24ED"/>
    <w:rPr>
      <w:sz w:val="24"/>
      <w:szCs w:val="24"/>
    </w:rPr>
    <w:tblPr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6D24ED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6D24E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6D24ED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6D24ED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6D24ED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6D24E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6D24E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6D24E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qFormat/>
    <w:rsid w:val="006D24E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6D24E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qFormat/>
    <w:rsid w:val="006D24E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rsid w:val="006D24ED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rsid w:val="006D24E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qFormat/>
    <w:rsid w:val="006D24E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6D24E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rsid w:val="006D24E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rsid w:val="006D24E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6D24E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rsid w:val="006D24E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6D24E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qFormat/>
    <w:rsid w:val="006D24ED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qFormat/>
    <w:rsid w:val="006D24ED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qFormat/>
    <w:rsid w:val="006D24ED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6D24ED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6D24ED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6D24E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qFormat/>
    <w:rsid w:val="006D24E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qFormat/>
    <w:rsid w:val="006D24E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6D24ED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CFTableStyle">
    <w:name w:val="PCF_Table_Style"/>
    <w:aliases w:val="ECHR_PCF_Table_Style"/>
    <w:basedOn w:val="TableNormal"/>
    <w:uiPriority w:val="99"/>
    <w:rsid w:val="006D24ED"/>
    <w:rPr>
      <w:color w:val="000000" w:themeColor="text1"/>
      <w:sz w:val="18"/>
      <w:szCs w:val="24"/>
    </w:rPr>
    <w:tblPr>
      <w:tblInd w:w="0" w:type="dxa"/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6D24E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6D24ED"/>
    <w:rPr>
      <w:rFonts w:eastAsiaTheme="minorEastAsia"/>
      <w:sz w:val="24"/>
      <w:szCs w:val="24"/>
      <w:lang w:eastAsia="en-GB"/>
    </w:rPr>
    <w:tblPr>
      <w:tblInd w:w="0" w:type="dxa"/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6D24ED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rsid w:val="006D24ED"/>
    <w:rPr>
      <w:sz w:val="4"/>
    </w:rPr>
  </w:style>
  <w:style w:type="table" w:customStyle="1" w:styleId="ECHRTableGrey">
    <w:name w:val="ECHR_Table_Grey"/>
    <w:basedOn w:val="TableNormal"/>
    <w:uiPriority w:val="99"/>
    <w:rsid w:val="006D24ED"/>
    <w:pPr>
      <w:tabs>
        <w:tab w:val="left" w:pos="397"/>
      </w:tabs>
    </w:pPr>
    <w:tblPr>
      <w:jc w:val="center"/>
      <w:tblInd w:w="0" w:type="dxa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6D24ED"/>
    <w:tblPr>
      <w:tblStyleRowBandSize w:val="1"/>
      <w:tblStyleColBandSize w:val="1"/>
      <w:tblInd w:w="0" w:type="dxa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DC2D95"/>
    <w:rPr>
      <w:sz w:val="24"/>
      <w:szCs w:val="24"/>
      <w:lang w:val="sq-AL"/>
    </w:rPr>
  </w:style>
  <w:style w:type="table" w:customStyle="1" w:styleId="GridTable1Light1">
    <w:name w:val="Grid Table 1 Light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CHRListTable2">
    <w:name w:val="ECHR_List_Table2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GridTable1Light-Accent11">
    <w:name w:val="Grid Table 1 Light - Accent 1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ECHRA1StyleBulletedSquare1">
    <w:name w:val="ECHR_A1_Style_Bulleted_Square1"/>
    <w:basedOn w:val="NoList"/>
    <w:rsid w:val="00DC2D95"/>
  </w:style>
  <w:style w:type="numbering" w:customStyle="1" w:styleId="ECHRA1StyleNumberedList1">
    <w:name w:val="ECHR_A1_Style_Numbered_List1"/>
    <w:basedOn w:val="NoList"/>
    <w:rsid w:val="00DC2D95"/>
  </w:style>
  <w:style w:type="table" w:customStyle="1" w:styleId="ECHRDNTable1">
    <w:name w:val="ECHR_DN_Table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">
    <w:name w:val="ECHR_Header_Table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">
    <w:name w:val="ECHR_Header_Table_Reduced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">
    <w:name w:val="ECHR_List_Table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">
    <w:name w:val="ECHR_Table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">
    <w:name w:val="ECHR_Table_Box_Header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1">
    <w:name w:val="ECHR_Table_Fax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">
    <w:name w:val="ECHR_Table_For_Internal_Use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">
    <w:name w:val="ECHR_Table_Memo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">
    <w:name w:val="ECHR_Table_No_Lines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">
    <w:name w:val="ECHR_Table_Odd_Banded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">
    <w:name w:val="ECHR_Table_Simple_Box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">
    <w:name w:val="ECHR_Ltr_Table_Address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">
    <w:name w:val="ECHR_PCF_Table_Style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0">
    <w:name w:val="Table Grid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">
    <w:name w:val="ECHR_UG_Table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">
    <w:name w:val="ECHR_UG_Table_White_Box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">
    <w:name w:val="ECHR_A1_Style_List1"/>
    <w:basedOn w:val="NoList"/>
    <w:uiPriority w:val="99"/>
    <w:rsid w:val="00DC2D95"/>
  </w:style>
  <w:style w:type="table" w:customStyle="1" w:styleId="ECHRTable20161">
    <w:name w:val="ECHR_Table_2016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">
    <w:name w:val="ECHR_Table_2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">
    <w:name w:val="ECHR_Table_2019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">
    <w:name w:val="Medium Shading 2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D95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D95"/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D95"/>
    <w:tblPr>
      <w:tblStyleRowBandSize w:val="1"/>
      <w:tblStyleColBandSize w:val="1"/>
      <w:tblInd w:w="0" w:type="dxa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D95"/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D95"/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Borders>
        <w:top w:val="single" w:sz="4" w:space="0" w:color="0072BC" w:themeColor="accent1"/>
        <w:bottom w:val="single" w:sz="4" w:space="0" w:color="0072B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Borders>
        <w:top w:val="single" w:sz="4" w:space="0" w:color="C00000" w:themeColor="accent2"/>
        <w:bottom w:val="single" w:sz="4" w:space="0" w:color="C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Borders>
        <w:top w:val="single" w:sz="4" w:space="0" w:color="5F5F5F" w:themeColor="accent3"/>
        <w:bottom w:val="single" w:sz="4" w:space="0" w:color="5F5F5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Borders>
        <w:top w:val="single" w:sz="4" w:space="0" w:color="969696" w:themeColor="accent4"/>
        <w:bottom w:val="single" w:sz="4" w:space="0" w:color="969696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DC2D95"/>
    <w:tblPr>
      <w:tblStyleRowBandSize w:val="1"/>
      <w:tblStyleColBandSize w:val="1"/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D9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D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C2D95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C2D95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rsid w:val="00DC2D95"/>
    <w:tblPr>
      <w:tblInd w:w="0" w:type="dxa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CHRA1StyleBulletedSquare2">
    <w:name w:val="ECHR_A1_Style_Bulleted_Square2"/>
    <w:basedOn w:val="NoList"/>
    <w:rsid w:val="00DC2D95"/>
  </w:style>
  <w:style w:type="numbering" w:customStyle="1" w:styleId="ECHRA1StyleList2">
    <w:name w:val="ECHR_A1_Style_List2"/>
    <w:basedOn w:val="NoList"/>
    <w:uiPriority w:val="99"/>
    <w:rsid w:val="00DC2D95"/>
  </w:style>
  <w:style w:type="numbering" w:customStyle="1" w:styleId="ECHRA1StyleNumberedList2">
    <w:name w:val="ECHR_A1_Style_Numbered_List2"/>
    <w:basedOn w:val="NoList"/>
    <w:rsid w:val="00DC2D95"/>
  </w:style>
  <w:style w:type="character" w:customStyle="1" w:styleId="NoteHeadingChar1">
    <w:name w:val="Note Heading Char1"/>
    <w:basedOn w:val="DefaultParagraphFont"/>
    <w:uiPriority w:val="99"/>
    <w:semiHidden/>
    <w:rsid w:val="00DC2D95"/>
    <w:rPr>
      <w:sz w:val="24"/>
      <w:szCs w:val="24"/>
      <w:lang w:val="sq-AL"/>
    </w:rPr>
  </w:style>
  <w:style w:type="numbering" w:customStyle="1" w:styleId="ECHRA1StyleBulletedSquare21">
    <w:name w:val="ECHR_A1_Style_Bulleted_Square21"/>
    <w:basedOn w:val="NoList"/>
    <w:rsid w:val="00DC2D95"/>
  </w:style>
  <w:style w:type="numbering" w:customStyle="1" w:styleId="ECHRA1StyleNumberedList21">
    <w:name w:val="ECHR_A1_Style_Numbered_List21"/>
    <w:basedOn w:val="NoList"/>
    <w:rsid w:val="00DC2D95"/>
  </w:style>
  <w:style w:type="table" w:customStyle="1" w:styleId="ECHRDNTable2">
    <w:name w:val="ECHR_DN_Table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2">
    <w:name w:val="ECHR_Header_Table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2">
    <w:name w:val="ECHR_Header_Table_Reduced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3">
    <w:name w:val="ECHR_List_Table3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20">
    <w:name w:val="ECHR_Table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2">
    <w:name w:val="ECHR_Table_Box_Header2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2">
    <w:name w:val="ECHR_Table_Fax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2">
    <w:name w:val="ECHR_Table_For_Internal_Use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2">
    <w:name w:val="ECHR_Table_Memo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2">
    <w:name w:val="ECHR_Table_No_Lines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2">
    <w:name w:val="ECHR_Table_Odd_Banded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2">
    <w:name w:val="ECHR_Table_Simple_Box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2">
    <w:name w:val="ECHR_Ltr_Table_Address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2">
    <w:name w:val="ECHR_PCF_Table_Style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20">
    <w:name w:val="Table Grid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2">
    <w:name w:val="ECHR_UG_Table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2">
    <w:name w:val="ECHR_UG_Table_White_Box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">
    <w:name w:val="ECHR_Table_Grey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21">
    <w:name w:val="ECHR_A1_Style_List21"/>
    <w:basedOn w:val="NoList"/>
    <w:uiPriority w:val="99"/>
    <w:rsid w:val="00DC2D95"/>
  </w:style>
  <w:style w:type="table" w:customStyle="1" w:styleId="ECHRTable20162">
    <w:name w:val="ECHR_Table_2016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2">
    <w:name w:val="ECHR_Table_2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2">
    <w:name w:val="ECHR_Table_2019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2">
    <w:name w:val="Medium Shading 2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1">
    <w:name w:val="ECHR_A1_Style_Bulleted_Square11"/>
    <w:basedOn w:val="NoList"/>
    <w:rsid w:val="00DC2D95"/>
  </w:style>
  <w:style w:type="numbering" w:customStyle="1" w:styleId="ECHRA1StyleList11">
    <w:name w:val="ECHR_A1_Style_List11"/>
    <w:basedOn w:val="NoList"/>
    <w:uiPriority w:val="99"/>
    <w:rsid w:val="00DC2D95"/>
  </w:style>
  <w:style w:type="numbering" w:customStyle="1" w:styleId="ECHRA1StyleNumberedList11">
    <w:name w:val="ECHR_A1_Style_Numbered_List11"/>
    <w:basedOn w:val="NoList"/>
    <w:rsid w:val="00DC2D95"/>
  </w:style>
  <w:style w:type="table" w:customStyle="1" w:styleId="ECHRTable201911">
    <w:name w:val="ECHR_Table_2019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1">
    <w:name w:val="ECHR_Table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1">
    <w:name w:val="ECHR_Table_Box_Header1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Ind w:w="0" w:type="dxa"/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LtrTableAddress11">
    <w:name w:val="ECHR_Ltr_Table_Address11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">
    <w:name w:val="ECHR_UG_Table11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">
    <w:name w:val="ECHR_UG_Table_White_Box11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1">
    <w:name w:val="ECHR_PCF_Table_Style11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1">
    <w:name w:val="ECHR_Table_Fax11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1">
    <w:name w:val="ECHR_Table_Memo11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1">
    <w:name w:val="ECHR_DN_Table11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1">
    <w:name w:val="ECHR_Table_Simple_Box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1">
    <w:name w:val="ECHR_Table_No_Lines11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1">
    <w:name w:val="ECHR_Table_For_Internal_Use11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1">
    <w:name w:val="ECHR_List_Table11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1">
    <w:name w:val="ECHR_Header_Table11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1">
    <w:name w:val="ECHR_Table_Odd_Banded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1">
    <w:name w:val="ECHR_Header_Table_Reduced11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1">
    <w:name w:val="Light Grid1"/>
    <w:basedOn w:val="TableNormal"/>
    <w:next w:val="LightGrid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rsid w:val="00DC2D95"/>
    <w:rPr>
      <w:color w:val="00548C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rsid w:val="00DC2D95"/>
    <w:rPr>
      <w:color w:val="8F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rsid w:val="00DC2D95"/>
    <w:rPr>
      <w:color w:val="70707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rsid w:val="00DC2D95"/>
    <w:rPr>
      <w:color w:val="393939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1">
    <w:name w:val="Medium Grid 11"/>
    <w:basedOn w:val="TableNormal"/>
    <w:next w:val="MediumGrid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semiHidden/>
    <w:unhideWhenUsed/>
    <w:rsid w:val="00DC2D95"/>
    <w:pPr>
      <w:jc w:val="both"/>
    </w:pPr>
    <w:rPr>
      <w:color w:val="000080"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semiHidden/>
    <w:unhideWhenUsed/>
    <w:rsid w:val="00DC2D95"/>
    <w:pPr>
      <w:jc w:val="both"/>
    </w:pPr>
    <w:rPr>
      <w:color w:val="FFFFFF"/>
      <w:sz w:val="24"/>
      <w:szCs w:val="24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uiPriority w:val="99"/>
    <w:semiHidden/>
    <w:unhideWhenUsed/>
    <w:rsid w:val="00DC2D95"/>
    <w:pPr>
      <w:jc w:val="both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11">
    <w:name w:val="Table Web 11"/>
    <w:basedOn w:val="TableNormal"/>
    <w:next w:val="TableWeb1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CHRTable211">
    <w:name w:val="ECHR_Table_2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1">
    <w:name w:val="ECHR_Table_2016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ListTable21">
    <w:name w:val="ECHR_List_Table21"/>
    <w:basedOn w:val="TableNormal"/>
    <w:uiPriority w:val="99"/>
    <w:rsid w:val="00DC2D95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11">
    <w:name w:val="ECHR_A1_Style_Bulleted_Square111"/>
    <w:basedOn w:val="NoList"/>
    <w:rsid w:val="00DC2D95"/>
  </w:style>
  <w:style w:type="numbering" w:customStyle="1" w:styleId="ECHRA1StyleNumberedList111">
    <w:name w:val="ECHR_A1_Style_Numbered_List111"/>
    <w:basedOn w:val="NoList"/>
    <w:rsid w:val="00DC2D95"/>
  </w:style>
  <w:style w:type="table" w:customStyle="1" w:styleId="ECHRDNTable111">
    <w:name w:val="ECHR_DN_Table111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1">
    <w:name w:val="ECHR_Header_Table11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1">
    <w:name w:val="ECHR_Header_Table_Reduced111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1">
    <w:name w:val="ECHR_List_Table111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1">
    <w:name w:val="ECHR_Table1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1">
    <w:name w:val="ECHR_Table_Fax11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1">
    <w:name w:val="ECHR_Table_For_Internal_Use11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1">
    <w:name w:val="ECHR_Table_Memo111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1">
    <w:name w:val="ECHR_Table_No_Lines111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1">
    <w:name w:val="ECHR_Table_Odd_Banded111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1">
    <w:name w:val="ECHR_Table_Simple_Box111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1">
    <w:name w:val="ECHR_Ltr_Table_Address111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1">
    <w:name w:val="ECHR_PCF_Table_Style111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1">
    <w:name w:val="ECHR_UG_Table11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1">
    <w:name w:val="ECHR_UG_Table_White_Box111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1">
    <w:name w:val="ECHR_Table_Grey11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111">
    <w:name w:val="ECHR_A1_Style_List111"/>
    <w:basedOn w:val="NoList"/>
    <w:uiPriority w:val="99"/>
    <w:rsid w:val="00DC2D95"/>
  </w:style>
  <w:style w:type="table" w:customStyle="1" w:styleId="ECHRTable2016111">
    <w:name w:val="ECHR_Table_2016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1">
    <w:name w:val="ECHR_Table_21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1">
    <w:name w:val="ECHR_Table_2019111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1">
    <w:name w:val="Medium Shading 2111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2">
    <w:name w:val="Colorful Grid2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2">
    <w:name w:val="Colorful List2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2">
    <w:name w:val="Colorful Shading2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2">
    <w:name w:val="Light Grid2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2">
    <w:name w:val="Light List2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2">
    <w:name w:val="Light Shading2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2">
    <w:name w:val="Medium Grid 12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2">
    <w:name w:val="Medium Grid 22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2">
    <w:name w:val="Medium Grid 2 - Accent 12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2">
    <w:name w:val="Medium Grid 2 - Accent 22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2">
    <w:name w:val="Medium Grid 2 - Accent 32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2">
    <w:name w:val="Medium Grid 2 - Accent 42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2">
    <w:name w:val="Medium Grid 2 - Accent 52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2">
    <w:name w:val="Medium Grid 2 - Accent 62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2">
    <w:name w:val="Medium Grid 32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2">
    <w:name w:val="Medium List 12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2">
    <w:name w:val="Medium List 22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2">
    <w:name w:val="Medium List 2 - Accent 12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2">
    <w:name w:val="Medium List 2 - Accent 22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2">
    <w:name w:val="Medium List 2 - Accent 32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2">
    <w:name w:val="Medium List 2 - Accent 42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2">
    <w:name w:val="Medium List 2 - Accent 52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2">
    <w:name w:val="Medium List 2 - Accent 62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3">
    <w:name w:val="ECHR_A1_Style_Bulleted_Square3"/>
    <w:basedOn w:val="NoList"/>
    <w:rsid w:val="00DC2D95"/>
  </w:style>
  <w:style w:type="numbering" w:customStyle="1" w:styleId="ECHRA1StyleNumberedList3">
    <w:name w:val="ECHR_A1_Style_Numbered_List3"/>
    <w:basedOn w:val="NoList"/>
    <w:rsid w:val="00DC2D95"/>
  </w:style>
  <w:style w:type="table" w:customStyle="1" w:styleId="ECHRDNTable3">
    <w:name w:val="ECHR_DN_Table3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3">
    <w:name w:val="ECHR_Header_Table3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3">
    <w:name w:val="ECHR_Header_Table_Reduced3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4">
    <w:name w:val="ECHR_List_Table4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Fax3">
    <w:name w:val="ECHR_Table_Fax3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3">
    <w:name w:val="ECHR_Table_For_Internal_Use3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3">
    <w:name w:val="ECHR_Table_Memo3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3">
    <w:name w:val="ECHR_Table_No_Lines3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SimpleBox3">
    <w:name w:val="ECHR_Table_Simple_Box3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3">
    <w:name w:val="ECHR_Ltr_Table_Address3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3">
    <w:name w:val="ECHR_PCF_Table_Style3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30">
    <w:name w:val="Table Grid3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3">
    <w:name w:val="ECHR_UG_Table3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3">
    <w:name w:val="ECHR_UG_Table_White_Box3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2">
    <w:name w:val="ECHR_Table_Grey2"/>
    <w:basedOn w:val="TableNormal"/>
    <w:uiPriority w:val="99"/>
    <w:rsid w:val="00DC2D95"/>
    <w:pPr>
      <w:tabs>
        <w:tab w:val="left" w:pos="397"/>
      </w:tabs>
    </w:pPr>
    <w:tblPr>
      <w:jc w:val="center"/>
      <w:tblInd w:w="0" w:type="dxa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left w:w="108" w:type="dxa"/>
        <w:bottom w:w="85" w:type="dxa"/>
        <w:right w:w="108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3">
    <w:name w:val="ECHR_A1_Style_List3"/>
    <w:basedOn w:val="NoList"/>
    <w:uiPriority w:val="99"/>
    <w:rsid w:val="00DC2D95"/>
  </w:style>
  <w:style w:type="table" w:customStyle="1" w:styleId="ECHRTable20163">
    <w:name w:val="ECHR_Table_2016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3">
    <w:name w:val="ECHR_Table_23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3">
    <w:name w:val="ECHR_Table_20193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2">
    <w:name w:val="ECHR_A1_Style_Bulleted_Square12"/>
    <w:basedOn w:val="NoList"/>
    <w:rsid w:val="00DC2D95"/>
  </w:style>
  <w:style w:type="numbering" w:customStyle="1" w:styleId="ECHRA1StyleList12">
    <w:name w:val="ECHR_A1_Style_List12"/>
    <w:basedOn w:val="NoList"/>
    <w:uiPriority w:val="99"/>
    <w:rsid w:val="00DC2D95"/>
  </w:style>
  <w:style w:type="numbering" w:customStyle="1" w:styleId="ECHRA1StyleNumberedList12">
    <w:name w:val="ECHR_A1_Style_Numbered_List12"/>
    <w:basedOn w:val="NoList"/>
    <w:rsid w:val="00DC2D95"/>
  </w:style>
  <w:style w:type="table" w:customStyle="1" w:styleId="ECHRTable201912">
    <w:name w:val="ECHR_Table_2019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2">
    <w:name w:val="ECHR_Table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LtrTableAddress12">
    <w:name w:val="ECHR_Ltr_Table_Address12"/>
    <w:basedOn w:val="TableNormal"/>
    <w:uiPriority w:val="99"/>
    <w:rsid w:val="00DC2D95"/>
    <w:rPr>
      <w:sz w:val="24"/>
      <w:szCs w:val="24"/>
    </w:rPr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2">
    <w:name w:val="ECHR_UG_Table12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2">
    <w:name w:val="ECHR_UG_Table_White_Box12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2">
    <w:name w:val="ECHR_PCF_Table_Style12"/>
    <w:basedOn w:val="TableNormal"/>
    <w:uiPriority w:val="99"/>
    <w:rsid w:val="00DC2D95"/>
    <w:rPr>
      <w:color w:val="000000"/>
      <w:sz w:val="18"/>
      <w:szCs w:val="24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2">
    <w:name w:val="ECHR_Table_Fax12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Memo12">
    <w:name w:val="ECHR_Table_Memo12"/>
    <w:basedOn w:val="TableNormal"/>
    <w:uiPriority w:val="99"/>
    <w:rsid w:val="00DC2D95"/>
    <w:rPr>
      <w:sz w:val="24"/>
      <w:szCs w:val="24"/>
    </w:rPr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2">
    <w:name w:val="ECHR_DN_Table12"/>
    <w:basedOn w:val="TableNormal"/>
    <w:uiPriority w:val="99"/>
    <w:rsid w:val="00DC2D95"/>
    <w:rPr>
      <w:sz w:val="24"/>
      <w:szCs w:val="24"/>
    </w:rPr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2">
    <w:name w:val="ECHR_Table_Simple_Box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TableNoLines12">
    <w:name w:val="ECHR_Table_No_Lines12"/>
    <w:basedOn w:val="TableNormal"/>
    <w:uiPriority w:val="99"/>
    <w:rsid w:val="00DC2D95"/>
    <w:rPr>
      <w:sz w:val="24"/>
      <w:szCs w:val="24"/>
    </w:rPr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2">
    <w:name w:val="ECHR_Table_For_Internal_Use12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2">
    <w:name w:val="ECHR_List_Table12"/>
    <w:basedOn w:val="TableNormal"/>
    <w:uiPriority w:val="99"/>
    <w:rsid w:val="00DC2D95"/>
    <w:rPr>
      <w:sz w:val="24"/>
      <w:szCs w:val="24"/>
    </w:rPr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2">
    <w:name w:val="ECHR_Header_Table12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2">
    <w:name w:val="ECHR_Table_Odd_Banded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2">
    <w:name w:val="ECHR_Header_Table_Reduced12"/>
    <w:basedOn w:val="TableNormal"/>
    <w:uiPriority w:val="99"/>
    <w:rsid w:val="00DC2D95"/>
    <w:rPr>
      <w:sz w:val="24"/>
      <w:szCs w:val="24"/>
    </w:rPr>
    <w:tblPr>
      <w:tblInd w:w="-1474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12">
    <w:name w:val="Medium Shading 212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CHRTable212">
    <w:name w:val="ECHR_Table_2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2">
    <w:name w:val="ECHR_Table_2016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numbering" w:customStyle="1" w:styleId="ECHRA1StyleBulletedSquare112">
    <w:name w:val="ECHR_A1_Style_Bulleted_Square112"/>
    <w:basedOn w:val="NoList"/>
    <w:rsid w:val="00DC2D95"/>
  </w:style>
  <w:style w:type="numbering" w:customStyle="1" w:styleId="ECHRA1StyleNumberedList112">
    <w:name w:val="ECHR_A1_Style_Numbered_List112"/>
    <w:basedOn w:val="NoList"/>
    <w:rsid w:val="00DC2D95"/>
  </w:style>
  <w:style w:type="table" w:customStyle="1" w:styleId="ECHRDNTable112">
    <w:name w:val="ECHR_DN_Table112"/>
    <w:basedOn w:val="TableNormal"/>
    <w:uiPriority w:val="99"/>
    <w:rsid w:val="00DC2D95"/>
    <w:tblPr>
      <w:jc w:val="center"/>
      <w:tblInd w:w="0" w:type="dxa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left w:w="108" w:type="dxa"/>
        <w:bottom w:w="57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2">
    <w:name w:val="ECHR_Header_Table11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top w:w="0" w:type="dxa"/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2">
    <w:name w:val="ECHR_Header_Table_Reduced112"/>
    <w:basedOn w:val="TableNormal"/>
    <w:uiPriority w:val="99"/>
    <w:rsid w:val="00DC2D95"/>
    <w:tblPr>
      <w:tblInd w:w="-680" w:type="dxa"/>
      <w:tblCellMar>
        <w:top w:w="0" w:type="dxa"/>
        <w:left w:w="0" w:type="dxa"/>
        <w:bottom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2">
    <w:name w:val="ECHR_List_Table112"/>
    <w:basedOn w:val="TableNormal"/>
    <w:uiPriority w:val="99"/>
    <w:rsid w:val="00DC2D95"/>
    <w:tblPr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2">
    <w:name w:val="ECHR_Table1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2">
    <w:name w:val="ECHR_Table_Fax11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left w:w="108" w:type="dxa"/>
        <w:bottom w:w="142" w:type="dxa"/>
        <w:right w:w="108" w:type="dxa"/>
      </w:tblCellMar>
    </w:tblPr>
    <w:trPr>
      <w:cantSplit/>
    </w:trPr>
  </w:style>
  <w:style w:type="table" w:customStyle="1" w:styleId="ECHRTableForInternalUse112">
    <w:name w:val="ECHR_Table_For_Internal_Use11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Ind w:w="0" w:type="dxa"/>
      <w:tblCellMar>
        <w:top w:w="113" w:type="dxa"/>
        <w:left w:w="108" w:type="dxa"/>
        <w:bottom w:w="28" w:type="dxa"/>
        <w:right w:w="10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2">
    <w:name w:val="ECHR_Table_Memo112"/>
    <w:basedOn w:val="TableNormal"/>
    <w:uiPriority w:val="99"/>
    <w:rsid w:val="00DC2D95"/>
    <w:tblPr>
      <w:jc w:val="center"/>
      <w:tblInd w:w="0" w:type="dxa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2">
    <w:name w:val="ECHR_Table_No_Lines112"/>
    <w:basedOn w:val="TableNormal"/>
    <w:uiPriority w:val="99"/>
    <w:rsid w:val="00DC2D95"/>
    <w:tblPr>
      <w:tblInd w:w="0" w:type="dxa"/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2">
    <w:name w:val="ECHR_Table_Odd_Banded112"/>
    <w:basedOn w:val="TableNormal"/>
    <w:uiPriority w:val="99"/>
    <w:rsid w:val="00DC2D95"/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left w:w="108" w:type="dxa"/>
        <w:bottom w:w="28" w:type="dxa"/>
        <w:right w:w="10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2">
    <w:name w:val="ECHR_Table_Simple_Box112"/>
    <w:basedOn w:val="TableNormal"/>
    <w:uiPriority w:val="99"/>
    <w:rsid w:val="00DC2D95"/>
    <w:tblPr>
      <w:tblInd w:w="0" w:type="dxa"/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ECHRLtrTableAddress112">
    <w:name w:val="ECHR_Ltr_Table_Address112"/>
    <w:basedOn w:val="TableNormal"/>
    <w:uiPriority w:val="99"/>
    <w:rsid w:val="00DC2D95"/>
    <w:tblPr>
      <w:tblInd w:w="5103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PCFTableStyle112">
    <w:name w:val="ECHR_PCF_Table_Style112"/>
    <w:basedOn w:val="TableNormal"/>
    <w:uiPriority w:val="99"/>
    <w:rsid w:val="00DC2D95"/>
    <w:rPr>
      <w:color w:val="000000"/>
      <w:sz w:val="18"/>
    </w:rPr>
    <w:tblPr>
      <w:tblInd w:w="0" w:type="dxa"/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2">
    <w:name w:val="Table Grid112"/>
    <w:basedOn w:val="TableNormal"/>
    <w:next w:val="TableGrid"/>
    <w:uiPriority w:val="59"/>
    <w:rsid w:val="00DC2D9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CHRUGTable112">
    <w:name w:val="ECHR_UG_Table11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bottom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2">
    <w:name w:val="ECHR_UG_Table_White_Box112"/>
    <w:basedOn w:val="TableNormal"/>
    <w:uiPriority w:val="99"/>
    <w:rsid w:val="00DC2D95"/>
    <w:rPr>
      <w:rFonts w:eastAsia="Times New Roman"/>
      <w:lang w:eastAsia="en-GB"/>
    </w:rPr>
    <w:tblPr>
      <w:tblInd w:w="0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12">
    <w:name w:val="ECHR_A1_Style_List112"/>
    <w:basedOn w:val="NoList"/>
    <w:uiPriority w:val="99"/>
    <w:rsid w:val="00DC2D95"/>
  </w:style>
  <w:style w:type="table" w:customStyle="1" w:styleId="ECHRTable2016112">
    <w:name w:val="ECHR_Table_2016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2">
    <w:name w:val="ECHR_Table_21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2">
    <w:name w:val="ECHR_Table_2019112"/>
    <w:basedOn w:val="TableNormal"/>
    <w:uiPriority w:val="99"/>
    <w:rsid w:val="00DC2D95"/>
    <w:tblPr>
      <w:tblStyleRowBandSize w:val="1"/>
      <w:tblStyleColBandSize w:val="1"/>
      <w:jc w:val="center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2">
    <w:name w:val="Medium Shading 2112"/>
    <w:basedOn w:val="TableNormal"/>
    <w:next w:val="MediumShading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3">
    <w:name w:val="Colorful Grid3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3">
    <w:name w:val="Colorful Grid - Accent 13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3">
    <w:name w:val="Colorful Grid - Accent 23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3">
    <w:name w:val="Colorful Grid - Accent 33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3">
    <w:name w:val="Colorful Grid - Accent 43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3">
    <w:name w:val="Colorful Grid - Accent 53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3">
    <w:name w:val="Colorful Grid - Accent 63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3">
    <w:name w:val="Colorful List - Accent 13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3">
    <w:name w:val="Colorful List - Accent 23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3">
    <w:name w:val="Colorful List - Accent 33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3">
    <w:name w:val="Colorful List - Accent 43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3">
    <w:name w:val="Colorful List - Accent 53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3">
    <w:name w:val="Colorful List - Accent 63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3">
    <w:name w:val="Colorful Shading - Accent 13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3">
    <w:name w:val="Colorful Shading - Accent 23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3">
    <w:name w:val="Colorful Shading - Accent 33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3">
    <w:name w:val="Colorful Shading - Accent 43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3">
    <w:name w:val="Colorful Shading - Accent 53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3">
    <w:name w:val="Colorful Shading - Accent 63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3">
    <w:name w:val="Dark List3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3">
    <w:name w:val="Dark List - Accent 13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3">
    <w:name w:val="Dark List - Accent 23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3">
    <w:name w:val="Dark List - Accent 33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3">
    <w:name w:val="Dark List - Accent 43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3">
    <w:name w:val="Dark List - Accent 53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3">
    <w:name w:val="Dark List - Accent 63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3">
    <w:name w:val="Light Grid3"/>
    <w:basedOn w:val="TableNormal"/>
    <w:next w:val="LightGrid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3">
    <w:name w:val="Light Grid - Accent 23"/>
    <w:basedOn w:val="TableNormal"/>
    <w:next w:val="LightGrid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3">
    <w:name w:val="Light Grid - Accent 33"/>
    <w:basedOn w:val="TableNormal"/>
    <w:next w:val="LightGrid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3">
    <w:name w:val="Light Grid - Accent 43"/>
    <w:basedOn w:val="TableNormal"/>
    <w:next w:val="LightGrid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3">
    <w:name w:val="Light Grid - Accent 53"/>
    <w:basedOn w:val="TableNormal"/>
    <w:next w:val="LightGrid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3">
    <w:name w:val="Light Grid - Accent 63"/>
    <w:basedOn w:val="TableNormal"/>
    <w:next w:val="LightGrid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3">
    <w:name w:val="Light List3"/>
    <w:basedOn w:val="TableNormal"/>
    <w:next w:val="LightList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3">
    <w:name w:val="Light List - Accent 23"/>
    <w:basedOn w:val="TableNormal"/>
    <w:next w:val="LightList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3">
    <w:name w:val="Light List - Accent 43"/>
    <w:basedOn w:val="TableNormal"/>
    <w:next w:val="LightList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3">
    <w:name w:val="Light List - Accent 53"/>
    <w:basedOn w:val="TableNormal"/>
    <w:next w:val="LightList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3">
    <w:name w:val="Light List - Accent 63"/>
    <w:basedOn w:val="TableNormal"/>
    <w:next w:val="LightList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3">
    <w:name w:val="Light Shading - Accent 23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3">
    <w:name w:val="Light Shading - Accent 33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3">
    <w:name w:val="Light Shading - Accent 53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3">
    <w:name w:val="Light Shading - Accent 63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3">
    <w:name w:val="Medium Grid 1 - Accent 13"/>
    <w:basedOn w:val="TableNormal"/>
    <w:next w:val="MediumGrid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3">
    <w:name w:val="Medium Grid 1 - Accent 23"/>
    <w:basedOn w:val="TableNormal"/>
    <w:next w:val="MediumGrid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3">
    <w:name w:val="Medium Grid 1 - Accent 33"/>
    <w:basedOn w:val="TableNormal"/>
    <w:next w:val="MediumGrid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3">
    <w:name w:val="Medium Grid 1 - Accent 43"/>
    <w:basedOn w:val="TableNormal"/>
    <w:next w:val="MediumGrid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3">
    <w:name w:val="Medium Grid 1 - Accent 53"/>
    <w:basedOn w:val="TableNormal"/>
    <w:next w:val="MediumGrid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3">
    <w:name w:val="Medium Grid 1 - Accent 63"/>
    <w:basedOn w:val="TableNormal"/>
    <w:next w:val="MediumGrid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3">
    <w:name w:val="Medium Grid 23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3">
    <w:name w:val="Medium Grid 2 - Accent 13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3">
    <w:name w:val="Medium Grid 2 - Accent 23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3">
    <w:name w:val="Medium Grid 2 - Accent 33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3">
    <w:name w:val="Medium Grid 2 - Accent 43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3">
    <w:name w:val="Medium Grid 2 - Accent 53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3">
    <w:name w:val="Medium Grid 2 - Accent 63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3">
    <w:name w:val="Medium Grid 3 - Accent 13"/>
    <w:basedOn w:val="TableNormal"/>
    <w:next w:val="MediumGrid3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3">
    <w:name w:val="Medium Grid 3 - Accent 33"/>
    <w:basedOn w:val="TableNormal"/>
    <w:next w:val="MediumGrid3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3">
    <w:name w:val="Medium Grid 3 - Accent 53"/>
    <w:basedOn w:val="TableNormal"/>
    <w:next w:val="MediumGrid3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bottom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3">
    <w:name w:val="Medium List 1 - Accent 23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bottom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3">
    <w:name w:val="Medium List 1 - Accent 33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3">
    <w:name w:val="Medium List 1 - Accent 43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bottom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3">
    <w:name w:val="Medium List 1 - Accent 53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bottom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3">
    <w:name w:val="Medium List 1 - Accent 63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bottom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3">
    <w:name w:val="Medium List 23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3">
    <w:name w:val="Medium List 2 - Accent 13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3">
    <w:name w:val="Medium List 2 - Accent 23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3">
    <w:name w:val="Medium List 2 - Accent 33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3">
    <w:name w:val="Medium List 2 - Accent 43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3">
    <w:name w:val="Medium List 2 - Accent 53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3">
    <w:name w:val="Medium List 2 - Accent 63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3">
    <w:name w:val="Medium Shading 1 - Accent 23"/>
    <w:basedOn w:val="TableNormal"/>
    <w:next w:val="MediumShading1-Accent2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3">
    <w:name w:val="Medium Shading 1 - Accent 33"/>
    <w:basedOn w:val="TableNormal"/>
    <w:next w:val="MediumShading1-Accent3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3">
    <w:name w:val="Medium Shading 1 - Accent 43"/>
    <w:basedOn w:val="TableNormal"/>
    <w:next w:val="MediumShading1-Accent4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3">
    <w:name w:val="Medium Shading 1 - Accent 53"/>
    <w:basedOn w:val="TableNormal"/>
    <w:next w:val="MediumShading1-Accent5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99"/>
    <w:rsid w:val="00DC2D95"/>
    <w:tblPr>
      <w:tblStyleRowBandSize w:val="1"/>
      <w:tblStyleColBandSize w:val="1"/>
      <w:tblInd w:w="0" w:type="dxa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3">
    <w:name w:val="Medium Shading 2 - Accent 23"/>
    <w:basedOn w:val="TableNormal"/>
    <w:next w:val="MediumShading2-Accent2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3">
    <w:name w:val="Medium Shading 2 - Accent 33"/>
    <w:basedOn w:val="TableNormal"/>
    <w:next w:val="MediumShading2-Accent3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3">
    <w:name w:val="Medium Shading 2 - Accent 43"/>
    <w:basedOn w:val="TableNormal"/>
    <w:next w:val="MediumShading2-Accent4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3">
    <w:name w:val="Medium Shading 2 - Accent 53"/>
    <w:basedOn w:val="TableNormal"/>
    <w:next w:val="MediumShading2-Accent5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3">
    <w:name w:val="Medium Shading 2 - Accent 63"/>
    <w:basedOn w:val="TableNormal"/>
    <w:next w:val="MediumShading2-Accent6"/>
    <w:uiPriority w:val="99"/>
    <w:rsid w:val="00DC2D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1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4142FE4A574707ACDE58A9F7AAFE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33104-15</Nr_x002e__x0020_akti>
    <Data_x0020_e_x0020_Krijimit xmlns="0e656187-b300-4fb0-8bf4-3a50f872073c">2022-10-31T13:49:19Z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2022-10-30T23:00:00Z</Date_x0020_protokolli>
    <Titulli xmlns="0e656187-b300-4fb0-8bf4-3a50f872073c">Çështja Agonset SH.P.K. kundër Shqipërisë"</Titulli>
    <Modifikuesi xmlns="0e656187-b300-4fb0-8bf4-3a50f872073c">alma.lisaku</Modifikuesi>
    <Nr_x002e__x0020_prot_x0020_QBZ xmlns="0e656187-b300-4fb0-8bf4-3a50f872073c">1599/1</Nr_x002e__x0020_prot_x0020_QBZ>
    <Data_x0020_e_x0020_Modifikimit xmlns="0e656187-b300-4fb0-8bf4-3a50f872073c">2022-11-01T10:15:52Z</Data_x0020_e_x0020_Modifikimit>
    <Dekretuar xmlns="0e656187-b300-4fb0-8bf4-3a50f872073c">false</Dekretuar>
    <Data xmlns="0e656187-b300-4fb0-8bf4-3a50f872073c">2022-06-01T22:00:00Z</Data>
    <Nr_x002e__x0020_protokolli_x0020_i_x0020_aktit xmlns="0e656187-b300-4fb0-8bf4-3a50f872073c">5521/1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4142FE4A574707ACDE58A9F7AAFE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EFEC-06C4-45CE-9864-6E7004DEB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3A96DF-6F58-4580-AFD9-6696FE3D1A29}">
  <ds:schemaRefs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0BE17FF-A89D-47B1-BDCD-1EF9F4911F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6BB5E-1FCC-4336-91DC-0E387B259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84381F-A5BB-4828-ADAA-9A8639D969D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7B5FA9F-57A3-4E91-9F03-3C99AE6CB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Agonset SH.P.K. kundër Shqipërisë"</vt:lpstr>
    </vt:vector>
  </TitlesOfParts>
  <LinksUpToDate>false</LinksUpToDate>
  <CharactersWithSpaces>10629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Agonset SH.P.K. kundër Shqipërisë"</dc:title>
  <dc:subject>DC</dc:subject>
  <cp:lastModifiedBy/>
  <cp:revision>1</cp:revision>
  <dcterms:created xsi:type="dcterms:W3CDTF">2022-10-31T14:30:00Z</dcterms:created>
  <dcterms:modified xsi:type="dcterms:W3CDTF">2022-11-01T10:55:00Z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QuickStyle">
    <vt:lpwstr>Jud_Styles_Eng_2019</vt:lpwstr>
  </property>
  <property fmtid="{D5CDD505-2E9C-101B-9397-08002B2CF9AE}" pid="4" name="RegisteredNo">
    <vt:lpwstr>13618/10</vt:lpwstr>
  </property>
  <property fmtid="{D5CDD505-2E9C-101B-9397-08002B2CF9AE}" pid="5" name="CASEID">
    <vt:lpwstr>627623</vt:lpwstr>
  </property>
  <property fmtid="{D5CDD505-2E9C-101B-9397-08002B2CF9AE}" pid="6" name="OrigTemp">
    <vt:lpwstr>English\Automation\Conversion Macros\NEW STYLES Decision.dotx</vt:lpwstr>
  </property>
  <property fmtid="{D5CDD505-2E9C-101B-9397-08002B2CF9AE}" pid="7" name="LaunchFolder">
    <vt:lpwstr>M:\Development of templates\</vt:lpwstr>
  </property>
  <property fmtid="{D5CDD505-2E9C-101B-9397-08002B2CF9AE}" pid="8" name="ContentTypeId">
    <vt:lpwstr>0x010100558EB02BDB9E204AB350EDD385B68E10</vt:lpwstr>
  </property>
</Properties>
</file>