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F77DA4" w14:textId="77777777" w:rsidR="00A43DB1" w:rsidRPr="00BE1029" w:rsidRDefault="00A43DB1" w:rsidP="00A43DB1">
      <w:pPr>
        <w:spacing w:after="0" w:line="240" w:lineRule="auto"/>
        <w:ind w:firstLine="284"/>
        <w:jc w:val="center"/>
        <w:rPr>
          <w:rFonts w:ascii="Garamond" w:hAnsi="Garamond"/>
          <w:sz w:val="24"/>
          <w:szCs w:val="24"/>
          <w:lang w:val="sq-AL"/>
        </w:rPr>
      </w:pPr>
      <w:r w:rsidRPr="00BE1029">
        <w:rPr>
          <w:rFonts w:ascii="Garamond" w:hAnsi="Garamond"/>
          <w:sz w:val="24"/>
          <w:szCs w:val="24"/>
          <w:lang w:val="sq-AL"/>
        </w:rPr>
        <w:t>SEKSIONI I TRETË</w:t>
      </w:r>
    </w:p>
    <w:p w14:paraId="5F9BBFB6" w14:textId="77777777" w:rsidR="00A43DB1" w:rsidRPr="00BE1029" w:rsidRDefault="00A43DB1" w:rsidP="00A43DB1">
      <w:pPr>
        <w:spacing w:after="0" w:line="240" w:lineRule="auto"/>
        <w:ind w:firstLine="284"/>
        <w:jc w:val="center"/>
        <w:rPr>
          <w:rFonts w:ascii="Garamond" w:hAnsi="Garamond"/>
          <w:sz w:val="24"/>
          <w:szCs w:val="24"/>
          <w:lang w:val="sq-AL"/>
        </w:rPr>
      </w:pPr>
      <w:r w:rsidRPr="00BE1029">
        <w:rPr>
          <w:rFonts w:ascii="Garamond" w:hAnsi="Garamond"/>
          <w:sz w:val="24"/>
          <w:szCs w:val="24"/>
          <w:lang w:val="sq-AL"/>
        </w:rPr>
        <w:t>ÇËSHTJA BESNIK CANI KUNDËR SHQIPËRISË</w:t>
      </w:r>
    </w:p>
    <w:p w14:paraId="75169FBA" w14:textId="77777777" w:rsidR="00A43DB1" w:rsidRPr="00BE1029" w:rsidRDefault="00A43DB1" w:rsidP="00A43DB1">
      <w:pPr>
        <w:spacing w:after="0" w:line="240" w:lineRule="auto"/>
        <w:ind w:firstLine="284"/>
        <w:jc w:val="center"/>
        <w:rPr>
          <w:rFonts w:ascii="Garamond" w:hAnsi="Garamond"/>
          <w:i/>
          <w:sz w:val="24"/>
          <w:szCs w:val="24"/>
          <w:lang w:val="sq-AL"/>
        </w:rPr>
      </w:pPr>
      <w:r w:rsidRPr="00BE1029">
        <w:rPr>
          <w:rFonts w:ascii="Garamond" w:hAnsi="Garamond"/>
          <w:i/>
          <w:sz w:val="24"/>
          <w:szCs w:val="24"/>
          <w:lang w:val="sq-AL"/>
        </w:rPr>
        <w:t>(Kërkesa nr. 37474/20)</w:t>
      </w:r>
    </w:p>
    <w:p w14:paraId="171BB4B0" w14:textId="77777777" w:rsidR="00BD7DCB" w:rsidRPr="00BE1029" w:rsidRDefault="00BD7DCB" w:rsidP="00A43DB1">
      <w:pPr>
        <w:spacing w:after="0" w:line="240" w:lineRule="auto"/>
        <w:ind w:firstLine="284"/>
        <w:jc w:val="center"/>
        <w:rPr>
          <w:rFonts w:ascii="Garamond" w:hAnsi="Garamond"/>
          <w:b/>
          <w:sz w:val="24"/>
          <w:szCs w:val="24"/>
          <w:lang w:val="sq-AL"/>
        </w:rPr>
      </w:pPr>
    </w:p>
    <w:p w14:paraId="7FFA9103" w14:textId="77777777" w:rsidR="00A43DB1" w:rsidRPr="00BE1029" w:rsidRDefault="00A43DB1" w:rsidP="00A43DB1">
      <w:pPr>
        <w:spacing w:after="0" w:line="240" w:lineRule="auto"/>
        <w:ind w:firstLine="284"/>
        <w:jc w:val="center"/>
        <w:rPr>
          <w:rFonts w:ascii="Garamond" w:hAnsi="Garamond"/>
          <w:b/>
          <w:sz w:val="24"/>
          <w:szCs w:val="24"/>
          <w:lang w:val="sq-AL"/>
        </w:rPr>
      </w:pPr>
      <w:r w:rsidRPr="00BE1029">
        <w:rPr>
          <w:rFonts w:ascii="Garamond" w:hAnsi="Garamond"/>
          <w:b/>
          <w:sz w:val="24"/>
          <w:szCs w:val="24"/>
          <w:lang w:val="sq-AL"/>
        </w:rPr>
        <w:t>VENDIM</w:t>
      </w:r>
    </w:p>
    <w:p w14:paraId="22534EA6" w14:textId="77777777" w:rsidR="00A43DB1" w:rsidRPr="00BE1029" w:rsidRDefault="00A43DB1" w:rsidP="00A43DB1">
      <w:pPr>
        <w:spacing w:after="0" w:line="240" w:lineRule="auto"/>
        <w:ind w:firstLine="284"/>
        <w:jc w:val="center"/>
        <w:rPr>
          <w:rFonts w:ascii="Garamond" w:hAnsi="Garamond"/>
          <w:sz w:val="24"/>
          <w:szCs w:val="24"/>
          <w:lang w:val="sq-AL"/>
        </w:rPr>
      </w:pPr>
    </w:p>
    <w:p w14:paraId="4A9A1667" w14:textId="7CEB6237" w:rsidR="00A43DB1" w:rsidRPr="00BE1029" w:rsidRDefault="00A43DB1" w:rsidP="00A43DB1">
      <w:pPr>
        <w:spacing w:after="0" w:line="240" w:lineRule="auto"/>
        <w:ind w:firstLine="284"/>
        <w:jc w:val="both"/>
        <w:rPr>
          <w:rFonts w:ascii="Garamond" w:hAnsi="Garamond"/>
          <w:sz w:val="24"/>
          <w:szCs w:val="24"/>
          <w:lang w:val="sq-AL"/>
        </w:rPr>
      </w:pPr>
      <w:r w:rsidRPr="00BE1029">
        <w:rPr>
          <w:rFonts w:ascii="Garamond" w:hAnsi="Garamond"/>
          <w:sz w:val="24"/>
          <w:szCs w:val="24"/>
          <w:lang w:val="sq-AL"/>
        </w:rPr>
        <w:t>Neni 6 § 1 (</w:t>
      </w:r>
      <w:r w:rsidR="00F45B78" w:rsidRPr="00BE1029">
        <w:rPr>
          <w:rFonts w:ascii="Garamond" w:hAnsi="Garamond"/>
          <w:sz w:val="24"/>
          <w:szCs w:val="24"/>
          <w:lang w:val="sq-AL"/>
        </w:rPr>
        <w:t>civil</w:t>
      </w:r>
      <w:r w:rsidRPr="00BE1029">
        <w:rPr>
          <w:rFonts w:ascii="Garamond" w:hAnsi="Garamond"/>
          <w:sz w:val="24"/>
          <w:szCs w:val="24"/>
          <w:lang w:val="sq-AL"/>
        </w:rPr>
        <w:t xml:space="preserve">) – Gjykatë e krijuar me ligj – Pretendim i argumentueshëm për shkelje të qartë të rregullit themelor </w:t>
      </w:r>
      <w:r w:rsidR="008A55FD" w:rsidRPr="00BE1029">
        <w:rPr>
          <w:rFonts w:ascii="Garamond" w:hAnsi="Garamond"/>
          <w:sz w:val="24"/>
          <w:szCs w:val="24"/>
          <w:lang w:val="sq-AL"/>
        </w:rPr>
        <w:t>vendës,</w:t>
      </w:r>
      <w:r w:rsidRPr="00BE1029">
        <w:rPr>
          <w:rFonts w:ascii="Garamond" w:hAnsi="Garamond"/>
          <w:sz w:val="24"/>
          <w:szCs w:val="24"/>
          <w:lang w:val="sq-AL"/>
        </w:rPr>
        <w:t xml:space="preserve"> duke ndikuar në mënyrë të pafavorshme në caktimin e një gjyqtari në Kolegjin e Posaçëm të Apelimit (KPA) i mbledhur si panel</w:t>
      </w:r>
      <w:r w:rsidR="008A55FD" w:rsidRPr="00BE1029">
        <w:rPr>
          <w:rFonts w:ascii="Garamond" w:hAnsi="Garamond"/>
          <w:sz w:val="24"/>
          <w:szCs w:val="24"/>
          <w:lang w:val="sq-AL"/>
        </w:rPr>
        <w:t>,</w:t>
      </w:r>
      <w:r w:rsidRPr="00BE1029">
        <w:rPr>
          <w:rFonts w:ascii="Garamond" w:hAnsi="Garamond"/>
          <w:sz w:val="24"/>
          <w:szCs w:val="24"/>
          <w:lang w:val="sq-AL"/>
        </w:rPr>
        <w:t xml:space="preserve"> i cili rivlerësoi dhe shkarkoi nga detyra një prokuror – Kërkesa për një kontroll me tre hapa në çështjen </w:t>
      </w:r>
      <w:r w:rsidRPr="00BE1029">
        <w:rPr>
          <w:rFonts w:ascii="Garamond" w:hAnsi="Garamond"/>
          <w:i/>
          <w:sz w:val="24"/>
          <w:szCs w:val="24"/>
          <w:lang w:val="sq-AL"/>
        </w:rPr>
        <w:t>Guðmundur Andri Ástráðsson kundër Islandës</w:t>
      </w:r>
      <w:r w:rsidRPr="00BE1029">
        <w:rPr>
          <w:rFonts w:ascii="Garamond" w:hAnsi="Garamond"/>
          <w:sz w:val="24"/>
          <w:szCs w:val="24"/>
          <w:lang w:val="sq-AL"/>
        </w:rPr>
        <w:t xml:space="preserve"> [DHM] – Asnjë deklaratë e qartë dhe autoritare nga gjykatat </w:t>
      </w:r>
      <w:r w:rsidR="008A55FD" w:rsidRPr="00BE1029">
        <w:rPr>
          <w:rFonts w:ascii="Garamond" w:hAnsi="Garamond"/>
          <w:sz w:val="24"/>
          <w:szCs w:val="24"/>
          <w:lang w:val="sq-AL"/>
        </w:rPr>
        <w:t>vendës</w:t>
      </w:r>
      <w:r w:rsidRPr="00BE1029">
        <w:rPr>
          <w:rFonts w:ascii="Garamond" w:hAnsi="Garamond"/>
          <w:sz w:val="24"/>
          <w:szCs w:val="24"/>
          <w:lang w:val="sq-AL"/>
        </w:rPr>
        <w:t>e</w:t>
      </w:r>
      <w:r w:rsidR="008A55FD" w:rsidRPr="00BE1029">
        <w:rPr>
          <w:rFonts w:ascii="Garamond" w:hAnsi="Garamond"/>
          <w:sz w:val="24"/>
          <w:szCs w:val="24"/>
          <w:lang w:val="sq-AL"/>
        </w:rPr>
        <w:t>,</w:t>
      </w:r>
      <w:r w:rsidRPr="00BE1029">
        <w:rPr>
          <w:rFonts w:ascii="Garamond" w:hAnsi="Garamond"/>
          <w:sz w:val="24"/>
          <w:szCs w:val="24"/>
          <w:lang w:val="sq-AL"/>
        </w:rPr>
        <w:t xml:space="preserve"> në lidhje me shkeljen e qartë të ligjit </w:t>
      </w:r>
      <w:r w:rsidR="008A55FD" w:rsidRPr="00BE1029">
        <w:rPr>
          <w:rFonts w:ascii="Garamond" w:hAnsi="Garamond"/>
          <w:sz w:val="24"/>
          <w:szCs w:val="24"/>
          <w:lang w:val="sq-AL"/>
        </w:rPr>
        <w:t>vendës</w:t>
      </w:r>
      <w:r w:rsidRPr="00BE1029">
        <w:rPr>
          <w:rFonts w:ascii="Garamond" w:hAnsi="Garamond"/>
          <w:sz w:val="24"/>
          <w:szCs w:val="24"/>
          <w:lang w:val="sq-AL"/>
        </w:rPr>
        <w:t xml:space="preserve"> – Autoritetet nën detyrimin për verifikimin e respektimit të kritereve statutore të përzgjedhshmërisë nga gjyqtarët e KPA</w:t>
      </w:r>
      <w:r w:rsidR="008A55FD" w:rsidRPr="00BE1029">
        <w:rPr>
          <w:rFonts w:ascii="Garamond" w:hAnsi="Garamond"/>
          <w:sz w:val="24"/>
          <w:szCs w:val="24"/>
          <w:lang w:val="sq-AL"/>
        </w:rPr>
        <w:t>-së</w:t>
      </w:r>
      <w:r w:rsidRPr="00BE1029">
        <w:rPr>
          <w:rFonts w:ascii="Garamond" w:hAnsi="Garamond"/>
          <w:sz w:val="24"/>
          <w:szCs w:val="24"/>
          <w:lang w:val="sq-AL"/>
        </w:rPr>
        <w:t xml:space="preserve"> – Asnjë shqyrtim dhe zgjidhje efikase nga gjykata </w:t>
      </w:r>
      <w:r w:rsidR="008A55FD" w:rsidRPr="00BE1029">
        <w:rPr>
          <w:rFonts w:ascii="Garamond" w:hAnsi="Garamond"/>
          <w:sz w:val="24"/>
          <w:szCs w:val="24"/>
          <w:lang w:val="sq-AL"/>
        </w:rPr>
        <w:t>vendës</w:t>
      </w:r>
      <w:r w:rsidRPr="00BE1029">
        <w:rPr>
          <w:rFonts w:ascii="Garamond" w:hAnsi="Garamond"/>
          <w:sz w:val="24"/>
          <w:szCs w:val="24"/>
          <w:lang w:val="sq-AL"/>
        </w:rPr>
        <w:t>e</w:t>
      </w:r>
    </w:p>
    <w:p w14:paraId="145A4011" w14:textId="478E4776" w:rsidR="00A43DB1" w:rsidRPr="00BE1029" w:rsidRDefault="00A43DB1" w:rsidP="00A43DB1">
      <w:pPr>
        <w:spacing w:after="0" w:line="240" w:lineRule="auto"/>
        <w:ind w:firstLine="284"/>
        <w:jc w:val="both"/>
        <w:rPr>
          <w:rFonts w:ascii="Garamond" w:hAnsi="Garamond"/>
          <w:sz w:val="24"/>
          <w:szCs w:val="24"/>
          <w:lang w:val="sq-AL"/>
        </w:rPr>
      </w:pPr>
      <w:r w:rsidRPr="00BE1029">
        <w:rPr>
          <w:rFonts w:ascii="Garamond" w:hAnsi="Garamond"/>
          <w:sz w:val="24"/>
          <w:szCs w:val="24"/>
          <w:lang w:val="sq-AL"/>
        </w:rPr>
        <w:t>Neni 46 – Masa individuale – Riçelja e procesit të rivle</w:t>
      </w:r>
      <w:r w:rsidR="008A55FD" w:rsidRPr="00BE1029">
        <w:rPr>
          <w:rFonts w:ascii="Garamond" w:hAnsi="Garamond"/>
          <w:sz w:val="24"/>
          <w:szCs w:val="24"/>
          <w:lang w:val="sq-AL"/>
        </w:rPr>
        <w:t>rësimit, me kërkesë të ankuesit</w:t>
      </w:r>
      <w:r w:rsidRPr="00BE1029">
        <w:rPr>
          <w:rFonts w:ascii="Garamond" w:hAnsi="Garamond"/>
          <w:sz w:val="24"/>
          <w:szCs w:val="24"/>
          <w:lang w:val="sq-AL"/>
        </w:rPr>
        <w:t xml:space="preserve"> dhe rishqyrtimi i çështjes në mbështetje të kërkesave të </w:t>
      </w:r>
      <w:r w:rsidR="008A55FD" w:rsidRPr="00BE1029">
        <w:rPr>
          <w:rFonts w:ascii="Garamond" w:hAnsi="Garamond"/>
          <w:sz w:val="24"/>
          <w:szCs w:val="24"/>
          <w:lang w:val="sq-AL"/>
        </w:rPr>
        <w:t xml:space="preserve">nenit </w:t>
      </w:r>
      <w:r w:rsidRPr="00BE1029">
        <w:rPr>
          <w:rFonts w:ascii="Garamond" w:hAnsi="Garamond"/>
          <w:sz w:val="24"/>
          <w:szCs w:val="24"/>
          <w:lang w:val="sq-AL"/>
        </w:rPr>
        <w:t>6 § 1</w:t>
      </w:r>
    </w:p>
    <w:p w14:paraId="65588D10" w14:textId="77777777" w:rsidR="00A43DB1" w:rsidRPr="00BE1029" w:rsidRDefault="00A43DB1" w:rsidP="00A43DB1">
      <w:pPr>
        <w:spacing w:after="0" w:line="240" w:lineRule="auto"/>
        <w:ind w:firstLine="284"/>
        <w:jc w:val="both"/>
        <w:rPr>
          <w:rFonts w:ascii="Garamond" w:hAnsi="Garamond"/>
          <w:sz w:val="24"/>
          <w:szCs w:val="24"/>
          <w:lang w:val="sq-AL"/>
        </w:rPr>
      </w:pPr>
    </w:p>
    <w:p w14:paraId="11288432" w14:textId="77777777" w:rsidR="00A43DB1" w:rsidRPr="00BE1029" w:rsidRDefault="00A43DB1" w:rsidP="00A43DB1">
      <w:pPr>
        <w:spacing w:after="0" w:line="240" w:lineRule="auto"/>
        <w:ind w:firstLine="284"/>
        <w:jc w:val="center"/>
        <w:rPr>
          <w:rFonts w:ascii="Garamond" w:hAnsi="Garamond"/>
          <w:sz w:val="24"/>
          <w:szCs w:val="24"/>
          <w:lang w:val="sq-AL"/>
        </w:rPr>
      </w:pPr>
      <w:r w:rsidRPr="00BE1029">
        <w:rPr>
          <w:rFonts w:ascii="Garamond" w:hAnsi="Garamond"/>
          <w:sz w:val="24"/>
          <w:szCs w:val="24"/>
          <w:lang w:val="sq-AL"/>
        </w:rPr>
        <w:t>STRASBURG</w:t>
      </w:r>
    </w:p>
    <w:p w14:paraId="5A641C6C" w14:textId="4DF2CD33" w:rsidR="00A43DB1" w:rsidRPr="00BE1029" w:rsidRDefault="00A43DB1" w:rsidP="00A43DB1">
      <w:pPr>
        <w:spacing w:after="0" w:line="240" w:lineRule="auto"/>
        <w:ind w:firstLine="284"/>
        <w:jc w:val="center"/>
        <w:rPr>
          <w:rFonts w:ascii="Garamond" w:hAnsi="Garamond"/>
          <w:sz w:val="24"/>
          <w:szCs w:val="24"/>
          <w:lang w:val="sq-AL"/>
        </w:rPr>
      </w:pPr>
      <w:r w:rsidRPr="00BE1029">
        <w:rPr>
          <w:rFonts w:ascii="Garamond" w:hAnsi="Garamond"/>
          <w:sz w:val="24"/>
          <w:szCs w:val="24"/>
          <w:lang w:val="sq-AL"/>
        </w:rPr>
        <w:t xml:space="preserve">4 </w:t>
      </w:r>
      <w:r w:rsidR="009A013C" w:rsidRPr="00BE1029">
        <w:rPr>
          <w:rFonts w:ascii="Garamond" w:hAnsi="Garamond"/>
          <w:sz w:val="24"/>
          <w:szCs w:val="24"/>
          <w:lang w:val="sq-AL"/>
        </w:rPr>
        <w:t xml:space="preserve">tetor </w:t>
      </w:r>
      <w:r w:rsidRPr="00BE1029">
        <w:rPr>
          <w:rFonts w:ascii="Garamond" w:hAnsi="Garamond"/>
          <w:sz w:val="24"/>
          <w:szCs w:val="24"/>
          <w:lang w:val="sq-AL"/>
        </w:rPr>
        <w:t>2022</w:t>
      </w:r>
    </w:p>
    <w:p w14:paraId="2959B8C8" w14:textId="77777777" w:rsidR="00A43DB1" w:rsidRPr="00BE1029" w:rsidRDefault="00A43DB1" w:rsidP="00A43DB1">
      <w:pPr>
        <w:spacing w:after="0" w:line="240" w:lineRule="auto"/>
        <w:ind w:firstLine="284"/>
        <w:jc w:val="both"/>
        <w:rPr>
          <w:rFonts w:ascii="Garamond" w:hAnsi="Garamond"/>
          <w:i/>
          <w:sz w:val="24"/>
          <w:szCs w:val="24"/>
          <w:lang w:val="sq-AL"/>
        </w:rPr>
      </w:pPr>
    </w:p>
    <w:p w14:paraId="6DA00BCC" w14:textId="1D781AAD" w:rsidR="005F5040" w:rsidRPr="00BE1029" w:rsidRDefault="00A43DB1" w:rsidP="00A43DB1">
      <w:pPr>
        <w:spacing w:after="0" w:line="240" w:lineRule="auto"/>
        <w:ind w:firstLine="284"/>
        <w:jc w:val="both"/>
        <w:rPr>
          <w:rFonts w:ascii="Garamond" w:hAnsi="Garamond"/>
          <w:i/>
          <w:sz w:val="24"/>
          <w:szCs w:val="24"/>
          <w:lang w:val="sq-AL"/>
        </w:rPr>
      </w:pPr>
      <w:r w:rsidRPr="00BE1029">
        <w:rPr>
          <w:rFonts w:ascii="Garamond" w:hAnsi="Garamond"/>
          <w:i/>
          <w:sz w:val="24"/>
          <w:szCs w:val="24"/>
          <w:lang w:val="sq-AL"/>
        </w:rPr>
        <w:t>Ky vendim do të bëhet i formës së prerë</w:t>
      </w:r>
      <w:r w:rsidR="00995C38" w:rsidRPr="00BE1029">
        <w:rPr>
          <w:rFonts w:ascii="Garamond" w:hAnsi="Garamond"/>
          <w:i/>
          <w:sz w:val="24"/>
          <w:szCs w:val="24"/>
          <w:lang w:val="sq-AL"/>
        </w:rPr>
        <w:t>,</w:t>
      </w:r>
      <w:r w:rsidRPr="00BE1029">
        <w:rPr>
          <w:rFonts w:ascii="Garamond" w:hAnsi="Garamond"/>
          <w:i/>
          <w:sz w:val="24"/>
          <w:szCs w:val="24"/>
          <w:lang w:val="sq-AL"/>
        </w:rPr>
        <w:t xml:space="preserve"> sipas rrethanave të parashikuara në </w:t>
      </w:r>
      <w:r w:rsidR="009A013C" w:rsidRPr="00BE1029">
        <w:rPr>
          <w:rFonts w:ascii="Garamond" w:hAnsi="Garamond"/>
          <w:i/>
          <w:sz w:val="24"/>
          <w:szCs w:val="24"/>
          <w:lang w:val="sq-AL"/>
        </w:rPr>
        <w:t xml:space="preserve">nenin </w:t>
      </w:r>
      <w:r w:rsidRPr="00BE1029">
        <w:rPr>
          <w:rFonts w:ascii="Garamond" w:hAnsi="Garamond"/>
          <w:i/>
          <w:sz w:val="24"/>
          <w:szCs w:val="24"/>
          <w:lang w:val="sq-AL"/>
        </w:rPr>
        <w:t>44 §§ 2 të Konventës. Ai mund të bëhet objekt i një rishikimi</w:t>
      </w:r>
      <w:r w:rsidR="00F42506">
        <w:rPr>
          <w:rFonts w:ascii="Garamond" w:hAnsi="Garamond"/>
          <w:i/>
          <w:sz w:val="24"/>
          <w:szCs w:val="24"/>
          <w:lang w:val="sq-AL"/>
        </w:rPr>
        <w:t xml:space="preserve"> redaktues.</w:t>
      </w:r>
    </w:p>
    <w:p w14:paraId="7126F27E" w14:textId="77777777" w:rsidR="00A43DB1" w:rsidRPr="00BE1029" w:rsidRDefault="00A43DB1" w:rsidP="00A43DB1">
      <w:pPr>
        <w:spacing w:after="0" w:line="240" w:lineRule="auto"/>
        <w:ind w:firstLine="284"/>
        <w:jc w:val="both"/>
        <w:rPr>
          <w:rFonts w:ascii="Garamond" w:hAnsi="Garamond"/>
          <w:i/>
          <w:sz w:val="24"/>
          <w:szCs w:val="24"/>
          <w:lang w:val="sq-AL"/>
        </w:rPr>
      </w:pPr>
    </w:p>
    <w:p w14:paraId="21FE9DD6" w14:textId="77777777" w:rsidR="00A43DB1" w:rsidRPr="00BE1029" w:rsidRDefault="00A43DB1" w:rsidP="00A43DB1">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BE1029">
        <w:rPr>
          <w:rFonts w:ascii="Garamond" w:hAnsi="Garamond" w:cs="Times New Roman"/>
          <w:b/>
          <w:bCs/>
          <w:color w:val="000000"/>
          <w:sz w:val="24"/>
          <w:szCs w:val="24"/>
          <w:lang w:val="sq-AL"/>
        </w:rPr>
        <w:t>Në çështjen Besnik Cani kundër Shqipërisë,</w:t>
      </w:r>
    </w:p>
    <w:p w14:paraId="3FF9E572" w14:textId="0CFD0068"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Gjykata Evropiane e të Drejtave të Njeriut (</w:t>
      </w:r>
      <w:r w:rsidR="009A013C" w:rsidRPr="00BE1029">
        <w:rPr>
          <w:rFonts w:ascii="Garamond" w:hAnsi="Garamond" w:cs="Times New Roman"/>
          <w:color w:val="000000"/>
          <w:sz w:val="24"/>
          <w:szCs w:val="24"/>
          <w:lang w:val="sq-AL"/>
        </w:rPr>
        <w:t>Seksioni i Tretë</w:t>
      </w:r>
      <w:r w:rsidRPr="00BE1029">
        <w:rPr>
          <w:rFonts w:ascii="Garamond" w:hAnsi="Garamond" w:cs="Times New Roman"/>
          <w:color w:val="000000"/>
          <w:sz w:val="24"/>
          <w:szCs w:val="24"/>
          <w:lang w:val="sq-AL"/>
        </w:rPr>
        <w:t xml:space="preserve">), e mbledhur si një Dhomë e përbërë nga: </w:t>
      </w:r>
    </w:p>
    <w:p w14:paraId="70E423EC" w14:textId="6A80275C" w:rsidR="00A43DB1" w:rsidRPr="00BE1029" w:rsidRDefault="00A43DB1" w:rsidP="00A43DB1">
      <w:pPr>
        <w:tabs>
          <w:tab w:val="left" w:pos="560"/>
          <w:tab w:val="left" w:pos="1120"/>
        </w:tabs>
        <w:autoSpaceDE w:val="0"/>
        <w:autoSpaceDN w:val="0"/>
        <w:adjustRightInd w:val="0"/>
        <w:spacing w:after="0" w:line="240" w:lineRule="auto"/>
        <w:ind w:firstLine="284"/>
        <w:rPr>
          <w:rFonts w:ascii="Garamond" w:hAnsi="Garamond" w:cs="Times New Roman"/>
          <w:i/>
          <w:iCs/>
          <w:color w:val="000000"/>
          <w:sz w:val="24"/>
          <w:szCs w:val="24"/>
          <w:lang w:val="sq-AL"/>
        </w:rPr>
      </w:pPr>
      <w:r w:rsidRPr="00BE1029">
        <w:rPr>
          <w:rFonts w:ascii="Garamond" w:hAnsi="Garamond" w:cs="Times New Roman"/>
          <w:color w:val="000000"/>
          <w:sz w:val="24"/>
          <w:szCs w:val="24"/>
          <w:lang w:val="sq-AL"/>
        </w:rPr>
        <w:t xml:space="preserve"> Georges Ravarani,</w:t>
      </w:r>
      <w:r w:rsidRPr="00BE1029">
        <w:rPr>
          <w:rFonts w:ascii="Garamond" w:hAnsi="Garamond" w:cs="Times New Roman"/>
          <w:i/>
          <w:iCs/>
          <w:color w:val="000000"/>
          <w:sz w:val="24"/>
          <w:szCs w:val="24"/>
          <w:lang w:val="sq-AL"/>
        </w:rPr>
        <w:t xml:space="preserve"> </w:t>
      </w:r>
      <w:r w:rsidR="009A013C" w:rsidRPr="00BE1029">
        <w:rPr>
          <w:rFonts w:ascii="Garamond" w:hAnsi="Garamond" w:cs="Times New Roman"/>
          <w:i/>
          <w:iCs/>
          <w:color w:val="000000"/>
          <w:sz w:val="24"/>
          <w:szCs w:val="24"/>
          <w:lang w:val="sq-AL"/>
        </w:rPr>
        <w:t>kryetar</w:t>
      </w:r>
      <w:r w:rsidRPr="00BE1029">
        <w:rPr>
          <w:rFonts w:ascii="Garamond" w:hAnsi="Garamond" w:cs="Times New Roman"/>
          <w:i/>
          <w:iCs/>
          <w:color w:val="000000"/>
          <w:sz w:val="24"/>
          <w:szCs w:val="24"/>
          <w:lang w:val="sq-AL"/>
        </w:rPr>
        <w:t>,</w:t>
      </w:r>
    </w:p>
    <w:p w14:paraId="7B4308F2" w14:textId="48ADF183" w:rsidR="00A43DB1" w:rsidRPr="00BE1029" w:rsidRDefault="00A43DB1" w:rsidP="00A43DB1">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BE1029">
        <w:rPr>
          <w:rFonts w:ascii="Garamond" w:hAnsi="Garamond" w:cs="Times New Roman"/>
          <w:i/>
          <w:iCs/>
          <w:color w:val="000000"/>
          <w:sz w:val="24"/>
          <w:szCs w:val="24"/>
          <w:lang w:val="sq-AL"/>
        </w:rPr>
        <w:t xml:space="preserve"> </w:t>
      </w:r>
      <w:r w:rsidRPr="00BE1029">
        <w:rPr>
          <w:rFonts w:ascii="Garamond" w:hAnsi="Garamond" w:cs="Times New Roman"/>
          <w:color w:val="000000"/>
          <w:sz w:val="24"/>
          <w:szCs w:val="24"/>
          <w:lang w:val="sq-AL"/>
        </w:rPr>
        <w:t>Georgios A. Serghides,</w:t>
      </w:r>
    </w:p>
    <w:p w14:paraId="55BB21A0" w14:textId="154057E4" w:rsidR="00A43DB1" w:rsidRPr="00BE1029" w:rsidRDefault="00A43DB1" w:rsidP="00A43DB1">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 María Elósegui,</w:t>
      </w:r>
    </w:p>
    <w:p w14:paraId="0705DEC1" w14:textId="0A706463" w:rsidR="00A43DB1" w:rsidRPr="00BE1029" w:rsidRDefault="00A43DB1" w:rsidP="00A43DB1">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BE1029">
        <w:rPr>
          <w:rFonts w:ascii="Garamond" w:hAnsi="Garamond" w:cs="Times New Roman"/>
          <w:i/>
          <w:iCs/>
          <w:color w:val="000000"/>
          <w:sz w:val="24"/>
          <w:szCs w:val="24"/>
          <w:lang w:val="sq-AL"/>
        </w:rPr>
        <w:t xml:space="preserve"> </w:t>
      </w:r>
      <w:r w:rsidRPr="00BE1029">
        <w:rPr>
          <w:rFonts w:ascii="Garamond" w:hAnsi="Garamond" w:cs="Times New Roman"/>
          <w:color w:val="000000"/>
          <w:sz w:val="24"/>
          <w:szCs w:val="24"/>
          <w:lang w:val="sq-AL"/>
        </w:rPr>
        <w:t>Darian Pavli,</w:t>
      </w:r>
    </w:p>
    <w:p w14:paraId="073F4D9C" w14:textId="5583A752" w:rsidR="00A43DB1" w:rsidRPr="00BE1029" w:rsidRDefault="00A43DB1" w:rsidP="00A43DB1">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 Peeter Roosma,</w:t>
      </w:r>
    </w:p>
    <w:p w14:paraId="229115B1" w14:textId="20832CBF" w:rsidR="00A43DB1" w:rsidRPr="00BE1029" w:rsidRDefault="00A43DB1" w:rsidP="00A43DB1">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 Andreas Zünd,</w:t>
      </w:r>
    </w:p>
    <w:p w14:paraId="32F9EDBC" w14:textId="4F1277BB" w:rsidR="00A43DB1" w:rsidRPr="00BE1029" w:rsidRDefault="00A43DB1" w:rsidP="00A43DB1">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 Frédéric Krenc, </w:t>
      </w:r>
      <w:r w:rsidRPr="00BE1029">
        <w:rPr>
          <w:rFonts w:ascii="Garamond" w:hAnsi="Garamond" w:cs="Times New Roman"/>
          <w:i/>
          <w:iCs/>
          <w:color w:val="000000"/>
          <w:sz w:val="24"/>
          <w:szCs w:val="24"/>
          <w:lang w:val="sq-AL"/>
        </w:rPr>
        <w:t xml:space="preserve">gjyqtarë </w:t>
      </w:r>
    </w:p>
    <w:p w14:paraId="3922153F" w14:textId="77777777" w:rsidR="00A43DB1" w:rsidRPr="00BE1029" w:rsidRDefault="00A43DB1" w:rsidP="00A43DB1">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dhe Milan Blaško, </w:t>
      </w:r>
      <w:r w:rsidRPr="00BE1029">
        <w:rPr>
          <w:rFonts w:ascii="Garamond" w:hAnsi="Garamond" w:cs="Times New Roman"/>
          <w:i/>
          <w:iCs/>
          <w:color w:val="000000"/>
          <w:sz w:val="24"/>
          <w:szCs w:val="24"/>
          <w:lang w:val="sq-AL"/>
        </w:rPr>
        <w:t>Sekretar i Seksionit,</w:t>
      </w:r>
    </w:p>
    <w:p w14:paraId="6B95E475" w14:textId="47730FAC" w:rsidR="00A43DB1" w:rsidRPr="00BE1029" w:rsidRDefault="00A43DB1" w:rsidP="00A43DB1">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BE1029">
        <w:rPr>
          <w:rFonts w:ascii="Garamond" w:hAnsi="Garamond" w:cs="Times New Roman"/>
          <w:i/>
          <w:iCs/>
          <w:color w:val="000000"/>
          <w:sz w:val="24"/>
          <w:szCs w:val="24"/>
          <w:lang w:val="sq-AL"/>
        </w:rPr>
        <w:t xml:space="preserve"> </w:t>
      </w:r>
      <w:r w:rsidR="005709E2" w:rsidRPr="00BE1029">
        <w:rPr>
          <w:rFonts w:ascii="Garamond" w:hAnsi="Garamond" w:cs="Times New Roman"/>
          <w:color w:val="000000"/>
          <w:sz w:val="24"/>
          <w:szCs w:val="24"/>
          <w:lang w:val="sq-AL"/>
        </w:rPr>
        <w:t xml:space="preserve">duke </w:t>
      </w:r>
      <w:r w:rsidRPr="00BE1029">
        <w:rPr>
          <w:rFonts w:ascii="Garamond" w:hAnsi="Garamond" w:cs="Times New Roman"/>
          <w:color w:val="000000"/>
          <w:sz w:val="24"/>
          <w:szCs w:val="24"/>
          <w:lang w:val="sq-AL"/>
        </w:rPr>
        <w:t xml:space="preserve">mbajtur në konsideratë: </w:t>
      </w:r>
    </w:p>
    <w:p w14:paraId="706A3CC9" w14:textId="58FE4124" w:rsidR="00A43DB1" w:rsidRPr="00BE1029" w:rsidRDefault="00A43DB1" w:rsidP="00A43DB1">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 kërkesën (nr. 37474/20) kundër Republikës së Shqipërisë paraqitur pranë Gjykatës, në mbështetje të </w:t>
      </w:r>
      <w:r w:rsidR="005709E2" w:rsidRPr="00BE1029">
        <w:rPr>
          <w:rFonts w:ascii="Garamond" w:hAnsi="Garamond" w:cs="Times New Roman"/>
          <w:color w:val="000000"/>
          <w:sz w:val="24"/>
          <w:szCs w:val="24"/>
          <w:lang w:val="sq-AL"/>
        </w:rPr>
        <w:t xml:space="preserve">nenit </w:t>
      </w:r>
      <w:r w:rsidRPr="00BE1029">
        <w:rPr>
          <w:rFonts w:ascii="Garamond" w:hAnsi="Garamond" w:cs="Times New Roman"/>
          <w:color w:val="000000"/>
          <w:sz w:val="24"/>
          <w:szCs w:val="24"/>
          <w:lang w:val="sq-AL"/>
        </w:rPr>
        <w:t xml:space="preserve">34 të Konventës për Mbrojtjen e të Drejtave të Njeriut dhe Lirive Themelore (“Konventa”) nga një shtetas shqiptar, </w:t>
      </w:r>
      <w:r w:rsidR="00AB7291" w:rsidRPr="00BE1029">
        <w:rPr>
          <w:rFonts w:ascii="Garamond" w:hAnsi="Garamond" w:cs="Times New Roman"/>
          <w:color w:val="000000"/>
          <w:sz w:val="24"/>
          <w:szCs w:val="24"/>
          <w:lang w:val="sq-AL"/>
        </w:rPr>
        <w:t>z</w:t>
      </w:r>
      <w:r w:rsidRPr="00BE1029">
        <w:rPr>
          <w:rFonts w:ascii="Garamond" w:hAnsi="Garamond" w:cs="Times New Roman"/>
          <w:color w:val="000000"/>
          <w:sz w:val="24"/>
          <w:szCs w:val="24"/>
          <w:lang w:val="sq-AL"/>
        </w:rPr>
        <w:t xml:space="preserve">. Besnik Cani (“ankuesi”), më 25 </w:t>
      </w:r>
      <w:r w:rsidR="00AB7291" w:rsidRPr="00BE1029">
        <w:rPr>
          <w:rFonts w:ascii="Garamond" w:hAnsi="Garamond" w:cs="Times New Roman"/>
          <w:color w:val="000000"/>
          <w:sz w:val="24"/>
          <w:szCs w:val="24"/>
          <w:lang w:val="sq-AL"/>
        </w:rPr>
        <w:t xml:space="preserve">gusht </w:t>
      </w:r>
      <w:r w:rsidRPr="00BE1029">
        <w:rPr>
          <w:rFonts w:ascii="Garamond" w:hAnsi="Garamond" w:cs="Times New Roman"/>
          <w:color w:val="000000"/>
          <w:sz w:val="24"/>
          <w:szCs w:val="24"/>
          <w:lang w:val="sq-AL"/>
        </w:rPr>
        <w:t>2020;</w:t>
      </w:r>
    </w:p>
    <w:p w14:paraId="36AAD498" w14:textId="038B35BA" w:rsidR="00A43DB1" w:rsidRPr="00BE1029" w:rsidRDefault="00A43DB1" w:rsidP="00A43DB1">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 vendimin për të vënë në dijeni Qeverinë </w:t>
      </w:r>
      <w:r w:rsidR="005709E2" w:rsidRPr="00BE1029">
        <w:rPr>
          <w:rFonts w:ascii="Garamond" w:hAnsi="Garamond" w:cs="Times New Roman"/>
          <w:color w:val="000000"/>
          <w:sz w:val="24"/>
          <w:szCs w:val="24"/>
          <w:lang w:val="sq-AL"/>
        </w:rPr>
        <w:t xml:space="preserve">Shqiptare </w:t>
      </w:r>
      <w:r w:rsidRPr="00BE1029">
        <w:rPr>
          <w:rFonts w:ascii="Garamond" w:hAnsi="Garamond" w:cs="Times New Roman"/>
          <w:color w:val="000000"/>
          <w:sz w:val="24"/>
          <w:szCs w:val="24"/>
          <w:lang w:val="sq-AL"/>
        </w:rPr>
        <w:t xml:space="preserve">(“Qeveria”) për një pjesë të ankesave bërë në mbështetje të </w:t>
      </w:r>
      <w:r w:rsidR="005709E2" w:rsidRPr="00BE1029">
        <w:rPr>
          <w:rFonts w:ascii="Garamond" w:hAnsi="Garamond" w:cs="Times New Roman"/>
          <w:color w:val="000000"/>
          <w:sz w:val="24"/>
          <w:szCs w:val="24"/>
          <w:lang w:val="sq-AL"/>
        </w:rPr>
        <w:t xml:space="preserve">nenit </w:t>
      </w:r>
      <w:r w:rsidRPr="00BE1029">
        <w:rPr>
          <w:rFonts w:ascii="Garamond" w:hAnsi="Garamond" w:cs="Times New Roman"/>
          <w:color w:val="000000"/>
          <w:sz w:val="24"/>
          <w:szCs w:val="24"/>
          <w:lang w:val="sq-AL"/>
        </w:rPr>
        <w:t xml:space="preserve">6 § 1, </w:t>
      </w:r>
      <w:r w:rsidR="005709E2" w:rsidRPr="00BE1029">
        <w:rPr>
          <w:rFonts w:ascii="Garamond" w:hAnsi="Garamond" w:cs="Times New Roman"/>
          <w:color w:val="000000"/>
          <w:sz w:val="24"/>
          <w:szCs w:val="24"/>
          <w:lang w:val="sq-AL"/>
        </w:rPr>
        <w:t xml:space="preserve">nenit </w:t>
      </w:r>
      <w:r w:rsidRPr="00BE1029">
        <w:rPr>
          <w:rFonts w:ascii="Garamond" w:hAnsi="Garamond" w:cs="Times New Roman"/>
          <w:color w:val="000000"/>
          <w:sz w:val="24"/>
          <w:szCs w:val="24"/>
          <w:lang w:val="sq-AL"/>
        </w:rPr>
        <w:t xml:space="preserve">8 dhe </w:t>
      </w:r>
      <w:r w:rsidR="005709E2" w:rsidRPr="00BE1029">
        <w:rPr>
          <w:rFonts w:ascii="Garamond" w:hAnsi="Garamond" w:cs="Times New Roman"/>
          <w:color w:val="000000"/>
          <w:sz w:val="24"/>
          <w:szCs w:val="24"/>
          <w:lang w:val="sq-AL"/>
        </w:rPr>
        <w:t xml:space="preserve">nenit </w:t>
      </w:r>
      <w:r w:rsidRPr="00BE1029">
        <w:rPr>
          <w:rFonts w:ascii="Garamond" w:hAnsi="Garamond" w:cs="Times New Roman"/>
          <w:color w:val="000000"/>
          <w:sz w:val="24"/>
          <w:szCs w:val="24"/>
          <w:lang w:val="sq-AL"/>
        </w:rPr>
        <w:t xml:space="preserve">13 të Konventës, dhe për ta shpallur të papranueshme pjesën e mbetur të kërkesës; </w:t>
      </w:r>
    </w:p>
    <w:p w14:paraId="52AAA282" w14:textId="4933632E" w:rsidR="00A43DB1" w:rsidRPr="00BE1029" w:rsidRDefault="00A43DB1" w:rsidP="00A43DB1">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 vërejtjet e paraqitura nga Qeveria përgjegjëse dhe vërejtjet e paraqitura si përgjigje ndaj të parave nga ankuesi; </w:t>
      </w:r>
    </w:p>
    <w:p w14:paraId="77294684" w14:textId="621AD0CF" w:rsidR="00A43DB1" w:rsidRPr="00BE1029" w:rsidRDefault="005709E2"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pasi </w:t>
      </w:r>
      <w:r w:rsidR="00A43DB1" w:rsidRPr="00BE1029">
        <w:rPr>
          <w:rFonts w:ascii="Garamond" w:hAnsi="Garamond" w:cs="Times New Roman"/>
          <w:color w:val="000000"/>
          <w:sz w:val="24"/>
          <w:szCs w:val="24"/>
          <w:lang w:val="sq-AL"/>
        </w:rPr>
        <w:t xml:space="preserve">diskutoi me dyer të mbyllura më datë 13 </w:t>
      </w:r>
      <w:r w:rsidRPr="00BE1029">
        <w:rPr>
          <w:rFonts w:ascii="Garamond" w:hAnsi="Garamond" w:cs="Times New Roman"/>
          <w:color w:val="000000"/>
          <w:sz w:val="24"/>
          <w:szCs w:val="24"/>
          <w:lang w:val="sq-AL"/>
        </w:rPr>
        <w:t xml:space="preserve">shtator </w:t>
      </w:r>
      <w:r w:rsidR="00A43DB1" w:rsidRPr="00BE1029">
        <w:rPr>
          <w:rFonts w:ascii="Garamond" w:hAnsi="Garamond" w:cs="Times New Roman"/>
          <w:color w:val="000000"/>
          <w:sz w:val="24"/>
          <w:szCs w:val="24"/>
          <w:lang w:val="sq-AL"/>
        </w:rPr>
        <w:t>2022,</w:t>
      </w:r>
    </w:p>
    <w:p w14:paraId="0583285F" w14:textId="4B8AED28" w:rsidR="00A43DB1" w:rsidRPr="00BE1029" w:rsidRDefault="005709E2"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shpall </w:t>
      </w:r>
      <w:r w:rsidR="00A43DB1" w:rsidRPr="00BE1029">
        <w:rPr>
          <w:rFonts w:ascii="Garamond" w:hAnsi="Garamond" w:cs="Times New Roman"/>
          <w:color w:val="000000"/>
          <w:sz w:val="24"/>
          <w:szCs w:val="24"/>
          <w:lang w:val="sq-AL"/>
        </w:rPr>
        <w:t xml:space="preserve">vendimin e mëposhtëm, i cili u miratua në po atë datë: </w:t>
      </w:r>
    </w:p>
    <w:p w14:paraId="13B08614" w14:textId="77777777"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76145E44" w14:textId="77777777"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HYRJE </w:t>
      </w:r>
    </w:p>
    <w:p w14:paraId="43EF21BD" w14:textId="6FCEA9AA"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1. Kërkuesi është një ish-prokuror dhe çështja ka të bëjë me ankesën e tij mbështetur në </w:t>
      </w:r>
      <w:r w:rsidR="00575308" w:rsidRPr="00BE1029">
        <w:rPr>
          <w:rFonts w:ascii="Garamond" w:hAnsi="Garamond" w:cs="Times New Roman"/>
          <w:color w:val="000000"/>
          <w:sz w:val="24"/>
          <w:szCs w:val="24"/>
          <w:lang w:val="sq-AL"/>
        </w:rPr>
        <w:t xml:space="preserve">nenin </w:t>
      </w:r>
      <w:r w:rsidRPr="00BE1029">
        <w:rPr>
          <w:rFonts w:ascii="Garamond" w:hAnsi="Garamond" w:cs="Times New Roman"/>
          <w:color w:val="000000"/>
          <w:sz w:val="24"/>
          <w:szCs w:val="24"/>
          <w:lang w:val="sq-AL"/>
        </w:rPr>
        <w:t xml:space="preserve">6 § 1 të Konventës, se Kolegji i Posaçëm i Apelimit, që e shkarkoi nga detyra e tij e mëparshme, nuk </w:t>
      </w:r>
      <w:r w:rsidRPr="00BE1029">
        <w:rPr>
          <w:rFonts w:ascii="Garamond" w:hAnsi="Garamond" w:cs="Times New Roman"/>
          <w:color w:val="000000"/>
          <w:sz w:val="24"/>
          <w:szCs w:val="24"/>
          <w:lang w:val="sq-AL"/>
        </w:rPr>
        <w:lastRenderedPageBreak/>
        <w:t>ishte një “gjykatë e krijuar me ligj”, duke pasur parasysh se njëri prej gjyqtarëve</w:t>
      </w:r>
      <w:r w:rsidR="005709E2" w:rsidRPr="00BE1029">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i cili e shqyrtoi çështjen e tij ishte caktuar në atë pozicion në shkelje të kriterit statutor të</w:t>
      </w:r>
      <w:r w:rsidR="005709E2" w:rsidRPr="00BE1029">
        <w:rPr>
          <w:rFonts w:ascii="Garamond" w:hAnsi="Garamond" w:cs="Times New Roman"/>
          <w:color w:val="000000"/>
          <w:sz w:val="24"/>
          <w:szCs w:val="24"/>
          <w:lang w:val="sq-AL"/>
        </w:rPr>
        <w:t xml:space="preserve"> </w:t>
      </w:r>
      <w:r w:rsidRPr="00BE1029">
        <w:rPr>
          <w:rFonts w:ascii="Garamond" w:hAnsi="Garamond" w:cs="Times New Roman"/>
          <w:color w:val="000000"/>
          <w:sz w:val="24"/>
          <w:szCs w:val="24"/>
          <w:lang w:val="sq-AL"/>
        </w:rPr>
        <w:t xml:space="preserve">përzgjedhshmërisë. </w:t>
      </w:r>
    </w:p>
    <w:p w14:paraId="142E6288" w14:textId="77777777"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FAKTET </w:t>
      </w:r>
    </w:p>
    <w:p w14:paraId="1614ED13" w14:textId="05EF342B"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2. Kërkuesi ka lindur në vitin 1970 dhe banon në Tiranë. Ai u përfaqësua përpara Gjykatës nga z. E. Halimi, një avokat i cili e ushtron profesionin e tij në Tiranë. </w:t>
      </w:r>
    </w:p>
    <w:p w14:paraId="3BD7B770" w14:textId="7993096C"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3. Fillimisht, Qeveria u përfaqësua nga ish-</w:t>
      </w:r>
      <w:r w:rsidR="005709E2" w:rsidRPr="00BE1029">
        <w:rPr>
          <w:rFonts w:ascii="Garamond" w:hAnsi="Garamond" w:cs="Times New Roman"/>
          <w:color w:val="000000"/>
          <w:sz w:val="24"/>
          <w:szCs w:val="24"/>
          <w:lang w:val="sq-AL"/>
        </w:rPr>
        <w:t xml:space="preserve">agjentja </w:t>
      </w:r>
      <w:r w:rsidRPr="00BE1029">
        <w:rPr>
          <w:rFonts w:ascii="Garamond" w:hAnsi="Garamond" w:cs="Times New Roman"/>
          <w:color w:val="000000"/>
          <w:sz w:val="24"/>
          <w:szCs w:val="24"/>
          <w:lang w:val="sq-AL"/>
        </w:rPr>
        <w:t>e saj, z</w:t>
      </w:r>
      <w:r w:rsidR="005709E2" w:rsidRPr="00BE1029">
        <w:rPr>
          <w:rFonts w:ascii="Garamond" w:hAnsi="Garamond" w:cs="Times New Roman"/>
          <w:color w:val="000000"/>
          <w:sz w:val="24"/>
          <w:szCs w:val="24"/>
          <w:lang w:val="sq-AL"/>
        </w:rPr>
        <w:t>n</w:t>
      </w:r>
      <w:r w:rsidRPr="00BE1029">
        <w:rPr>
          <w:rFonts w:ascii="Garamond" w:hAnsi="Garamond" w:cs="Times New Roman"/>
          <w:color w:val="000000"/>
          <w:sz w:val="24"/>
          <w:szCs w:val="24"/>
          <w:lang w:val="sq-AL"/>
        </w:rPr>
        <w:t xml:space="preserve">j. B. Lilo, dhe më pas, nga z. O. Moçka, Avokati i Përgjithshëm i Shtetit. </w:t>
      </w:r>
    </w:p>
    <w:p w14:paraId="5DA50CBE" w14:textId="61AAB459"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4. Faktet e çështjes mund të përmblidhen si më poshtë. </w:t>
      </w:r>
    </w:p>
    <w:p w14:paraId="7061BF5C" w14:textId="5DE09142"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I. KUADRI I PROCEDURAVE TË RIVLERËSIMIT (</w:t>
      </w:r>
      <w:r w:rsidRPr="00BE1029">
        <w:rPr>
          <w:rFonts w:ascii="Garamond" w:hAnsi="Garamond" w:cs="Times New Roman"/>
          <w:i/>
          <w:iCs/>
          <w:color w:val="000000"/>
          <w:sz w:val="24"/>
          <w:szCs w:val="24"/>
          <w:lang w:val="sq-AL"/>
        </w:rPr>
        <w:t>VETTING</w:t>
      </w:r>
      <w:r w:rsidRPr="00BE1029">
        <w:rPr>
          <w:rFonts w:ascii="Garamond" w:hAnsi="Garamond" w:cs="Times New Roman"/>
          <w:color w:val="000000"/>
          <w:sz w:val="24"/>
          <w:szCs w:val="24"/>
          <w:lang w:val="sq-AL"/>
        </w:rPr>
        <w:t>-UT) NË SHQIPËRI</w:t>
      </w:r>
    </w:p>
    <w:p w14:paraId="52A64842" w14:textId="0698AF07" w:rsidR="00A43DB1" w:rsidRPr="00BE1029" w:rsidRDefault="00A43DB1" w:rsidP="00A43DB1">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BE1029">
        <w:rPr>
          <w:rFonts w:ascii="Garamond" w:hAnsi="Garamond" w:cs="Times New Roman"/>
          <w:b/>
          <w:bCs/>
          <w:color w:val="000000"/>
          <w:sz w:val="24"/>
          <w:szCs w:val="24"/>
          <w:lang w:val="sq-AL"/>
        </w:rPr>
        <w:t xml:space="preserve">A. Kuadri i përgjithshëm </w:t>
      </w:r>
    </w:p>
    <w:p w14:paraId="31EE57B4" w14:textId="7F459A89"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5. Në vitin 2016, Shqipëria ndërmori një reformë të thellë në sistemin e drejtësisë, reformë e cila çoi në ndryshimet e Kushtetutës dhe në miratimin e një sërë ligjeve në lidhje me, midis të tjerash, rivlerësimin e të gjithë gjyqtarëve dhe prokurorëve në detyrë, dhe të disa këshilltarëve/ndihmësve ligjorë (referuar ndryshe si “procesi i </w:t>
      </w:r>
      <w:r w:rsidRPr="00BE1029">
        <w:rPr>
          <w:rFonts w:ascii="Garamond" w:hAnsi="Garamond" w:cs="Times New Roman"/>
          <w:i/>
          <w:iCs/>
          <w:color w:val="000000"/>
          <w:sz w:val="24"/>
          <w:szCs w:val="24"/>
          <w:lang w:val="sq-AL"/>
        </w:rPr>
        <w:t>vetting</w:t>
      </w:r>
      <w:r w:rsidRPr="00BE1029">
        <w:rPr>
          <w:rFonts w:ascii="Garamond" w:hAnsi="Garamond" w:cs="Times New Roman"/>
          <w:color w:val="000000"/>
          <w:sz w:val="24"/>
          <w:szCs w:val="24"/>
          <w:lang w:val="sq-AL"/>
        </w:rPr>
        <w:t xml:space="preserve">-ut”) (shih </w:t>
      </w:r>
      <w:r w:rsidRPr="00BE1029">
        <w:rPr>
          <w:rFonts w:ascii="Garamond" w:hAnsi="Garamond" w:cs="Times New Roman"/>
          <w:i/>
          <w:iCs/>
          <w:color w:val="000000"/>
          <w:sz w:val="24"/>
          <w:szCs w:val="24"/>
          <w:lang w:val="sq-AL"/>
        </w:rPr>
        <w:t>Xhoxhaj kundër Shqipërisë</w:t>
      </w:r>
      <w:r w:rsidR="00FF24E2" w:rsidRPr="00BE1029">
        <w:rPr>
          <w:rFonts w:ascii="Garamond" w:hAnsi="Garamond" w:cs="Times New Roman"/>
          <w:color w:val="000000"/>
          <w:sz w:val="24"/>
          <w:szCs w:val="24"/>
          <w:lang w:val="sq-AL"/>
        </w:rPr>
        <w:t xml:space="preserve"> </w:t>
      </w:r>
      <w:r w:rsidRPr="00BE1029">
        <w:rPr>
          <w:rFonts w:ascii="Garamond" w:hAnsi="Garamond" w:cs="Times New Roman"/>
          <w:color w:val="000000"/>
          <w:sz w:val="24"/>
          <w:szCs w:val="24"/>
          <w:lang w:val="sq-AL"/>
        </w:rPr>
        <w:t>nr. 15227/19, §§ 4</w:t>
      </w:r>
      <w:r w:rsidR="00FF24E2" w:rsidRPr="00BE1029">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7, 9 </w:t>
      </w:r>
      <w:r w:rsidR="00FF24E2" w:rsidRPr="00BE1029">
        <w:rPr>
          <w:rFonts w:ascii="Garamond" w:hAnsi="Garamond" w:cs="Times New Roman"/>
          <w:color w:val="000000"/>
          <w:sz w:val="24"/>
          <w:szCs w:val="24"/>
          <w:lang w:val="sq-AL"/>
        </w:rPr>
        <w:t xml:space="preserve">shkurt </w:t>
      </w:r>
      <w:r w:rsidRPr="00BE1029">
        <w:rPr>
          <w:rFonts w:ascii="Garamond" w:hAnsi="Garamond" w:cs="Times New Roman"/>
          <w:color w:val="000000"/>
          <w:sz w:val="24"/>
          <w:szCs w:val="24"/>
          <w:lang w:val="sq-AL"/>
        </w:rPr>
        <w:t xml:space="preserve">2021). Parashikimet më të rëndësishme në lidhje me procesin e </w:t>
      </w:r>
      <w:r w:rsidRPr="00BE1029">
        <w:rPr>
          <w:rFonts w:ascii="Garamond" w:hAnsi="Garamond" w:cs="Times New Roman"/>
          <w:i/>
          <w:iCs/>
          <w:color w:val="000000"/>
          <w:sz w:val="24"/>
          <w:szCs w:val="24"/>
          <w:lang w:val="sq-AL"/>
        </w:rPr>
        <w:t>vetting</w:t>
      </w:r>
      <w:r w:rsidRPr="00BE1029">
        <w:rPr>
          <w:rFonts w:ascii="Garamond" w:hAnsi="Garamond" w:cs="Times New Roman"/>
          <w:color w:val="000000"/>
          <w:sz w:val="24"/>
          <w:szCs w:val="24"/>
          <w:lang w:val="sq-AL"/>
        </w:rPr>
        <w:t xml:space="preserve">-ut u përfshinë në një aneks në Kushtetutë. </w:t>
      </w:r>
    </w:p>
    <w:p w14:paraId="1FA75D99" w14:textId="7325A776"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6. Procesi i </w:t>
      </w:r>
      <w:r w:rsidRPr="00BE1029">
        <w:rPr>
          <w:rFonts w:ascii="Garamond" w:hAnsi="Garamond" w:cs="Times New Roman"/>
          <w:i/>
          <w:iCs/>
          <w:color w:val="000000"/>
          <w:sz w:val="24"/>
          <w:szCs w:val="24"/>
          <w:lang w:val="sq-AL"/>
        </w:rPr>
        <w:t>vetting</w:t>
      </w:r>
      <w:r w:rsidRPr="00BE1029">
        <w:rPr>
          <w:rFonts w:ascii="Garamond" w:hAnsi="Garamond" w:cs="Times New Roman"/>
          <w:color w:val="000000"/>
          <w:sz w:val="24"/>
          <w:szCs w:val="24"/>
          <w:lang w:val="sq-AL"/>
        </w:rPr>
        <w:t xml:space="preserve">-ut/rivlerësimit do të realizohej nga Komisioni i Pavarur i Kualifikimit (“KPK”) në shkallë të parë, dhe </w:t>
      </w:r>
      <w:r w:rsidR="00FF24E2" w:rsidRPr="00BE1029">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në rastin e një apelimi – nga Kolegji i Posaçëm i Apelimit (“KPA”) pranë Gjykatës Kushtetuese (të cilat së bashku referohen si “organet e </w:t>
      </w:r>
      <w:r w:rsidRPr="00BE1029">
        <w:rPr>
          <w:rFonts w:ascii="Garamond" w:hAnsi="Garamond" w:cs="Times New Roman"/>
          <w:i/>
          <w:iCs/>
          <w:color w:val="000000"/>
          <w:sz w:val="24"/>
          <w:szCs w:val="24"/>
          <w:lang w:val="sq-AL"/>
        </w:rPr>
        <w:t>vetting</w:t>
      </w:r>
      <w:r w:rsidRPr="00BE1029">
        <w:rPr>
          <w:rFonts w:ascii="Garamond" w:hAnsi="Garamond" w:cs="Times New Roman"/>
          <w:color w:val="000000"/>
          <w:sz w:val="24"/>
          <w:szCs w:val="24"/>
          <w:lang w:val="sq-AL"/>
        </w:rPr>
        <w:t>-ut”). Shtetasit shqiptarë</w:t>
      </w:r>
      <w:r w:rsidR="005E4C26" w:rsidRPr="00BE1029">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të cilët, midis kushteve të tjera, nuk kishin qenë subjekt i masës disiplinore të largimit nga detyra, ose të cilët nuk kishin qenë subjekt i një mase tjetër disiplinore që ishte ende në fuqi, mund të emëroheshin si anëtarë të organeve të </w:t>
      </w:r>
      <w:r w:rsidRPr="00BE1029">
        <w:rPr>
          <w:rFonts w:ascii="Garamond" w:hAnsi="Garamond" w:cs="Times New Roman"/>
          <w:i/>
          <w:iCs/>
          <w:color w:val="000000"/>
          <w:sz w:val="24"/>
          <w:szCs w:val="24"/>
          <w:lang w:val="sq-AL"/>
        </w:rPr>
        <w:t>vetting</w:t>
      </w:r>
      <w:r w:rsidR="005E4C26" w:rsidRPr="00BE1029">
        <w:rPr>
          <w:rFonts w:ascii="Garamond" w:hAnsi="Garamond" w:cs="Times New Roman"/>
          <w:color w:val="000000"/>
          <w:sz w:val="24"/>
          <w:szCs w:val="24"/>
          <w:lang w:val="sq-AL"/>
        </w:rPr>
        <w:t>-ut (po aty, §</w:t>
      </w:r>
      <w:r w:rsidRPr="00BE1029">
        <w:rPr>
          <w:rFonts w:ascii="Garamond" w:hAnsi="Garamond" w:cs="Times New Roman"/>
          <w:color w:val="000000"/>
          <w:sz w:val="24"/>
          <w:szCs w:val="24"/>
          <w:lang w:val="sq-AL"/>
        </w:rPr>
        <w:t>123; shih edhe paragrafin 50 më poshtë). Në vijim të procesit të përzgjedhjes paraprake të ndërmarrë nga Presidenti i Republikës (ose në raste të caktuara nga Avokati i Popullit), kandidatët do të</w:t>
      </w:r>
      <w:r w:rsidR="005E4C26" w:rsidRPr="00BE1029">
        <w:rPr>
          <w:rFonts w:ascii="Garamond" w:hAnsi="Garamond" w:cs="Times New Roman"/>
          <w:color w:val="000000"/>
          <w:sz w:val="24"/>
          <w:szCs w:val="24"/>
          <w:lang w:val="sq-AL"/>
        </w:rPr>
        <w:t xml:space="preserve"> intervistoheshin dhe në vijim </w:t>
      </w:r>
      <w:r w:rsidRPr="00BE1029">
        <w:rPr>
          <w:rFonts w:ascii="Garamond" w:hAnsi="Garamond" w:cs="Times New Roman"/>
          <w:color w:val="000000"/>
          <w:sz w:val="24"/>
          <w:szCs w:val="24"/>
          <w:lang w:val="sq-AL"/>
        </w:rPr>
        <w:t xml:space="preserve">do të emëroheshin nga Parlamenti. </w:t>
      </w:r>
    </w:p>
    <w:p w14:paraId="72BE7BD0" w14:textId="53B95E3C" w:rsidR="00A43DB1" w:rsidRPr="00BE1029" w:rsidRDefault="00A43DB1" w:rsidP="005F1EE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7. KPK</w:t>
      </w:r>
      <w:r w:rsidR="00C21182" w:rsidRPr="00BE1029">
        <w:rPr>
          <w:rFonts w:ascii="Garamond" w:hAnsi="Garamond" w:cs="Times New Roman"/>
          <w:color w:val="000000"/>
          <w:sz w:val="24"/>
          <w:szCs w:val="24"/>
          <w:lang w:val="sq-AL"/>
        </w:rPr>
        <w:t>-ja</w:t>
      </w:r>
      <w:r w:rsidRPr="00BE1029">
        <w:rPr>
          <w:rFonts w:ascii="Garamond" w:hAnsi="Garamond" w:cs="Times New Roman"/>
          <w:color w:val="000000"/>
          <w:sz w:val="24"/>
          <w:szCs w:val="24"/>
          <w:lang w:val="sq-AL"/>
        </w:rPr>
        <w:t xml:space="preserve"> dhe KPA</w:t>
      </w:r>
      <w:r w:rsidR="00C21182" w:rsidRPr="00BE1029">
        <w:rPr>
          <w:rFonts w:ascii="Garamond" w:hAnsi="Garamond" w:cs="Times New Roman"/>
          <w:color w:val="000000"/>
          <w:sz w:val="24"/>
          <w:szCs w:val="24"/>
          <w:lang w:val="sq-AL"/>
        </w:rPr>
        <w:t>-ja</w:t>
      </w:r>
      <w:r w:rsidRPr="00BE1029">
        <w:rPr>
          <w:rFonts w:ascii="Garamond" w:hAnsi="Garamond" w:cs="Times New Roman"/>
          <w:color w:val="000000"/>
          <w:sz w:val="24"/>
          <w:szCs w:val="24"/>
          <w:lang w:val="sq-AL"/>
        </w:rPr>
        <w:t xml:space="preserve"> do të rivlerësonin të gjithë gjyqtarët dhe prokurorët në de</w:t>
      </w:r>
      <w:r w:rsidR="00932E06" w:rsidRPr="00BE1029">
        <w:rPr>
          <w:rFonts w:ascii="Garamond" w:hAnsi="Garamond" w:cs="Times New Roman"/>
          <w:color w:val="000000"/>
          <w:sz w:val="24"/>
          <w:szCs w:val="24"/>
          <w:lang w:val="sq-AL"/>
        </w:rPr>
        <w:t>tyrë në bazë të tr</w:t>
      </w:r>
      <w:r w:rsidR="005F1EE6" w:rsidRPr="00BE1029">
        <w:rPr>
          <w:rFonts w:ascii="Garamond" w:hAnsi="Garamond" w:cs="Times New Roman"/>
          <w:color w:val="000000"/>
          <w:sz w:val="24"/>
          <w:szCs w:val="24"/>
          <w:lang w:val="sq-AL"/>
        </w:rPr>
        <w:t>i</w:t>
      </w:r>
      <w:r w:rsidR="00932E06" w:rsidRPr="00BE1029">
        <w:rPr>
          <w:rFonts w:ascii="Garamond" w:hAnsi="Garamond" w:cs="Times New Roman"/>
          <w:color w:val="000000"/>
          <w:sz w:val="24"/>
          <w:szCs w:val="24"/>
          <w:lang w:val="sq-AL"/>
        </w:rPr>
        <w:t xml:space="preserve"> kritereve: </w:t>
      </w:r>
      <w:r w:rsidRPr="00BE1029">
        <w:rPr>
          <w:rFonts w:ascii="Garamond" w:hAnsi="Garamond" w:cs="Times New Roman"/>
          <w:color w:val="000000"/>
          <w:sz w:val="24"/>
          <w:szCs w:val="24"/>
          <w:lang w:val="sq-AL"/>
        </w:rPr>
        <w:t>i</w:t>
      </w:r>
      <w:r w:rsidR="00932E06" w:rsidRPr="00BE1029">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vlerësimi</w:t>
      </w:r>
      <w:r w:rsidR="00932E06" w:rsidRPr="00BE1029">
        <w:rPr>
          <w:rFonts w:ascii="Garamond" w:hAnsi="Garamond" w:cs="Times New Roman"/>
          <w:color w:val="000000"/>
          <w:sz w:val="24"/>
          <w:szCs w:val="24"/>
          <w:lang w:val="sq-AL"/>
        </w:rPr>
        <w:t xml:space="preserve"> i pasurisë së tyre personale; </w:t>
      </w:r>
      <w:r w:rsidRPr="00BE1029">
        <w:rPr>
          <w:rFonts w:ascii="Garamond" w:hAnsi="Garamond" w:cs="Times New Roman"/>
          <w:color w:val="000000"/>
          <w:sz w:val="24"/>
          <w:szCs w:val="24"/>
          <w:lang w:val="sq-AL"/>
        </w:rPr>
        <w:t>ii</w:t>
      </w:r>
      <w:r w:rsidR="00932E06" w:rsidRPr="00BE1029">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kontrolli i figurës dhe </w:t>
      </w:r>
      <w:r w:rsidR="005F1EE6" w:rsidRPr="00BE1029">
        <w:rPr>
          <w:rFonts w:ascii="Garamond" w:hAnsi="Garamond" w:cs="Times New Roman"/>
          <w:color w:val="000000"/>
          <w:sz w:val="24"/>
          <w:szCs w:val="24"/>
          <w:lang w:val="sq-AL"/>
        </w:rPr>
        <w:t xml:space="preserve">i </w:t>
      </w:r>
      <w:r w:rsidRPr="00BE1029">
        <w:rPr>
          <w:rFonts w:ascii="Garamond" w:hAnsi="Garamond" w:cs="Times New Roman"/>
          <w:color w:val="000000"/>
          <w:sz w:val="24"/>
          <w:szCs w:val="24"/>
          <w:lang w:val="sq-AL"/>
        </w:rPr>
        <w:t>integritetit me synimin që të identifikoheshin lidhje të mundshme me krimin e organizuar</w:t>
      </w:r>
      <w:r w:rsidR="00932E06" w:rsidRPr="00BE1029">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dhe iii</w:t>
      </w:r>
      <w:r w:rsidR="00932E06" w:rsidRPr="00BE1029">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vlerësimi i ekspertizës së tyre profesionale. Komisioneri Publik do të përfaqësonte interesin publik përpara organeve të </w:t>
      </w:r>
      <w:r w:rsidRPr="00BE1029">
        <w:rPr>
          <w:rFonts w:ascii="Garamond" w:hAnsi="Garamond" w:cs="Times New Roman"/>
          <w:i/>
          <w:iCs/>
          <w:color w:val="000000"/>
          <w:sz w:val="24"/>
          <w:szCs w:val="24"/>
          <w:lang w:val="sq-AL"/>
        </w:rPr>
        <w:t>vetting</w:t>
      </w:r>
      <w:r w:rsidRPr="00BE1029">
        <w:rPr>
          <w:rFonts w:ascii="Garamond" w:hAnsi="Garamond" w:cs="Times New Roman"/>
          <w:color w:val="000000"/>
          <w:sz w:val="24"/>
          <w:szCs w:val="24"/>
          <w:lang w:val="sq-AL"/>
        </w:rPr>
        <w:t xml:space="preserve">-ut; Operacioni Ndërkombëtar i Monitorimit (“ONM”) i udhëhequr nga Komisioni Evropian dhe i përbërë nga vëzhgues ndërkombëtarë do të mbështeste, monitoronte dhe mbikëqyrte procesin e rivlerësimit. Në përfundim të secilit grup të procedurave të rivlerësimit, organet e </w:t>
      </w:r>
      <w:r w:rsidRPr="00BE1029">
        <w:rPr>
          <w:rFonts w:ascii="Garamond" w:hAnsi="Garamond" w:cs="Times New Roman"/>
          <w:i/>
          <w:iCs/>
          <w:color w:val="000000"/>
          <w:sz w:val="24"/>
          <w:szCs w:val="24"/>
          <w:lang w:val="sq-AL"/>
        </w:rPr>
        <w:t>vetting</w:t>
      </w:r>
      <w:r w:rsidRPr="00BE1029">
        <w:rPr>
          <w:rFonts w:ascii="Garamond" w:hAnsi="Garamond" w:cs="Times New Roman"/>
          <w:color w:val="000000"/>
          <w:sz w:val="24"/>
          <w:szCs w:val="24"/>
          <w:lang w:val="sq-AL"/>
        </w:rPr>
        <w:t>-ut do të jepnin vendime të arsyetuara</w:t>
      </w:r>
      <w:r w:rsidR="005F1EE6" w:rsidRPr="00BE1029">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të cilat konfirmonin në detyrë ose pezullonin ose shkarkonin nga detyra personin e vlerësuar. </w:t>
      </w:r>
    </w:p>
    <w:p w14:paraId="0503EDD1" w14:textId="6CBD9C0B"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b/>
          <w:bCs/>
          <w:color w:val="000000"/>
          <w:sz w:val="24"/>
          <w:szCs w:val="24"/>
          <w:lang w:val="sq-AL"/>
        </w:rPr>
        <w:t>B. Emërimet dhe shkarkimet nga d</w:t>
      </w:r>
      <w:r w:rsidR="005F1EE6" w:rsidRPr="00BE1029">
        <w:rPr>
          <w:rFonts w:ascii="Garamond" w:hAnsi="Garamond" w:cs="Times New Roman"/>
          <w:b/>
          <w:bCs/>
          <w:color w:val="000000"/>
          <w:sz w:val="24"/>
          <w:szCs w:val="24"/>
          <w:lang w:val="sq-AL"/>
        </w:rPr>
        <w:t>etyra të gjyqtarit L.</w:t>
      </w:r>
      <w:r w:rsidRPr="00BE1029">
        <w:rPr>
          <w:rFonts w:ascii="Garamond" w:hAnsi="Garamond" w:cs="Times New Roman"/>
          <w:b/>
          <w:bCs/>
          <w:color w:val="000000"/>
          <w:sz w:val="24"/>
          <w:szCs w:val="24"/>
          <w:lang w:val="sq-AL"/>
        </w:rPr>
        <w:t xml:space="preserve">D. </w:t>
      </w:r>
    </w:p>
    <w:p w14:paraId="2D02BA4A" w14:textId="3F128D47"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i/>
          <w:iCs/>
          <w:color w:val="000000"/>
          <w:sz w:val="24"/>
          <w:szCs w:val="24"/>
          <w:lang w:val="sq-AL"/>
        </w:rPr>
        <w:t>1.</w:t>
      </w:r>
      <w:r w:rsidR="00BB6ABE" w:rsidRPr="00BE1029">
        <w:rPr>
          <w:rFonts w:ascii="Garamond" w:hAnsi="Garamond" w:cs="Times New Roman"/>
          <w:i/>
          <w:iCs/>
          <w:color w:val="000000"/>
          <w:sz w:val="24"/>
          <w:szCs w:val="24"/>
          <w:lang w:val="sq-AL"/>
        </w:rPr>
        <w:t xml:space="preserve"> </w:t>
      </w:r>
      <w:r w:rsidRPr="00BE1029">
        <w:rPr>
          <w:rFonts w:ascii="Garamond" w:hAnsi="Garamond" w:cs="Times New Roman"/>
          <w:i/>
          <w:iCs/>
          <w:color w:val="000000"/>
          <w:sz w:val="24"/>
          <w:szCs w:val="24"/>
          <w:lang w:val="sq-AL"/>
        </w:rPr>
        <w:t>Emërimi dhe shkarkimi nga detyra si gjyqtar i Gjykatës së Rrethit Tiranë</w:t>
      </w:r>
    </w:p>
    <w:p w14:paraId="1D3966B1" w14:textId="7304FEFB"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8. Më 24 </w:t>
      </w:r>
      <w:r w:rsidR="005F1EE6" w:rsidRPr="00BE1029">
        <w:rPr>
          <w:rFonts w:ascii="Garamond" w:hAnsi="Garamond" w:cs="Times New Roman"/>
          <w:color w:val="000000"/>
          <w:sz w:val="24"/>
          <w:szCs w:val="24"/>
          <w:lang w:val="sq-AL"/>
        </w:rPr>
        <w:t xml:space="preserve">prill </w:t>
      </w:r>
      <w:r w:rsidRPr="00BE1029">
        <w:rPr>
          <w:rFonts w:ascii="Garamond" w:hAnsi="Garamond" w:cs="Times New Roman"/>
          <w:color w:val="000000"/>
          <w:sz w:val="24"/>
          <w:szCs w:val="24"/>
          <w:lang w:val="sq-AL"/>
        </w:rPr>
        <w:t xml:space="preserve">1994, L.D. u emërua si gjyqtar i Gjykatës së Rrethit Tiranë. Më 24 </w:t>
      </w:r>
      <w:r w:rsidR="002A430C" w:rsidRPr="00BE1029">
        <w:rPr>
          <w:rFonts w:ascii="Garamond" w:hAnsi="Garamond" w:cs="Times New Roman"/>
          <w:color w:val="000000"/>
          <w:sz w:val="24"/>
          <w:szCs w:val="24"/>
          <w:lang w:val="sq-AL"/>
        </w:rPr>
        <w:t xml:space="preserve">dhjetor </w:t>
      </w:r>
      <w:r w:rsidRPr="00BE1029">
        <w:rPr>
          <w:rFonts w:ascii="Garamond" w:hAnsi="Garamond" w:cs="Times New Roman"/>
          <w:color w:val="000000"/>
          <w:sz w:val="24"/>
          <w:szCs w:val="24"/>
          <w:lang w:val="sq-AL"/>
        </w:rPr>
        <w:t>1997, Këshilli i Lartë Gjyqësor (“KLGJ”), i cili në periudhën në fjalë ishte organi që emëronte dhe sh</w:t>
      </w:r>
      <w:r w:rsidR="008D0645" w:rsidRPr="00BE1029">
        <w:rPr>
          <w:rFonts w:ascii="Garamond" w:hAnsi="Garamond" w:cs="Times New Roman"/>
          <w:color w:val="000000"/>
          <w:sz w:val="24"/>
          <w:szCs w:val="24"/>
          <w:lang w:val="sq-AL"/>
        </w:rPr>
        <w:t>karkonte gjyqtarët, shkarkoi L.</w:t>
      </w:r>
      <w:r w:rsidRPr="00BE1029">
        <w:rPr>
          <w:rFonts w:ascii="Garamond" w:hAnsi="Garamond" w:cs="Times New Roman"/>
          <w:color w:val="000000"/>
          <w:sz w:val="24"/>
          <w:szCs w:val="24"/>
          <w:lang w:val="sq-AL"/>
        </w:rPr>
        <w:t xml:space="preserve">D. nga detyra e tij për shkelje të ligjit dhe për paaftësi në detyrë. </w:t>
      </w:r>
    </w:p>
    <w:p w14:paraId="3E25539E" w14:textId="21C8BB29"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9. Pas një thirrje të hapur për rekrutimin e pesë gjyqtarëve në Gjykatën e Rrethit Tiranë, dhe pas aplikimit të L.D. për njërin prej pozicioneve, më 5 </w:t>
      </w:r>
      <w:r w:rsidR="008D0645" w:rsidRPr="00BE1029">
        <w:rPr>
          <w:rFonts w:ascii="Garamond" w:hAnsi="Garamond" w:cs="Times New Roman"/>
          <w:color w:val="000000"/>
          <w:sz w:val="24"/>
          <w:szCs w:val="24"/>
          <w:lang w:val="sq-AL"/>
        </w:rPr>
        <w:t xml:space="preserve">nëntor </w:t>
      </w:r>
      <w:r w:rsidRPr="00BE1029">
        <w:rPr>
          <w:rFonts w:ascii="Garamond" w:hAnsi="Garamond" w:cs="Times New Roman"/>
          <w:color w:val="000000"/>
          <w:sz w:val="24"/>
          <w:szCs w:val="24"/>
          <w:lang w:val="sq-AL"/>
        </w:rPr>
        <w:t>2016, KLGJ</w:t>
      </w:r>
      <w:r w:rsidR="008D0645" w:rsidRPr="00BE1029">
        <w:rPr>
          <w:rFonts w:ascii="Garamond" w:hAnsi="Garamond" w:cs="Times New Roman"/>
          <w:color w:val="000000"/>
          <w:sz w:val="24"/>
          <w:szCs w:val="24"/>
          <w:lang w:val="sq-AL"/>
        </w:rPr>
        <w:t>-ja vendosi ta skualifikonte L.</w:t>
      </w:r>
      <w:r w:rsidRPr="00BE1029">
        <w:rPr>
          <w:rFonts w:ascii="Garamond" w:hAnsi="Garamond" w:cs="Times New Roman"/>
          <w:color w:val="000000"/>
          <w:sz w:val="24"/>
          <w:szCs w:val="24"/>
          <w:lang w:val="sq-AL"/>
        </w:rPr>
        <w:t xml:space="preserve">D. nga konkursi me arsyetimin se ai ishte shkarkuar nga i njëjti pozicion më 24 </w:t>
      </w:r>
      <w:r w:rsidR="008D0645" w:rsidRPr="00BE1029">
        <w:rPr>
          <w:rFonts w:ascii="Garamond" w:hAnsi="Garamond" w:cs="Times New Roman"/>
          <w:color w:val="000000"/>
          <w:sz w:val="24"/>
          <w:szCs w:val="24"/>
          <w:lang w:val="sq-AL"/>
        </w:rPr>
        <w:t xml:space="preserve">dhjetor </w:t>
      </w:r>
      <w:r w:rsidRPr="00BE1029">
        <w:rPr>
          <w:rFonts w:ascii="Garamond" w:hAnsi="Garamond" w:cs="Times New Roman"/>
          <w:color w:val="000000"/>
          <w:sz w:val="24"/>
          <w:szCs w:val="24"/>
          <w:lang w:val="sq-AL"/>
        </w:rPr>
        <w:t xml:space="preserve">1997. </w:t>
      </w:r>
    </w:p>
    <w:p w14:paraId="27062DD9" w14:textId="2CC0CEF1" w:rsidR="00A43DB1" w:rsidRPr="00BE1029" w:rsidRDefault="00A43DB1" w:rsidP="00A43DB1">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BE1029">
        <w:rPr>
          <w:rFonts w:ascii="Garamond" w:hAnsi="Garamond" w:cs="Times New Roman"/>
          <w:i/>
          <w:iCs/>
          <w:color w:val="000000"/>
          <w:sz w:val="24"/>
          <w:szCs w:val="24"/>
          <w:lang w:val="sq-AL"/>
        </w:rPr>
        <w:t>2. Emërimi dhe shkarkimi i L.D. nga KPA</w:t>
      </w:r>
      <w:r w:rsidR="008D0645" w:rsidRPr="00BE1029">
        <w:rPr>
          <w:rFonts w:ascii="Garamond" w:hAnsi="Garamond" w:cs="Times New Roman"/>
          <w:i/>
          <w:iCs/>
          <w:color w:val="000000"/>
          <w:sz w:val="24"/>
          <w:szCs w:val="24"/>
          <w:lang w:val="sq-AL"/>
        </w:rPr>
        <w:t>-ja</w:t>
      </w:r>
    </w:p>
    <w:p w14:paraId="7849E576" w14:textId="0BBDB545"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10. Si përgjigje ndaj një thirrje publike për shprehje të interesit të lëshuar nga Avokati i Popullit, më 3 </w:t>
      </w:r>
      <w:r w:rsidR="001B5AC8" w:rsidRPr="00BE1029">
        <w:rPr>
          <w:rFonts w:ascii="Garamond" w:hAnsi="Garamond" w:cs="Times New Roman"/>
          <w:color w:val="000000"/>
          <w:sz w:val="24"/>
          <w:szCs w:val="24"/>
          <w:lang w:val="sq-AL"/>
        </w:rPr>
        <w:t xml:space="preserve">shkurt </w:t>
      </w:r>
      <w:r w:rsidRPr="00BE1029">
        <w:rPr>
          <w:rFonts w:ascii="Garamond" w:hAnsi="Garamond" w:cs="Times New Roman"/>
          <w:color w:val="000000"/>
          <w:sz w:val="24"/>
          <w:szCs w:val="24"/>
          <w:lang w:val="sq-AL"/>
        </w:rPr>
        <w:t>2017, L.D. paraqiti një aplikim ku shprehte interesin e tij për, midis vakancave të tjera, pozicionin si gjyqtar i KPA</w:t>
      </w:r>
      <w:r w:rsidR="001B5AC8" w:rsidRPr="00BE1029">
        <w:rPr>
          <w:rFonts w:ascii="Garamond" w:hAnsi="Garamond" w:cs="Times New Roman"/>
          <w:color w:val="000000"/>
          <w:sz w:val="24"/>
          <w:szCs w:val="24"/>
          <w:lang w:val="sq-AL"/>
        </w:rPr>
        <w:t>-sa</w:t>
      </w:r>
      <w:r w:rsidRPr="00BE1029">
        <w:rPr>
          <w:rFonts w:ascii="Garamond" w:hAnsi="Garamond" w:cs="Times New Roman"/>
          <w:color w:val="000000"/>
          <w:sz w:val="24"/>
          <w:szCs w:val="24"/>
          <w:lang w:val="sq-AL"/>
        </w:rPr>
        <w:t>. Në aplikimin e tij, L.D. listonte kriteret kryesore për përzgjedhje në atë pozicion dhe pohonte se i përmbushte që të gjitha ato. Veçanërisht, në aplikimin e tij, ai deklaronte</w:t>
      </w:r>
      <w:r w:rsidR="001B5AC8" w:rsidRPr="00BE1029">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si më poshtë: </w:t>
      </w:r>
    </w:p>
    <w:p w14:paraId="45F4D774" w14:textId="32E33EE3"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lastRenderedPageBreak/>
        <w:t>“... kundër meje nuk është ndërmarrë ndonjë masë disi</w:t>
      </w:r>
      <w:r w:rsidR="001B5AC8" w:rsidRPr="00BE1029">
        <w:rPr>
          <w:rFonts w:ascii="Garamond" w:hAnsi="Garamond" w:cs="Times New Roman"/>
          <w:color w:val="000000"/>
          <w:sz w:val="24"/>
          <w:szCs w:val="24"/>
          <w:lang w:val="sq-AL"/>
        </w:rPr>
        <w:t>plinore për shkarkim nga detyra</w:t>
      </w:r>
      <w:r w:rsidRPr="00BE1029">
        <w:rPr>
          <w:rFonts w:ascii="Garamond" w:hAnsi="Garamond" w:cs="Times New Roman"/>
          <w:color w:val="000000"/>
          <w:sz w:val="24"/>
          <w:szCs w:val="24"/>
          <w:lang w:val="sq-AL"/>
        </w:rPr>
        <w:t xml:space="preserve"> apo ndonjë masë disiplinore që është ende në fuqi, sipas ligjit të zbatueshëm në periudhën e aplikimit [tim për pozicionin e gjyqtarit të KPA-së].”</w:t>
      </w:r>
    </w:p>
    <w:p w14:paraId="5CFA5315" w14:textId="10DC089A"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11. Pas krijimit nga Avokati i Popullit të një komisioni </w:t>
      </w:r>
      <w:r w:rsidRPr="00BE1029">
        <w:rPr>
          <w:rFonts w:ascii="Garamond" w:hAnsi="Garamond" w:cs="Times New Roman"/>
          <w:i/>
          <w:iCs/>
          <w:color w:val="000000"/>
          <w:sz w:val="24"/>
          <w:szCs w:val="24"/>
          <w:lang w:val="sq-AL"/>
        </w:rPr>
        <w:t>ad hoc</w:t>
      </w:r>
      <w:r w:rsidRPr="00BE1029">
        <w:rPr>
          <w:rFonts w:ascii="Garamond" w:hAnsi="Garamond" w:cs="Times New Roman"/>
          <w:color w:val="000000"/>
          <w:sz w:val="24"/>
          <w:szCs w:val="24"/>
          <w:lang w:val="sq-AL"/>
        </w:rPr>
        <w:t xml:space="preserve">, i cili do të shqyrtonte të gjitha aplikimet e marra për pozicionet në organet e </w:t>
      </w:r>
      <w:r w:rsidRPr="00BE1029">
        <w:rPr>
          <w:rFonts w:ascii="Garamond" w:hAnsi="Garamond" w:cs="Times New Roman"/>
          <w:i/>
          <w:iCs/>
          <w:color w:val="000000"/>
          <w:sz w:val="24"/>
          <w:szCs w:val="24"/>
          <w:lang w:val="sq-AL"/>
        </w:rPr>
        <w:t>vetting</w:t>
      </w:r>
      <w:r w:rsidRPr="00BE1029">
        <w:rPr>
          <w:rFonts w:ascii="Garamond" w:hAnsi="Garamond" w:cs="Times New Roman"/>
          <w:color w:val="000000"/>
          <w:sz w:val="24"/>
          <w:szCs w:val="24"/>
          <w:lang w:val="sq-AL"/>
        </w:rPr>
        <w:t xml:space="preserve">-ut, më 13 </w:t>
      </w:r>
      <w:r w:rsidR="001B5AC8" w:rsidRPr="00BE1029">
        <w:rPr>
          <w:rFonts w:ascii="Garamond" w:hAnsi="Garamond" w:cs="Times New Roman"/>
          <w:color w:val="000000"/>
          <w:sz w:val="24"/>
          <w:szCs w:val="24"/>
          <w:lang w:val="sq-AL"/>
        </w:rPr>
        <w:t xml:space="preserve">shkurt </w:t>
      </w:r>
      <w:r w:rsidRPr="00BE1029">
        <w:rPr>
          <w:rFonts w:ascii="Garamond" w:hAnsi="Garamond" w:cs="Times New Roman"/>
          <w:color w:val="000000"/>
          <w:sz w:val="24"/>
          <w:szCs w:val="24"/>
          <w:lang w:val="sq-AL"/>
        </w:rPr>
        <w:t>2017, ky komision dhe ONM</w:t>
      </w:r>
      <w:r w:rsidR="001B5AC8" w:rsidRPr="00BE1029">
        <w:rPr>
          <w:rFonts w:ascii="Garamond" w:hAnsi="Garamond" w:cs="Times New Roman"/>
          <w:color w:val="000000"/>
          <w:sz w:val="24"/>
          <w:szCs w:val="24"/>
          <w:lang w:val="sq-AL"/>
        </w:rPr>
        <w:t>-ja</w:t>
      </w:r>
      <w:r w:rsidRPr="00BE1029">
        <w:rPr>
          <w:rFonts w:ascii="Garamond" w:hAnsi="Garamond" w:cs="Times New Roman"/>
          <w:color w:val="000000"/>
          <w:sz w:val="24"/>
          <w:szCs w:val="24"/>
          <w:lang w:val="sq-AL"/>
        </w:rPr>
        <w:t xml:space="preserve"> miratuan një protokoll për metodën</w:t>
      </w:r>
      <w:r w:rsidR="00AD4D73" w:rsidRPr="00BE1029">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sipas së cilës do të vlerësohej përmbushja e kritereve statutore për përzgjedhshmërinë nga kandidatët. Për sa ka</w:t>
      </w:r>
      <w:r w:rsidR="00BB6ABE" w:rsidRPr="00BE1029">
        <w:rPr>
          <w:rFonts w:ascii="Garamond" w:hAnsi="Garamond" w:cs="Times New Roman"/>
          <w:color w:val="000000"/>
          <w:sz w:val="24"/>
          <w:szCs w:val="24"/>
          <w:lang w:val="sq-AL"/>
        </w:rPr>
        <w:t xml:space="preserve"> </w:t>
      </w:r>
      <w:r w:rsidRPr="00BE1029">
        <w:rPr>
          <w:rFonts w:ascii="Garamond" w:hAnsi="Garamond" w:cs="Times New Roman"/>
          <w:color w:val="000000"/>
          <w:sz w:val="24"/>
          <w:szCs w:val="24"/>
          <w:lang w:val="sq-AL"/>
        </w:rPr>
        <w:t>të bëjë me situatën, protokolli parashikonte se një vetëdeklarim nga ana e kandidatëve do të ishte mjaftueshëm të konsiderohej se një kandidat nuk kishte qenë “subjekt i masës disi</w:t>
      </w:r>
      <w:r w:rsidR="00AD4D73" w:rsidRPr="00BE1029">
        <w:rPr>
          <w:rFonts w:ascii="Garamond" w:hAnsi="Garamond" w:cs="Times New Roman"/>
          <w:color w:val="000000"/>
          <w:sz w:val="24"/>
          <w:szCs w:val="24"/>
          <w:lang w:val="sq-AL"/>
        </w:rPr>
        <w:t>plinore për shkarkim nga detyra</w:t>
      </w:r>
      <w:r w:rsidRPr="00BE1029">
        <w:rPr>
          <w:rFonts w:ascii="Garamond" w:hAnsi="Garamond" w:cs="Times New Roman"/>
          <w:color w:val="000000"/>
          <w:sz w:val="24"/>
          <w:szCs w:val="24"/>
          <w:lang w:val="sq-AL"/>
        </w:rPr>
        <w:t xml:space="preserve"> apo i ndonjë mase tjetër disiplinore</w:t>
      </w:r>
      <w:r w:rsidR="00AD4D73" w:rsidRPr="00BE1029">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e cila kishte qenë ende në fuqi në kohën e aplikimit”</w:t>
      </w:r>
      <w:r w:rsidR="00AD4D73" w:rsidRPr="00BE1029">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për një pozicion në njërin prej organeve të </w:t>
      </w:r>
      <w:r w:rsidRPr="00BE1029">
        <w:rPr>
          <w:rFonts w:ascii="Garamond" w:hAnsi="Garamond" w:cs="Times New Roman"/>
          <w:i/>
          <w:iCs/>
          <w:color w:val="000000"/>
          <w:sz w:val="24"/>
          <w:szCs w:val="24"/>
          <w:lang w:val="sq-AL"/>
        </w:rPr>
        <w:t>vetting</w:t>
      </w:r>
      <w:r w:rsidRPr="00BE1029">
        <w:rPr>
          <w:rFonts w:ascii="Garamond" w:hAnsi="Garamond" w:cs="Times New Roman"/>
          <w:color w:val="000000"/>
          <w:sz w:val="24"/>
          <w:szCs w:val="24"/>
          <w:lang w:val="sq-AL"/>
        </w:rPr>
        <w:t xml:space="preserve">-ut, sipas parashikimit në </w:t>
      </w:r>
      <w:r w:rsidR="00AD4D73" w:rsidRPr="00BE1029">
        <w:rPr>
          <w:rFonts w:ascii="Garamond" w:hAnsi="Garamond" w:cs="Times New Roman"/>
          <w:color w:val="000000"/>
          <w:sz w:val="24"/>
          <w:szCs w:val="24"/>
          <w:lang w:val="sq-AL"/>
        </w:rPr>
        <w:t xml:space="preserve">nenin </w:t>
      </w:r>
      <w:r w:rsidRPr="00BE1029">
        <w:rPr>
          <w:rFonts w:ascii="Garamond" w:hAnsi="Garamond" w:cs="Times New Roman"/>
          <w:color w:val="000000"/>
          <w:sz w:val="24"/>
          <w:szCs w:val="24"/>
          <w:lang w:val="sq-AL"/>
        </w:rPr>
        <w:t xml:space="preserve">6(1)(dh) të </w:t>
      </w:r>
      <w:r w:rsidR="00AD4D73" w:rsidRPr="00BE1029">
        <w:rPr>
          <w:rFonts w:ascii="Garamond" w:hAnsi="Garamond" w:cs="Times New Roman"/>
          <w:color w:val="000000"/>
          <w:sz w:val="24"/>
          <w:szCs w:val="24"/>
          <w:lang w:val="sq-AL"/>
        </w:rPr>
        <w:t xml:space="preserve">ligjit të rivlerësimit </w:t>
      </w:r>
      <w:r w:rsidRPr="00BE1029">
        <w:rPr>
          <w:rFonts w:ascii="Garamond" w:hAnsi="Garamond" w:cs="Times New Roman"/>
          <w:color w:val="000000"/>
          <w:sz w:val="24"/>
          <w:szCs w:val="24"/>
          <w:lang w:val="sq-AL"/>
        </w:rPr>
        <w:t>(shih paragrafin 50 më poshtë).</w:t>
      </w:r>
      <w:r w:rsidR="00BB6ABE" w:rsidRPr="00BE1029">
        <w:rPr>
          <w:rFonts w:ascii="Garamond" w:hAnsi="Garamond" w:cs="Times New Roman"/>
          <w:color w:val="000000"/>
          <w:sz w:val="24"/>
          <w:szCs w:val="24"/>
          <w:lang w:val="sq-AL"/>
        </w:rPr>
        <w:t xml:space="preserve"> </w:t>
      </w:r>
    </w:p>
    <w:p w14:paraId="0A523395" w14:textId="6442B962"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12. Pas një sërë komunikimesh midis Avokatit të Popullit, ONM dhe Parlamentit, në fund Avokati i Popullit paraqiti në Parlament një listë me kandidatët</w:t>
      </w:r>
      <w:r w:rsidR="00AD4D73" w:rsidRPr="00BE1029">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të cilët përmbushnin kriteret statutore të përzgjedhshmërisë. Lista përfshinte edhe L.D.</w:t>
      </w:r>
    </w:p>
    <w:p w14:paraId="0E91A4A3" w14:textId="78D4D7F2"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13. Më 2 </w:t>
      </w:r>
      <w:r w:rsidR="00AD4D73" w:rsidRPr="00BE1029">
        <w:rPr>
          <w:rFonts w:ascii="Garamond" w:hAnsi="Garamond" w:cs="Times New Roman"/>
          <w:color w:val="000000"/>
          <w:sz w:val="24"/>
          <w:szCs w:val="24"/>
          <w:lang w:val="sq-AL"/>
        </w:rPr>
        <w:t xml:space="preserve">qershor </w:t>
      </w:r>
      <w:r w:rsidRPr="00BE1029">
        <w:rPr>
          <w:rFonts w:ascii="Garamond" w:hAnsi="Garamond" w:cs="Times New Roman"/>
          <w:color w:val="000000"/>
          <w:sz w:val="24"/>
          <w:szCs w:val="24"/>
          <w:lang w:val="sq-AL"/>
        </w:rPr>
        <w:t xml:space="preserve">2017, një komision i posaçëm në Parlament zhvilloi një seancë gjatë së cilës intervistoi L.D. dhe kandidatët e tjerë për organet e </w:t>
      </w:r>
      <w:r w:rsidRPr="00BE1029">
        <w:rPr>
          <w:rFonts w:ascii="Garamond" w:hAnsi="Garamond" w:cs="Times New Roman"/>
          <w:i/>
          <w:iCs/>
          <w:color w:val="000000"/>
          <w:sz w:val="24"/>
          <w:szCs w:val="24"/>
          <w:lang w:val="sq-AL"/>
        </w:rPr>
        <w:t>vetting</w:t>
      </w:r>
      <w:r w:rsidRPr="00BE1029">
        <w:rPr>
          <w:rFonts w:ascii="Garamond" w:hAnsi="Garamond" w:cs="Times New Roman"/>
          <w:color w:val="000000"/>
          <w:sz w:val="24"/>
          <w:szCs w:val="24"/>
          <w:lang w:val="sq-AL"/>
        </w:rPr>
        <w:t>-ut. Njëri prej anëtarëve të komisionit e pyeti L.D.</w:t>
      </w:r>
      <w:r w:rsidR="00F0099A" w:rsidRPr="00BE1029">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nëse ishte shkarkuar nga detyra apo nëse ishte dorëhequr nga pozicioni i tij i mëparshëm si gjyqtar i Gjykatës së Rrethit Tiranë. L.D. u përgjigj se ishte dorëhequr. </w:t>
      </w:r>
    </w:p>
    <w:p w14:paraId="0465BBF6" w14:textId="262F48CB"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14. Me anë të vendimit nr. 82/2017, të datës 17 </w:t>
      </w:r>
      <w:r w:rsidR="00F0099A" w:rsidRPr="00BE1029">
        <w:rPr>
          <w:rFonts w:ascii="Garamond" w:hAnsi="Garamond" w:cs="Times New Roman"/>
          <w:color w:val="000000"/>
          <w:sz w:val="24"/>
          <w:szCs w:val="24"/>
          <w:lang w:val="sq-AL"/>
        </w:rPr>
        <w:t xml:space="preserve">qershor </w:t>
      </w:r>
      <w:r w:rsidRPr="00BE1029">
        <w:rPr>
          <w:rFonts w:ascii="Garamond" w:hAnsi="Garamond" w:cs="Times New Roman"/>
          <w:color w:val="000000"/>
          <w:sz w:val="24"/>
          <w:szCs w:val="24"/>
          <w:lang w:val="sq-AL"/>
        </w:rPr>
        <w:t xml:space="preserve">2017, Parlamenti konfirmoi </w:t>
      </w:r>
      <w:r w:rsidRPr="00BE1029">
        <w:rPr>
          <w:rFonts w:ascii="Garamond" w:hAnsi="Garamond" w:cs="Times New Roman"/>
          <w:i/>
          <w:iCs/>
          <w:color w:val="000000"/>
          <w:sz w:val="24"/>
          <w:szCs w:val="24"/>
          <w:lang w:val="sq-AL"/>
        </w:rPr>
        <w:t>en block</w:t>
      </w:r>
      <w:r w:rsidRPr="00BE1029">
        <w:rPr>
          <w:rFonts w:ascii="Garamond" w:hAnsi="Garamond" w:cs="Times New Roman"/>
          <w:color w:val="000000"/>
          <w:sz w:val="24"/>
          <w:szCs w:val="24"/>
          <w:lang w:val="sq-AL"/>
        </w:rPr>
        <w:t xml:space="preserve"> listën e anëtarëve të organeve të </w:t>
      </w:r>
      <w:r w:rsidRPr="00BE1029">
        <w:rPr>
          <w:rFonts w:ascii="Garamond" w:hAnsi="Garamond" w:cs="Times New Roman"/>
          <w:i/>
          <w:iCs/>
          <w:color w:val="000000"/>
          <w:sz w:val="24"/>
          <w:szCs w:val="24"/>
          <w:lang w:val="sq-AL"/>
        </w:rPr>
        <w:t>vetting</w:t>
      </w:r>
      <w:r w:rsidRPr="00BE1029">
        <w:rPr>
          <w:rFonts w:ascii="Garamond" w:hAnsi="Garamond" w:cs="Times New Roman"/>
          <w:color w:val="000000"/>
          <w:sz w:val="24"/>
          <w:szCs w:val="24"/>
          <w:lang w:val="sq-AL"/>
        </w:rPr>
        <w:t xml:space="preserve">-ut, ku L.D. emërohej si gjyqtar i KPA-së. </w:t>
      </w:r>
    </w:p>
    <w:p w14:paraId="4DE88F6D" w14:textId="1F68E291"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15. Më 17 </w:t>
      </w:r>
      <w:r w:rsidR="00F0099A" w:rsidRPr="00BE1029">
        <w:rPr>
          <w:rFonts w:ascii="Garamond" w:hAnsi="Garamond" w:cs="Times New Roman"/>
          <w:color w:val="000000"/>
          <w:sz w:val="24"/>
          <w:szCs w:val="24"/>
          <w:lang w:val="sq-AL"/>
        </w:rPr>
        <w:t xml:space="preserve">janar </w:t>
      </w:r>
      <w:r w:rsidRPr="00BE1029">
        <w:rPr>
          <w:rFonts w:ascii="Garamond" w:hAnsi="Garamond" w:cs="Times New Roman"/>
          <w:color w:val="000000"/>
          <w:sz w:val="24"/>
          <w:szCs w:val="24"/>
          <w:lang w:val="sq-AL"/>
        </w:rPr>
        <w:t>2020, teksa procedurat për rivlerësimin e ankuesit ishin në vijim përpara KPA-së (shih paragrafët 33</w:t>
      </w:r>
      <w:r w:rsidR="00F0099A" w:rsidRPr="00BE1029">
        <w:rPr>
          <w:rFonts w:ascii="Garamond" w:hAnsi="Garamond" w:cs="Times New Roman"/>
          <w:color w:val="000000"/>
          <w:sz w:val="24"/>
          <w:szCs w:val="24"/>
          <w:lang w:val="sq-AL"/>
        </w:rPr>
        <w:t>–</w:t>
      </w:r>
      <w:r w:rsidRPr="00BE1029">
        <w:rPr>
          <w:rFonts w:ascii="Garamond" w:hAnsi="Garamond" w:cs="Times New Roman"/>
          <w:color w:val="000000"/>
          <w:sz w:val="24"/>
          <w:szCs w:val="24"/>
          <w:lang w:val="sq-AL"/>
        </w:rPr>
        <w:t>34 më poshtë), kërkuesi paraqiti një padi penale në lidhje me L.D. Pad</w:t>
      </w:r>
      <w:r w:rsidR="00F0099A" w:rsidRPr="00BE1029">
        <w:rPr>
          <w:rFonts w:ascii="Garamond" w:hAnsi="Garamond" w:cs="Times New Roman"/>
          <w:color w:val="000000"/>
          <w:sz w:val="24"/>
          <w:szCs w:val="24"/>
          <w:lang w:val="sq-AL"/>
        </w:rPr>
        <w:t>ia i referohej shkarkimit të L.</w:t>
      </w:r>
      <w:r w:rsidRPr="00BE1029">
        <w:rPr>
          <w:rFonts w:ascii="Garamond" w:hAnsi="Garamond" w:cs="Times New Roman"/>
          <w:color w:val="000000"/>
          <w:sz w:val="24"/>
          <w:szCs w:val="24"/>
          <w:lang w:val="sq-AL"/>
        </w:rPr>
        <w:t>D. në vitin 1997 nga detyra si gjyqtar i Gjykatës së Rrethit Tiranë (shih paragrafin 8 më sipër), dhe pretendonte se L.D. ishte përfshirë në “falsifikim dokumentesh”</w:t>
      </w:r>
      <w:r w:rsidR="00F0099A" w:rsidRPr="00BE1029">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duke dorëzuar përpara Avokatit të Popullit një aplikim ku deklarohej se ai nuk ishte shkarkuar asnjëherë nga ndonjë detyrë (shih paragrafin 10 më sipër). Pas një vendimi të miratuar nga prokuroria, më 15 </w:t>
      </w:r>
      <w:r w:rsidR="00F0099A" w:rsidRPr="00BE1029">
        <w:rPr>
          <w:rFonts w:ascii="Garamond" w:hAnsi="Garamond" w:cs="Times New Roman"/>
          <w:color w:val="000000"/>
          <w:sz w:val="24"/>
          <w:szCs w:val="24"/>
          <w:lang w:val="sq-AL"/>
        </w:rPr>
        <w:t xml:space="preserve">korrik </w:t>
      </w:r>
      <w:r w:rsidRPr="00BE1029">
        <w:rPr>
          <w:rFonts w:ascii="Garamond" w:hAnsi="Garamond" w:cs="Times New Roman"/>
          <w:color w:val="000000"/>
          <w:sz w:val="24"/>
          <w:szCs w:val="24"/>
          <w:lang w:val="sq-AL"/>
        </w:rPr>
        <w:t xml:space="preserve">2020, ku L.D. akuzohej për falsifikim dokumentesh, më 24 </w:t>
      </w:r>
      <w:r w:rsidR="00F0099A" w:rsidRPr="00BE1029">
        <w:rPr>
          <w:rFonts w:ascii="Garamond" w:hAnsi="Garamond" w:cs="Times New Roman"/>
          <w:color w:val="000000"/>
          <w:sz w:val="24"/>
          <w:szCs w:val="24"/>
          <w:lang w:val="sq-AL"/>
        </w:rPr>
        <w:t xml:space="preserve">korrik </w:t>
      </w:r>
      <w:r w:rsidRPr="00BE1029">
        <w:rPr>
          <w:rFonts w:ascii="Garamond" w:hAnsi="Garamond" w:cs="Times New Roman"/>
          <w:color w:val="000000"/>
          <w:sz w:val="24"/>
          <w:szCs w:val="24"/>
          <w:lang w:val="sq-AL"/>
        </w:rPr>
        <w:t>2020, KPA</w:t>
      </w:r>
      <w:r w:rsidR="00F0099A" w:rsidRPr="00BE1029">
        <w:rPr>
          <w:rFonts w:ascii="Garamond" w:hAnsi="Garamond" w:cs="Times New Roman"/>
          <w:color w:val="000000"/>
          <w:sz w:val="24"/>
          <w:szCs w:val="24"/>
          <w:lang w:val="sq-AL"/>
        </w:rPr>
        <w:t>-ja</w:t>
      </w:r>
      <w:r w:rsidR="00894EC0" w:rsidRPr="00BE1029">
        <w:rPr>
          <w:rFonts w:ascii="Garamond" w:hAnsi="Garamond" w:cs="Times New Roman"/>
          <w:color w:val="000000"/>
          <w:sz w:val="24"/>
          <w:szCs w:val="24"/>
          <w:lang w:val="sq-AL"/>
        </w:rPr>
        <w:t xml:space="preserve"> vendosi ta pezullonte L.</w:t>
      </w:r>
      <w:r w:rsidRPr="00BE1029">
        <w:rPr>
          <w:rFonts w:ascii="Garamond" w:hAnsi="Garamond" w:cs="Times New Roman"/>
          <w:color w:val="000000"/>
          <w:sz w:val="24"/>
          <w:szCs w:val="24"/>
          <w:lang w:val="sq-AL"/>
        </w:rPr>
        <w:t xml:space="preserve">D. nga detyra e tij si gjyqtar i KPA-së. </w:t>
      </w:r>
    </w:p>
    <w:p w14:paraId="6DD3383D" w14:textId="2E528268"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16. Pas konfirmimit nga Gjykata e Lartë e dënimit të L.D. për veprën në fjalë (shih paragrafin 27 më poshtë), më 31 </w:t>
      </w:r>
      <w:r w:rsidR="00384962" w:rsidRPr="00BE1029">
        <w:rPr>
          <w:rFonts w:ascii="Garamond" w:hAnsi="Garamond" w:cs="Times New Roman"/>
          <w:color w:val="000000"/>
          <w:sz w:val="24"/>
          <w:szCs w:val="24"/>
          <w:lang w:val="sq-AL"/>
        </w:rPr>
        <w:t xml:space="preserve">maj </w:t>
      </w:r>
      <w:r w:rsidRPr="00BE1029">
        <w:rPr>
          <w:rFonts w:ascii="Garamond" w:hAnsi="Garamond" w:cs="Times New Roman"/>
          <w:color w:val="000000"/>
          <w:sz w:val="24"/>
          <w:szCs w:val="24"/>
          <w:lang w:val="sq-AL"/>
        </w:rPr>
        <w:t>2021, komisioni disiplinor i KPA (“Komisioni Disiplinor”) – i cili është organi me autoritetin për të marrë një vendim</w:t>
      </w:r>
      <w:r w:rsidR="00384962" w:rsidRPr="00BE1029">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në lidhje me shkeljet disiplinore të kryera nga gjyqtarët e KPA-së – shkarkoi L.D. nga detyra e tij si gjyqtar i KPA-së. Komisioni Disiplinor iu referua </w:t>
      </w:r>
      <w:r w:rsidR="00384962" w:rsidRPr="00BE1029">
        <w:rPr>
          <w:rFonts w:ascii="Garamond" w:hAnsi="Garamond" w:cs="Times New Roman"/>
          <w:color w:val="000000"/>
          <w:sz w:val="24"/>
          <w:szCs w:val="24"/>
          <w:lang w:val="sq-AL"/>
        </w:rPr>
        <w:t xml:space="preserve">nenit </w:t>
      </w:r>
      <w:r w:rsidRPr="00BE1029">
        <w:rPr>
          <w:rFonts w:ascii="Garamond" w:hAnsi="Garamond" w:cs="Times New Roman"/>
          <w:color w:val="000000"/>
          <w:sz w:val="24"/>
          <w:szCs w:val="24"/>
          <w:lang w:val="sq-AL"/>
        </w:rPr>
        <w:t xml:space="preserve">128 § 2 (b) të Kushtetutës, duke konstatuar se L.D. dënohej për një shkelje disiplinore, gjë që e bënte të papërshtatshëm për të vijuar që të mbante detyrën si gjyqtar i KPA-së. Si përgjigje ndaj argumentit të L.D. se dënimi i tij ishte në kundërshtim me ligjin, Komisioni Disiplinor theksoi se juridiksioni i tij shkonte deri në pikën ku shtrohej pyetja nëse L.D. kishte qenë dënuar apo jo, dhe se ai nuk mund të dëgjonte argumentet në lidhje me meritat e dënimit. </w:t>
      </w:r>
    </w:p>
    <w:p w14:paraId="2CA1A512" w14:textId="59879283" w:rsidR="00A43DB1" w:rsidRPr="00BE1029" w:rsidRDefault="00A43DB1" w:rsidP="00A43DB1">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BE1029">
        <w:rPr>
          <w:rFonts w:ascii="Garamond" w:hAnsi="Garamond" w:cs="Times New Roman"/>
          <w:b/>
          <w:bCs/>
          <w:color w:val="000000"/>
          <w:sz w:val="24"/>
          <w:szCs w:val="24"/>
          <w:lang w:val="sq-AL"/>
        </w:rPr>
        <w:t xml:space="preserve">C. Procesi penal ndaj L.D. </w:t>
      </w:r>
    </w:p>
    <w:p w14:paraId="39A9B668" w14:textId="19E30D90" w:rsidR="00A43DB1" w:rsidRPr="00BE1029" w:rsidRDefault="00A43DB1" w:rsidP="00A43DB1">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BE1029">
        <w:rPr>
          <w:rFonts w:ascii="Garamond" w:hAnsi="Garamond" w:cs="Times New Roman"/>
          <w:i/>
          <w:iCs/>
          <w:color w:val="000000"/>
          <w:sz w:val="24"/>
          <w:szCs w:val="24"/>
          <w:lang w:val="sq-AL"/>
        </w:rPr>
        <w:t>1. Vendimi i shkallës së parë</w:t>
      </w:r>
    </w:p>
    <w:p w14:paraId="04D3A981" w14:textId="30D76AEB"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17. Në aktakuzën e saj ndaj L.D., prokuroria parashtroi, për sa ka të bëjë me çështjen, se sipas ligjit </w:t>
      </w:r>
      <w:r w:rsidR="008A55FD" w:rsidRPr="00BE1029">
        <w:rPr>
          <w:rFonts w:ascii="Garamond" w:hAnsi="Garamond" w:cs="Times New Roman"/>
          <w:color w:val="000000"/>
          <w:sz w:val="24"/>
          <w:szCs w:val="24"/>
          <w:lang w:val="sq-AL"/>
        </w:rPr>
        <w:t>vendës</w:t>
      </w:r>
      <w:r w:rsidRPr="00BE1029">
        <w:rPr>
          <w:rFonts w:ascii="Garamond" w:hAnsi="Garamond" w:cs="Times New Roman"/>
          <w:color w:val="000000"/>
          <w:sz w:val="24"/>
          <w:szCs w:val="24"/>
          <w:lang w:val="sq-AL"/>
        </w:rPr>
        <w:t xml:space="preserve"> vetëm kandidatët të cilët nuk kishin qenë shkarkuar më herët nga detyra mund të emëroheshin si gjyqtarë të KPA-s</w:t>
      </w:r>
      <w:r w:rsidR="009D24C8" w:rsidRPr="00BE1029">
        <w:rPr>
          <w:rFonts w:ascii="Garamond" w:hAnsi="Garamond" w:cs="Times New Roman"/>
          <w:color w:val="000000"/>
          <w:sz w:val="24"/>
          <w:szCs w:val="24"/>
          <w:lang w:val="sq-AL"/>
        </w:rPr>
        <w:t>ë. Në vijim, argumentohej se L.</w:t>
      </w:r>
      <w:r w:rsidRPr="00BE1029">
        <w:rPr>
          <w:rFonts w:ascii="Garamond" w:hAnsi="Garamond" w:cs="Times New Roman"/>
          <w:color w:val="000000"/>
          <w:sz w:val="24"/>
          <w:szCs w:val="24"/>
          <w:lang w:val="sq-AL"/>
        </w:rPr>
        <w:t xml:space="preserve">D. kishte paraqitur një aplikim të falsifikuar përpara autoriteteve </w:t>
      </w:r>
      <w:r w:rsidR="008A55FD" w:rsidRPr="00BE1029">
        <w:rPr>
          <w:rFonts w:ascii="Garamond" w:hAnsi="Garamond" w:cs="Times New Roman"/>
          <w:color w:val="000000"/>
          <w:sz w:val="24"/>
          <w:szCs w:val="24"/>
          <w:lang w:val="sq-AL"/>
        </w:rPr>
        <w:t>vendës</w:t>
      </w:r>
      <w:r w:rsidRPr="00BE1029">
        <w:rPr>
          <w:rFonts w:ascii="Garamond" w:hAnsi="Garamond" w:cs="Times New Roman"/>
          <w:color w:val="000000"/>
          <w:sz w:val="24"/>
          <w:szCs w:val="24"/>
          <w:lang w:val="sq-AL"/>
        </w:rPr>
        <w:t xml:space="preserve">e, në kundërshtim me </w:t>
      </w:r>
      <w:r w:rsidR="009D24C8" w:rsidRPr="00BE1029">
        <w:rPr>
          <w:rFonts w:ascii="Garamond" w:hAnsi="Garamond" w:cs="Times New Roman"/>
          <w:color w:val="000000"/>
          <w:sz w:val="24"/>
          <w:szCs w:val="24"/>
          <w:lang w:val="sq-AL"/>
        </w:rPr>
        <w:t xml:space="preserve">nenin </w:t>
      </w:r>
      <w:r w:rsidRPr="00BE1029">
        <w:rPr>
          <w:rFonts w:ascii="Garamond" w:hAnsi="Garamond" w:cs="Times New Roman"/>
          <w:color w:val="000000"/>
          <w:sz w:val="24"/>
          <w:szCs w:val="24"/>
          <w:lang w:val="sq-AL"/>
        </w:rPr>
        <w:t xml:space="preserve">186 § 1 të Kodit Penal; falsifikimi kishte të bënte me një deklaratë me shkrim ku pohohej se ai nuk ishte shkarkuar kurrë nga ndonjë detyrë. </w:t>
      </w:r>
    </w:p>
    <w:p w14:paraId="471A641F" w14:textId="74C5A198" w:rsidR="00A43DB1" w:rsidRPr="00BE1029" w:rsidRDefault="00A43DB1" w:rsidP="00E94D5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18. L.D. e mohoi akuzën. Ai parashtroi se masa disiplinore kundër tij në vitin 1997 ishte hequr nga të dhënat e tij (ishte shuar) në mbështetje të </w:t>
      </w:r>
      <w:r w:rsidR="00E568AE" w:rsidRPr="00BE1029">
        <w:rPr>
          <w:rFonts w:ascii="Garamond" w:hAnsi="Garamond" w:cs="Times New Roman"/>
          <w:color w:val="000000"/>
          <w:sz w:val="24"/>
          <w:szCs w:val="24"/>
          <w:lang w:val="sq-AL"/>
        </w:rPr>
        <w:t xml:space="preserve">nenit </w:t>
      </w:r>
      <w:r w:rsidRPr="00BE1029">
        <w:rPr>
          <w:rFonts w:ascii="Garamond" w:hAnsi="Garamond" w:cs="Times New Roman"/>
          <w:color w:val="000000"/>
          <w:sz w:val="24"/>
          <w:szCs w:val="24"/>
          <w:lang w:val="sq-AL"/>
        </w:rPr>
        <w:t xml:space="preserve">33(6) të </w:t>
      </w:r>
      <w:r w:rsidR="00E568AE" w:rsidRPr="00BE1029">
        <w:rPr>
          <w:rFonts w:ascii="Garamond" w:hAnsi="Garamond" w:cs="Times New Roman"/>
          <w:color w:val="000000"/>
          <w:sz w:val="24"/>
          <w:szCs w:val="24"/>
          <w:lang w:val="sq-AL"/>
        </w:rPr>
        <w:t xml:space="preserve">ligjit për gjyqësorin </w:t>
      </w:r>
      <w:r w:rsidRPr="00BE1029">
        <w:rPr>
          <w:rFonts w:ascii="Garamond" w:hAnsi="Garamond" w:cs="Times New Roman"/>
          <w:color w:val="000000"/>
          <w:sz w:val="24"/>
          <w:szCs w:val="24"/>
          <w:lang w:val="sq-AL"/>
        </w:rPr>
        <w:t>të vitit 2008 (</w:t>
      </w:r>
      <w:r w:rsidR="00E568AE" w:rsidRPr="00BE1029">
        <w:rPr>
          <w:rFonts w:ascii="Garamond" w:hAnsi="Garamond" w:cs="Times New Roman"/>
          <w:color w:val="000000"/>
          <w:sz w:val="24"/>
          <w:szCs w:val="24"/>
          <w:lang w:val="sq-AL"/>
        </w:rPr>
        <w:t xml:space="preserve">ligji </w:t>
      </w:r>
      <w:r w:rsidRPr="00BE1029">
        <w:rPr>
          <w:rFonts w:ascii="Garamond" w:hAnsi="Garamond" w:cs="Times New Roman"/>
          <w:color w:val="000000"/>
          <w:sz w:val="24"/>
          <w:szCs w:val="24"/>
          <w:lang w:val="sq-AL"/>
        </w:rPr>
        <w:lastRenderedPageBreak/>
        <w:t>nr. 9877/2008</w:t>
      </w:r>
      <w:r w:rsidR="00E568AE" w:rsidRPr="00BE1029">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w:t>
      </w:r>
      <w:r w:rsidR="00E568AE" w:rsidRPr="00BE1029">
        <w:rPr>
          <w:rFonts w:ascii="Garamond" w:hAnsi="Garamond" w:cs="Times New Roman"/>
          <w:color w:val="000000"/>
          <w:sz w:val="24"/>
          <w:szCs w:val="24"/>
          <w:lang w:val="sq-AL"/>
        </w:rPr>
        <w:t xml:space="preserve">“Për organizimin dhe funksionimin e pushtetit gjyqësor”, </w:t>
      </w:r>
      <w:r w:rsidRPr="00BE1029">
        <w:rPr>
          <w:rFonts w:ascii="Garamond" w:hAnsi="Garamond" w:cs="Times New Roman"/>
          <w:color w:val="000000"/>
          <w:sz w:val="24"/>
          <w:szCs w:val="24"/>
          <w:lang w:val="sq-AL"/>
        </w:rPr>
        <w:t>i ndryshuar) (shih paragrafin 55 më poshtë), i cili, sipas mendimit të tij, parashikonte se masat disiplinore</w:t>
      </w:r>
      <w:r w:rsidR="00E94D53" w:rsidRPr="00BE1029">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në lidhje me shkeljet e rënda do të hiqeshin nga të dhënat e gjyqtarit në fjalë brenda tr</w:t>
      </w:r>
      <w:r w:rsidR="00E94D53" w:rsidRPr="00BE1029">
        <w:rPr>
          <w:rFonts w:ascii="Garamond" w:hAnsi="Garamond" w:cs="Times New Roman"/>
          <w:color w:val="000000"/>
          <w:sz w:val="24"/>
          <w:szCs w:val="24"/>
          <w:lang w:val="sq-AL"/>
        </w:rPr>
        <w:t>i</w:t>
      </w:r>
      <w:r w:rsidRPr="00BE1029">
        <w:rPr>
          <w:rFonts w:ascii="Garamond" w:hAnsi="Garamond" w:cs="Times New Roman"/>
          <w:color w:val="000000"/>
          <w:sz w:val="24"/>
          <w:szCs w:val="24"/>
          <w:lang w:val="sq-AL"/>
        </w:rPr>
        <w:t xml:space="preserve"> viteve, nëse gjatë asaj periudhe nuk ishte dhënë asnjë masë tjetër disiplinore. </w:t>
      </w:r>
    </w:p>
    <w:p w14:paraId="5A7FE42F" w14:textId="12961F0F"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19. Më 1 </w:t>
      </w:r>
      <w:r w:rsidR="00E94D53" w:rsidRPr="00BE1029">
        <w:rPr>
          <w:rFonts w:ascii="Garamond" w:hAnsi="Garamond" w:cs="Times New Roman"/>
          <w:color w:val="000000"/>
          <w:sz w:val="24"/>
          <w:szCs w:val="24"/>
          <w:lang w:val="sq-AL"/>
        </w:rPr>
        <w:t xml:space="preserve">dhjetor </w:t>
      </w:r>
      <w:r w:rsidRPr="00BE1029">
        <w:rPr>
          <w:rFonts w:ascii="Garamond" w:hAnsi="Garamond" w:cs="Times New Roman"/>
          <w:color w:val="000000"/>
          <w:sz w:val="24"/>
          <w:szCs w:val="24"/>
          <w:lang w:val="sq-AL"/>
        </w:rPr>
        <w:t>2020, Gjykata e Shkallës së Parë Kundër Korrupsionit dhe Kr</w:t>
      </w:r>
      <w:r w:rsidR="00E94D53" w:rsidRPr="00BE1029">
        <w:rPr>
          <w:rFonts w:ascii="Garamond" w:hAnsi="Garamond" w:cs="Times New Roman"/>
          <w:color w:val="000000"/>
          <w:sz w:val="24"/>
          <w:szCs w:val="24"/>
          <w:lang w:val="sq-AL"/>
        </w:rPr>
        <w:t>imit të Organizuar e shpalli L.</w:t>
      </w:r>
      <w:r w:rsidRPr="00BE1029">
        <w:rPr>
          <w:rFonts w:ascii="Garamond" w:hAnsi="Garamond" w:cs="Times New Roman"/>
          <w:color w:val="000000"/>
          <w:sz w:val="24"/>
          <w:szCs w:val="24"/>
          <w:lang w:val="sq-AL"/>
        </w:rPr>
        <w:t xml:space="preserve">D. fajtor për falsifikim dokumentesh dhe e dënoi me gjashtë muaj burgim, pezulluar për dymbëdhjetë muaj. </w:t>
      </w:r>
    </w:p>
    <w:p w14:paraId="7761C0A1" w14:textId="28C3B15F"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20. Gjykata vlerësoi se në mbështetje me ligjin </w:t>
      </w:r>
      <w:r w:rsidR="008A55FD" w:rsidRPr="00BE1029">
        <w:rPr>
          <w:rFonts w:ascii="Garamond" w:hAnsi="Garamond" w:cs="Times New Roman"/>
          <w:color w:val="000000"/>
          <w:sz w:val="24"/>
          <w:szCs w:val="24"/>
          <w:lang w:val="sq-AL"/>
        </w:rPr>
        <w:t>vendës</w:t>
      </w:r>
      <w:r w:rsidRPr="00BE1029">
        <w:rPr>
          <w:rFonts w:ascii="Garamond" w:hAnsi="Garamond" w:cs="Times New Roman"/>
          <w:color w:val="000000"/>
          <w:sz w:val="24"/>
          <w:szCs w:val="24"/>
          <w:lang w:val="sq-AL"/>
        </w:rPr>
        <w:t xml:space="preserve">, një kandidat skualifikohet nga mbajtja e pozicionit si gjyqtar i KPA-së, nëse ai/ajo ka qenë subjekt i masës disiplinore të shkarkimit nga detyra, pavarësisht datës se kur është dhënë ajo masë. </w:t>
      </w:r>
    </w:p>
    <w:p w14:paraId="7C27CD5B" w14:textId="6E884EEB"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21. Në vijim, gjykata vlerësoi se në mbështetje të </w:t>
      </w:r>
      <w:r w:rsidR="00A60C26" w:rsidRPr="00BE1029">
        <w:rPr>
          <w:rFonts w:ascii="Garamond" w:hAnsi="Garamond" w:cs="Times New Roman"/>
          <w:color w:val="000000"/>
          <w:sz w:val="24"/>
          <w:szCs w:val="24"/>
          <w:lang w:val="sq-AL"/>
        </w:rPr>
        <w:t xml:space="preserve">nenit </w:t>
      </w:r>
      <w:r w:rsidRPr="00BE1029">
        <w:rPr>
          <w:rFonts w:ascii="Garamond" w:hAnsi="Garamond" w:cs="Times New Roman"/>
          <w:color w:val="000000"/>
          <w:sz w:val="24"/>
          <w:szCs w:val="24"/>
          <w:lang w:val="sq-AL"/>
        </w:rPr>
        <w:t xml:space="preserve">6(1) (dh) të </w:t>
      </w:r>
      <w:r w:rsidR="00A60C26" w:rsidRPr="00BE1029">
        <w:rPr>
          <w:rFonts w:ascii="Garamond" w:hAnsi="Garamond" w:cs="Times New Roman"/>
          <w:color w:val="000000"/>
          <w:sz w:val="24"/>
          <w:szCs w:val="24"/>
          <w:lang w:val="sq-AL"/>
        </w:rPr>
        <w:t>ligjit për rivlerësimin</w:t>
      </w:r>
      <w:r w:rsidRPr="00BE1029">
        <w:rPr>
          <w:rFonts w:ascii="Garamond" w:hAnsi="Garamond" w:cs="Times New Roman"/>
          <w:color w:val="000000"/>
          <w:sz w:val="24"/>
          <w:szCs w:val="24"/>
          <w:lang w:val="sq-AL"/>
        </w:rPr>
        <w:t xml:space="preserve">, nëse një kandidat kishte qenë subjekt i masës disiplinore të shkarkimit nga detyra, kjo nënkuptonte se kandidati nuk përmbushte kushtet statutore për emërimin në pozicionin si gjyqtar i KPA-së. </w:t>
      </w:r>
    </w:p>
    <w:p w14:paraId="1DFE196B" w14:textId="3C836638" w:rsidR="00A43DB1" w:rsidRPr="00BE1029" w:rsidRDefault="00A43DB1" w:rsidP="00A60C2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22. Si përgjigje ndaj argumentit të L.D.</w:t>
      </w:r>
      <w:r w:rsidR="00A60C26" w:rsidRPr="00BE1029">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se masa kundër tij ishte hequr nga të dhënat e tij, gjykata vlerësoi se </w:t>
      </w:r>
      <w:r w:rsidR="00453AE5" w:rsidRPr="00BE1029">
        <w:rPr>
          <w:rFonts w:ascii="Garamond" w:hAnsi="Garamond" w:cs="Times New Roman"/>
          <w:color w:val="000000"/>
          <w:sz w:val="24"/>
          <w:szCs w:val="24"/>
          <w:lang w:val="sq-AL"/>
        </w:rPr>
        <w:t xml:space="preserve">neni </w:t>
      </w:r>
      <w:r w:rsidRPr="00BE1029">
        <w:rPr>
          <w:rFonts w:ascii="Garamond" w:hAnsi="Garamond" w:cs="Times New Roman"/>
          <w:color w:val="000000"/>
          <w:sz w:val="24"/>
          <w:szCs w:val="24"/>
          <w:lang w:val="sq-AL"/>
        </w:rPr>
        <w:t xml:space="preserve">32(1) i vitit 2008 i </w:t>
      </w:r>
      <w:r w:rsidR="00A60C26" w:rsidRPr="00BE1029">
        <w:rPr>
          <w:rFonts w:ascii="Garamond" w:hAnsi="Garamond" w:cs="Times New Roman"/>
          <w:color w:val="000000"/>
          <w:sz w:val="24"/>
          <w:szCs w:val="24"/>
          <w:lang w:val="sq-AL"/>
        </w:rPr>
        <w:t>ligjit për pushtetin gjyqësor</w:t>
      </w:r>
      <w:r w:rsidRPr="00BE1029">
        <w:rPr>
          <w:rFonts w:ascii="Garamond" w:hAnsi="Garamond" w:cs="Times New Roman"/>
          <w:color w:val="000000"/>
          <w:sz w:val="24"/>
          <w:szCs w:val="24"/>
          <w:lang w:val="sq-AL"/>
        </w:rPr>
        <w:t>, parashikonte tr</w:t>
      </w:r>
      <w:r w:rsidR="00A60C26" w:rsidRPr="00BE1029">
        <w:rPr>
          <w:rFonts w:ascii="Garamond" w:hAnsi="Garamond" w:cs="Times New Roman"/>
          <w:color w:val="000000"/>
          <w:sz w:val="24"/>
          <w:szCs w:val="24"/>
          <w:lang w:val="sq-AL"/>
        </w:rPr>
        <w:t>i</w:t>
      </w:r>
      <w:r w:rsidRPr="00BE1029">
        <w:rPr>
          <w:rFonts w:ascii="Garamond" w:hAnsi="Garamond" w:cs="Times New Roman"/>
          <w:color w:val="000000"/>
          <w:sz w:val="24"/>
          <w:szCs w:val="24"/>
          <w:lang w:val="sq-AL"/>
        </w:rPr>
        <w:t xml:space="preserve"> lloje të masave disiplinore, më konkretisht: i</w:t>
      </w:r>
      <w:r w:rsidR="00453AE5" w:rsidRPr="00BE1029">
        <w:rPr>
          <w:rFonts w:ascii="Garamond" w:hAnsi="Garamond" w:cs="Times New Roman"/>
          <w:color w:val="000000"/>
          <w:sz w:val="24"/>
          <w:szCs w:val="24"/>
          <w:lang w:val="sq-AL"/>
        </w:rPr>
        <w:t xml:space="preserve">. masat më pak të rënda; </w:t>
      </w:r>
      <w:r w:rsidRPr="00BE1029">
        <w:rPr>
          <w:rFonts w:ascii="Garamond" w:hAnsi="Garamond" w:cs="Times New Roman"/>
          <w:color w:val="000000"/>
          <w:sz w:val="24"/>
          <w:szCs w:val="24"/>
          <w:lang w:val="sq-AL"/>
        </w:rPr>
        <w:t>ii</w:t>
      </w:r>
      <w:r w:rsidR="00453AE5" w:rsidRPr="00BE1029">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masat e rënda</w:t>
      </w:r>
      <w:r w:rsidR="00453AE5" w:rsidRPr="00BE1029">
        <w:rPr>
          <w:rFonts w:ascii="Garamond" w:hAnsi="Garamond" w:cs="Times New Roman"/>
          <w:color w:val="000000"/>
          <w:sz w:val="24"/>
          <w:szCs w:val="24"/>
          <w:lang w:val="sq-AL"/>
        </w:rPr>
        <w:t xml:space="preserve">; dhe </w:t>
      </w:r>
      <w:r w:rsidRPr="00BE1029">
        <w:rPr>
          <w:rFonts w:ascii="Garamond" w:hAnsi="Garamond" w:cs="Times New Roman"/>
          <w:color w:val="000000"/>
          <w:sz w:val="24"/>
          <w:szCs w:val="24"/>
          <w:lang w:val="sq-AL"/>
        </w:rPr>
        <w:t>iii</w:t>
      </w:r>
      <w:r w:rsidR="00453AE5" w:rsidRPr="00BE1029">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masat shumë të rënda. Sipas gjykatës, </w:t>
      </w:r>
      <w:r w:rsidR="00453AE5" w:rsidRPr="00BE1029">
        <w:rPr>
          <w:rFonts w:ascii="Garamond" w:hAnsi="Garamond" w:cs="Times New Roman"/>
          <w:color w:val="000000"/>
          <w:sz w:val="24"/>
          <w:szCs w:val="24"/>
          <w:lang w:val="sq-AL"/>
        </w:rPr>
        <w:t xml:space="preserve">neni </w:t>
      </w:r>
      <w:r w:rsidRPr="00BE1029">
        <w:rPr>
          <w:rFonts w:ascii="Garamond" w:hAnsi="Garamond" w:cs="Times New Roman"/>
          <w:color w:val="000000"/>
          <w:sz w:val="24"/>
          <w:szCs w:val="24"/>
          <w:lang w:val="sq-AL"/>
        </w:rPr>
        <w:t xml:space="preserve">33(6) i vitit 2008 në ligjin për </w:t>
      </w:r>
      <w:r w:rsidR="00A60C26" w:rsidRPr="00BE1029">
        <w:rPr>
          <w:rFonts w:ascii="Garamond" w:hAnsi="Garamond" w:cs="Times New Roman"/>
          <w:color w:val="000000"/>
          <w:sz w:val="24"/>
          <w:szCs w:val="24"/>
          <w:lang w:val="sq-AL"/>
        </w:rPr>
        <w:t xml:space="preserve">pushtetin gjyqësor parashikonte, </w:t>
      </w:r>
      <w:r w:rsidRPr="00BE1029">
        <w:rPr>
          <w:rFonts w:ascii="Garamond" w:hAnsi="Garamond" w:cs="Times New Roman"/>
          <w:color w:val="000000"/>
          <w:sz w:val="24"/>
          <w:szCs w:val="24"/>
          <w:lang w:val="sq-AL"/>
        </w:rPr>
        <w:t xml:space="preserve">se të gjitha masat disiplinore </w:t>
      </w:r>
      <w:r w:rsidRPr="00BE1029">
        <w:rPr>
          <w:rFonts w:ascii="Garamond" w:hAnsi="Garamond" w:cs="Times New Roman"/>
          <w:i/>
          <w:iCs/>
          <w:color w:val="000000"/>
          <w:sz w:val="24"/>
          <w:szCs w:val="24"/>
          <w:lang w:val="sq-AL"/>
        </w:rPr>
        <w:t xml:space="preserve">më pak të rënda </w:t>
      </w:r>
      <w:r w:rsidRPr="00BE1029">
        <w:rPr>
          <w:rFonts w:ascii="Garamond" w:hAnsi="Garamond" w:cs="Times New Roman"/>
          <w:color w:val="000000"/>
          <w:sz w:val="24"/>
          <w:szCs w:val="24"/>
          <w:lang w:val="sq-AL"/>
        </w:rPr>
        <w:t xml:space="preserve">dhe </w:t>
      </w:r>
      <w:r w:rsidRPr="00BE1029">
        <w:rPr>
          <w:rFonts w:ascii="Garamond" w:hAnsi="Garamond" w:cs="Times New Roman"/>
          <w:i/>
          <w:iCs/>
          <w:color w:val="000000"/>
          <w:sz w:val="24"/>
          <w:szCs w:val="24"/>
          <w:lang w:val="sq-AL"/>
        </w:rPr>
        <w:t>të rënda</w:t>
      </w:r>
      <w:r w:rsidRPr="00BE1029">
        <w:rPr>
          <w:rFonts w:ascii="Garamond" w:hAnsi="Garamond" w:cs="Times New Roman"/>
          <w:color w:val="000000"/>
          <w:sz w:val="24"/>
          <w:szCs w:val="24"/>
          <w:lang w:val="sq-AL"/>
        </w:rPr>
        <w:t xml:space="preserve"> do të fshiheshin nga të dhënat pas përfundimit të afateve kohore përkatëse; megjithatë, neni nuk parashikonte fshirjen e masave disiplinore </w:t>
      </w:r>
      <w:r w:rsidRPr="00BE1029">
        <w:rPr>
          <w:rFonts w:ascii="Garamond" w:hAnsi="Garamond" w:cs="Times New Roman"/>
          <w:i/>
          <w:iCs/>
          <w:color w:val="000000"/>
          <w:sz w:val="24"/>
          <w:szCs w:val="24"/>
          <w:lang w:val="sq-AL"/>
        </w:rPr>
        <w:t>shumë të rënda</w:t>
      </w:r>
      <w:r w:rsidRPr="00BE1029">
        <w:rPr>
          <w:rFonts w:ascii="Garamond" w:hAnsi="Garamond" w:cs="Times New Roman"/>
          <w:color w:val="000000"/>
          <w:sz w:val="24"/>
          <w:szCs w:val="24"/>
          <w:lang w:val="sq-AL"/>
        </w:rPr>
        <w:t xml:space="preserve">, të tilla si shkarkimi nga detyra. Gjithashtu, gjykata citonte </w:t>
      </w:r>
      <w:r w:rsidR="00453AE5" w:rsidRPr="00BE1029">
        <w:rPr>
          <w:rFonts w:ascii="Garamond" w:hAnsi="Garamond" w:cs="Times New Roman"/>
          <w:color w:val="000000"/>
          <w:sz w:val="24"/>
          <w:szCs w:val="24"/>
          <w:lang w:val="sq-AL"/>
        </w:rPr>
        <w:t xml:space="preserve">nenin </w:t>
      </w:r>
      <w:r w:rsidRPr="00BE1029">
        <w:rPr>
          <w:rFonts w:ascii="Garamond" w:hAnsi="Garamond" w:cs="Times New Roman"/>
          <w:color w:val="000000"/>
          <w:sz w:val="24"/>
          <w:szCs w:val="24"/>
          <w:lang w:val="sq-AL"/>
        </w:rPr>
        <w:t xml:space="preserve">150 § 3 të </w:t>
      </w:r>
      <w:r w:rsidR="00A60C26" w:rsidRPr="00BE1029">
        <w:rPr>
          <w:rFonts w:ascii="Garamond" w:hAnsi="Garamond" w:cs="Times New Roman"/>
          <w:color w:val="000000"/>
          <w:sz w:val="24"/>
          <w:szCs w:val="24"/>
          <w:lang w:val="sq-AL"/>
        </w:rPr>
        <w:t xml:space="preserve">ligjit për statusin </w:t>
      </w:r>
      <w:r w:rsidRPr="00BE1029">
        <w:rPr>
          <w:rFonts w:ascii="Garamond" w:hAnsi="Garamond" w:cs="Times New Roman"/>
          <w:color w:val="000000"/>
          <w:sz w:val="24"/>
          <w:szCs w:val="24"/>
          <w:lang w:val="sq-AL"/>
        </w:rPr>
        <w:t>e Gjyqtarëve dhe të Prokurorëve (</w:t>
      </w:r>
      <w:r w:rsidR="00A60C26" w:rsidRPr="00BE1029">
        <w:rPr>
          <w:rFonts w:ascii="Garamond" w:hAnsi="Garamond" w:cs="Times New Roman"/>
          <w:color w:val="000000"/>
          <w:sz w:val="24"/>
          <w:szCs w:val="24"/>
          <w:lang w:val="sq-AL"/>
        </w:rPr>
        <w:t xml:space="preserve">ligji </w:t>
      </w:r>
      <w:r w:rsidRPr="00BE1029">
        <w:rPr>
          <w:rFonts w:ascii="Garamond" w:hAnsi="Garamond" w:cs="Times New Roman"/>
          <w:color w:val="000000"/>
          <w:sz w:val="24"/>
          <w:szCs w:val="24"/>
          <w:lang w:val="sq-AL"/>
        </w:rPr>
        <w:t xml:space="preserve">nr. 96/2016, i ndryshuar – shih paragrafin 54 më poshtë), i cili e trajtonte çështjen pas shfuqizimit të </w:t>
      </w:r>
      <w:r w:rsidR="00A60C26" w:rsidRPr="00BE1029">
        <w:rPr>
          <w:rFonts w:ascii="Garamond" w:hAnsi="Garamond" w:cs="Times New Roman"/>
          <w:color w:val="000000"/>
          <w:sz w:val="24"/>
          <w:szCs w:val="24"/>
          <w:lang w:val="sq-AL"/>
        </w:rPr>
        <w:t xml:space="preserve">ligjit për pushtetin gjyqësor </w:t>
      </w:r>
      <w:r w:rsidRPr="00BE1029">
        <w:rPr>
          <w:rFonts w:ascii="Garamond" w:hAnsi="Garamond" w:cs="Times New Roman"/>
          <w:color w:val="000000"/>
          <w:sz w:val="24"/>
          <w:szCs w:val="24"/>
          <w:lang w:val="sq-AL"/>
        </w:rPr>
        <w:t xml:space="preserve">të vitit 2008, duke parashikuar se masa disiplinore e shkarkimit nga detyra nuk mund të fshihej nga të dhënat e një gjyqtari. Për këtë arsye, gjykata arriti në përfundimin se masa disiplinore e vitit 1997 kundër L.D. nuk ishte fshirë nga të dhënat e tij. </w:t>
      </w:r>
    </w:p>
    <w:p w14:paraId="3821CD00" w14:textId="7E63C098"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23. Së fundmi,</w:t>
      </w:r>
      <w:r w:rsidR="00BB6ABE" w:rsidRPr="00BE1029">
        <w:rPr>
          <w:rFonts w:ascii="Garamond" w:hAnsi="Garamond" w:cs="Times New Roman"/>
          <w:color w:val="000000"/>
          <w:sz w:val="24"/>
          <w:szCs w:val="24"/>
          <w:lang w:val="sq-AL"/>
        </w:rPr>
        <w:t xml:space="preserve"> </w:t>
      </w:r>
      <w:r w:rsidRPr="00BE1029">
        <w:rPr>
          <w:rFonts w:ascii="Garamond" w:hAnsi="Garamond" w:cs="Times New Roman"/>
          <w:color w:val="000000"/>
          <w:sz w:val="24"/>
          <w:szCs w:val="24"/>
          <w:lang w:val="sq-AL"/>
        </w:rPr>
        <w:t>gjykata pohon edhe se L.D.</w:t>
      </w:r>
      <w:r w:rsidR="00BB6ABE" w:rsidRPr="00BE1029">
        <w:rPr>
          <w:rFonts w:ascii="Garamond" w:hAnsi="Garamond" w:cs="Times New Roman"/>
          <w:color w:val="000000"/>
          <w:sz w:val="24"/>
          <w:szCs w:val="24"/>
          <w:lang w:val="sq-AL"/>
        </w:rPr>
        <w:t xml:space="preserve"> </w:t>
      </w:r>
      <w:r w:rsidRPr="00BE1029">
        <w:rPr>
          <w:rFonts w:ascii="Garamond" w:hAnsi="Garamond" w:cs="Times New Roman"/>
          <w:color w:val="000000"/>
          <w:sz w:val="24"/>
          <w:szCs w:val="24"/>
          <w:lang w:val="sq-AL"/>
        </w:rPr>
        <w:t xml:space="preserve">do të ishte skualifikuar nga emërimi si gjyqtar i KPA-së, nëse shkarkimi i tij nga detyra në vitin 1997 do t’i ishte bërë i ditur autoriteteve </w:t>
      </w:r>
      <w:r w:rsidR="008A55FD" w:rsidRPr="00BE1029">
        <w:rPr>
          <w:rFonts w:ascii="Garamond" w:hAnsi="Garamond" w:cs="Times New Roman"/>
          <w:color w:val="000000"/>
          <w:sz w:val="24"/>
          <w:szCs w:val="24"/>
          <w:lang w:val="sq-AL"/>
        </w:rPr>
        <w:t>vendës</w:t>
      </w:r>
      <w:r w:rsidRPr="00BE1029">
        <w:rPr>
          <w:rFonts w:ascii="Garamond" w:hAnsi="Garamond" w:cs="Times New Roman"/>
          <w:color w:val="000000"/>
          <w:sz w:val="24"/>
          <w:szCs w:val="24"/>
          <w:lang w:val="sq-AL"/>
        </w:rPr>
        <w:t xml:space="preserve">e. </w:t>
      </w:r>
    </w:p>
    <w:p w14:paraId="5263A318" w14:textId="184600C4" w:rsidR="00A43DB1" w:rsidRPr="00BE1029" w:rsidRDefault="00A43DB1" w:rsidP="00A43DB1">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BE1029">
        <w:rPr>
          <w:rFonts w:ascii="Garamond" w:hAnsi="Garamond" w:cs="Times New Roman"/>
          <w:i/>
          <w:iCs/>
          <w:color w:val="000000"/>
          <w:sz w:val="24"/>
          <w:szCs w:val="24"/>
          <w:lang w:val="sq-AL"/>
        </w:rPr>
        <w:t>2. Vendimi i shkallës së dytë</w:t>
      </w:r>
    </w:p>
    <w:p w14:paraId="3E5A3BF5" w14:textId="2111EBA7"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24. Pas apelimit të paraqitur nga L.D., më 8 </w:t>
      </w:r>
      <w:r w:rsidR="00A60C26" w:rsidRPr="00BE1029">
        <w:rPr>
          <w:rFonts w:ascii="Garamond" w:hAnsi="Garamond" w:cs="Times New Roman"/>
          <w:color w:val="000000"/>
          <w:sz w:val="24"/>
          <w:szCs w:val="24"/>
          <w:lang w:val="sq-AL"/>
        </w:rPr>
        <w:t xml:space="preserve">mars </w:t>
      </w:r>
      <w:r w:rsidRPr="00BE1029">
        <w:rPr>
          <w:rFonts w:ascii="Garamond" w:hAnsi="Garamond" w:cs="Times New Roman"/>
          <w:color w:val="000000"/>
          <w:sz w:val="24"/>
          <w:szCs w:val="24"/>
          <w:lang w:val="sq-AL"/>
        </w:rPr>
        <w:t xml:space="preserve">2021, Gjykata e Apelit për Korrupsionin dhe Krimin e Organizuar la në fuqi vendimin e shkallës së parë, duke përsëritur në thelb të njëjtat arsye. </w:t>
      </w:r>
    </w:p>
    <w:p w14:paraId="26BAF7D4" w14:textId="478A3936"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25. Gjykata e Apelit përsëriti në veçanti</w:t>
      </w:r>
      <w:r w:rsidR="00A60C26" w:rsidRPr="00BE1029">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se: </w:t>
      </w:r>
    </w:p>
    <w:p w14:paraId="6DC240FA" w14:textId="5EBC498E"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“Përmbajt</w:t>
      </w:r>
      <w:r w:rsidR="00483C4A" w:rsidRPr="00BE1029">
        <w:rPr>
          <w:rFonts w:ascii="Garamond" w:hAnsi="Garamond" w:cs="Times New Roman"/>
          <w:color w:val="000000"/>
          <w:sz w:val="24"/>
          <w:szCs w:val="24"/>
          <w:lang w:val="sq-AL"/>
        </w:rPr>
        <w:t>ja e kërkesës [paraqitur nga L.</w:t>
      </w:r>
      <w:r w:rsidRPr="00BE1029">
        <w:rPr>
          <w:rFonts w:ascii="Garamond" w:hAnsi="Garamond" w:cs="Times New Roman"/>
          <w:color w:val="000000"/>
          <w:sz w:val="24"/>
          <w:szCs w:val="24"/>
          <w:lang w:val="sq-AL"/>
        </w:rPr>
        <w:t xml:space="preserve">D. për një pozicion në KPA] në këtë çështje është e rëndësishme dhe ka pasoja, pasi mospërmbushja e kritereve formale të parashikuara [në </w:t>
      </w:r>
      <w:r w:rsidR="00483C4A" w:rsidRPr="00BE1029">
        <w:rPr>
          <w:rFonts w:ascii="Garamond" w:hAnsi="Garamond" w:cs="Times New Roman"/>
          <w:color w:val="000000"/>
          <w:sz w:val="24"/>
          <w:szCs w:val="24"/>
          <w:lang w:val="sq-AL"/>
        </w:rPr>
        <w:t xml:space="preserve">nenin </w:t>
      </w:r>
      <w:r w:rsidRPr="00BE1029">
        <w:rPr>
          <w:rFonts w:ascii="Garamond" w:hAnsi="Garamond" w:cs="Times New Roman"/>
          <w:color w:val="000000"/>
          <w:sz w:val="24"/>
          <w:szCs w:val="24"/>
          <w:lang w:val="sq-AL"/>
        </w:rPr>
        <w:t xml:space="preserve">6(1) të </w:t>
      </w:r>
      <w:r w:rsidR="00483C4A" w:rsidRPr="00BE1029">
        <w:rPr>
          <w:rFonts w:ascii="Garamond" w:hAnsi="Garamond" w:cs="Times New Roman"/>
          <w:color w:val="000000"/>
          <w:sz w:val="24"/>
          <w:szCs w:val="24"/>
          <w:lang w:val="sq-AL"/>
        </w:rPr>
        <w:t xml:space="preserve">ligjit </w:t>
      </w:r>
      <w:r w:rsidRPr="00BE1029">
        <w:rPr>
          <w:rFonts w:ascii="Garamond" w:hAnsi="Garamond" w:cs="Times New Roman"/>
          <w:color w:val="000000"/>
          <w:sz w:val="24"/>
          <w:szCs w:val="24"/>
          <w:lang w:val="sq-AL"/>
        </w:rPr>
        <w:t xml:space="preserve">të </w:t>
      </w:r>
      <w:r w:rsidR="00483C4A" w:rsidRPr="00BE1029">
        <w:rPr>
          <w:rFonts w:ascii="Garamond" w:hAnsi="Garamond" w:cs="Times New Roman"/>
          <w:i/>
          <w:iCs/>
          <w:color w:val="000000"/>
          <w:sz w:val="24"/>
          <w:szCs w:val="24"/>
          <w:lang w:val="sq-AL"/>
        </w:rPr>
        <w:t>vetting</w:t>
      </w:r>
      <w:r w:rsidRPr="00BE1029">
        <w:rPr>
          <w:rFonts w:ascii="Garamond" w:hAnsi="Garamond" w:cs="Times New Roman"/>
          <w:color w:val="000000"/>
          <w:sz w:val="24"/>
          <w:szCs w:val="24"/>
          <w:lang w:val="sq-AL"/>
        </w:rPr>
        <w:t>-ut] çon në skualifikimin e kandidatit/aplikantit. Ky rregull demonstron rëndësinë që ligjbërësi u ka veshur këtyre kritereve, të cilat kanë lidhje me cilësitë personale që duhet të ketë një aplikues/kandidat për t’u emëruar në institucionet [që mbikëqyrin] rivlerësimin kalimtar të gjyqtarëve dhe të prokurorëve. Këto cilësi/kritere, [që] parashikohen me ligj, janë të rëndësishme kur citohen përpara një institucioni publik – veçanërisht në çështjen konkrete, ku i gjithë procesi i rivlerësimit kalimtar të gjyqtarëve dhe të prokurorëve lidhet në mënyrë të drejtpërdrejtë me besimin publik në [sistemin] e drejtësisë (që është qëllimi për krijimin e këtyre institucioneve).”</w:t>
      </w:r>
      <w:r w:rsidR="00DD4088" w:rsidRPr="00BE1029">
        <w:rPr>
          <w:rFonts w:ascii="Garamond" w:hAnsi="Garamond" w:cs="Times New Roman"/>
          <w:color w:val="000000"/>
          <w:sz w:val="24"/>
          <w:szCs w:val="24"/>
          <w:lang w:val="sq-AL"/>
        </w:rPr>
        <w:t>.</w:t>
      </w:r>
    </w:p>
    <w:p w14:paraId="5043A32A" w14:textId="1AA65EA2"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26. Gjithashtu, Gjykata e Apelit vlerësoi</w:t>
      </w:r>
      <w:r w:rsidR="00772337" w:rsidRPr="00BE1029">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se: </w:t>
      </w:r>
    </w:p>
    <w:p w14:paraId="4DD77546" w14:textId="6C7C47E0"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fakti që organet e fuqizuara me ligj për kontrollin e kandidatëve për në institucionet kalimtare të rivlerësimit të gjyqtarëve dhe të prokurorëve nuk kanë kryer kontrollet përkatëse</w:t>
      </w:r>
      <w:r w:rsidR="00C61273" w:rsidRPr="00BE1029">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në përputhje me kërkesat ligjore [...], nuk përjashton përgjegjësinë e të pandehurit, i cili, në mënyrë të qëllimshme dhe me dijeni të plotë ka paraqitur në aplikimin e tij një rrethanë false, duke fshehur [në këtë mënyrë] një kusht skualifikues lidhur me ekzistencën e një mase disiplinore për heqje/shkarkim nga detyra të vendosur ndaj tij.”</w:t>
      </w:r>
    </w:p>
    <w:p w14:paraId="62FC4CC4" w14:textId="14CBBB3A" w:rsidR="00A43DB1" w:rsidRPr="00BE1029" w:rsidRDefault="00A43DB1" w:rsidP="00A43DB1">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BE1029">
        <w:rPr>
          <w:rFonts w:ascii="Garamond" w:hAnsi="Garamond" w:cs="Times New Roman"/>
          <w:i/>
          <w:iCs/>
          <w:color w:val="000000"/>
          <w:sz w:val="24"/>
          <w:szCs w:val="24"/>
          <w:lang w:val="sq-AL"/>
        </w:rPr>
        <w:t xml:space="preserve">3. Vendimi i Gjykatës së Lartë </w:t>
      </w:r>
    </w:p>
    <w:p w14:paraId="6DEF3A17" w14:textId="5CE67DA8"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lastRenderedPageBreak/>
        <w:t xml:space="preserve">27. Më 26 </w:t>
      </w:r>
      <w:r w:rsidR="00FD6043" w:rsidRPr="00BE1029">
        <w:rPr>
          <w:rFonts w:ascii="Garamond" w:hAnsi="Garamond" w:cs="Times New Roman"/>
          <w:color w:val="000000"/>
          <w:sz w:val="24"/>
          <w:szCs w:val="24"/>
          <w:lang w:val="sq-AL"/>
        </w:rPr>
        <w:t xml:space="preserve">tetor </w:t>
      </w:r>
      <w:r w:rsidRPr="00BE1029">
        <w:rPr>
          <w:rFonts w:ascii="Garamond" w:hAnsi="Garamond" w:cs="Times New Roman"/>
          <w:color w:val="000000"/>
          <w:sz w:val="24"/>
          <w:szCs w:val="24"/>
          <w:lang w:val="sq-AL"/>
        </w:rPr>
        <w:t xml:space="preserve">2021, Gjykata e Lartë e rrëzoi si të papranueshëm apelimin e paraqitur nga L.D., dhe në thelb la në fuqi arsyetimin dhe përfundimet e gjykatave më të ulëta. </w:t>
      </w:r>
    </w:p>
    <w:p w14:paraId="0D9464B7" w14:textId="76DE4220"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28. Gjykata e Lartë vlerësoi se një shkarkim i mëparshëm nga detyra e skualifikonte një kandidat nga mbajtja e funksioneve të caktuara publike, dhe konfirmoi se masat disiplinore për shkeljet shumë të rënda nuk fshiheshin nga të dhënat e një gjyqtari me kalimin e kohës. Në vijim, gjykata konstatoi</w:t>
      </w:r>
      <w:r w:rsidR="00C61273" w:rsidRPr="00BE1029">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se:</w:t>
      </w:r>
      <w:r w:rsidR="00BB6ABE" w:rsidRPr="00BE1029">
        <w:rPr>
          <w:rFonts w:ascii="Garamond" w:hAnsi="Garamond" w:cs="Times New Roman"/>
          <w:color w:val="000000"/>
          <w:sz w:val="24"/>
          <w:szCs w:val="24"/>
          <w:lang w:val="sq-AL"/>
        </w:rPr>
        <w:t xml:space="preserve"> </w:t>
      </w:r>
    </w:p>
    <w:p w14:paraId="10E88ABD" w14:textId="5B79993A" w:rsidR="00A43DB1" w:rsidRPr="00BE1029" w:rsidRDefault="002830B3"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“69... [L.</w:t>
      </w:r>
      <w:r w:rsidR="00A43DB1" w:rsidRPr="00BE1029">
        <w:rPr>
          <w:rFonts w:ascii="Garamond" w:hAnsi="Garamond" w:cs="Times New Roman"/>
          <w:color w:val="000000"/>
          <w:sz w:val="24"/>
          <w:szCs w:val="24"/>
          <w:lang w:val="sq-AL"/>
        </w:rPr>
        <w:t xml:space="preserve">D.] ka ofruar qëllimisht informacione false në aplikimin e tij për pozicionin e gjyqtarit në Kolegjin e Posaçëm të Apelimit, pozicion për të cilin [sipas vlerësimit] u kualifikua dhe [më pas] u emërua, pikërisht për shkak të informacioneve të pavërteta që kishte paraqitur në formularin e aplikimit. Nëse kërkuesi [L.D.] do të kishte paraqitur në aplikimin e tij edhe shkarkimin e tij nga detyra në vitin 1997, ai do të kishte rrezikuar të skualifikohej sipas ligjit [që të merrej në konsideratë] për pozicionet [në organet e </w:t>
      </w:r>
      <w:r w:rsidR="00A43DB1" w:rsidRPr="00BE1029">
        <w:rPr>
          <w:rFonts w:ascii="Garamond" w:hAnsi="Garamond" w:cs="Times New Roman"/>
          <w:i/>
          <w:iCs/>
          <w:color w:val="000000"/>
          <w:sz w:val="24"/>
          <w:szCs w:val="24"/>
          <w:lang w:val="sq-AL"/>
        </w:rPr>
        <w:t>vetting</w:t>
      </w:r>
      <w:r w:rsidR="00A43DB1" w:rsidRPr="00BE1029">
        <w:rPr>
          <w:rFonts w:ascii="Garamond" w:hAnsi="Garamond" w:cs="Times New Roman"/>
          <w:color w:val="000000"/>
          <w:sz w:val="24"/>
          <w:szCs w:val="24"/>
          <w:lang w:val="sq-AL"/>
        </w:rPr>
        <w:t xml:space="preserve">-ut]. </w:t>
      </w:r>
    </w:p>
    <w:p w14:paraId="7A5C37FF" w14:textId="39FEAC57"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70. Mosverifikimi nga ana e organeve përkatëse, në mbështetje të </w:t>
      </w:r>
      <w:r w:rsidR="002830B3" w:rsidRPr="00BE1029">
        <w:rPr>
          <w:rFonts w:ascii="Garamond" w:hAnsi="Garamond" w:cs="Times New Roman"/>
          <w:color w:val="000000"/>
          <w:sz w:val="24"/>
          <w:szCs w:val="24"/>
          <w:lang w:val="sq-AL"/>
        </w:rPr>
        <w:t xml:space="preserve">ligjit </w:t>
      </w:r>
      <w:r w:rsidRPr="00BE1029">
        <w:rPr>
          <w:rFonts w:ascii="Garamond" w:hAnsi="Garamond" w:cs="Times New Roman"/>
          <w:color w:val="000000"/>
          <w:sz w:val="24"/>
          <w:szCs w:val="24"/>
          <w:lang w:val="sq-AL"/>
        </w:rPr>
        <w:t>nr. 84/2016</w:t>
      </w:r>
      <w:r w:rsidR="00F83E31" w:rsidRPr="00BE1029">
        <w:rPr>
          <w:rFonts w:ascii="Garamond" w:hAnsi="Garamond" w:cs="Times New Roman"/>
          <w:color w:val="000000"/>
          <w:sz w:val="24"/>
          <w:szCs w:val="24"/>
          <w:lang w:val="sq-AL"/>
        </w:rPr>
        <w:t xml:space="preserve"> </w:t>
      </w:r>
      <w:r w:rsidRPr="00BE1029">
        <w:rPr>
          <w:rFonts w:ascii="Garamond" w:hAnsi="Garamond" w:cs="Times New Roman"/>
          <w:color w:val="000000"/>
          <w:sz w:val="24"/>
          <w:szCs w:val="24"/>
          <w:lang w:val="sq-AL"/>
        </w:rPr>
        <w:t xml:space="preserve">... i kushteve që duhej të përmbusheshin nga kandidatët për pozicionet në organet e </w:t>
      </w:r>
      <w:r w:rsidRPr="00BE1029">
        <w:rPr>
          <w:rFonts w:ascii="Garamond" w:hAnsi="Garamond" w:cs="Times New Roman"/>
          <w:i/>
          <w:iCs/>
          <w:color w:val="000000"/>
          <w:sz w:val="24"/>
          <w:szCs w:val="24"/>
          <w:lang w:val="sq-AL"/>
        </w:rPr>
        <w:t>vetting</w:t>
      </w:r>
      <w:r w:rsidRPr="00BE1029">
        <w:rPr>
          <w:rFonts w:ascii="Garamond" w:hAnsi="Garamond" w:cs="Times New Roman"/>
          <w:color w:val="000000"/>
          <w:sz w:val="24"/>
          <w:szCs w:val="24"/>
          <w:lang w:val="sq-AL"/>
        </w:rPr>
        <w:t>-ut, nuk e përjashton kërkuesin nga përgjegjësia për deklarimin e informacioneve të pavërteta në aplikimin e tij.”</w:t>
      </w:r>
      <w:r w:rsidR="00624A83" w:rsidRPr="00BE1029">
        <w:rPr>
          <w:rFonts w:ascii="Garamond" w:hAnsi="Garamond" w:cs="Times New Roman"/>
          <w:color w:val="000000"/>
          <w:sz w:val="24"/>
          <w:szCs w:val="24"/>
          <w:lang w:val="sq-AL"/>
        </w:rPr>
        <w:t>.</w:t>
      </w:r>
    </w:p>
    <w:p w14:paraId="44E24CE4" w14:textId="7A266822"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29. Në vijim, Gjykata e Lartë deklaronte</w:t>
      </w:r>
      <w:r w:rsidR="00624A83" w:rsidRPr="00BE1029">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se: </w:t>
      </w:r>
    </w:p>
    <w:p w14:paraId="53AA9A20" w14:textId="2D9AB83B" w:rsidR="00A43DB1" w:rsidRPr="00BE1029" w:rsidRDefault="00A43DB1" w:rsidP="00671A0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“78. Është e kuptueshme se </w:t>
      </w:r>
      <w:r w:rsidR="00624A83" w:rsidRPr="00BE1029">
        <w:rPr>
          <w:rFonts w:ascii="Garamond" w:hAnsi="Garamond" w:cs="Times New Roman"/>
          <w:color w:val="000000"/>
          <w:sz w:val="24"/>
          <w:szCs w:val="24"/>
          <w:lang w:val="sq-AL"/>
        </w:rPr>
        <w:t xml:space="preserve">ligji për rivlerësimin kalimtar të gjyqtarëve dhe të prokurorëve </w:t>
      </w:r>
      <w:r w:rsidRPr="00BE1029">
        <w:rPr>
          <w:rFonts w:ascii="Garamond" w:hAnsi="Garamond" w:cs="Times New Roman"/>
          <w:color w:val="000000"/>
          <w:sz w:val="24"/>
          <w:szCs w:val="24"/>
          <w:lang w:val="sq-AL"/>
        </w:rPr>
        <w:t xml:space="preserve">... në përcaktimin e kritereve të parashikuara në </w:t>
      </w:r>
      <w:r w:rsidR="00671A09" w:rsidRPr="00BE1029">
        <w:rPr>
          <w:rFonts w:ascii="Garamond" w:hAnsi="Garamond" w:cs="Times New Roman"/>
          <w:color w:val="000000"/>
          <w:sz w:val="24"/>
          <w:szCs w:val="24"/>
          <w:lang w:val="sq-AL"/>
        </w:rPr>
        <w:t xml:space="preserve">nenin </w:t>
      </w:r>
      <w:r w:rsidRPr="00BE1029">
        <w:rPr>
          <w:rFonts w:ascii="Garamond" w:hAnsi="Garamond" w:cs="Times New Roman"/>
          <w:color w:val="000000"/>
          <w:sz w:val="24"/>
          <w:szCs w:val="24"/>
          <w:lang w:val="sq-AL"/>
        </w:rPr>
        <w:t>6, synonte të emëronte ... në institucionet e rivlerësimit [njerëz] të cilët gëzonin moral dhe integritet profesional të lartë.”</w:t>
      </w:r>
      <w:r w:rsidR="00624A83" w:rsidRPr="00BE1029">
        <w:rPr>
          <w:rFonts w:ascii="Garamond" w:hAnsi="Garamond" w:cs="Times New Roman"/>
          <w:color w:val="000000"/>
          <w:sz w:val="24"/>
          <w:szCs w:val="24"/>
          <w:lang w:val="sq-AL"/>
        </w:rPr>
        <w:t>.</w:t>
      </w:r>
    </w:p>
    <w:p w14:paraId="1B904C0C" w14:textId="7629EF29"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30. Një gjyqtar shtoi një opinion mospajtues, i cili argumentonte se aplikimi i L.D. për pozicionin e gjyqtarit në KPA ishte thjesht një dokument privat, i cili nuk mund të ishte objekt i falsifikimit; më tej ai parashtroi se, në çdo rast, mbrojtja e L.D. se ai kishte besuar se masa disiplinore ishte fshirë nga të dhënat e tij ishte e argumentueshme, dhe për këtë arsye, nga rrethanat e çështjes nuk mund të konkludohej për ndonjë qëllim kriminal. </w:t>
      </w:r>
    </w:p>
    <w:p w14:paraId="09C23BD5" w14:textId="239A6CBA"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31. Në opinionin e gjyqtarit kundërshtues, gjykatat penale nuk ishin kompetente për të bërë një përcaktim përfundimtar se shkarkimi nga detyra i L.D. në vitin 1997 e skulaifikonte atë nga mundësia që të mbante pozicionin e gjyqtarit në KPA; për më tepër, edhe nëse supozohej se shkarkimi i vitit 1997 e kishte skualifikuar L.D., emërimi i tij si gjyqtar i KPA-së ishte bërë i mundur vetëm fal mosverifikimit nga ana e Avokatit të Popullit dhe e Parlamentit</w:t>
      </w:r>
      <w:r w:rsidR="00671A09" w:rsidRPr="00BE1029">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nëse ai i kishte përmbushur kriteret përkatëse (dhe jo fal aplikimit që L.D. kishte paraqitur pranë Avokatit të Popullit). </w:t>
      </w:r>
    </w:p>
    <w:p w14:paraId="2FE60536" w14:textId="60D2DB9C"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II. PROCEDURAT E </w:t>
      </w:r>
      <w:r w:rsidRPr="00BE1029">
        <w:rPr>
          <w:rFonts w:ascii="Garamond" w:hAnsi="Garamond" w:cs="Times New Roman"/>
          <w:i/>
          <w:iCs/>
          <w:color w:val="000000"/>
          <w:sz w:val="24"/>
          <w:szCs w:val="24"/>
          <w:lang w:val="sq-AL"/>
        </w:rPr>
        <w:t>VETTING</w:t>
      </w:r>
      <w:r w:rsidRPr="00BE1029">
        <w:rPr>
          <w:rFonts w:ascii="Garamond" w:hAnsi="Garamond" w:cs="Times New Roman"/>
          <w:color w:val="000000"/>
          <w:sz w:val="24"/>
          <w:szCs w:val="24"/>
          <w:lang w:val="sq-AL"/>
        </w:rPr>
        <w:t>-UT NË LIDHJE ME KËRKUESIN</w:t>
      </w:r>
    </w:p>
    <w:p w14:paraId="35075CF9" w14:textId="717831D9" w:rsidR="00A43DB1" w:rsidRPr="00BE1029" w:rsidRDefault="00A43DB1" w:rsidP="00A43DB1">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BE1029">
        <w:rPr>
          <w:rFonts w:ascii="Garamond" w:hAnsi="Garamond" w:cs="Times New Roman"/>
          <w:b/>
          <w:bCs/>
          <w:color w:val="000000"/>
          <w:sz w:val="24"/>
          <w:szCs w:val="24"/>
          <w:lang w:val="sq-AL"/>
        </w:rPr>
        <w:t>A. Procedurat në Komisionin e Pavarur të Kualifikimit</w:t>
      </w:r>
    </w:p>
    <w:p w14:paraId="20302219" w14:textId="4426A39C"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32. Në vitin 2003, kërkuesi u emërua në detyrën e prokurorit. Me hyrjen në fuqi të </w:t>
      </w:r>
      <w:r w:rsidR="00671A09" w:rsidRPr="00BE1029">
        <w:rPr>
          <w:rFonts w:ascii="Garamond" w:hAnsi="Garamond" w:cs="Times New Roman"/>
          <w:color w:val="000000"/>
          <w:sz w:val="24"/>
          <w:szCs w:val="24"/>
          <w:lang w:val="sq-AL"/>
        </w:rPr>
        <w:t xml:space="preserve">ligjit </w:t>
      </w:r>
      <w:r w:rsidRPr="00BE1029">
        <w:rPr>
          <w:rFonts w:ascii="Garamond" w:hAnsi="Garamond" w:cs="Times New Roman"/>
          <w:color w:val="000000"/>
          <w:sz w:val="24"/>
          <w:szCs w:val="24"/>
          <w:lang w:val="sq-AL"/>
        </w:rPr>
        <w:t xml:space="preserve">të </w:t>
      </w:r>
      <w:r w:rsidR="00671A09" w:rsidRPr="00BE1029">
        <w:rPr>
          <w:rFonts w:ascii="Garamond" w:hAnsi="Garamond" w:cs="Times New Roman"/>
          <w:i/>
          <w:iCs/>
          <w:color w:val="000000"/>
          <w:sz w:val="24"/>
          <w:szCs w:val="24"/>
          <w:lang w:val="sq-AL"/>
        </w:rPr>
        <w:t>vetting</w:t>
      </w:r>
      <w:r w:rsidRPr="00BE1029">
        <w:rPr>
          <w:rFonts w:ascii="Garamond" w:hAnsi="Garamond" w:cs="Times New Roman"/>
          <w:color w:val="000000"/>
          <w:sz w:val="24"/>
          <w:szCs w:val="24"/>
          <w:lang w:val="sq-AL"/>
        </w:rPr>
        <w:t>-ut/</w:t>
      </w:r>
      <w:r w:rsidR="00671A09" w:rsidRPr="00BE1029">
        <w:rPr>
          <w:rFonts w:ascii="Garamond" w:hAnsi="Garamond" w:cs="Times New Roman"/>
          <w:color w:val="000000"/>
          <w:sz w:val="24"/>
          <w:szCs w:val="24"/>
          <w:lang w:val="sq-AL"/>
        </w:rPr>
        <w:t xml:space="preserve">rivlerësimit </w:t>
      </w:r>
      <w:r w:rsidRPr="00BE1029">
        <w:rPr>
          <w:rFonts w:ascii="Garamond" w:hAnsi="Garamond" w:cs="Times New Roman"/>
          <w:color w:val="000000"/>
          <w:sz w:val="24"/>
          <w:szCs w:val="24"/>
          <w:lang w:val="sq-AL"/>
        </w:rPr>
        <w:t>në vitin 2016 dhe pas emërimit të tij si anëtar i organit drejtues të prokurorisë (më konkretisht, Këshilli i Lartë i Prokurorisë), kërkuesi u vendos në listën e personave që do të rivlerësoheshin/v</w:t>
      </w:r>
      <w:r w:rsidR="00671A09" w:rsidRPr="00BE1029">
        <w:rPr>
          <w:rFonts w:ascii="Garamond" w:hAnsi="Garamond" w:cs="Times New Roman"/>
          <w:color w:val="000000"/>
          <w:sz w:val="24"/>
          <w:szCs w:val="24"/>
          <w:lang w:val="sq-AL"/>
        </w:rPr>
        <w:t>et</w:t>
      </w:r>
      <w:r w:rsidRPr="00BE1029">
        <w:rPr>
          <w:rFonts w:ascii="Garamond" w:hAnsi="Garamond" w:cs="Times New Roman"/>
          <w:color w:val="000000"/>
          <w:sz w:val="24"/>
          <w:szCs w:val="24"/>
          <w:lang w:val="sq-AL"/>
        </w:rPr>
        <w:t xml:space="preserve">oheshin me prioritet. </w:t>
      </w:r>
    </w:p>
    <w:p w14:paraId="7198EE1F" w14:textId="1388CEE1" w:rsidR="00A43DB1" w:rsidRPr="00BE1029" w:rsidRDefault="00A43DB1" w:rsidP="005F7E5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33. Më 27 </w:t>
      </w:r>
      <w:r w:rsidR="004257FB" w:rsidRPr="00BE1029">
        <w:rPr>
          <w:rFonts w:ascii="Garamond" w:hAnsi="Garamond" w:cs="Times New Roman"/>
          <w:color w:val="000000"/>
          <w:sz w:val="24"/>
          <w:szCs w:val="24"/>
          <w:lang w:val="sq-AL"/>
        </w:rPr>
        <w:t xml:space="preserve">nëntor </w:t>
      </w:r>
      <w:r w:rsidRPr="00BE1029">
        <w:rPr>
          <w:rFonts w:ascii="Garamond" w:hAnsi="Garamond" w:cs="Times New Roman"/>
          <w:color w:val="000000"/>
          <w:sz w:val="24"/>
          <w:szCs w:val="24"/>
          <w:lang w:val="sq-AL"/>
        </w:rPr>
        <w:t xml:space="preserve">2018, KPK-ja konfirmoi kërkuesin në detyrën e tij. KPK-ja konstatoi se kërkuesi nuk kishte fshehur pasurinë: Komisioni faktikisht, gjeti një numër pasaktësish në deklaratat e tij të përvitshme të pasurisë, dhe kërkuesi nuk mund të demonstronte burimin e ligjshëm të shumave të ndryshme që në total ishin 819,812 lekë shqiptarë (ALL – rreth 6800 euro (EUR)), që i kishte marrë gjatë një periudhe njëmbëdhjetëvjeçare; megjithatë, në gjykimin e KPK-së, përmasa e atyre shumave ishte e pamjaftueshme për të justifikuar përjashtimin e tij. Gjithashtu, KPK-ja arriti në përfundimin se kërkuesi nuk kishte pasur kontakte të papërshtatshme me individë të përfshirë në krimin e organizuar dhe se nuk ishte konstatuar asnjë çështje problematike gjatë kontrollit të figurës së tij. Së fundmi, KPK-ja konstatoi se kishte disa rrethana që vinin në pikëpyetje profesionalizmin dhe etikën e kërkuesit; megjithatë, ato rrethana nuk përbënin shkaqe të mjaftueshme për të arritur në përfundimin se kërkuesi nuk përmbushte standardet minimale profesionale ose të etikës. Në </w:t>
      </w:r>
      <w:r w:rsidRPr="00BE1029">
        <w:rPr>
          <w:rFonts w:ascii="Garamond" w:hAnsi="Garamond" w:cs="Times New Roman"/>
          <w:color w:val="000000"/>
          <w:sz w:val="24"/>
          <w:szCs w:val="24"/>
          <w:lang w:val="sq-AL"/>
        </w:rPr>
        <w:lastRenderedPageBreak/>
        <w:t xml:space="preserve">përputhje me rrethanat, KPK-ja i referoi ato çështje pranë organit përgjegjës për shkelje disiplinore, për verifikim të mëtejshëm. </w:t>
      </w:r>
    </w:p>
    <w:p w14:paraId="12F421B0" w14:textId="114C6F0E"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34. Pas apelimit nga ana e Komisionerit Publik kundër vendimit të KPK-së, çështja iu kalua KPA-së, e cila u mblodh si një trup gjykues i përbërë nga pesë gjyqtarë (duke përfshirë edhe L.D.). </w:t>
      </w:r>
    </w:p>
    <w:p w14:paraId="01680CFA" w14:textId="76F43B25" w:rsidR="00A43DB1" w:rsidRPr="00BE1029" w:rsidRDefault="00A43DB1" w:rsidP="00A43DB1">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BE1029">
        <w:rPr>
          <w:rFonts w:ascii="Garamond" w:hAnsi="Garamond" w:cs="Times New Roman"/>
          <w:b/>
          <w:bCs/>
          <w:color w:val="000000"/>
          <w:sz w:val="24"/>
          <w:szCs w:val="24"/>
          <w:lang w:val="sq-AL"/>
        </w:rPr>
        <w:t>B. Procedurat përpara KPA-së</w:t>
      </w:r>
    </w:p>
    <w:p w14:paraId="4FCA0FE2" w14:textId="4A82970A"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35. Më 17 </w:t>
      </w:r>
      <w:r w:rsidR="005F7E50" w:rsidRPr="00BE1029">
        <w:rPr>
          <w:rFonts w:ascii="Garamond" w:hAnsi="Garamond" w:cs="Times New Roman"/>
          <w:color w:val="000000"/>
          <w:sz w:val="24"/>
          <w:szCs w:val="24"/>
          <w:lang w:val="sq-AL"/>
        </w:rPr>
        <w:t xml:space="preserve">janar </w:t>
      </w:r>
      <w:r w:rsidRPr="00BE1029">
        <w:rPr>
          <w:rFonts w:ascii="Garamond" w:hAnsi="Garamond" w:cs="Times New Roman"/>
          <w:color w:val="000000"/>
          <w:sz w:val="24"/>
          <w:szCs w:val="24"/>
          <w:lang w:val="sq-AL"/>
        </w:rPr>
        <w:t>2020, kërkuesi – me pretendimin, ndër të tjera, se L.D. ishte emëruar në KPA pavarësisht faktit se nuk kishte përmbushur kërkesat statutore të përzgjedhshmërisë (shih paragrafin 8 më sipër dhe paragrafin 50 më poshtë) – paraqiti kërkesën</w:t>
      </w:r>
      <w:r w:rsidR="005F7E50" w:rsidRPr="00BE1029">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që KPA</w:t>
      </w:r>
      <w:r w:rsidR="005F7E50" w:rsidRPr="00BE1029">
        <w:rPr>
          <w:rFonts w:ascii="Garamond" w:hAnsi="Garamond" w:cs="Times New Roman"/>
          <w:color w:val="000000"/>
          <w:sz w:val="24"/>
          <w:szCs w:val="24"/>
          <w:lang w:val="sq-AL"/>
        </w:rPr>
        <w:t>-ja</w:t>
      </w:r>
      <w:r w:rsidRPr="00BE1029">
        <w:rPr>
          <w:rFonts w:ascii="Garamond" w:hAnsi="Garamond" w:cs="Times New Roman"/>
          <w:color w:val="000000"/>
          <w:sz w:val="24"/>
          <w:szCs w:val="24"/>
          <w:lang w:val="sq-AL"/>
        </w:rPr>
        <w:t xml:space="preserve"> ta ndërpriste përfundimisht mandatin e L.D. (“kërkesa e parë”). Në po të njëjtën datë, kërkuesi paraqiti një padi penale kundër L.D. me pretendimin për falsifikim dokumentesh (shih paragrafin 15 më sipër). Më 3 </w:t>
      </w:r>
      <w:r w:rsidR="00FB6A55" w:rsidRPr="00BE1029">
        <w:rPr>
          <w:rFonts w:ascii="Garamond" w:hAnsi="Garamond" w:cs="Times New Roman"/>
          <w:color w:val="000000"/>
          <w:sz w:val="24"/>
          <w:szCs w:val="24"/>
          <w:lang w:val="sq-AL"/>
        </w:rPr>
        <w:t xml:space="preserve">shkurt </w:t>
      </w:r>
      <w:r w:rsidRPr="00BE1029">
        <w:rPr>
          <w:rFonts w:ascii="Garamond" w:hAnsi="Garamond" w:cs="Times New Roman"/>
          <w:color w:val="000000"/>
          <w:sz w:val="24"/>
          <w:szCs w:val="24"/>
          <w:lang w:val="sq-AL"/>
        </w:rPr>
        <w:t>2020, kryetari i KPA-së iu përgjigj ankuesit me anë të një letre</w:t>
      </w:r>
      <w:r w:rsidR="00FB6A55" w:rsidRPr="00BE1029">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ku theksohej se KPA</w:t>
      </w:r>
      <w:r w:rsidR="00FB6A55" w:rsidRPr="00BE1029">
        <w:rPr>
          <w:rFonts w:ascii="Garamond" w:hAnsi="Garamond" w:cs="Times New Roman"/>
          <w:color w:val="000000"/>
          <w:sz w:val="24"/>
          <w:szCs w:val="24"/>
          <w:lang w:val="sq-AL"/>
        </w:rPr>
        <w:t>-ja</w:t>
      </w:r>
      <w:r w:rsidRPr="00BE1029">
        <w:rPr>
          <w:rFonts w:ascii="Garamond" w:hAnsi="Garamond" w:cs="Times New Roman"/>
          <w:color w:val="000000"/>
          <w:sz w:val="24"/>
          <w:szCs w:val="24"/>
          <w:lang w:val="sq-AL"/>
        </w:rPr>
        <w:t xml:space="preserve"> nuk kishte juridiksionin për shqyrtimin e kërkesës për sa kishte të bënte me zhvillimet që kishin ndodhur përpara emërimit të L.D. si gjyqtar i KPA (</w:t>
      </w:r>
      <w:r w:rsidRPr="00BE1029">
        <w:rPr>
          <w:rFonts w:ascii="Garamond" w:hAnsi="Garamond" w:cs="Times New Roman"/>
          <w:i/>
          <w:iCs/>
          <w:color w:val="000000"/>
          <w:sz w:val="24"/>
          <w:szCs w:val="24"/>
          <w:lang w:val="sq-AL"/>
        </w:rPr>
        <w:t>nuk ka kompetencë dhe juridiksionin për shqyrtimin e kërkesës suaj ... pasi pretendimet tuaja i përkasin periudhës përpara emërimit të [L.D.] në funksionin e anëtarit të Kolegjit</w:t>
      </w:r>
      <w:r w:rsidRPr="00BE1029">
        <w:rPr>
          <w:rFonts w:ascii="Garamond" w:hAnsi="Garamond" w:cs="Times New Roman"/>
          <w:color w:val="000000"/>
          <w:sz w:val="24"/>
          <w:szCs w:val="24"/>
          <w:lang w:val="sq-AL"/>
        </w:rPr>
        <w:t xml:space="preserve">). </w:t>
      </w:r>
    </w:p>
    <w:p w14:paraId="15D031A6" w14:textId="1C1A0583"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36. Sakaq, më 20 </w:t>
      </w:r>
      <w:r w:rsidR="00FB6A55" w:rsidRPr="00BE1029">
        <w:rPr>
          <w:rFonts w:ascii="Garamond" w:hAnsi="Garamond" w:cs="Times New Roman"/>
          <w:color w:val="000000"/>
          <w:sz w:val="24"/>
          <w:szCs w:val="24"/>
          <w:lang w:val="sq-AL"/>
        </w:rPr>
        <w:t xml:space="preserve">janar </w:t>
      </w:r>
      <w:r w:rsidRPr="00BE1029">
        <w:rPr>
          <w:rFonts w:ascii="Garamond" w:hAnsi="Garamond" w:cs="Times New Roman"/>
          <w:color w:val="000000"/>
          <w:sz w:val="24"/>
          <w:szCs w:val="24"/>
          <w:lang w:val="sq-AL"/>
        </w:rPr>
        <w:t xml:space="preserve">2020, kërkuesi paraqiti një tjetër kërkesë pranë KPA-së në mbështetje të të njëjtave fakte dhe argumente mbi të cilat ishte mbështetur edhe kërkesa e parë, ku kërkonte përjashtimin e L.D. nga trupi gjykues që do të shqyrtonte çështjen e tij (“kërkesa e dytë”). Gjithashtu, kërkuesi theksoi se si rezultat i padisë së tij kundër L.D. (shih paragrafin 15 më sipër), ky i fundit nuk do të kishte paanshmëri në dëgjimin e çështjes së kërkuesit. Më 5 </w:t>
      </w:r>
      <w:r w:rsidR="00FB6A55" w:rsidRPr="00BE1029">
        <w:rPr>
          <w:rFonts w:ascii="Garamond" w:hAnsi="Garamond" w:cs="Times New Roman"/>
          <w:color w:val="000000"/>
          <w:sz w:val="24"/>
          <w:szCs w:val="24"/>
          <w:lang w:val="sq-AL"/>
        </w:rPr>
        <w:t xml:space="preserve">shkurt </w:t>
      </w:r>
      <w:r w:rsidRPr="00BE1029">
        <w:rPr>
          <w:rFonts w:ascii="Garamond" w:hAnsi="Garamond" w:cs="Times New Roman"/>
          <w:color w:val="000000"/>
          <w:sz w:val="24"/>
          <w:szCs w:val="24"/>
          <w:lang w:val="sq-AL"/>
        </w:rPr>
        <w:t>2020, KPA</w:t>
      </w:r>
      <w:r w:rsidR="00FB6A55" w:rsidRPr="00BE1029">
        <w:rPr>
          <w:rFonts w:ascii="Garamond" w:hAnsi="Garamond" w:cs="Times New Roman"/>
          <w:color w:val="000000"/>
          <w:sz w:val="24"/>
          <w:szCs w:val="24"/>
          <w:lang w:val="sq-AL"/>
        </w:rPr>
        <w:t>-ja</w:t>
      </w:r>
      <w:r w:rsidRPr="00BE1029">
        <w:rPr>
          <w:rFonts w:ascii="Garamond" w:hAnsi="Garamond" w:cs="Times New Roman"/>
          <w:color w:val="000000"/>
          <w:sz w:val="24"/>
          <w:szCs w:val="24"/>
          <w:lang w:val="sq-AL"/>
        </w:rPr>
        <w:t>, e mbledhur si një trup tjetër gjykuese krahasuar me trupën e cila shqyrtoi meritat e procesit të rivlerësimit të kërkuesit, e rrëzoi kërkesën e dytë me të njëjtat arsye si ato të paraqitura në paragrafin e mëparshëm – më konkretisht, se KPA</w:t>
      </w:r>
      <w:r w:rsidR="007E137F" w:rsidRPr="00BE1029">
        <w:rPr>
          <w:rFonts w:ascii="Garamond" w:hAnsi="Garamond" w:cs="Times New Roman"/>
          <w:color w:val="000000"/>
          <w:sz w:val="24"/>
          <w:szCs w:val="24"/>
          <w:lang w:val="sq-AL"/>
        </w:rPr>
        <w:t>-ja</w:t>
      </w:r>
      <w:r w:rsidRPr="00BE1029">
        <w:rPr>
          <w:rFonts w:ascii="Garamond" w:hAnsi="Garamond" w:cs="Times New Roman"/>
          <w:color w:val="000000"/>
          <w:sz w:val="24"/>
          <w:szCs w:val="24"/>
          <w:lang w:val="sq-AL"/>
        </w:rPr>
        <w:t xml:space="preserve"> nuk kishte juridiksionin të shqyrtonte kërkesën për sa kishte të bënte me zhvillimet që kishin ndodhur përpara emërimit të anëtarëve të KPA-së. Gjithashtu, ajo arriti në përfundimin se padia penale e kërkuesit kundër L.D. nuk ndikonte në paanshmërinë e tij për të dëgjuar çështjen. </w:t>
      </w:r>
    </w:p>
    <w:p w14:paraId="6F0D75AF" w14:textId="5717D68C"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37. Më 7 </w:t>
      </w:r>
      <w:r w:rsidR="007E137F" w:rsidRPr="00BE1029">
        <w:rPr>
          <w:rFonts w:ascii="Garamond" w:hAnsi="Garamond" w:cs="Times New Roman"/>
          <w:color w:val="000000"/>
          <w:sz w:val="24"/>
          <w:szCs w:val="24"/>
          <w:lang w:val="sq-AL"/>
        </w:rPr>
        <w:t xml:space="preserve">shkurt </w:t>
      </w:r>
      <w:r w:rsidRPr="00BE1029">
        <w:rPr>
          <w:rFonts w:ascii="Garamond" w:hAnsi="Garamond" w:cs="Times New Roman"/>
          <w:color w:val="000000"/>
          <w:sz w:val="24"/>
          <w:szCs w:val="24"/>
          <w:lang w:val="sq-AL"/>
        </w:rPr>
        <w:t>2020, kërkuesi paraqiti një ankesë pranë Gjykatës Kushtetuese ku kër</w:t>
      </w:r>
      <w:r w:rsidR="007E137F" w:rsidRPr="00BE1029">
        <w:rPr>
          <w:rFonts w:ascii="Garamond" w:hAnsi="Garamond" w:cs="Times New Roman"/>
          <w:color w:val="000000"/>
          <w:sz w:val="24"/>
          <w:szCs w:val="24"/>
          <w:lang w:val="sq-AL"/>
        </w:rPr>
        <w:t>konte që gjykata ta shpallte jo</w:t>
      </w:r>
      <w:r w:rsidRPr="00BE1029">
        <w:rPr>
          <w:rFonts w:ascii="Garamond" w:hAnsi="Garamond" w:cs="Times New Roman"/>
          <w:color w:val="000000"/>
          <w:sz w:val="24"/>
          <w:szCs w:val="24"/>
          <w:lang w:val="sq-AL"/>
        </w:rPr>
        <w:t>kushtetues vendimin e Parlamentit</w:t>
      </w:r>
      <w:r w:rsidR="007E137F" w:rsidRPr="00BE1029">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sipas së cilit L.D. emërohej në KPA (shih paragrafin 14 më sipër), pasi L.D. nuk përmbushte kriteret përkatëse për përzgjedhjen e tij në detyrë. </w:t>
      </w:r>
    </w:p>
    <w:p w14:paraId="7268A63E" w14:textId="2A3E462D"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38. Në vijim, në një seancë dëgjimore me dyer të hapura, më 11 </w:t>
      </w:r>
      <w:r w:rsidR="007E137F" w:rsidRPr="00BE1029">
        <w:rPr>
          <w:rFonts w:ascii="Garamond" w:hAnsi="Garamond" w:cs="Times New Roman"/>
          <w:color w:val="000000"/>
          <w:sz w:val="24"/>
          <w:szCs w:val="24"/>
          <w:lang w:val="sq-AL"/>
        </w:rPr>
        <w:t xml:space="preserve">shkurt </w:t>
      </w:r>
      <w:r w:rsidRPr="00BE1029">
        <w:rPr>
          <w:rFonts w:ascii="Garamond" w:hAnsi="Garamond" w:cs="Times New Roman"/>
          <w:color w:val="000000"/>
          <w:sz w:val="24"/>
          <w:szCs w:val="24"/>
          <w:lang w:val="sq-AL"/>
        </w:rPr>
        <w:t xml:space="preserve">2020, përpara KPA-së, kërkuesi kërkoi që të ndërpriteshin procedurat e rivlerësimit ndaj tij deri në momentin kur Gjykata Kushtetuese të jepte një vendim për ankesën e tij dhe deri në momentin kur të përfundonin procedurat penale ndaj L.D. (të cilat në atë periudhë ishin në vijimësi). KPA-ja e refuzoi kërkesën. </w:t>
      </w:r>
    </w:p>
    <w:p w14:paraId="33BE997A" w14:textId="16134A48"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39. Më 27 </w:t>
      </w:r>
      <w:r w:rsidR="007E137F" w:rsidRPr="00BE1029">
        <w:rPr>
          <w:rFonts w:ascii="Garamond" w:hAnsi="Garamond" w:cs="Times New Roman"/>
          <w:color w:val="000000"/>
          <w:sz w:val="24"/>
          <w:szCs w:val="24"/>
          <w:lang w:val="sq-AL"/>
        </w:rPr>
        <w:t xml:space="preserve">shkurt </w:t>
      </w:r>
      <w:r w:rsidRPr="00BE1029">
        <w:rPr>
          <w:rFonts w:ascii="Garamond" w:hAnsi="Garamond" w:cs="Times New Roman"/>
          <w:color w:val="000000"/>
          <w:sz w:val="24"/>
          <w:szCs w:val="24"/>
          <w:lang w:val="sq-AL"/>
        </w:rPr>
        <w:t>2020, KPA-ja, pasi mori në shqyrtim parashtrimet</w:t>
      </w:r>
      <w:r w:rsidR="00BB6ABE" w:rsidRPr="00BE1029">
        <w:rPr>
          <w:rFonts w:ascii="Garamond" w:hAnsi="Garamond" w:cs="Times New Roman"/>
          <w:color w:val="000000"/>
          <w:sz w:val="24"/>
          <w:szCs w:val="24"/>
          <w:lang w:val="sq-AL"/>
        </w:rPr>
        <w:t xml:space="preserve"> </w:t>
      </w:r>
      <w:r w:rsidRPr="00BE1029">
        <w:rPr>
          <w:rFonts w:ascii="Garamond" w:hAnsi="Garamond" w:cs="Times New Roman"/>
          <w:color w:val="000000"/>
          <w:sz w:val="24"/>
          <w:szCs w:val="24"/>
          <w:lang w:val="sq-AL"/>
        </w:rPr>
        <w:t xml:space="preserve">me shkrim të palëve dhe pasi bëri një rivlerësim të ri të provave në dosjen e çështjes, e rrëzoi vendimin e KPK-së dhe e shkarkoi kërkuesin nga detyra me efekt të menjëhershëm. KPA-ja vlerësonte se, mbështetur në një “analizë financiare” të kryer prej saj, kërkuesi kishte bërë një deklaratë të pasaktë dhe të pamjaftueshme të pasurisë që i përkiste atij dhe personave të lidhur me të. Në vijim, KPA-ja konstatonte se për shkak të një marrëveshjeje tregtare të lidhur midis kërkuesit dhe një kompanie nafte, kishte pasur një konflikt interesi në pozicionin e tij si prokuror në detyrë, gjë që dëmtonte besimin e publikut në sistemin e drejtësisë. </w:t>
      </w:r>
    </w:p>
    <w:p w14:paraId="3212A806" w14:textId="2C1084BB"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40. Dy gjyqtarë dhanë një opinion dakordësues me vendimin e KPA-së, duke argumentuar se ata nuk binin dakord me peshën që i kishte dhënë shumica deklaratave të pasakta të kërkuesit</w:t>
      </w:r>
      <w:r w:rsidR="00BE1029" w:rsidRPr="00BE1029">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në lidhje me një makinë dhe një garazh që ai i kishte blerë gjatë karrierës së tij. </w:t>
      </w:r>
    </w:p>
    <w:p w14:paraId="68C71326" w14:textId="4BE3F802"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b/>
          <w:bCs/>
          <w:color w:val="000000"/>
          <w:sz w:val="24"/>
          <w:szCs w:val="24"/>
          <w:lang w:val="sq-AL"/>
        </w:rPr>
        <w:t xml:space="preserve">C. Vendimi i Gjykatës Kushtetuese </w:t>
      </w:r>
    </w:p>
    <w:p w14:paraId="200365A3" w14:textId="50BC9A2A"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41. Si përgjigje ndaj kërkesës së ankuesit (shih paragrafin 37 më sipër), Gjykata Kushtetuese miratoi vendimin nr. 62 të datës 29 prill 2020, nëpërmjet së cilit e rrëzonte si të papranueshëm kundërshtimin e kërkuesit ndaj emërimit të L.D. në KPA. </w:t>
      </w:r>
    </w:p>
    <w:p w14:paraId="3D5ED6DC" w14:textId="44434655" w:rsidR="00A43DB1" w:rsidRPr="00BE1029" w:rsidRDefault="00A43DB1" w:rsidP="00BE102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lastRenderedPageBreak/>
        <w:t xml:space="preserve">42. Për sa kishte të bënte me faktin nëse ankesa mbështetej në paragrafin </w:t>
      </w:r>
      <w:r w:rsidR="00BE1029" w:rsidRPr="00BE1029">
        <w:rPr>
          <w:rFonts w:ascii="Garamond" w:hAnsi="Garamond" w:cs="Times New Roman"/>
          <w:color w:val="000000"/>
          <w:sz w:val="24"/>
          <w:szCs w:val="24"/>
          <w:lang w:val="sq-AL"/>
        </w:rPr>
        <w:t>“</w:t>
      </w:r>
      <w:r w:rsidRPr="00BE1029">
        <w:rPr>
          <w:rFonts w:ascii="Garamond" w:hAnsi="Garamond" w:cs="Times New Roman"/>
          <w:color w:val="000000"/>
          <w:sz w:val="24"/>
          <w:szCs w:val="24"/>
          <w:lang w:val="sq-AL"/>
        </w:rPr>
        <w:t>e</w:t>
      </w:r>
      <w:r w:rsidR="00BE1029" w:rsidRPr="00BE1029">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të </w:t>
      </w:r>
      <w:r w:rsidR="00BE1029" w:rsidRPr="00BE1029">
        <w:rPr>
          <w:rFonts w:ascii="Garamond" w:hAnsi="Garamond" w:cs="Times New Roman"/>
          <w:color w:val="000000"/>
          <w:sz w:val="24"/>
          <w:szCs w:val="24"/>
          <w:lang w:val="sq-AL"/>
        </w:rPr>
        <w:t xml:space="preserve">nenit </w:t>
      </w:r>
      <w:r w:rsidRPr="00BE1029">
        <w:rPr>
          <w:rFonts w:ascii="Garamond" w:hAnsi="Garamond" w:cs="Times New Roman"/>
          <w:color w:val="000000"/>
          <w:sz w:val="24"/>
          <w:szCs w:val="24"/>
          <w:lang w:val="sq-AL"/>
        </w:rPr>
        <w:t xml:space="preserve">131 § 1 të Kushtetutës, i cili parashikonte juridiksionin e Gjykatës Kushtetuese për të verifikuar përzgjedhjen dhe emërimin e zyrtarëve në organet kushtetuese (shih paragrafin 45 më poshtë), gjykata vlerësoi se individët nuk kishin pozitën për të nisur një shqyrtim të tillë kushtetues. Në përputhje me rrethanat, ajo arriti në përfundimin se kundërshtimi i ankuesit ndaj emërimit të një anëtari të KPA-së nuk pajtohej </w:t>
      </w:r>
      <w:r w:rsidRPr="00BE1029">
        <w:rPr>
          <w:rFonts w:ascii="Garamond" w:hAnsi="Garamond" w:cs="Times New Roman"/>
          <w:i/>
          <w:iCs/>
          <w:color w:val="000000"/>
          <w:sz w:val="24"/>
          <w:szCs w:val="24"/>
          <w:lang w:val="sq-AL"/>
        </w:rPr>
        <w:t xml:space="preserve">rationae personae </w:t>
      </w:r>
      <w:r w:rsidRPr="00BE1029">
        <w:rPr>
          <w:rFonts w:ascii="Garamond" w:hAnsi="Garamond" w:cs="Times New Roman"/>
          <w:color w:val="000000"/>
          <w:sz w:val="24"/>
          <w:szCs w:val="24"/>
          <w:lang w:val="sq-AL"/>
        </w:rPr>
        <w:t xml:space="preserve">me Kushtetutën. </w:t>
      </w:r>
    </w:p>
    <w:p w14:paraId="7A659C0C" w14:textId="6ABCB6A8" w:rsidR="00A43DB1" w:rsidRPr="00BE1029" w:rsidRDefault="00A43DB1" w:rsidP="00BE102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43. Për sa kishte të bënte me ankesën e kërkuesit në mbështetje të paragrafit </w:t>
      </w:r>
      <w:r w:rsidR="00BE1029" w:rsidRPr="00BE1029">
        <w:rPr>
          <w:rFonts w:ascii="Garamond" w:hAnsi="Garamond" w:cs="Times New Roman"/>
          <w:color w:val="000000"/>
          <w:sz w:val="24"/>
          <w:szCs w:val="24"/>
          <w:lang w:val="sq-AL"/>
        </w:rPr>
        <w:t>“</w:t>
      </w:r>
      <w:r w:rsidRPr="00BE1029">
        <w:rPr>
          <w:rFonts w:ascii="Garamond" w:hAnsi="Garamond" w:cs="Times New Roman"/>
          <w:color w:val="000000"/>
          <w:sz w:val="24"/>
          <w:szCs w:val="24"/>
          <w:lang w:val="sq-AL"/>
        </w:rPr>
        <w:t>f</w:t>
      </w:r>
      <w:r w:rsidR="00BE1029" w:rsidRPr="00BE1029">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të </w:t>
      </w:r>
      <w:r w:rsidR="003F28C4" w:rsidRPr="00BE1029">
        <w:rPr>
          <w:rFonts w:ascii="Garamond" w:hAnsi="Garamond" w:cs="Times New Roman"/>
          <w:color w:val="000000"/>
          <w:sz w:val="24"/>
          <w:szCs w:val="24"/>
          <w:lang w:val="sq-AL"/>
        </w:rPr>
        <w:t xml:space="preserve">nenit </w:t>
      </w:r>
      <w:r w:rsidRPr="00BE1029">
        <w:rPr>
          <w:rFonts w:ascii="Garamond" w:hAnsi="Garamond" w:cs="Times New Roman"/>
          <w:color w:val="000000"/>
          <w:sz w:val="24"/>
          <w:szCs w:val="24"/>
          <w:lang w:val="sq-AL"/>
        </w:rPr>
        <w:t xml:space="preserve">131 § 1 të Kushtetutës (po aty) se emërimi i L.D. në KPA në shkelje të ligjit </w:t>
      </w:r>
      <w:r w:rsidR="008A55FD" w:rsidRPr="00BE1029">
        <w:rPr>
          <w:rFonts w:ascii="Garamond" w:hAnsi="Garamond" w:cs="Times New Roman"/>
          <w:color w:val="000000"/>
          <w:sz w:val="24"/>
          <w:szCs w:val="24"/>
          <w:lang w:val="sq-AL"/>
        </w:rPr>
        <w:t>vendës</w:t>
      </w:r>
      <w:r w:rsidRPr="00BE1029">
        <w:rPr>
          <w:rFonts w:ascii="Garamond" w:hAnsi="Garamond" w:cs="Times New Roman"/>
          <w:color w:val="000000"/>
          <w:sz w:val="24"/>
          <w:szCs w:val="24"/>
          <w:lang w:val="sq-AL"/>
        </w:rPr>
        <w:t xml:space="preserve"> shkelte të drejtën individuale të ankuesit për një “gjykatë të krijuar me ligj” gjatë procedurave të rivlerësimit, Gjykata Kushtetuese e rrëzoi ankesën, me arsyetimin e mëposhtëm: </w:t>
      </w:r>
    </w:p>
    <w:p w14:paraId="2720684E" w14:textId="3676A533" w:rsidR="00A43DB1" w:rsidRPr="00BE1029" w:rsidRDefault="00A43DB1" w:rsidP="00BE10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“20. Në çështjen konkrete, Kolegji [i Gjykatës Kushtetuese] vëren se ankuesi pretendon të jetë cenuar e drejta e tij për një gjykim të drejtë për shkak të një veprimi të ndërmarrë nga një autoritet publik përpara përfundimit të procedurave në KPA, dhe, për pasojë nuk ngre asnjë pretendim kundër rezultatit përfundimtar të procesit [të </w:t>
      </w:r>
      <w:r w:rsidRPr="00BE1029">
        <w:rPr>
          <w:rFonts w:ascii="Garamond" w:hAnsi="Garamond" w:cs="Times New Roman"/>
          <w:i/>
          <w:iCs/>
          <w:color w:val="000000"/>
          <w:sz w:val="24"/>
          <w:szCs w:val="24"/>
          <w:lang w:val="sq-AL"/>
        </w:rPr>
        <w:t>vetting</w:t>
      </w:r>
      <w:r w:rsidRPr="00BE1029">
        <w:rPr>
          <w:rFonts w:ascii="Garamond" w:hAnsi="Garamond" w:cs="Times New Roman"/>
          <w:color w:val="000000"/>
          <w:sz w:val="24"/>
          <w:szCs w:val="24"/>
          <w:lang w:val="sq-AL"/>
        </w:rPr>
        <w:t xml:space="preserve">-ut]. Ai ka kundërshtuar </w:t>
      </w:r>
      <w:r w:rsidR="00BE1029">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emërimin [e L.D. në KPA] dhe [ka kërkuar] pavlefshmërinë e pjesshme të vendimit të Parlamentit që caktonte L.D. si anëtar të KPA-së. </w:t>
      </w:r>
    </w:p>
    <w:p w14:paraId="214E3A33" w14:textId="77777777" w:rsidR="00A43DB1" w:rsidRPr="00BE1029" w:rsidRDefault="00A43DB1" w:rsidP="00A43DB1">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21. Gjykata Kushtetuese ka theksuar se e drejta për një gjykim të drejtë, duke përfshirë ankesat në lidhje me gjykatën e krijuar me ligj, garantohet gjatë një procesi ligjor ose gjyqësor në funksion të rezultatit përfundimtar, i cili sjell pasoja konkrete dhe të drejtpërdrejta për ankuesit si mbajtës i të drejtave kushtetuese procedurale dhe thelbësore. Kolegji vlerëson se edhe në procesin e rivlerësimit kalimtar, në procesin gjyqësor të kryer nga Kolegji i Posaçëm i Apelimit duhet të garantohen të drejtat procedurale të subjekteve të rivlerësuar, në përputhje me kompetencat që përcaktohen nga Kushtetuta dhe ligji. </w:t>
      </w:r>
    </w:p>
    <w:p w14:paraId="511B8367" w14:textId="77777777" w:rsidR="00A43DB1" w:rsidRPr="00BE1029" w:rsidRDefault="00A43DB1" w:rsidP="00A43DB1">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w:t>
      </w:r>
    </w:p>
    <w:p w14:paraId="278CEE32" w14:textId="00AC693A" w:rsidR="00A43DB1" w:rsidRPr="00BE1029" w:rsidRDefault="00A43DB1" w:rsidP="00A43DB1">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23. Për më tepër, Kolegji vëren se juridiksioni i Gjykatës Kushtetuese për shqyrtimin e ankimit individual kushtetues të kërkuesit, që lidhet me kryerjen e rivlerësimit kalimtar të tij</w:t>
      </w:r>
      <w:r w:rsidR="00BE1029">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për shkak të detyrës së prokurorit, është i kufizuar nga juridiksioni që vetë Kushtetuta, në aneksin e saj, u ka dhënë organeve të rivlerësimit. Kështu, neni 179/b, pika 2, i Kushtetutës parashikon se procesi i rivlerësimit, që realizohet nga KPK-ja dhe KPA-ja, do të kryhet mbi bazën e parimeve të procesit të rregullt ligjor, si dhe duke respektuar të drejtat themelore të subjektit të vlerësimit.</w:t>
      </w:r>
    </w:p>
    <w:p w14:paraId="649ABD98" w14:textId="3495336D" w:rsidR="00A43DB1" w:rsidRPr="00BE1029" w:rsidRDefault="00BE1029" w:rsidP="00A43DB1">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w:t>
      </w:r>
    </w:p>
    <w:p w14:paraId="1F684A5C" w14:textId="18537687" w:rsidR="00A43DB1" w:rsidRPr="00BE1029" w:rsidRDefault="00A43DB1" w:rsidP="00395588">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24. Kolegji thekson se të drejtat procedurale kushtetuese të subjekteve të rivlerësimit [</w:t>
      </w:r>
      <w:r w:rsidR="008A53CF">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duke përfshirë të drejtën për një “gjykatë të krijuar me ligj”, garantohen nga Kushtetuta, me anë të një procesi gjyqësor të kryer nga KPA</w:t>
      </w:r>
      <w:r w:rsidR="00E20086">
        <w:rPr>
          <w:rFonts w:ascii="Garamond" w:hAnsi="Garamond" w:cs="Times New Roman"/>
          <w:color w:val="000000"/>
          <w:sz w:val="24"/>
          <w:szCs w:val="24"/>
          <w:lang w:val="sq-AL"/>
        </w:rPr>
        <w:t>-ja</w:t>
      </w:r>
      <w:r w:rsidRPr="00BE1029">
        <w:rPr>
          <w:rFonts w:ascii="Garamond" w:hAnsi="Garamond" w:cs="Times New Roman"/>
          <w:color w:val="000000"/>
          <w:sz w:val="24"/>
          <w:szCs w:val="24"/>
          <w:lang w:val="sq-AL"/>
        </w:rPr>
        <w:t>, dhe më pas, me anë të mundësisë për të ushtruar të drejtën ankim në Gjykatën Evropiane të të Drejtave të Njeriut. Duke pasur parasysh pushtetin e KPA-së për të gjykuar apelimet kundër vendimeve të KPK-së, gjykata vlerëson se ky proces [apelimi] përfshin shqyrtimin e pajtueshmërisë së procedurave me Kushtetutën</w:t>
      </w:r>
      <w:r w:rsidR="00F34DF4">
        <w:rPr>
          <w:rFonts w:ascii="Garamond" w:hAnsi="Garamond" w:cs="Times New Roman"/>
          <w:color w:val="000000"/>
          <w:sz w:val="24"/>
          <w:szCs w:val="24"/>
          <w:lang w:val="sq-AL"/>
        </w:rPr>
        <w:t xml:space="preserve"> ...</w:t>
      </w:r>
      <w:r w:rsidRPr="00BE1029">
        <w:rPr>
          <w:rFonts w:ascii="Garamond" w:hAnsi="Garamond" w:cs="Times New Roman"/>
          <w:color w:val="000000"/>
          <w:sz w:val="24"/>
          <w:szCs w:val="24"/>
          <w:lang w:val="sq-AL"/>
        </w:rPr>
        <w:t>”</w:t>
      </w:r>
    </w:p>
    <w:p w14:paraId="42AE6D37" w14:textId="785A926E" w:rsidR="00A43DB1" w:rsidRPr="00BE1029" w:rsidRDefault="00A43DB1" w:rsidP="00A43DB1">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KUADRI DHE PRAKTIKA PËRKATËSE LIGJORE </w:t>
      </w:r>
    </w:p>
    <w:p w14:paraId="062B0B4B" w14:textId="3C44BE11" w:rsidR="00A43DB1" w:rsidRPr="00BE1029" w:rsidRDefault="00A43DB1" w:rsidP="00A43DB1">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I. LIGJI PËRKATËS </w:t>
      </w:r>
      <w:r w:rsidR="008A55FD" w:rsidRPr="00BE1029">
        <w:rPr>
          <w:rFonts w:ascii="Garamond" w:hAnsi="Garamond" w:cs="Times New Roman"/>
          <w:color w:val="000000"/>
          <w:sz w:val="24"/>
          <w:szCs w:val="24"/>
          <w:lang w:val="sq-AL"/>
        </w:rPr>
        <w:t>VENDËS</w:t>
      </w:r>
    </w:p>
    <w:p w14:paraId="5698C488" w14:textId="040D8C23" w:rsidR="00A43DB1" w:rsidRPr="00BE1029" w:rsidRDefault="00A43DB1" w:rsidP="00A43DB1">
      <w:pPr>
        <w:tabs>
          <w:tab w:val="left" w:pos="108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BE1029">
        <w:rPr>
          <w:rFonts w:ascii="Garamond" w:hAnsi="Garamond" w:cs="Times New Roman"/>
          <w:b/>
          <w:bCs/>
          <w:color w:val="000000"/>
          <w:sz w:val="24"/>
          <w:szCs w:val="24"/>
          <w:lang w:val="sq-AL"/>
        </w:rPr>
        <w:t xml:space="preserve">A. Kushtetuta </w:t>
      </w:r>
    </w:p>
    <w:p w14:paraId="672ED9F4" w14:textId="7588C300" w:rsidR="00A43DB1" w:rsidRPr="00BE1029" w:rsidRDefault="00A43DB1" w:rsidP="00A43DB1">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44. Pjesët e </w:t>
      </w:r>
      <w:r w:rsidR="00151F95" w:rsidRPr="00BE1029">
        <w:rPr>
          <w:rFonts w:ascii="Garamond" w:hAnsi="Garamond" w:cs="Times New Roman"/>
          <w:color w:val="000000"/>
          <w:sz w:val="24"/>
          <w:szCs w:val="24"/>
          <w:lang w:val="sq-AL"/>
        </w:rPr>
        <w:t xml:space="preserve">neneve </w:t>
      </w:r>
      <w:r w:rsidRPr="00BE1029">
        <w:rPr>
          <w:rFonts w:ascii="Garamond" w:hAnsi="Garamond" w:cs="Times New Roman"/>
          <w:color w:val="000000"/>
          <w:sz w:val="24"/>
          <w:szCs w:val="24"/>
          <w:lang w:val="sq-AL"/>
        </w:rPr>
        <w:t xml:space="preserve">127 dhe 128 të Kushtetutës, të ndryshuar në vitin 2016, të cilat kanë lidhje me çështjen konkrete, parashikojnë si më poshtë: </w:t>
      </w:r>
    </w:p>
    <w:p w14:paraId="0B6C580F" w14:textId="77777777" w:rsidR="00A43DB1" w:rsidRPr="00BE1029" w:rsidRDefault="00A43DB1" w:rsidP="00A43DB1">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567AF8EF" w14:textId="77777777" w:rsidR="00A43DB1" w:rsidRDefault="00A43DB1" w:rsidP="00A43DB1">
      <w:pPr>
        <w:tabs>
          <w:tab w:val="left" w:pos="1080"/>
        </w:tabs>
        <w:autoSpaceDE w:val="0"/>
        <w:autoSpaceDN w:val="0"/>
        <w:adjustRightInd w:val="0"/>
        <w:spacing w:after="0" w:line="240" w:lineRule="auto"/>
        <w:ind w:firstLine="284"/>
        <w:jc w:val="center"/>
        <w:rPr>
          <w:rFonts w:ascii="Garamond" w:hAnsi="Garamond" w:cs="Times New Roman"/>
          <w:color w:val="000000"/>
          <w:sz w:val="24"/>
          <w:szCs w:val="24"/>
          <w:lang w:val="sq-AL"/>
        </w:rPr>
      </w:pPr>
      <w:r w:rsidRPr="00BE1029">
        <w:rPr>
          <w:rFonts w:ascii="Garamond" w:hAnsi="Garamond" w:cs="Times New Roman"/>
          <w:color w:val="000000"/>
          <w:sz w:val="24"/>
          <w:szCs w:val="24"/>
          <w:lang w:val="sq-AL"/>
        </w:rPr>
        <w:t>“</w:t>
      </w:r>
      <w:r w:rsidRPr="00151F95">
        <w:rPr>
          <w:rFonts w:ascii="Garamond" w:hAnsi="Garamond" w:cs="Times New Roman"/>
          <w:color w:val="000000"/>
          <w:sz w:val="24"/>
          <w:szCs w:val="24"/>
          <w:lang w:val="sq-AL"/>
        </w:rPr>
        <w:t>Neni 127</w:t>
      </w:r>
    </w:p>
    <w:p w14:paraId="1AADC2E6" w14:textId="77777777" w:rsidR="00151F95" w:rsidRPr="00151F95" w:rsidRDefault="00151F95" w:rsidP="00A43DB1">
      <w:pPr>
        <w:tabs>
          <w:tab w:val="left" w:pos="1080"/>
        </w:tabs>
        <w:autoSpaceDE w:val="0"/>
        <w:autoSpaceDN w:val="0"/>
        <w:adjustRightInd w:val="0"/>
        <w:spacing w:after="0" w:line="240" w:lineRule="auto"/>
        <w:ind w:firstLine="284"/>
        <w:jc w:val="center"/>
        <w:rPr>
          <w:rFonts w:ascii="Garamond" w:hAnsi="Garamond" w:cs="Times New Roman"/>
          <w:color w:val="000000"/>
          <w:sz w:val="24"/>
          <w:szCs w:val="24"/>
          <w:lang w:val="sq-AL"/>
        </w:rPr>
      </w:pPr>
    </w:p>
    <w:p w14:paraId="46ACDF96" w14:textId="171ABA9D"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1. Mandati i gjyqtarit të Gjykatës Kushtetuese mbaron</w:t>
      </w:r>
      <w:r w:rsidR="00151F95">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kur:</w:t>
      </w:r>
    </w:p>
    <w:p w14:paraId="710A5382" w14:textId="3F9CE07D" w:rsidR="00A43DB1" w:rsidRPr="00BE1029" w:rsidRDefault="00120F70"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w:t>
      </w:r>
    </w:p>
    <w:p w14:paraId="12D0C744" w14:textId="50D53A10" w:rsidR="00A43DB1" w:rsidRPr="00BE1029" w:rsidRDefault="002177C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d)</w:t>
      </w:r>
      <w:r w:rsidR="00BB6ABE" w:rsidRPr="00BE1029">
        <w:rPr>
          <w:rFonts w:ascii="Garamond" w:hAnsi="Garamond" w:cs="Times New Roman"/>
          <w:color w:val="000000"/>
          <w:sz w:val="24"/>
          <w:szCs w:val="24"/>
          <w:lang w:val="sq-AL"/>
        </w:rPr>
        <w:t xml:space="preserve"> </w:t>
      </w:r>
      <w:r w:rsidRPr="00BE1029">
        <w:rPr>
          <w:rFonts w:ascii="Garamond" w:hAnsi="Garamond" w:cs="Times New Roman"/>
          <w:color w:val="000000"/>
          <w:sz w:val="24"/>
          <w:szCs w:val="24"/>
          <w:lang w:val="sq-AL"/>
        </w:rPr>
        <w:t>vërtetohen kushtet e</w:t>
      </w:r>
      <w:r w:rsidR="00A43DB1" w:rsidRPr="00BE1029">
        <w:rPr>
          <w:rFonts w:ascii="Garamond" w:hAnsi="Garamond" w:cs="Times New Roman"/>
          <w:color w:val="000000"/>
          <w:sz w:val="24"/>
          <w:szCs w:val="24"/>
          <w:lang w:val="sq-AL"/>
        </w:rPr>
        <w:t xml:space="preserve"> pazgjedhshmëris</w:t>
      </w:r>
      <w:r w:rsidRPr="00BE1029">
        <w:rPr>
          <w:rFonts w:ascii="Garamond" w:hAnsi="Garamond" w:cs="Times New Roman"/>
          <w:color w:val="000000"/>
          <w:sz w:val="24"/>
          <w:szCs w:val="24"/>
          <w:lang w:val="sq-AL"/>
        </w:rPr>
        <w:t xml:space="preserve">ë dhe të papajtueshmërisë në ushtrimin </w:t>
      </w:r>
      <w:r w:rsidR="00A43DB1" w:rsidRPr="00BE1029">
        <w:rPr>
          <w:rFonts w:ascii="Garamond" w:hAnsi="Garamond" w:cs="Times New Roman"/>
          <w:color w:val="000000"/>
          <w:sz w:val="24"/>
          <w:szCs w:val="24"/>
          <w:lang w:val="sq-AL"/>
        </w:rPr>
        <w:t>e funksionit;</w:t>
      </w:r>
    </w:p>
    <w:p w14:paraId="6E793DCA" w14:textId="609A82A9" w:rsidR="00A43DB1" w:rsidRPr="00BE1029" w:rsidRDefault="00DF7282"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lastRenderedPageBreak/>
        <w:t>...</w:t>
      </w:r>
    </w:p>
    <w:p w14:paraId="3C44502A" w14:textId="77777777" w:rsidR="00A43DB1" w:rsidRPr="00DF7282" w:rsidRDefault="00A43DB1" w:rsidP="00A43DB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DF7282">
        <w:rPr>
          <w:rFonts w:ascii="Garamond" w:hAnsi="Garamond" w:cs="Times New Roman"/>
          <w:color w:val="000000"/>
          <w:sz w:val="24"/>
          <w:szCs w:val="24"/>
          <w:lang w:val="sq-AL"/>
        </w:rPr>
        <w:t>Neni 128</w:t>
      </w:r>
    </w:p>
    <w:p w14:paraId="23C436BF" w14:textId="3742360E" w:rsidR="00A43DB1" w:rsidRPr="00BE1029" w:rsidRDefault="00DF7282"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w:t>
      </w:r>
    </w:p>
    <w:p w14:paraId="39750EE9" w14:textId="02208E02" w:rsidR="00A43DB1" w:rsidRPr="00BE1029" w:rsidRDefault="000C4087"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2.</w:t>
      </w:r>
      <w:r w:rsidR="00BB6ABE" w:rsidRPr="00BE1029">
        <w:rPr>
          <w:rFonts w:ascii="Garamond" w:hAnsi="Garamond" w:cs="Times New Roman"/>
          <w:color w:val="000000"/>
          <w:sz w:val="24"/>
          <w:szCs w:val="24"/>
          <w:lang w:val="sq-AL"/>
        </w:rPr>
        <w:t xml:space="preserve"> </w:t>
      </w:r>
      <w:r w:rsidRPr="00BE1029">
        <w:rPr>
          <w:rFonts w:ascii="Garamond" w:hAnsi="Garamond" w:cs="Times New Roman"/>
          <w:color w:val="000000"/>
          <w:sz w:val="24"/>
          <w:szCs w:val="24"/>
          <w:lang w:val="sq-AL"/>
        </w:rPr>
        <w:t>Procesi</w:t>
      </w:r>
      <w:r w:rsidR="00A43DB1" w:rsidRPr="00BE1029">
        <w:rPr>
          <w:rFonts w:ascii="Garamond" w:hAnsi="Garamond" w:cs="Times New Roman"/>
          <w:color w:val="000000"/>
          <w:sz w:val="24"/>
          <w:szCs w:val="24"/>
          <w:lang w:val="sq-AL"/>
        </w:rPr>
        <w:t xml:space="preserve"> di</w:t>
      </w:r>
      <w:r w:rsidRPr="00BE1029">
        <w:rPr>
          <w:rFonts w:ascii="Garamond" w:hAnsi="Garamond" w:cs="Times New Roman"/>
          <w:color w:val="000000"/>
          <w:sz w:val="24"/>
          <w:szCs w:val="24"/>
          <w:lang w:val="sq-AL"/>
        </w:rPr>
        <w:t>siplinor</w:t>
      </w:r>
      <w:r w:rsidR="00A43DB1" w:rsidRPr="00BE1029">
        <w:rPr>
          <w:rFonts w:ascii="Garamond" w:hAnsi="Garamond" w:cs="Times New Roman"/>
          <w:color w:val="000000"/>
          <w:sz w:val="24"/>
          <w:szCs w:val="24"/>
          <w:lang w:val="sq-AL"/>
        </w:rPr>
        <w:t xml:space="preserve"> nd</w:t>
      </w:r>
      <w:r w:rsidRPr="00BE1029">
        <w:rPr>
          <w:rFonts w:ascii="Garamond" w:hAnsi="Garamond" w:cs="Times New Roman"/>
          <w:color w:val="000000"/>
          <w:sz w:val="24"/>
          <w:szCs w:val="24"/>
          <w:lang w:val="sq-AL"/>
        </w:rPr>
        <w:t>aj gjyqtarit zhvillohet nga Gjykata</w:t>
      </w:r>
      <w:r w:rsidR="00BB6ABE" w:rsidRPr="00BE1029">
        <w:rPr>
          <w:rFonts w:ascii="Garamond" w:hAnsi="Garamond" w:cs="Times New Roman"/>
          <w:color w:val="000000"/>
          <w:sz w:val="24"/>
          <w:szCs w:val="24"/>
          <w:lang w:val="sq-AL"/>
        </w:rPr>
        <w:t xml:space="preserve"> </w:t>
      </w:r>
      <w:r w:rsidRPr="00BE1029">
        <w:rPr>
          <w:rFonts w:ascii="Garamond" w:hAnsi="Garamond" w:cs="Times New Roman"/>
          <w:color w:val="000000"/>
          <w:sz w:val="24"/>
          <w:szCs w:val="24"/>
          <w:lang w:val="sq-AL"/>
        </w:rPr>
        <w:t>Kushtetuese,</w:t>
      </w:r>
      <w:r w:rsidR="00BB6ABE" w:rsidRPr="00BE1029">
        <w:rPr>
          <w:rFonts w:ascii="Garamond" w:hAnsi="Garamond" w:cs="Times New Roman"/>
          <w:color w:val="000000"/>
          <w:sz w:val="24"/>
          <w:szCs w:val="24"/>
          <w:lang w:val="sq-AL"/>
        </w:rPr>
        <w:t xml:space="preserve"> </w:t>
      </w:r>
      <w:r w:rsidRPr="00BE1029">
        <w:rPr>
          <w:rFonts w:ascii="Garamond" w:hAnsi="Garamond" w:cs="Times New Roman"/>
          <w:color w:val="000000"/>
          <w:sz w:val="24"/>
          <w:szCs w:val="24"/>
          <w:lang w:val="sq-AL"/>
        </w:rPr>
        <w:t xml:space="preserve">e cila vendos për </w:t>
      </w:r>
      <w:r w:rsidR="00A43DB1" w:rsidRPr="00BE1029">
        <w:rPr>
          <w:rFonts w:ascii="Garamond" w:hAnsi="Garamond" w:cs="Times New Roman"/>
          <w:color w:val="000000"/>
          <w:sz w:val="24"/>
          <w:szCs w:val="24"/>
          <w:lang w:val="sq-AL"/>
        </w:rPr>
        <w:t>shkarkimin e tij</w:t>
      </w:r>
      <w:r w:rsidR="00DF7282">
        <w:rPr>
          <w:rFonts w:ascii="Garamond" w:hAnsi="Garamond" w:cs="Times New Roman"/>
          <w:color w:val="000000"/>
          <w:sz w:val="24"/>
          <w:szCs w:val="24"/>
          <w:lang w:val="sq-AL"/>
        </w:rPr>
        <w:t>,</w:t>
      </w:r>
      <w:r w:rsidR="00A43DB1" w:rsidRPr="00BE1029">
        <w:rPr>
          <w:rFonts w:ascii="Garamond" w:hAnsi="Garamond" w:cs="Times New Roman"/>
          <w:color w:val="000000"/>
          <w:sz w:val="24"/>
          <w:szCs w:val="24"/>
          <w:lang w:val="sq-AL"/>
        </w:rPr>
        <w:t xml:space="preserve"> kur: </w:t>
      </w:r>
    </w:p>
    <w:p w14:paraId="5AC9CC19" w14:textId="444BA418" w:rsidR="00A43DB1" w:rsidRPr="00BE1029" w:rsidRDefault="00DF7282"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 </w:t>
      </w:r>
    </w:p>
    <w:p w14:paraId="0AA7B18E" w14:textId="03B9D4CD"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 b) dënohet me vendim gjyqësor të formës së prerë për kryerjen e një krimi.”</w:t>
      </w:r>
      <w:r w:rsidR="00876D5E">
        <w:rPr>
          <w:rFonts w:ascii="Garamond" w:hAnsi="Garamond" w:cs="Times New Roman"/>
          <w:color w:val="000000"/>
          <w:sz w:val="24"/>
          <w:szCs w:val="24"/>
          <w:lang w:val="sq-AL"/>
        </w:rPr>
        <w:t>.</w:t>
      </w:r>
    </w:p>
    <w:p w14:paraId="39C73917" w14:textId="4515C347"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45. Neni 131 i Kushtetutës, ndryshuar në vitin 2015 dhe 2016, parashikon si më poshtë: </w:t>
      </w:r>
    </w:p>
    <w:p w14:paraId="56441BC4" w14:textId="23E20B29"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“Gjykata Kushtetuese vendos</w:t>
      </w:r>
      <w:r w:rsidR="0052448D">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për</w:t>
      </w:r>
    </w:p>
    <w:p w14:paraId="6529AC57" w14:textId="2A3224A8" w:rsidR="00A43DB1" w:rsidRPr="00BE1029" w:rsidRDefault="00A43DB1" w:rsidP="000C408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e) çështjet që lidhen me zgjedhshmërinë dhe papajtueshmëritë në ushtrimin e funksioneve të</w:t>
      </w:r>
      <w:r w:rsidRPr="00BE1029">
        <w:rPr>
          <w:rFonts w:ascii="Garamond" w:hAnsi="Garamond" w:cs="MS Sans Serif"/>
          <w:color w:val="000000"/>
          <w:sz w:val="24"/>
          <w:szCs w:val="24"/>
          <w:lang w:val="sq-AL"/>
        </w:rPr>
        <w:t xml:space="preserve"> </w:t>
      </w:r>
      <w:r w:rsidR="000C4087" w:rsidRPr="00BE1029">
        <w:rPr>
          <w:rFonts w:ascii="Garamond" w:hAnsi="Garamond" w:cs="Times New Roman"/>
          <w:color w:val="000000"/>
          <w:sz w:val="24"/>
          <w:szCs w:val="24"/>
          <w:lang w:val="sq-AL"/>
        </w:rPr>
        <w:t>Presidentit të Republikës,</w:t>
      </w:r>
      <w:r w:rsidR="00BB6ABE" w:rsidRPr="00BE1029">
        <w:rPr>
          <w:rFonts w:ascii="Garamond" w:hAnsi="Garamond" w:cs="Times New Roman"/>
          <w:color w:val="000000"/>
          <w:sz w:val="24"/>
          <w:szCs w:val="24"/>
          <w:lang w:val="sq-AL"/>
        </w:rPr>
        <w:t xml:space="preserve"> </w:t>
      </w:r>
      <w:r w:rsidR="000C4087" w:rsidRPr="00BE1029">
        <w:rPr>
          <w:rFonts w:ascii="Garamond" w:hAnsi="Garamond" w:cs="Times New Roman"/>
          <w:color w:val="000000"/>
          <w:sz w:val="24"/>
          <w:szCs w:val="24"/>
          <w:lang w:val="sq-AL"/>
        </w:rPr>
        <w:t>të deputetëve,</w:t>
      </w:r>
      <w:r w:rsidR="00BB6ABE" w:rsidRPr="00BE1029">
        <w:rPr>
          <w:rFonts w:ascii="Garamond" w:hAnsi="Garamond" w:cs="Times New Roman"/>
          <w:color w:val="000000"/>
          <w:sz w:val="24"/>
          <w:szCs w:val="24"/>
          <w:lang w:val="sq-AL"/>
        </w:rPr>
        <w:t xml:space="preserve"> </w:t>
      </w:r>
      <w:r w:rsidR="000C4087" w:rsidRPr="00BE1029">
        <w:rPr>
          <w:rFonts w:ascii="Garamond" w:hAnsi="Garamond" w:cs="Times New Roman"/>
          <w:color w:val="000000"/>
          <w:sz w:val="24"/>
          <w:szCs w:val="24"/>
          <w:lang w:val="sq-AL"/>
        </w:rPr>
        <w:t>të funksionarëve</w:t>
      </w:r>
      <w:r w:rsidRPr="00BE1029">
        <w:rPr>
          <w:rFonts w:ascii="Garamond" w:hAnsi="Garamond" w:cs="Times New Roman"/>
          <w:color w:val="000000"/>
          <w:sz w:val="24"/>
          <w:szCs w:val="24"/>
          <w:lang w:val="sq-AL"/>
        </w:rPr>
        <w:t xml:space="preserve"> të </w:t>
      </w:r>
      <w:r w:rsidR="000C4087" w:rsidRPr="00BE1029">
        <w:rPr>
          <w:rFonts w:ascii="Garamond" w:hAnsi="Garamond" w:cs="Times New Roman"/>
          <w:color w:val="000000"/>
          <w:sz w:val="24"/>
          <w:szCs w:val="24"/>
          <w:lang w:val="sq-AL"/>
        </w:rPr>
        <w:t>organeve të</w:t>
      </w:r>
      <w:r w:rsidRPr="00BE1029">
        <w:rPr>
          <w:rFonts w:ascii="Garamond" w:hAnsi="Garamond" w:cs="Times New Roman"/>
          <w:color w:val="000000"/>
          <w:sz w:val="24"/>
          <w:szCs w:val="24"/>
          <w:lang w:val="sq-AL"/>
        </w:rPr>
        <w:t xml:space="preserve"> parashikuara në Kushtetutë, si dhe me verifikimin e zgjedhjes së tyre.</w:t>
      </w:r>
    </w:p>
    <w:p w14:paraId="0AC5733B" w14:textId="59C6B2A8" w:rsidR="00A43DB1" w:rsidRPr="00BE1029" w:rsidRDefault="00A43DB1" w:rsidP="00BF3BE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 </w:t>
      </w:r>
      <w:r w:rsidR="00BF3BED">
        <w:rPr>
          <w:rFonts w:ascii="Garamond" w:hAnsi="Garamond" w:cs="Times New Roman"/>
          <w:color w:val="000000"/>
          <w:sz w:val="24"/>
          <w:szCs w:val="24"/>
          <w:lang w:val="sq-AL"/>
        </w:rPr>
        <w:t>...</w:t>
      </w:r>
    </w:p>
    <w:p w14:paraId="53E247F1" w14:textId="36C0AE79"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f) gjykimin përfundimtar të ankesave të individëve kundër çdo akti të pushtetit publik ose vendimi gjyqësor që cenon të drejtat dhe liritë themelore të garantuara në Kushtetutë, pasi të jenë shteruar të gjitha mjetet juridike efektive për mbrojtjen e këtyre të drejtave, përveçse kur parashikohet ndryshe në Kushtetutë.”</w:t>
      </w:r>
      <w:r w:rsidR="00BF3BED">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w:t>
      </w:r>
    </w:p>
    <w:p w14:paraId="2841DE5C" w14:textId="758F5C3D" w:rsidR="00A43DB1" w:rsidRPr="00BE1029" w:rsidRDefault="00A43DB1" w:rsidP="00BF3BE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46. Në mbështetje të </w:t>
      </w:r>
      <w:r w:rsidR="00BF3BED" w:rsidRPr="00BE1029">
        <w:rPr>
          <w:rFonts w:ascii="Garamond" w:hAnsi="Garamond" w:cs="Times New Roman"/>
          <w:color w:val="000000"/>
          <w:sz w:val="24"/>
          <w:szCs w:val="24"/>
          <w:lang w:val="sq-AL"/>
        </w:rPr>
        <w:t xml:space="preserve">nenit </w:t>
      </w:r>
      <w:r w:rsidRPr="00BE1029">
        <w:rPr>
          <w:rFonts w:ascii="Garamond" w:hAnsi="Garamond" w:cs="Times New Roman"/>
          <w:color w:val="000000"/>
          <w:sz w:val="24"/>
          <w:szCs w:val="24"/>
          <w:lang w:val="sq-AL"/>
        </w:rPr>
        <w:t>179/b § 5 të Kushtetutës, KPA u krijua si njëri prej kolegjeve të Gjykatës Kushtetuese për një periudhë të kufizuar prej nëntë v</w:t>
      </w:r>
      <w:r w:rsidR="00BF3BED">
        <w:rPr>
          <w:rFonts w:ascii="Garamond" w:hAnsi="Garamond" w:cs="Times New Roman"/>
          <w:color w:val="000000"/>
          <w:sz w:val="24"/>
          <w:szCs w:val="24"/>
          <w:lang w:val="sq-AL"/>
        </w:rPr>
        <w:t>jetë</w:t>
      </w:r>
      <w:r w:rsidRPr="00BE1029">
        <w:rPr>
          <w:rFonts w:ascii="Garamond" w:hAnsi="Garamond" w:cs="Times New Roman"/>
          <w:color w:val="000000"/>
          <w:sz w:val="24"/>
          <w:szCs w:val="24"/>
          <w:lang w:val="sq-AL"/>
        </w:rPr>
        <w:t xml:space="preserve">sh. </w:t>
      </w:r>
    </w:p>
    <w:p w14:paraId="01FC3230" w14:textId="1C7399F1"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47. Në mbështetje me </w:t>
      </w:r>
      <w:r w:rsidR="00BF3BED" w:rsidRPr="00BE1029">
        <w:rPr>
          <w:rFonts w:ascii="Garamond" w:hAnsi="Garamond" w:cs="Times New Roman"/>
          <w:color w:val="000000"/>
          <w:sz w:val="24"/>
          <w:szCs w:val="24"/>
          <w:lang w:val="sq-AL"/>
        </w:rPr>
        <w:t xml:space="preserve">nenin </w:t>
      </w:r>
      <w:r w:rsidRPr="00BE1029">
        <w:rPr>
          <w:rFonts w:ascii="Garamond" w:hAnsi="Garamond" w:cs="Times New Roman"/>
          <w:color w:val="000000"/>
          <w:sz w:val="24"/>
          <w:szCs w:val="24"/>
          <w:lang w:val="sq-AL"/>
        </w:rPr>
        <w:t xml:space="preserve">C § 3 të aneksit të Kushtetutës, gjyqtarët e KPA-së kanë statusin e gjyqtarëve të Gjykatës Kushtetuese. </w:t>
      </w:r>
    </w:p>
    <w:p w14:paraId="431E08D8" w14:textId="46D2B7E8"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48. Neni F § 8 i aneksit të Kushtetutës parashikon se subjektet e rivlerësuar kanë të drejtën të ushtrojnë ankim në Gjykatën Evropiane për të Drejtat e Njeriut. </w:t>
      </w:r>
    </w:p>
    <w:p w14:paraId="07BF9A77" w14:textId="73CE5EF6" w:rsidR="00A43DB1" w:rsidRPr="00BE1029" w:rsidRDefault="00A43DB1" w:rsidP="00A43DB1">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BE1029">
        <w:rPr>
          <w:rFonts w:ascii="Garamond" w:hAnsi="Garamond" w:cs="Times New Roman"/>
          <w:b/>
          <w:bCs/>
          <w:color w:val="000000"/>
          <w:sz w:val="24"/>
          <w:szCs w:val="24"/>
          <w:lang w:val="sq-AL"/>
        </w:rPr>
        <w:t xml:space="preserve">B. Ligji për </w:t>
      </w:r>
      <w:r w:rsidR="00BF3BED" w:rsidRPr="00BE1029">
        <w:rPr>
          <w:rFonts w:ascii="Garamond" w:hAnsi="Garamond" w:cs="Times New Roman"/>
          <w:b/>
          <w:bCs/>
          <w:color w:val="000000"/>
          <w:sz w:val="24"/>
          <w:szCs w:val="24"/>
          <w:lang w:val="sq-AL"/>
        </w:rPr>
        <w:t xml:space="preserve">rivlerësimin kalimtar të gjyqtarëve dhe prokurorëve </w:t>
      </w:r>
      <w:r w:rsidRPr="00BE1029">
        <w:rPr>
          <w:rFonts w:ascii="Garamond" w:hAnsi="Garamond" w:cs="Times New Roman"/>
          <w:b/>
          <w:bCs/>
          <w:color w:val="000000"/>
          <w:sz w:val="24"/>
          <w:szCs w:val="24"/>
          <w:lang w:val="sq-AL"/>
        </w:rPr>
        <w:t>(</w:t>
      </w:r>
      <w:r w:rsidR="00BF3BED" w:rsidRPr="00BE1029">
        <w:rPr>
          <w:rFonts w:ascii="Garamond" w:hAnsi="Garamond" w:cs="Times New Roman"/>
          <w:b/>
          <w:bCs/>
          <w:color w:val="000000"/>
          <w:sz w:val="24"/>
          <w:szCs w:val="24"/>
          <w:lang w:val="sq-AL"/>
        </w:rPr>
        <w:t xml:space="preserve">ligji </w:t>
      </w:r>
      <w:r w:rsidRPr="00BE1029">
        <w:rPr>
          <w:rFonts w:ascii="Garamond" w:hAnsi="Garamond" w:cs="Times New Roman"/>
          <w:b/>
          <w:bCs/>
          <w:color w:val="000000"/>
          <w:sz w:val="24"/>
          <w:szCs w:val="24"/>
          <w:lang w:val="sq-AL"/>
        </w:rPr>
        <w:t xml:space="preserve">nr. 84/2016 – “Ligji i </w:t>
      </w:r>
      <w:r w:rsidR="00BF3BED" w:rsidRPr="00BE1029">
        <w:rPr>
          <w:rFonts w:ascii="Garamond" w:hAnsi="Garamond" w:cs="Times New Roman"/>
          <w:b/>
          <w:bCs/>
          <w:color w:val="000000"/>
          <w:sz w:val="24"/>
          <w:szCs w:val="24"/>
          <w:lang w:val="sq-AL"/>
        </w:rPr>
        <w:t>rivlerësimit</w:t>
      </w:r>
      <w:r w:rsidRPr="00BE1029">
        <w:rPr>
          <w:rFonts w:ascii="Garamond" w:hAnsi="Garamond" w:cs="Times New Roman"/>
          <w:b/>
          <w:bCs/>
          <w:color w:val="000000"/>
          <w:sz w:val="24"/>
          <w:szCs w:val="24"/>
          <w:lang w:val="sq-AL"/>
        </w:rPr>
        <w:t>”)</w:t>
      </w:r>
    </w:p>
    <w:p w14:paraId="6BAE5926" w14:textId="3F9F8B00"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49. Sipas </w:t>
      </w:r>
      <w:r w:rsidR="00BF3BED" w:rsidRPr="00BE1029">
        <w:rPr>
          <w:rFonts w:ascii="Garamond" w:hAnsi="Garamond" w:cs="Times New Roman"/>
          <w:color w:val="000000"/>
          <w:sz w:val="24"/>
          <w:szCs w:val="24"/>
          <w:lang w:val="sq-AL"/>
        </w:rPr>
        <w:t xml:space="preserve">nenit </w:t>
      </w:r>
      <w:r w:rsidRPr="00BE1029">
        <w:rPr>
          <w:rFonts w:ascii="Garamond" w:hAnsi="Garamond" w:cs="Times New Roman"/>
          <w:color w:val="000000"/>
          <w:sz w:val="24"/>
          <w:szCs w:val="24"/>
          <w:lang w:val="sq-AL"/>
        </w:rPr>
        <w:t>4(6), organet e rivlerësimit mund të zbatojnë procedurat e parashikuara në Kodin e Procedurës Administrative (</w:t>
      </w:r>
      <w:r w:rsidR="00A71B24" w:rsidRPr="00BE1029">
        <w:rPr>
          <w:rFonts w:ascii="Garamond" w:hAnsi="Garamond" w:cs="Times New Roman"/>
          <w:color w:val="000000"/>
          <w:sz w:val="24"/>
          <w:szCs w:val="24"/>
          <w:lang w:val="sq-AL"/>
        </w:rPr>
        <w:t xml:space="preserve">ligji </w:t>
      </w:r>
      <w:r w:rsidRPr="00BE1029">
        <w:rPr>
          <w:rFonts w:ascii="Garamond" w:hAnsi="Garamond" w:cs="Times New Roman"/>
          <w:color w:val="000000"/>
          <w:sz w:val="24"/>
          <w:szCs w:val="24"/>
          <w:lang w:val="sq-AL"/>
        </w:rPr>
        <w:t xml:space="preserve">nr. 44/2015, i ndryshuar) ose në </w:t>
      </w:r>
      <w:r w:rsidR="00BF3BED" w:rsidRPr="00BE1029">
        <w:rPr>
          <w:rFonts w:ascii="Garamond" w:hAnsi="Garamond" w:cs="Times New Roman"/>
          <w:color w:val="000000"/>
          <w:sz w:val="24"/>
          <w:szCs w:val="24"/>
          <w:lang w:val="sq-AL"/>
        </w:rPr>
        <w:t xml:space="preserve">ligjin për gjykatat administrative (ligji </w:t>
      </w:r>
      <w:r w:rsidRPr="00BE1029">
        <w:rPr>
          <w:rFonts w:ascii="Garamond" w:hAnsi="Garamond" w:cs="Times New Roman"/>
          <w:color w:val="000000"/>
          <w:sz w:val="24"/>
          <w:szCs w:val="24"/>
          <w:lang w:val="sq-AL"/>
        </w:rPr>
        <w:t xml:space="preserve">nr. 49/2012, i ndryshuar), nëse e gjykojnë të përshtatshme, dhe nëse një procedurë e caktuar nuk parashikohet në Kushtetutë ose në </w:t>
      </w:r>
      <w:r w:rsidR="00BF3BED" w:rsidRPr="00BE1029">
        <w:rPr>
          <w:rFonts w:ascii="Garamond" w:hAnsi="Garamond" w:cs="Times New Roman"/>
          <w:color w:val="000000"/>
          <w:sz w:val="24"/>
          <w:szCs w:val="24"/>
          <w:lang w:val="sq-AL"/>
        </w:rPr>
        <w:t xml:space="preserve">ligjin e rivlerësimit. </w:t>
      </w:r>
    </w:p>
    <w:p w14:paraId="1A9F085C" w14:textId="09990CCB"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50. Neni 6(1) (dh) i </w:t>
      </w:r>
      <w:r w:rsidR="00BF3BED" w:rsidRPr="00BE1029">
        <w:rPr>
          <w:rFonts w:ascii="Garamond" w:hAnsi="Garamond" w:cs="Times New Roman"/>
          <w:color w:val="000000"/>
          <w:sz w:val="24"/>
          <w:szCs w:val="24"/>
          <w:lang w:val="sq-AL"/>
        </w:rPr>
        <w:t xml:space="preserve">ligjit të rivlerësimit </w:t>
      </w:r>
      <w:r w:rsidRPr="00BE1029">
        <w:rPr>
          <w:rFonts w:ascii="Garamond" w:hAnsi="Garamond" w:cs="Times New Roman"/>
          <w:color w:val="000000"/>
          <w:sz w:val="24"/>
          <w:szCs w:val="24"/>
          <w:lang w:val="sq-AL"/>
        </w:rPr>
        <w:t xml:space="preserve">parashikon: </w:t>
      </w:r>
    </w:p>
    <w:p w14:paraId="2A51D959" w14:textId="77777777" w:rsidR="00A43DB1" w:rsidRPr="00BE1029" w:rsidRDefault="00A43DB1" w:rsidP="00A43DB1">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BE1029">
        <w:rPr>
          <w:rFonts w:ascii="Garamond" w:hAnsi="Garamond" w:cs="Times New Roman"/>
          <w:color w:val="000000"/>
          <w:sz w:val="24"/>
          <w:szCs w:val="24"/>
          <w:lang w:val="sq-AL"/>
        </w:rPr>
        <w:t>“</w:t>
      </w:r>
      <w:r w:rsidRPr="00BE1029">
        <w:rPr>
          <w:rFonts w:ascii="Garamond" w:hAnsi="Garamond" w:cs="Times New Roman"/>
          <w:b/>
          <w:bCs/>
          <w:color w:val="000000"/>
          <w:sz w:val="24"/>
          <w:szCs w:val="24"/>
          <w:lang w:val="sq-AL"/>
        </w:rPr>
        <w:t>Neni 6 – Kriteret e zgjedhjes së anëtarëve të institucioneve të rivlerësimit</w:t>
      </w:r>
    </w:p>
    <w:p w14:paraId="210BFC2F" w14:textId="5C9E472F"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1. Anëtar i Komisionit dhe gjyqtar i Kolegjit të Apelimit zgjidhet shtetasi shqiptar që plotëson kriteret e mëposhtme: </w:t>
      </w:r>
    </w:p>
    <w:p w14:paraId="63D64A2C" w14:textId="77777777"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w:t>
      </w:r>
    </w:p>
    <w:p w14:paraId="2EE8758B" w14:textId="77777777"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c) [ai/ajo] të ketë marrë një vlerësim të lartë për aftësitë e tij profesional, etike dhe integritetin moral të tij, nëse u është nënshtruar vlerësimeve të mëparshme; </w:t>
      </w:r>
    </w:p>
    <w:p w14:paraId="26F21D21" w14:textId="77777777"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w:t>
      </w:r>
    </w:p>
    <w:p w14:paraId="31544757" w14:textId="77777777"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dh) ndaj tij të mos jetë marrë masa disiplinore e largimit nga puna, ose ndonjë masë tjetër disiplinore, e cila është ende në fuqi, sipas legjislacionit në momentin e aplikimit [për një pozicion në organet e rivlerësimit];”</w:t>
      </w:r>
    </w:p>
    <w:p w14:paraId="38553702" w14:textId="3A0311C3" w:rsidR="00A43DB1" w:rsidRPr="00BE1029" w:rsidRDefault="00A43DB1" w:rsidP="00A43DB1">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BE1029">
        <w:rPr>
          <w:rFonts w:ascii="Garamond" w:hAnsi="Garamond" w:cs="Times New Roman"/>
          <w:b/>
          <w:bCs/>
          <w:color w:val="000000"/>
          <w:sz w:val="24"/>
          <w:szCs w:val="24"/>
          <w:lang w:val="sq-AL"/>
        </w:rPr>
        <w:t xml:space="preserve">C. Ligji për </w:t>
      </w:r>
      <w:r w:rsidR="00BF3BED" w:rsidRPr="00BE1029">
        <w:rPr>
          <w:rFonts w:ascii="Garamond" w:hAnsi="Garamond" w:cs="Times New Roman"/>
          <w:b/>
          <w:bCs/>
          <w:color w:val="000000"/>
          <w:sz w:val="24"/>
          <w:szCs w:val="24"/>
          <w:lang w:val="sq-AL"/>
        </w:rPr>
        <w:t>statusin e gjyqtarëve (ligj</w:t>
      </w:r>
      <w:r w:rsidRPr="00BE1029">
        <w:rPr>
          <w:rFonts w:ascii="Garamond" w:hAnsi="Garamond" w:cs="Times New Roman"/>
          <w:b/>
          <w:bCs/>
          <w:color w:val="000000"/>
          <w:sz w:val="24"/>
          <w:szCs w:val="24"/>
          <w:lang w:val="sq-AL"/>
        </w:rPr>
        <w:t>i nr. 96/2016, i ndryshuar)</w:t>
      </w:r>
    </w:p>
    <w:p w14:paraId="0FB76D5C" w14:textId="0A702DC8"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51. Ligji për </w:t>
      </w:r>
      <w:r w:rsidR="00BF3BED" w:rsidRPr="00BE1029">
        <w:rPr>
          <w:rFonts w:ascii="Garamond" w:hAnsi="Garamond" w:cs="Times New Roman"/>
          <w:color w:val="000000"/>
          <w:sz w:val="24"/>
          <w:szCs w:val="24"/>
          <w:lang w:val="sq-AL"/>
        </w:rPr>
        <w:t>statusin e gjyqtarëve dhe prokurorëve</w:t>
      </w:r>
      <w:r w:rsidRPr="00BE1029">
        <w:rPr>
          <w:rFonts w:ascii="Garamond" w:hAnsi="Garamond" w:cs="Times New Roman"/>
          <w:color w:val="000000"/>
          <w:sz w:val="24"/>
          <w:szCs w:val="24"/>
          <w:lang w:val="sq-AL"/>
        </w:rPr>
        <w:t xml:space="preserve">, i cili hyri në fuqi më 22 </w:t>
      </w:r>
      <w:r w:rsidR="00BF3BED" w:rsidRPr="00BE1029">
        <w:rPr>
          <w:rFonts w:ascii="Garamond" w:hAnsi="Garamond" w:cs="Times New Roman"/>
          <w:color w:val="000000"/>
          <w:sz w:val="24"/>
          <w:szCs w:val="24"/>
          <w:lang w:val="sq-AL"/>
        </w:rPr>
        <w:t xml:space="preserve">nëntor </w:t>
      </w:r>
      <w:r w:rsidRPr="00BE1029">
        <w:rPr>
          <w:rFonts w:ascii="Garamond" w:hAnsi="Garamond" w:cs="Times New Roman"/>
          <w:color w:val="000000"/>
          <w:sz w:val="24"/>
          <w:szCs w:val="24"/>
          <w:lang w:val="sq-AL"/>
        </w:rPr>
        <w:t xml:space="preserve">2016, parashikon rregullat për statusin e magjistratëve – që do të thotë të gjyqtarëve dhe prokurorëve. </w:t>
      </w:r>
    </w:p>
    <w:p w14:paraId="0AEB221D" w14:textId="66A663C8" w:rsidR="00A43DB1" w:rsidRPr="00BE1029" w:rsidRDefault="00A43DB1" w:rsidP="00BF3BE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52. Neni 28 parashikon kriteret që duhet të përmbushë një individ për t’u emëruar si magjistrat; pika </w:t>
      </w:r>
      <w:r w:rsidR="00BF3BED">
        <w:rPr>
          <w:rFonts w:ascii="Garamond" w:hAnsi="Garamond" w:cs="Times New Roman"/>
          <w:color w:val="000000"/>
          <w:sz w:val="24"/>
          <w:szCs w:val="24"/>
          <w:lang w:val="sq-AL"/>
        </w:rPr>
        <w:t>“</w:t>
      </w:r>
      <w:r w:rsidRPr="00BE1029">
        <w:rPr>
          <w:rFonts w:ascii="Garamond" w:hAnsi="Garamond" w:cs="Times New Roman"/>
          <w:color w:val="000000"/>
          <w:sz w:val="24"/>
          <w:szCs w:val="24"/>
          <w:lang w:val="sq-AL"/>
        </w:rPr>
        <w:t>dh</w:t>
      </w:r>
      <w:r w:rsidR="00BF3BED">
        <w:rPr>
          <w:rFonts w:ascii="Garamond" w:hAnsi="Garamond" w:cs="Times New Roman"/>
          <w:color w:val="000000"/>
          <w:sz w:val="24"/>
          <w:szCs w:val="24"/>
          <w:lang w:val="sq-AL"/>
        </w:rPr>
        <w:t xml:space="preserve">” </w:t>
      </w:r>
      <w:r w:rsidRPr="00BE1029">
        <w:rPr>
          <w:rFonts w:ascii="Garamond" w:hAnsi="Garamond" w:cs="Times New Roman"/>
          <w:color w:val="000000"/>
          <w:sz w:val="24"/>
          <w:szCs w:val="24"/>
          <w:lang w:val="sq-AL"/>
        </w:rPr>
        <w:t xml:space="preserve">e këtij neni parashikon se një individ ka të drejtën të aplikojë për t’u pranuar në kursin e trajnimit fillestar për magjistratët, nëse ai ose ajo nuk është shkarkuar nga detyra për arsye disiplinore dhe nuk ka qenë subjekt i ndonjë sanksioni disiplinor i cili është ende në fuqi. </w:t>
      </w:r>
    </w:p>
    <w:p w14:paraId="79887525" w14:textId="64A42A6A"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53. Neni 66 i </w:t>
      </w:r>
      <w:r w:rsidR="00BF3BED" w:rsidRPr="00BE1029">
        <w:rPr>
          <w:rFonts w:ascii="Garamond" w:hAnsi="Garamond" w:cs="Times New Roman"/>
          <w:color w:val="000000"/>
          <w:sz w:val="24"/>
          <w:szCs w:val="24"/>
          <w:lang w:val="sq-AL"/>
        </w:rPr>
        <w:t xml:space="preserve">ligjit </w:t>
      </w:r>
      <w:r w:rsidRPr="00BE1029">
        <w:rPr>
          <w:rFonts w:ascii="Garamond" w:hAnsi="Garamond" w:cs="Times New Roman"/>
          <w:color w:val="000000"/>
          <w:sz w:val="24"/>
          <w:szCs w:val="24"/>
          <w:lang w:val="sq-AL"/>
        </w:rPr>
        <w:t xml:space="preserve">parashikon: </w:t>
      </w:r>
    </w:p>
    <w:p w14:paraId="787E4448" w14:textId="77777777" w:rsidR="0075617E" w:rsidRPr="00BE1029" w:rsidRDefault="0075617E" w:rsidP="00A43DB1">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4B1C372B" w14:textId="77777777" w:rsidR="00BF3BED" w:rsidRPr="004C35B2" w:rsidRDefault="00A43DB1" w:rsidP="00BF3BED">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4C35B2">
        <w:rPr>
          <w:rFonts w:ascii="Garamond" w:hAnsi="Garamond" w:cs="Times New Roman"/>
          <w:color w:val="000000"/>
          <w:sz w:val="24"/>
          <w:szCs w:val="24"/>
          <w:lang w:val="sq-AL"/>
        </w:rPr>
        <w:t>“Neni 66</w:t>
      </w:r>
    </w:p>
    <w:p w14:paraId="0302F8A4" w14:textId="147D5766" w:rsidR="00A43DB1" w:rsidRPr="00BE1029" w:rsidRDefault="00A43DB1" w:rsidP="00BF3BED">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E1029">
        <w:rPr>
          <w:rFonts w:ascii="Garamond" w:hAnsi="Garamond" w:cs="Times New Roman"/>
          <w:b/>
          <w:bCs/>
          <w:color w:val="000000"/>
          <w:sz w:val="24"/>
          <w:szCs w:val="24"/>
          <w:lang w:val="sq-AL"/>
        </w:rPr>
        <w:t xml:space="preserve">Përzgjedhshmëria dhe papajtueshmëria </w:t>
      </w:r>
    </w:p>
    <w:p w14:paraId="24096A25" w14:textId="77777777" w:rsidR="00A43DB1" w:rsidRPr="00BE1029" w:rsidRDefault="00A43DB1" w:rsidP="00A43DB1">
      <w:pPr>
        <w:autoSpaceDE w:val="0"/>
        <w:autoSpaceDN w:val="0"/>
        <w:adjustRightInd w:val="0"/>
        <w:spacing w:after="0" w:line="240" w:lineRule="auto"/>
        <w:ind w:firstLine="284"/>
        <w:rPr>
          <w:rFonts w:ascii="Garamond" w:hAnsi="Garamond" w:cs="Times New Roman"/>
          <w:b/>
          <w:bCs/>
          <w:color w:val="000000"/>
          <w:sz w:val="24"/>
          <w:szCs w:val="24"/>
          <w:lang w:val="sq-AL"/>
        </w:rPr>
      </w:pPr>
    </w:p>
    <w:p w14:paraId="1839DA9F" w14:textId="6B0FAE1B"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1. Statusi i magjistratit mbaron në ditën kur autoriteti kompetent përcakton me vendim shkaqet e pazgjedhshmërisë</w:t>
      </w:r>
      <w:r w:rsidR="00BB794A">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si vijon: </w:t>
      </w:r>
    </w:p>
    <w:p w14:paraId="7E84D3AF" w14:textId="12C7F167"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a) kur magjistrati nuk plotëson kriteret e përcaktuara, sipas </w:t>
      </w:r>
      <w:r w:rsidR="00BB794A" w:rsidRPr="00BE1029">
        <w:rPr>
          <w:rFonts w:ascii="Garamond" w:hAnsi="Garamond" w:cs="Times New Roman"/>
          <w:color w:val="000000"/>
          <w:sz w:val="24"/>
          <w:szCs w:val="24"/>
          <w:lang w:val="sq-AL"/>
        </w:rPr>
        <w:t xml:space="preserve">nenit </w:t>
      </w:r>
      <w:r w:rsidRPr="00BE1029">
        <w:rPr>
          <w:rFonts w:ascii="Garamond" w:hAnsi="Garamond" w:cs="Times New Roman"/>
          <w:color w:val="000000"/>
          <w:sz w:val="24"/>
          <w:szCs w:val="24"/>
          <w:lang w:val="sq-AL"/>
        </w:rPr>
        <w:t xml:space="preserve">28 të këtij </w:t>
      </w:r>
      <w:r w:rsidR="00BB794A" w:rsidRPr="00BE1029">
        <w:rPr>
          <w:rFonts w:ascii="Garamond" w:hAnsi="Garamond" w:cs="Times New Roman"/>
          <w:color w:val="000000"/>
          <w:sz w:val="24"/>
          <w:szCs w:val="24"/>
          <w:lang w:val="sq-AL"/>
        </w:rPr>
        <w:t>LIGJI</w:t>
      </w:r>
      <w:r w:rsidRPr="00BE1029">
        <w:rPr>
          <w:rFonts w:ascii="Garamond" w:hAnsi="Garamond" w:cs="Times New Roman"/>
          <w:color w:val="000000"/>
          <w:sz w:val="24"/>
          <w:szCs w:val="24"/>
          <w:lang w:val="sq-AL"/>
        </w:rPr>
        <w:t xml:space="preserve">; </w:t>
      </w:r>
    </w:p>
    <w:p w14:paraId="48B9DD2E" w14:textId="50CDDC9D"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b) kur vendimi i emërimit është i pavlefshëm dhe nuk sjell asnjë pasojë juridike, si edhe konsiderohet se nuk ekziston. </w:t>
      </w:r>
    </w:p>
    <w:p w14:paraId="1D670A40" w14:textId="77777777"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w:t>
      </w:r>
    </w:p>
    <w:p w14:paraId="1500F93E" w14:textId="7108E425"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4. Këshilli [i Lartë Gjyqësor] deklaron me vendim mbarimin e statusit të magjistratit, jo më vonë se dy javë nga marrja e njoftimit për shkakun e pazgjedhshmërisë ose papajtueshmërisë. </w:t>
      </w:r>
    </w:p>
    <w:p w14:paraId="616677A5" w14:textId="1BC7E63A"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5. Vendimi përcakton datën e mbarimit të statusit të magjistratit, sipas parashikimit të pikës 1 ose 2 të këtij neni. </w:t>
      </w:r>
    </w:p>
    <w:p w14:paraId="3308D0A8" w14:textId="1B84B2AB"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6. Çdo veprim i kryer nga magjistrati pas kësaj date është i pavlefshëm dhe konsiderohet që nuk sjell asnjë pasojë juridike, si dhe konsiderohet se nuk ekziston.”</w:t>
      </w:r>
      <w:r w:rsidR="00BB794A">
        <w:rPr>
          <w:rFonts w:ascii="Garamond" w:hAnsi="Garamond" w:cs="Times New Roman"/>
          <w:color w:val="000000"/>
          <w:sz w:val="24"/>
          <w:szCs w:val="24"/>
          <w:lang w:val="sq-AL"/>
        </w:rPr>
        <w:t>.</w:t>
      </w:r>
    </w:p>
    <w:p w14:paraId="5C80E72C" w14:textId="2392435C"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54. Neni 150(3) përcakton se masa disiplinore e largimit nga detyra ndaj gjyqtarëve dhe prokurorëve nuk shuhet dhe nuk fshihet nga regjistri i masave disiplinore, i cili mbahet nga autoritetet përgjegjëse. </w:t>
      </w:r>
    </w:p>
    <w:p w14:paraId="78725FF1" w14:textId="196C61D8"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b/>
          <w:bCs/>
          <w:color w:val="000000"/>
          <w:sz w:val="24"/>
          <w:szCs w:val="24"/>
          <w:lang w:val="sq-AL"/>
        </w:rPr>
        <w:t>D. Ligji për Organizimin e Pushtetit Gjyqësor i vitit 2008 (</w:t>
      </w:r>
      <w:r w:rsidR="00BB794A" w:rsidRPr="00BE1029">
        <w:rPr>
          <w:rFonts w:ascii="Garamond" w:hAnsi="Garamond" w:cs="Times New Roman"/>
          <w:b/>
          <w:bCs/>
          <w:color w:val="000000"/>
          <w:sz w:val="24"/>
          <w:szCs w:val="24"/>
          <w:lang w:val="sq-AL"/>
        </w:rPr>
        <w:t xml:space="preserve">ligji </w:t>
      </w:r>
      <w:r w:rsidRPr="00BE1029">
        <w:rPr>
          <w:rFonts w:ascii="Garamond" w:hAnsi="Garamond" w:cs="Times New Roman"/>
          <w:b/>
          <w:bCs/>
          <w:color w:val="000000"/>
          <w:sz w:val="24"/>
          <w:szCs w:val="24"/>
          <w:lang w:val="sq-AL"/>
        </w:rPr>
        <w:t xml:space="preserve">nr. 9877/2008 i datës 18 </w:t>
      </w:r>
      <w:r w:rsidR="00BB794A" w:rsidRPr="00BE1029">
        <w:rPr>
          <w:rFonts w:ascii="Garamond" w:hAnsi="Garamond" w:cs="Times New Roman"/>
          <w:b/>
          <w:bCs/>
          <w:color w:val="000000"/>
          <w:sz w:val="24"/>
          <w:szCs w:val="24"/>
          <w:lang w:val="sq-AL"/>
        </w:rPr>
        <w:t xml:space="preserve">shkurt </w:t>
      </w:r>
      <w:r w:rsidRPr="00BE1029">
        <w:rPr>
          <w:rFonts w:ascii="Garamond" w:hAnsi="Garamond" w:cs="Times New Roman"/>
          <w:b/>
          <w:bCs/>
          <w:color w:val="000000"/>
          <w:sz w:val="24"/>
          <w:szCs w:val="24"/>
          <w:lang w:val="sq-AL"/>
        </w:rPr>
        <w:t xml:space="preserve">2008 për Organizimin dhe Funksionimin e Pushtetit Gjyqësor, i ndryshuar – në fuqi deri më 22 </w:t>
      </w:r>
      <w:r w:rsidR="00BB794A" w:rsidRPr="00BE1029">
        <w:rPr>
          <w:rFonts w:ascii="Garamond" w:hAnsi="Garamond" w:cs="Times New Roman"/>
          <w:b/>
          <w:bCs/>
          <w:color w:val="000000"/>
          <w:sz w:val="24"/>
          <w:szCs w:val="24"/>
          <w:lang w:val="sq-AL"/>
        </w:rPr>
        <w:t xml:space="preserve">nëntor </w:t>
      </w:r>
      <w:r w:rsidRPr="00BE1029">
        <w:rPr>
          <w:rFonts w:ascii="Garamond" w:hAnsi="Garamond" w:cs="Times New Roman"/>
          <w:b/>
          <w:bCs/>
          <w:color w:val="000000"/>
          <w:sz w:val="24"/>
          <w:szCs w:val="24"/>
          <w:lang w:val="sq-AL"/>
        </w:rPr>
        <w:t>2016)</w:t>
      </w:r>
    </w:p>
    <w:p w14:paraId="29391E1F" w14:textId="1C8C2573"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55. Nenet përkatëse të </w:t>
      </w:r>
      <w:r w:rsidR="00BB794A" w:rsidRPr="00BE1029">
        <w:rPr>
          <w:rFonts w:ascii="Garamond" w:hAnsi="Garamond" w:cs="Times New Roman"/>
          <w:color w:val="000000"/>
          <w:sz w:val="24"/>
          <w:szCs w:val="24"/>
          <w:lang w:val="sq-AL"/>
        </w:rPr>
        <w:t xml:space="preserve">ligjit për pushtetin gjyqësor </w:t>
      </w:r>
      <w:r w:rsidRPr="00BE1029">
        <w:rPr>
          <w:rFonts w:ascii="Garamond" w:hAnsi="Garamond" w:cs="Times New Roman"/>
          <w:color w:val="000000"/>
          <w:sz w:val="24"/>
          <w:szCs w:val="24"/>
          <w:lang w:val="sq-AL"/>
        </w:rPr>
        <w:t>2008 parashikojnë</w:t>
      </w:r>
      <w:r w:rsidR="00BB794A">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si vijon: </w:t>
      </w:r>
    </w:p>
    <w:p w14:paraId="0F454D80" w14:textId="77777777"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620F97B1" w14:textId="77777777" w:rsidR="00BB794A" w:rsidRPr="00BB794A" w:rsidRDefault="00A43DB1" w:rsidP="00BB794A">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BB794A">
        <w:rPr>
          <w:rFonts w:ascii="Garamond" w:hAnsi="Garamond" w:cs="Times New Roman"/>
          <w:color w:val="000000"/>
          <w:sz w:val="24"/>
          <w:szCs w:val="24"/>
          <w:lang w:val="sq-AL"/>
        </w:rPr>
        <w:t>“Neni 32</w:t>
      </w:r>
    </w:p>
    <w:p w14:paraId="70BAF0DA" w14:textId="0B3B3A05" w:rsidR="00A43DB1" w:rsidRPr="00BE1029" w:rsidRDefault="00A43DB1" w:rsidP="00BB794A">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E1029">
        <w:rPr>
          <w:rFonts w:ascii="Garamond" w:hAnsi="Garamond" w:cs="Times New Roman"/>
          <w:b/>
          <w:bCs/>
          <w:color w:val="000000"/>
          <w:sz w:val="24"/>
          <w:szCs w:val="24"/>
          <w:lang w:val="sq-AL"/>
        </w:rPr>
        <w:t>Shkeljet disiplinore</w:t>
      </w:r>
    </w:p>
    <w:p w14:paraId="4EB6D4BA" w14:textId="77777777" w:rsidR="00A43DB1" w:rsidRPr="00BE1029" w:rsidRDefault="00A43DB1" w:rsidP="00A43DB1">
      <w:pPr>
        <w:autoSpaceDE w:val="0"/>
        <w:autoSpaceDN w:val="0"/>
        <w:adjustRightInd w:val="0"/>
        <w:spacing w:after="0" w:line="240" w:lineRule="auto"/>
        <w:ind w:firstLine="284"/>
        <w:rPr>
          <w:rFonts w:ascii="Garamond" w:hAnsi="Garamond" w:cs="Times New Roman"/>
          <w:b/>
          <w:bCs/>
          <w:color w:val="000000"/>
          <w:sz w:val="24"/>
          <w:szCs w:val="24"/>
          <w:lang w:val="sq-AL"/>
        </w:rPr>
      </w:pPr>
    </w:p>
    <w:p w14:paraId="570BD563" w14:textId="0A446B04" w:rsidR="00A43DB1" w:rsidRPr="00BE1029" w:rsidRDefault="00A43DB1" w:rsidP="00A43DB1">
      <w:pPr>
        <w:autoSpaceDE w:val="0"/>
        <w:autoSpaceDN w:val="0"/>
        <w:adjustRightInd w:val="0"/>
        <w:spacing w:after="0" w:line="240" w:lineRule="auto"/>
        <w:ind w:firstLine="284"/>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1. Shkeljet e disiplinës së gjyqtarit ndahen në: </w:t>
      </w:r>
    </w:p>
    <w:p w14:paraId="7C060D6E" w14:textId="5062F6DD" w:rsidR="00A43DB1" w:rsidRPr="00BE1029" w:rsidRDefault="00A43DB1" w:rsidP="00A43DB1">
      <w:pPr>
        <w:autoSpaceDE w:val="0"/>
        <w:autoSpaceDN w:val="0"/>
        <w:adjustRightInd w:val="0"/>
        <w:spacing w:after="0" w:line="240" w:lineRule="auto"/>
        <w:ind w:firstLine="284"/>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a) shumë të rënda; </w:t>
      </w:r>
    </w:p>
    <w:p w14:paraId="0F3E2655" w14:textId="07753DD0" w:rsidR="00A43DB1" w:rsidRPr="00BE1029" w:rsidRDefault="00A43DB1" w:rsidP="00A43DB1">
      <w:pPr>
        <w:autoSpaceDE w:val="0"/>
        <w:autoSpaceDN w:val="0"/>
        <w:adjustRightInd w:val="0"/>
        <w:spacing w:after="0" w:line="240" w:lineRule="auto"/>
        <w:ind w:firstLine="284"/>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b) të rënda; </w:t>
      </w:r>
    </w:p>
    <w:p w14:paraId="5E51379C" w14:textId="6C0E1832" w:rsidR="00A43DB1" w:rsidRPr="00BE1029" w:rsidRDefault="00A43DB1" w:rsidP="00A43DB1">
      <w:pPr>
        <w:autoSpaceDE w:val="0"/>
        <w:autoSpaceDN w:val="0"/>
        <w:adjustRightInd w:val="0"/>
        <w:spacing w:after="0" w:line="240" w:lineRule="auto"/>
        <w:ind w:firstLine="284"/>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c) të lehta. </w:t>
      </w:r>
    </w:p>
    <w:p w14:paraId="6CCF465E" w14:textId="77777777" w:rsidR="00A43DB1" w:rsidRPr="00BB794A" w:rsidRDefault="00A43DB1" w:rsidP="00A43DB1">
      <w:pPr>
        <w:autoSpaceDE w:val="0"/>
        <w:autoSpaceDN w:val="0"/>
        <w:adjustRightInd w:val="0"/>
        <w:spacing w:after="0" w:line="240" w:lineRule="auto"/>
        <w:ind w:firstLine="284"/>
        <w:rPr>
          <w:rFonts w:ascii="Garamond" w:hAnsi="Garamond" w:cs="Times New Roman"/>
          <w:color w:val="000000"/>
          <w:sz w:val="24"/>
          <w:szCs w:val="24"/>
          <w:lang w:val="sq-AL"/>
        </w:rPr>
      </w:pPr>
      <w:r w:rsidRPr="00BB794A">
        <w:rPr>
          <w:rFonts w:ascii="Garamond" w:hAnsi="Garamond" w:cs="Times New Roman"/>
          <w:color w:val="000000"/>
          <w:sz w:val="24"/>
          <w:szCs w:val="24"/>
          <w:lang w:val="sq-AL"/>
        </w:rPr>
        <w:t>...</w:t>
      </w:r>
    </w:p>
    <w:p w14:paraId="3FBB5BC8" w14:textId="77777777" w:rsidR="00BB794A" w:rsidRPr="00BB794A" w:rsidRDefault="00A43DB1" w:rsidP="00BB794A">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BB794A">
        <w:rPr>
          <w:rFonts w:ascii="Garamond" w:hAnsi="Garamond" w:cs="Times New Roman"/>
          <w:color w:val="000000"/>
          <w:sz w:val="24"/>
          <w:szCs w:val="24"/>
          <w:lang w:val="sq-AL"/>
        </w:rPr>
        <w:t>Neni 33</w:t>
      </w:r>
    </w:p>
    <w:p w14:paraId="66CB7729" w14:textId="11BCD06A" w:rsidR="00A43DB1" w:rsidRPr="00BE1029" w:rsidRDefault="00A43DB1" w:rsidP="00BB794A">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E1029">
        <w:rPr>
          <w:rFonts w:ascii="Garamond" w:hAnsi="Garamond" w:cs="Times New Roman"/>
          <w:b/>
          <w:bCs/>
          <w:color w:val="000000"/>
          <w:sz w:val="24"/>
          <w:szCs w:val="24"/>
          <w:lang w:val="sq-AL"/>
        </w:rPr>
        <w:t>Masat disiplinore</w:t>
      </w:r>
    </w:p>
    <w:p w14:paraId="26A75935" w14:textId="77777777" w:rsidR="00A43DB1" w:rsidRPr="00BE1029" w:rsidRDefault="00A43DB1" w:rsidP="00A43DB1">
      <w:pPr>
        <w:autoSpaceDE w:val="0"/>
        <w:autoSpaceDN w:val="0"/>
        <w:adjustRightInd w:val="0"/>
        <w:spacing w:after="0" w:line="240" w:lineRule="auto"/>
        <w:ind w:firstLine="284"/>
        <w:rPr>
          <w:rFonts w:ascii="Garamond" w:hAnsi="Garamond" w:cs="Times New Roman"/>
          <w:b/>
          <w:bCs/>
          <w:color w:val="000000"/>
          <w:sz w:val="24"/>
          <w:szCs w:val="24"/>
          <w:lang w:val="sq-AL"/>
        </w:rPr>
      </w:pPr>
    </w:p>
    <w:p w14:paraId="7D15FCA6" w14:textId="201867C8" w:rsidR="00A43DB1" w:rsidRPr="00BE1029" w:rsidRDefault="00A43DB1" w:rsidP="00A43DB1">
      <w:pPr>
        <w:autoSpaceDE w:val="0"/>
        <w:autoSpaceDN w:val="0"/>
        <w:adjustRightInd w:val="0"/>
        <w:spacing w:after="0" w:line="240" w:lineRule="auto"/>
        <w:ind w:firstLine="284"/>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1. Masat disiplinore jepen në raport të drejtë me shkeljen e kryer. </w:t>
      </w:r>
    </w:p>
    <w:p w14:paraId="4F8A6790" w14:textId="611FF012" w:rsidR="00A43DB1" w:rsidRPr="00BE1029" w:rsidRDefault="00A43DB1" w:rsidP="00A43DB1">
      <w:pPr>
        <w:autoSpaceDE w:val="0"/>
        <w:autoSpaceDN w:val="0"/>
        <w:adjustRightInd w:val="0"/>
        <w:spacing w:after="0" w:line="240" w:lineRule="auto"/>
        <w:ind w:firstLine="284"/>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2. Masat disiplinore janë: </w:t>
      </w:r>
    </w:p>
    <w:p w14:paraId="0BB3D183" w14:textId="282B001D" w:rsidR="00A43DB1" w:rsidRPr="00BE1029" w:rsidRDefault="00A43DB1" w:rsidP="00A43DB1">
      <w:pPr>
        <w:autoSpaceDE w:val="0"/>
        <w:autoSpaceDN w:val="0"/>
        <w:adjustRightInd w:val="0"/>
        <w:spacing w:after="0" w:line="240" w:lineRule="auto"/>
        <w:ind w:firstLine="284"/>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a) vërejtje; </w:t>
      </w:r>
    </w:p>
    <w:p w14:paraId="0C794C09" w14:textId="452AAE53" w:rsidR="00A43DB1" w:rsidRPr="00BE1029" w:rsidRDefault="00A43DB1" w:rsidP="00A43DB1">
      <w:pPr>
        <w:autoSpaceDE w:val="0"/>
        <w:autoSpaceDN w:val="0"/>
        <w:adjustRightInd w:val="0"/>
        <w:spacing w:after="0" w:line="240" w:lineRule="auto"/>
        <w:ind w:firstLine="284"/>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b) vërejtje me paralajmërim; </w:t>
      </w:r>
    </w:p>
    <w:p w14:paraId="2466A6A6" w14:textId="57BAFEBD" w:rsidR="00A43DB1" w:rsidRPr="00BE1029" w:rsidRDefault="00A43DB1" w:rsidP="00A43DB1">
      <w:pPr>
        <w:autoSpaceDE w:val="0"/>
        <w:autoSpaceDN w:val="0"/>
        <w:adjustRightInd w:val="0"/>
        <w:spacing w:after="0" w:line="240" w:lineRule="auto"/>
        <w:ind w:firstLine="284"/>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c) ulje e përkohshme për 1 deri në 2 vjet në detyrë në një gjykatë të një niveli më të ulët; </w:t>
      </w:r>
    </w:p>
    <w:p w14:paraId="1113FCAF" w14:textId="77777777" w:rsidR="00A43DB1" w:rsidRPr="00BE1029" w:rsidRDefault="00A43DB1" w:rsidP="00BB794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ç) dërgimi për 1 deri në 2 vjet në një gjykatë të të njëjtit nivel jashtë rrethit gjyqësor ku gjyqtari ka emërimin e tij; </w:t>
      </w:r>
    </w:p>
    <w:p w14:paraId="46D178E6" w14:textId="77777777" w:rsidR="00A43DB1" w:rsidRPr="00BE1029" w:rsidRDefault="00A43DB1" w:rsidP="00A43DB1">
      <w:pPr>
        <w:autoSpaceDE w:val="0"/>
        <w:autoSpaceDN w:val="0"/>
        <w:adjustRightInd w:val="0"/>
        <w:spacing w:after="0" w:line="240" w:lineRule="auto"/>
        <w:ind w:firstLine="284"/>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d) shkarkim nga detyra. </w:t>
      </w:r>
    </w:p>
    <w:p w14:paraId="6D17F9A7" w14:textId="37A70D85"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3. Për shkeljet shumë të rënda, të parashikuara në nenin 32 pika 2 të këtij ligji, jepet masa disiplinore e parashikuar në shkronjën “d”</w:t>
      </w:r>
      <w:r w:rsidR="00BB794A">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të pikës 2</w:t>
      </w:r>
      <w:r w:rsidR="00BB794A">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të këtij neni. </w:t>
      </w:r>
    </w:p>
    <w:p w14:paraId="4BD15D4D" w14:textId="77777777"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4. Për shkeljet e rënda, të parashikuara në nenin 32 pika 3 të këtij ligji, jepet masa disiplinore e parashikuar në shkronjat “c” dhe “ç” të pikës 2 të këtij neni. </w:t>
      </w:r>
    </w:p>
    <w:p w14:paraId="39F52086" w14:textId="77777777"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lastRenderedPageBreak/>
        <w:t xml:space="preserve">5. Për shkeljet e lehta, të parashikuara në nenin 32 pika 4 të këtij ligji, jepet masa disiplinore e parashikuar në shkronjat “a” dhe “b” të pikës 2 të këtij neni. </w:t>
      </w:r>
    </w:p>
    <w:p w14:paraId="0BED8E73" w14:textId="77777777"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6. Për efekt të procedimit disiplinor, masat disiplinore të rënda shlyhen brenda 3 vjetëve nga data e dhënies së tyre, në qoftë se nuk është marrë ndonjë masë tjetër disiplinore, ndërsa masat disiplinore të lehta shlyhen brenda 2 vjetëve nga data e dhënies së tyre, në qoftë se nuk është marrë ndonjë masë tjetër disiplinore.”</w:t>
      </w:r>
    </w:p>
    <w:p w14:paraId="15863A69" w14:textId="05FD354C" w:rsidR="00A43DB1" w:rsidRPr="00BE1029" w:rsidRDefault="00A43DB1" w:rsidP="00A43DB1">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BE1029">
        <w:rPr>
          <w:rFonts w:ascii="Garamond" w:hAnsi="Garamond" w:cs="Times New Roman"/>
          <w:b/>
          <w:bCs/>
          <w:color w:val="000000"/>
          <w:sz w:val="24"/>
          <w:szCs w:val="24"/>
          <w:lang w:val="sq-AL"/>
        </w:rPr>
        <w:t>E. Parashikime të tjera të lidhura me çështjen</w:t>
      </w:r>
    </w:p>
    <w:p w14:paraId="761C54E8" w14:textId="0A62B041"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56. Neni 494 § (ë) i Kodit të Procedurës Civile parashikon se një palë mund të kërkojë rishikimin e një vendimi që ka marrë formë të prerë në rastin kur Gjykata Evropiane e të </w:t>
      </w:r>
      <w:r w:rsidR="00BB794A" w:rsidRPr="00BE1029">
        <w:rPr>
          <w:rFonts w:ascii="Garamond" w:hAnsi="Garamond" w:cs="Times New Roman"/>
          <w:color w:val="000000"/>
          <w:sz w:val="24"/>
          <w:szCs w:val="24"/>
          <w:lang w:val="sq-AL"/>
        </w:rPr>
        <w:t xml:space="preserve">Drejtave </w:t>
      </w:r>
      <w:r w:rsidRPr="00BE1029">
        <w:rPr>
          <w:rFonts w:ascii="Garamond" w:hAnsi="Garamond" w:cs="Times New Roman"/>
          <w:color w:val="000000"/>
          <w:sz w:val="24"/>
          <w:szCs w:val="24"/>
          <w:lang w:val="sq-AL"/>
        </w:rPr>
        <w:t xml:space="preserve">të Njeriut konstaton një shkelje të Konventës ose të protokolleve të saj, të cilat janë ratifikuar nga Shqipëria. </w:t>
      </w:r>
    </w:p>
    <w:p w14:paraId="37F24F3A" w14:textId="29B6796A"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57. Paragrafi 3 i </w:t>
      </w:r>
      <w:r w:rsidR="00BB794A" w:rsidRPr="00BE1029">
        <w:rPr>
          <w:rFonts w:ascii="Garamond" w:hAnsi="Garamond" w:cs="Times New Roman"/>
          <w:color w:val="000000"/>
          <w:sz w:val="24"/>
          <w:szCs w:val="24"/>
          <w:lang w:val="sq-AL"/>
        </w:rPr>
        <w:t xml:space="preserve">nenit </w:t>
      </w:r>
      <w:r w:rsidRPr="00BE1029">
        <w:rPr>
          <w:rFonts w:ascii="Garamond" w:hAnsi="Garamond" w:cs="Times New Roman"/>
          <w:color w:val="000000"/>
          <w:sz w:val="24"/>
          <w:szCs w:val="24"/>
          <w:lang w:val="sq-AL"/>
        </w:rPr>
        <w:t xml:space="preserve">71/c të </w:t>
      </w:r>
      <w:r w:rsidR="00BB794A" w:rsidRPr="00BE1029">
        <w:rPr>
          <w:rFonts w:ascii="Garamond" w:hAnsi="Garamond" w:cs="Times New Roman"/>
          <w:color w:val="000000"/>
          <w:sz w:val="24"/>
          <w:szCs w:val="24"/>
          <w:lang w:val="sq-AL"/>
        </w:rPr>
        <w:t xml:space="preserve">ligjit për Gjykatën Kushtetuese </w:t>
      </w:r>
      <w:r w:rsidRPr="00BE1029">
        <w:rPr>
          <w:rFonts w:ascii="Garamond" w:hAnsi="Garamond" w:cs="Times New Roman"/>
          <w:color w:val="000000"/>
          <w:sz w:val="24"/>
          <w:szCs w:val="24"/>
          <w:lang w:val="sq-AL"/>
        </w:rPr>
        <w:t xml:space="preserve">(ligji nr. 8577 i datës 10 </w:t>
      </w:r>
      <w:r w:rsidR="00BB794A" w:rsidRPr="00BE1029">
        <w:rPr>
          <w:rFonts w:ascii="Garamond" w:hAnsi="Garamond" w:cs="Times New Roman"/>
          <w:color w:val="000000"/>
          <w:sz w:val="24"/>
          <w:szCs w:val="24"/>
          <w:lang w:val="sq-AL"/>
        </w:rPr>
        <w:t xml:space="preserve">shkurt </w:t>
      </w:r>
      <w:r w:rsidRPr="00BE1029">
        <w:rPr>
          <w:rFonts w:ascii="Garamond" w:hAnsi="Garamond" w:cs="Times New Roman"/>
          <w:color w:val="000000"/>
          <w:sz w:val="24"/>
          <w:szCs w:val="24"/>
          <w:lang w:val="sq-AL"/>
        </w:rPr>
        <w:t xml:space="preserve">2000, i ndryshuar me </w:t>
      </w:r>
      <w:r w:rsidR="00BB794A" w:rsidRPr="00BE1029">
        <w:rPr>
          <w:rFonts w:ascii="Garamond" w:hAnsi="Garamond" w:cs="Times New Roman"/>
          <w:color w:val="000000"/>
          <w:sz w:val="24"/>
          <w:szCs w:val="24"/>
          <w:lang w:val="sq-AL"/>
        </w:rPr>
        <w:t xml:space="preserve">ligjin </w:t>
      </w:r>
      <w:r w:rsidRPr="00BE1029">
        <w:rPr>
          <w:rFonts w:ascii="Garamond" w:hAnsi="Garamond" w:cs="Times New Roman"/>
          <w:color w:val="000000"/>
          <w:sz w:val="24"/>
          <w:szCs w:val="24"/>
          <w:lang w:val="sq-AL"/>
        </w:rPr>
        <w:t>nr. 99/2016) parashikon se pas dhënies së një vendimi nga një gjykatë ndërkombëtare ku vlerësohet se vendimi i Gjykatës Kushtetuese ka cenuar të drejtat dhe liritë bazë të një individi, pala e interesuar mund të kërkojë rihapjen e procedurave konkrete në Gjykatën Kushtetuese. Sipas paragrafit 5(b) të të njëjtit nen, një kërkesë e tillë nuk lejohet</w:t>
      </w:r>
      <w:r w:rsidR="00BB794A">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nëse gjykata ndërkombëtare ka dhënë një dëmshpërblim pa e shoqëruar me rihapje të procesit. </w:t>
      </w:r>
    </w:p>
    <w:p w14:paraId="65D64327" w14:textId="53E22DC6"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58. Parashikimet e tjera të ligjit dhe të praktikës </w:t>
      </w:r>
      <w:r w:rsidR="008A55FD" w:rsidRPr="00BE1029">
        <w:rPr>
          <w:rFonts w:ascii="Garamond" w:hAnsi="Garamond" w:cs="Times New Roman"/>
          <w:color w:val="000000"/>
          <w:sz w:val="24"/>
          <w:szCs w:val="24"/>
          <w:lang w:val="sq-AL"/>
        </w:rPr>
        <w:t>vendës</w:t>
      </w:r>
      <w:r w:rsidRPr="00BE1029">
        <w:rPr>
          <w:rFonts w:ascii="Garamond" w:hAnsi="Garamond" w:cs="Times New Roman"/>
          <w:color w:val="000000"/>
          <w:sz w:val="24"/>
          <w:szCs w:val="24"/>
          <w:lang w:val="sq-AL"/>
        </w:rPr>
        <w:t>e</w:t>
      </w:r>
      <w:r w:rsidR="00BB794A">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në lidhje me çështjen konkrete janë parashikuar në vendimin </w:t>
      </w:r>
      <w:r w:rsidRPr="00BE1029">
        <w:rPr>
          <w:rFonts w:ascii="Garamond" w:hAnsi="Garamond" w:cs="Times New Roman"/>
          <w:i/>
          <w:iCs/>
          <w:color w:val="000000"/>
          <w:sz w:val="24"/>
          <w:szCs w:val="24"/>
          <w:lang w:val="sq-AL"/>
        </w:rPr>
        <w:t>Xhoxhaj</w:t>
      </w:r>
      <w:r w:rsidRPr="00BE1029">
        <w:rPr>
          <w:rFonts w:ascii="Garamond" w:hAnsi="Garamond" w:cs="Times New Roman"/>
          <w:color w:val="000000"/>
          <w:sz w:val="24"/>
          <w:szCs w:val="24"/>
          <w:lang w:val="sq-AL"/>
        </w:rPr>
        <w:t>, cituar më sipër, §§ 93</w:t>
      </w:r>
      <w:r w:rsidR="00BB794A">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209. </w:t>
      </w:r>
    </w:p>
    <w:p w14:paraId="5BD82229" w14:textId="2B67863E"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II. PRAKTIKA </w:t>
      </w:r>
      <w:r w:rsidR="008A55FD" w:rsidRPr="00BE1029">
        <w:rPr>
          <w:rFonts w:ascii="Garamond" w:hAnsi="Garamond" w:cs="Times New Roman"/>
          <w:color w:val="000000"/>
          <w:sz w:val="24"/>
          <w:szCs w:val="24"/>
          <w:lang w:val="sq-AL"/>
        </w:rPr>
        <w:t>VENDËS</w:t>
      </w:r>
      <w:r w:rsidRPr="00BE1029">
        <w:rPr>
          <w:rFonts w:ascii="Garamond" w:hAnsi="Garamond" w:cs="Times New Roman"/>
          <w:color w:val="000000"/>
          <w:sz w:val="24"/>
          <w:szCs w:val="24"/>
          <w:lang w:val="sq-AL"/>
        </w:rPr>
        <w:t xml:space="preserve">E </w:t>
      </w:r>
    </w:p>
    <w:p w14:paraId="50C07CC0" w14:textId="77777777" w:rsidR="00A43DB1" w:rsidRPr="00BE1029" w:rsidRDefault="00A43DB1" w:rsidP="00A43DB1">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BE1029">
        <w:rPr>
          <w:rFonts w:ascii="Garamond" w:hAnsi="Garamond" w:cs="Times New Roman"/>
          <w:b/>
          <w:bCs/>
          <w:color w:val="000000"/>
          <w:sz w:val="24"/>
          <w:szCs w:val="24"/>
          <w:lang w:val="sq-AL"/>
        </w:rPr>
        <w:t xml:space="preserve">Praktika gjyqësore e Gjykatës Kushtetuese </w:t>
      </w:r>
    </w:p>
    <w:p w14:paraId="2DC5EED0" w14:textId="399D768F" w:rsidR="00A43DB1" w:rsidRPr="00BE1029" w:rsidRDefault="00A43DB1" w:rsidP="004548C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59. Me anë të vendimit nr. 59, të datës 23 </w:t>
      </w:r>
      <w:r w:rsidR="004548C5" w:rsidRPr="00BE1029">
        <w:rPr>
          <w:rFonts w:ascii="Garamond" w:hAnsi="Garamond" w:cs="Times New Roman"/>
          <w:color w:val="000000"/>
          <w:sz w:val="24"/>
          <w:szCs w:val="24"/>
          <w:lang w:val="sq-AL"/>
        </w:rPr>
        <w:t xml:space="preserve">dhjetor </w:t>
      </w:r>
      <w:r w:rsidRPr="00BE1029">
        <w:rPr>
          <w:rFonts w:ascii="Garamond" w:hAnsi="Garamond" w:cs="Times New Roman"/>
          <w:color w:val="000000"/>
          <w:sz w:val="24"/>
          <w:szCs w:val="24"/>
          <w:lang w:val="sq-AL"/>
        </w:rPr>
        <w:t>2014,</w:t>
      </w:r>
      <w:r w:rsidR="00BB6ABE" w:rsidRPr="00BE1029">
        <w:rPr>
          <w:rFonts w:ascii="Garamond" w:hAnsi="Garamond" w:cs="Times New Roman"/>
          <w:color w:val="000000"/>
          <w:sz w:val="24"/>
          <w:szCs w:val="24"/>
          <w:lang w:val="sq-AL"/>
        </w:rPr>
        <w:t xml:space="preserve"> </w:t>
      </w:r>
      <w:r w:rsidRPr="00BE1029">
        <w:rPr>
          <w:rFonts w:ascii="Garamond" w:hAnsi="Garamond" w:cs="Times New Roman"/>
          <w:color w:val="000000"/>
          <w:sz w:val="24"/>
          <w:szCs w:val="24"/>
          <w:lang w:val="sq-AL"/>
        </w:rPr>
        <w:t>Gjykata Kushtetuese rrëzoi ankesën e paraqitur nga një numër deputetësh, të cilët, ndër të tjera, kishin kërkuar që gjykata t’i shpallte jokushtetuese tr</w:t>
      </w:r>
      <w:r w:rsidR="004548C5">
        <w:rPr>
          <w:rFonts w:ascii="Garamond" w:hAnsi="Garamond" w:cs="Times New Roman"/>
          <w:color w:val="000000"/>
          <w:sz w:val="24"/>
          <w:szCs w:val="24"/>
          <w:lang w:val="sq-AL"/>
        </w:rPr>
        <w:t>i</w:t>
      </w:r>
      <w:r w:rsidRPr="00BE1029">
        <w:rPr>
          <w:rFonts w:ascii="Garamond" w:hAnsi="Garamond" w:cs="Times New Roman"/>
          <w:color w:val="000000"/>
          <w:sz w:val="24"/>
          <w:szCs w:val="24"/>
          <w:lang w:val="sq-AL"/>
        </w:rPr>
        <w:t xml:space="preserve"> vendimet e Parlamentit që shkarkonin nga detyra drejtuesin – dhe në vijim emëronin një drejtor të ri – e Inspektoratit të Lartë për Deklarimin dhe Kontrollin e Pasurisë dhe Konfliktet e Interesit (një organ administrativ i pavarur). Ndër të tjera, gjykata konstatoi se më shumë se</w:t>
      </w:r>
      <w:r w:rsidR="00B57054">
        <w:rPr>
          <w:rFonts w:ascii="Garamond" w:hAnsi="Garamond" w:cs="Times New Roman"/>
          <w:color w:val="000000"/>
          <w:sz w:val="24"/>
          <w:szCs w:val="24"/>
          <w:lang w:val="sq-AL"/>
        </w:rPr>
        <w:t xml:space="preserve"> </w:t>
      </w:r>
      <w:r w:rsidRPr="00BE1029">
        <w:rPr>
          <w:rFonts w:ascii="Garamond" w:hAnsi="Garamond" w:cs="Times New Roman"/>
          <w:color w:val="000000"/>
          <w:sz w:val="24"/>
          <w:szCs w:val="24"/>
          <w:lang w:val="sq-AL"/>
        </w:rPr>
        <w:t>sa akte rregullatorë, aktet e kundërshtuara kishin qenë vendime individuale</w:t>
      </w:r>
      <w:r w:rsidR="00B57054">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në lidhje me shkarkimin e një zyrtari publik; për këtë arsye, çdo vlerësim i pajtueshmërisë së tyre me Kushtetutën ishte nën juridiksionin e gjykatave administrative të zakonshme, përpara së cilave procedurat tashmë ishin ndërmarrë nga pala e interesuar. </w:t>
      </w:r>
    </w:p>
    <w:p w14:paraId="246C21CF" w14:textId="77777777"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LIGJI</w:t>
      </w:r>
    </w:p>
    <w:p w14:paraId="07A930D6" w14:textId="4FF02F62"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I.</w:t>
      </w:r>
      <w:r w:rsidR="00B57054">
        <w:rPr>
          <w:rFonts w:ascii="Garamond" w:hAnsi="Garamond" w:cs="Times New Roman"/>
          <w:color w:val="000000"/>
          <w:sz w:val="24"/>
          <w:szCs w:val="24"/>
          <w:lang w:val="sq-AL"/>
        </w:rPr>
        <w:t xml:space="preserve"> SHKELJE E PRETENDUAR E NENIT 6§</w:t>
      </w:r>
      <w:r w:rsidRPr="00BE1029">
        <w:rPr>
          <w:rFonts w:ascii="Garamond" w:hAnsi="Garamond" w:cs="Times New Roman"/>
          <w:color w:val="000000"/>
          <w:sz w:val="24"/>
          <w:szCs w:val="24"/>
          <w:lang w:val="sq-AL"/>
        </w:rPr>
        <w:t>1 TË KONVENTËS NË LIDHJE ME TË DREJTËN PËR NJË GJYKATË TË KRIJUAR ME LIGJ PËR PRANINË E L.D. NË TRUPËN E KOLEGJIT TË POSAÇËM TË APELIMIT</w:t>
      </w:r>
    </w:p>
    <w:p w14:paraId="5D11092D" w14:textId="54356C24"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60. Kërkuesi u a</w:t>
      </w:r>
      <w:r w:rsidR="00B57054">
        <w:rPr>
          <w:rFonts w:ascii="Garamond" w:hAnsi="Garamond" w:cs="Times New Roman"/>
          <w:color w:val="000000"/>
          <w:sz w:val="24"/>
          <w:szCs w:val="24"/>
          <w:lang w:val="sq-AL"/>
        </w:rPr>
        <w:t>nkua në mbështetje të nenit 6§</w:t>
      </w:r>
      <w:r w:rsidRPr="00BE1029">
        <w:rPr>
          <w:rFonts w:ascii="Garamond" w:hAnsi="Garamond" w:cs="Times New Roman"/>
          <w:color w:val="000000"/>
          <w:sz w:val="24"/>
          <w:szCs w:val="24"/>
          <w:lang w:val="sq-AL"/>
        </w:rPr>
        <w:t xml:space="preserve">1 të Konventës se të drejtat dhe detyrimet e tij civile nuk ishin përcaktuar nga një “gjykatë e krijuar me ligj”, pasi L.D. (i cili ishte ulur në trupën e KPA-së që gjykoi çështjen e kërkuesit) ishte caktuar në detyrë në shkelje të ligjit </w:t>
      </w:r>
      <w:r w:rsidR="008A55FD" w:rsidRPr="00BE1029">
        <w:rPr>
          <w:rFonts w:ascii="Garamond" w:hAnsi="Garamond" w:cs="Times New Roman"/>
          <w:color w:val="000000"/>
          <w:sz w:val="24"/>
          <w:szCs w:val="24"/>
          <w:lang w:val="sq-AL"/>
        </w:rPr>
        <w:t>vendës</w:t>
      </w:r>
      <w:r w:rsidRPr="00BE1029">
        <w:rPr>
          <w:rFonts w:ascii="Garamond" w:hAnsi="Garamond" w:cs="Times New Roman"/>
          <w:color w:val="000000"/>
          <w:sz w:val="24"/>
          <w:szCs w:val="24"/>
          <w:lang w:val="sq-AL"/>
        </w:rPr>
        <w:t xml:space="preserve">. </w:t>
      </w:r>
    </w:p>
    <w:p w14:paraId="7199F024" w14:textId="2CB4372F"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61. Pjesa përkatëse e </w:t>
      </w:r>
      <w:r w:rsidR="003B0AF9" w:rsidRPr="00BE1029">
        <w:rPr>
          <w:rFonts w:ascii="Garamond" w:hAnsi="Garamond" w:cs="Times New Roman"/>
          <w:color w:val="000000"/>
          <w:sz w:val="24"/>
          <w:szCs w:val="24"/>
          <w:lang w:val="sq-AL"/>
        </w:rPr>
        <w:t xml:space="preserve">nenit </w:t>
      </w:r>
      <w:r w:rsidR="003B0AF9">
        <w:rPr>
          <w:rFonts w:ascii="Garamond" w:hAnsi="Garamond" w:cs="Times New Roman"/>
          <w:color w:val="000000"/>
          <w:sz w:val="24"/>
          <w:szCs w:val="24"/>
          <w:lang w:val="sq-AL"/>
        </w:rPr>
        <w:t>6§</w:t>
      </w:r>
      <w:r w:rsidRPr="00BE1029">
        <w:rPr>
          <w:rFonts w:ascii="Garamond" w:hAnsi="Garamond" w:cs="Times New Roman"/>
          <w:color w:val="000000"/>
          <w:sz w:val="24"/>
          <w:szCs w:val="24"/>
          <w:lang w:val="sq-AL"/>
        </w:rPr>
        <w:t>1 të Konventës parashikon</w:t>
      </w:r>
      <w:r w:rsidR="003B0AF9">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si më poshtë:</w:t>
      </w:r>
    </w:p>
    <w:p w14:paraId="140E1A1E" w14:textId="18B5D99F"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“Çdo person ka të drejtë që çështja e tij të dëgjohet drejtësisht, publikisht dhe brenda një afati të arsyeshëm nga një gjykatë e pavarur dhe e paanshme, e krijuar me ligj, e cila do të vendosë si për mosmarrëveshjet në lidhje me të drejtat dhe detyrimet e tij të natyrës civile, ashtu edhe për bazueshmërinë e çdo akuze penale në ngarkim të tij.”</w:t>
      </w:r>
      <w:r w:rsidR="003B0AF9">
        <w:rPr>
          <w:rFonts w:ascii="Garamond" w:hAnsi="Garamond" w:cs="Times New Roman"/>
          <w:color w:val="000000"/>
          <w:sz w:val="24"/>
          <w:szCs w:val="24"/>
          <w:lang w:val="sq-AL"/>
        </w:rPr>
        <w:t>.</w:t>
      </w:r>
    </w:p>
    <w:p w14:paraId="0A80FA45" w14:textId="7D5543D6" w:rsidR="00A43DB1" w:rsidRPr="00BE1029" w:rsidRDefault="00A43DB1" w:rsidP="00A43DB1">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BE1029">
        <w:rPr>
          <w:rFonts w:ascii="Garamond" w:hAnsi="Garamond" w:cs="Times New Roman"/>
          <w:b/>
          <w:bCs/>
          <w:color w:val="000000"/>
          <w:sz w:val="24"/>
          <w:szCs w:val="24"/>
          <w:lang w:val="sq-AL"/>
        </w:rPr>
        <w:t xml:space="preserve">A. Pranueshmëria </w:t>
      </w:r>
    </w:p>
    <w:p w14:paraId="5A236591" w14:textId="03A41079" w:rsidR="00A43DB1" w:rsidRPr="00BE1029" w:rsidRDefault="00A43DB1" w:rsidP="00A43DB1">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BE1029">
        <w:rPr>
          <w:rFonts w:ascii="Garamond" w:hAnsi="Garamond" w:cs="Times New Roman"/>
          <w:i/>
          <w:iCs/>
          <w:color w:val="000000"/>
          <w:sz w:val="24"/>
          <w:szCs w:val="24"/>
          <w:lang w:val="sq-AL"/>
        </w:rPr>
        <w:t>1. Parashtrimet e palëve</w:t>
      </w:r>
    </w:p>
    <w:p w14:paraId="5B9923E6" w14:textId="187A8855" w:rsidR="00A43DB1" w:rsidRPr="00BE1029" w:rsidRDefault="00A43DB1" w:rsidP="00C1145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62. Qeveria parashtroi</w:t>
      </w:r>
      <w:r w:rsidR="007C2F60">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se sipas praktikës gjyqësore të mirëpërcaktuar të Gjykatës Kushtetuese (shih paragrafin 59 më sipër), kushtetu</w:t>
      </w:r>
      <w:r w:rsidR="00C11451">
        <w:rPr>
          <w:rFonts w:ascii="Garamond" w:hAnsi="Garamond" w:cs="Times New Roman"/>
          <w:color w:val="000000"/>
          <w:sz w:val="24"/>
          <w:szCs w:val="24"/>
          <w:lang w:val="sq-AL"/>
        </w:rPr>
        <w:t>të</w:t>
      </w:r>
      <w:r w:rsidRPr="00BE1029">
        <w:rPr>
          <w:rFonts w:ascii="Garamond" w:hAnsi="Garamond" w:cs="Times New Roman"/>
          <w:color w:val="000000"/>
          <w:sz w:val="24"/>
          <w:szCs w:val="24"/>
          <w:lang w:val="sq-AL"/>
        </w:rPr>
        <w:t xml:space="preserve">shmëria e akteve (jo rregullatorë) individual – duke përfshirë vendimin e Parlamentit për emërimin e anëtarit konkret të KPA-së në çështjen e ankuesit – duhej të ishte kundërshtuar në gjykatat administrative të zakonshme në vend që të kundërshtohej në </w:t>
      </w:r>
      <w:r w:rsidRPr="00BE1029">
        <w:rPr>
          <w:rFonts w:ascii="Garamond" w:hAnsi="Garamond" w:cs="Times New Roman"/>
          <w:color w:val="000000"/>
          <w:sz w:val="24"/>
          <w:szCs w:val="24"/>
          <w:lang w:val="sq-AL"/>
        </w:rPr>
        <w:lastRenderedPageBreak/>
        <w:t xml:space="preserve">Gjykatën Kushtetuese. Duke qenë se ankuesi nuk i kishte ndërmarrë këto procedura, sipas këndvështrimit të Qeverisë, ai nuk kishte shteruar mjete e disponueshme </w:t>
      </w:r>
      <w:r w:rsidR="008A55FD" w:rsidRPr="00BE1029">
        <w:rPr>
          <w:rFonts w:ascii="Garamond" w:hAnsi="Garamond" w:cs="Times New Roman"/>
          <w:color w:val="000000"/>
          <w:sz w:val="24"/>
          <w:szCs w:val="24"/>
          <w:lang w:val="sq-AL"/>
        </w:rPr>
        <w:t>vendës</w:t>
      </w:r>
      <w:r w:rsidRPr="00BE1029">
        <w:rPr>
          <w:rFonts w:ascii="Garamond" w:hAnsi="Garamond" w:cs="Times New Roman"/>
          <w:color w:val="000000"/>
          <w:sz w:val="24"/>
          <w:szCs w:val="24"/>
          <w:lang w:val="sq-AL"/>
        </w:rPr>
        <w:t>e.</w:t>
      </w:r>
      <w:r w:rsidR="00BB6ABE" w:rsidRPr="00BE1029">
        <w:rPr>
          <w:rFonts w:ascii="Garamond" w:hAnsi="Garamond" w:cs="Times New Roman"/>
          <w:color w:val="000000"/>
          <w:sz w:val="24"/>
          <w:szCs w:val="24"/>
          <w:lang w:val="sq-AL"/>
        </w:rPr>
        <w:t xml:space="preserve"> </w:t>
      </w:r>
    </w:p>
    <w:p w14:paraId="1D0317D5" w14:textId="42F25730"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63. Gjithashtu, Qeveria deklaronte se ankesa e kërkuesit ishte haptazi e pambështetur.</w:t>
      </w:r>
      <w:r w:rsidR="00BB6ABE" w:rsidRPr="00BE1029">
        <w:rPr>
          <w:rFonts w:ascii="Garamond" w:hAnsi="Garamond" w:cs="Times New Roman"/>
          <w:color w:val="000000"/>
          <w:sz w:val="24"/>
          <w:szCs w:val="24"/>
          <w:lang w:val="sq-AL"/>
        </w:rPr>
        <w:t xml:space="preserve"> </w:t>
      </w:r>
    </w:p>
    <w:p w14:paraId="1AB601BA" w14:textId="7EDE0B4B"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64. Ankuesi parashtroi se ai i kishte shteruar të gjitha mjetet e disponueshme </w:t>
      </w:r>
      <w:r w:rsidR="008A55FD" w:rsidRPr="00BE1029">
        <w:rPr>
          <w:rFonts w:ascii="Garamond" w:hAnsi="Garamond" w:cs="Times New Roman"/>
          <w:color w:val="000000"/>
          <w:sz w:val="24"/>
          <w:szCs w:val="24"/>
          <w:lang w:val="sq-AL"/>
        </w:rPr>
        <w:t>vendës</w:t>
      </w:r>
      <w:r w:rsidRPr="00BE1029">
        <w:rPr>
          <w:rFonts w:ascii="Garamond" w:hAnsi="Garamond" w:cs="Times New Roman"/>
          <w:color w:val="000000"/>
          <w:sz w:val="24"/>
          <w:szCs w:val="24"/>
          <w:lang w:val="sq-AL"/>
        </w:rPr>
        <w:t>e duke ngritur më herët në mënyrë të veçantë çështjen e emërimit të paligjshëm të gjyqtarit L.D., respektivisht në KPA dhe në Gjykatën Kushtetuese, ku të dyja kishin refuzuar të shqyrtonin pretendimet e tij. Ai argumentoi se gjykatat administrative nuk kishin juridiksion për të vendosur nëse një gjyqtar ishte caktuar në KPA</w:t>
      </w:r>
      <w:r w:rsidR="0038204E">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në përputhje me ligjin, dhe theksoi se praktika gjyqësore kushtetuese, e cituar nga Qeveria konkrete, kishte lidhje me një kundërshtim ndaj emërimit të një zyrtari të një organi administrativ, dhe për këtë arsye nuk kishte lidhje me çështjen konkrete. </w:t>
      </w:r>
    </w:p>
    <w:p w14:paraId="1472D758" w14:textId="3CFE23A6" w:rsidR="00A43DB1" w:rsidRPr="00BE1029" w:rsidRDefault="00A43DB1" w:rsidP="00A43DB1">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BE1029">
        <w:rPr>
          <w:rFonts w:ascii="Garamond" w:hAnsi="Garamond" w:cs="Times New Roman"/>
          <w:i/>
          <w:iCs/>
          <w:color w:val="000000"/>
          <w:sz w:val="24"/>
          <w:szCs w:val="24"/>
          <w:lang w:val="sq-AL"/>
        </w:rPr>
        <w:t>2. Vlerësimi i Gjykatës</w:t>
      </w:r>
    </w:p>
    <w:p w14:paraId="0F44BD3D" w14:textId="2DD351B0"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65. Paraprakisht, palët nuk kundërshtuan, dhe Gjykata dakordësohet se </w:t>
      </w:r>
      <w:r w:rsidR="0038204E" w:rsidRPr="00BE1029">
        <w:rPr>
          <w:rFonts w:ascii="Garamond" w:hAnsi="Garamond" w:cs="Times New Roman"/>
          <w:color w:val="000000"/>
          <w:sz w:val="24"/>
          <w:szCs w:val="24"/>
          <w:lang w:val="sq-AL"/>
        </w:rPr>
        <w:t xml:space="preserve">neni </w:t>
      </w:r>
      <w:r w:rsidRPr="00BE1029">
        <w:rPr>
          <w:rFonts w:ascii="Garamond" w:hAnsi="Garamond" w:cs="Times New Roman"/>
          <w:color w:val="000000"/>
          <w:sz w:val="24"/>
          <w:szCs w:val="24"/>
          <w:lang w:val="sq-AL"/>
        </w:rPr>
        <w:t xml:space="preserve">6 § 1 i Konventës zbatohet në këtë aspekt civil të procedurave për rivlerësimin e ankuesit (shih </w:t>
      </w:r>
      <w:r w:rsidRPr="00BE1029">
        <w:rPr>
          <w:rFonts w:ascii="Garamond" w:hAnsi="Garamond" w:cs="Times New Roman"/>
          <w:i/>
          <w:iCs/>
          <w:color w:val="000000"/>
          <w:sz w:val="24"/>
          <w:szCs w:val="24"/>
          <w:lang w:val="sq-AL"/>
        </w:rPr>
        <w:t xml:space="preserve">Xhoxhaj kundër Shqipërisë, </w:t>
      </w:r>
      <w:r w:rsidRPr="00BE1029">
        <w:rPr>
          <w:rFonts w:ascii="Garamond" w:hAnsi="Garamond" w:cs="Times New Roman"/>
          <w:color w:val="000000"/>
          <w:sz w:val="24"/>
          <w:szCs w:val="24"/>
          <w:lang w:val="sq-AL"/>
        </w:rPr>
        <w:t xml:space="preserve">nr. 15227/19, § 9 </w:t>
      </w:r>
      <w:r w:rsidR="0038204E" w:rsidRPr="00BE1029">
        <w:rPr>
          <w:rFonts w:ascii="Garamond" w:hAnsi="Garamond" w:cs="Times New Roman"/>
          <w:color w:val="000000"/>
          <w:sz w:val="24"/>
          <w:szCs w:val="24"/>
          <w:lang w:val="sq-AL"/>
        </w:rPr>
        <w:t xml:space="preserve">shkurt </w:t>
      </w:r>
      <w:r w:rsidRPr="00BE1029">
        <w:rPr>
          <w:rFonts w:ascii="Garamond" w:hAnsi="Garamond" w:cs="Times New Roman"/>
          <w:color w:val="000000"/>
          <w:sz w:val="24"/>
          <w:szCs w:val="24"/>
          <w:lang w:val="sq-AL"/>
        </w:rPr>
        <w:t xml:space="preserve">2021). </w:t>
      </w:r>
    </w:p>
    <w:p w14:paraId="5B1C89ED" w14:textId="242F16DB"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66. Për t’u kthyer te shterimi i mjeteve </w:t>
      </w:r>
      <w:r w:rsidR="008A55FD" w:rsidRPr="00BE1029">
        <w:rPr>
          <w:rFonts w:ascii="Garamond" w:hAnsi="Garamond" w:cs="Times New Roman"/>
          <w:color w:val="000000"/>
          <w:sz w:val="24"/>
          <w:szCs w:val="24"/>
          <w:lang w:val="sq-AL"/>
        </w:rPr>
        <w:t>vendës</w:t>
      </w:r>
      <w:r w:rsidRPr="00BE1029">
        <w:rPr>
          <w:rFonts w:ascii="Garamond" w:hAnsi="Garamond" w:cs="Times New Roman"/>
          <w:color w:val="000000"/>
          <w:sz w:val="24"/>
          <w:szCs w:val="24"/>
          <w:lang w:val="sq-AL"/>
        </w:rPr>
        <w:t xml:space="preserve">e, Gjykata përsërit se rregulli referuar në </w:t>
      </w:r>
      <w:r w:rsidR="0038204E" w:rsidRPr="00BE1029">
        <w:rPr>
          <w:rFonts w:ascii="Garamond" w:hAnsi="Garamond" w:cs="Times New Roman"/>
          <w:color w:val="000000"/>
          <w:sz w:val="24"/>
          <w:szCs w:val="24"/>
          <w:lang w:val="sq-AL"/>
        </w:rPr>
        <w:t xml:space="preserve">nenin </w:t>
      </w:r>
      <w:r w:rsidRPr="00BE1029">
        <w:rPr>
          <w:rFonts w:ascii="Garamond" w:hAnsi="Garamond" w:cs="Times New Roman"/>
          <w:color w:val="000000"/>
          <w:sz w:val="24"/>
          <w:szCs w:val="24"/>
          <w:lang w:val="sq-AL"/>
        </w:rPr>
        <w:t xml:space="preserve">35 § 1 të Konventës i detyron personat që kërkojnë të paraqesin një çështje kundër Shtetit përpara një organi gjyqësor ndërkombëtar të përdorin fillimisht mjetet e garantuara nga sistemi ligjor kombëtar, duke i përjashtuar </w:t>
      </w:r>
      <w:r w:rsidRPr="00843B55">
        <w:rPr>
          <w:rFonts w:ascii="Garamond" w:hAnsi="Garamond" w:cs="Times New Roman"/>
          <w:color w:val="000000"/>
          <w:sz w:val="24"/>
          <w:szCs w:val="24"/>
          <w:lang w:val="sq-AL"/>
        </w:rPr>
        <w:t>Shtetet,</w:t>
      </w:r>
      <w:r w:rsidRPr="00BE1029">
        <w:rPr>
          <w:rFonts w:ascii="Garamond" w:hAnsi="Garamond" w:cs="Times New Roman"/>
          <w:color w:val="000000"/>
          <w:sz w:val="24"/>
          <w:szCs w:val="24"/>
          <w:lang w:val="sq-AL"/>
        </w:rPr>
        <w:t xml:space="preserve"> në këtë mënyrë, nga detyrimi që të përgjigjen përpara një organi ndërkombëtar për aktet e tyre përpara se të kenë përdorur mundësinë për t’i zgjidhur çështjet në mënyrën e duhur në sistemet e tyre ligjore. Për të respektuar rregullin, një ankuesi i duhet ofruar rekursi i zakonshëm ndaj mjeteve që janë të disponueshme dhe të mjaftueshme për të përballuar zgjidhjen për shkeljet e pretenduara. Ekzistenca e mjeteve konkrete duhet të jetë mjaftueshëm e sigurt jo vetëm në teori, por edhe në praktikë, pasi në të kundërt atyre do t’iu mungojë aksesueshmëria dhe efikasiteti i nevojshëm (shih </w:t>
      </w:r>
      <w:r w:rsidRPr="00BE1029">
        <w:rPr>
          <w:rFonts w:ascii="Garamond" w:hAnsi="Garamond" w:cs="Times New Roman"/>
          <w:i/>
          <w:iCs/>
          <w:color w:val="000000"/>
          <w:sz w:val="24"/>
          <w:szCs w:val="24"/>
          <w:lang w:val="sq-AL"/>
        </w:rPr>
        <w:t xml:space="preserve">Vučković dhe të </w:t>
      </w:r>
      <w:r w:rsidRPr="00843B55">
        <w:rPr>
          <w:rFonts w:ascii="Garamond" w:hAnsi="Garamond" w:cs="Times New Roman"/>
          <w:i/>
          <w:iCs/>
          <w:color w:val="000000"/>
          <w:sz w:val="24"/>
          <w:szCs w:val="24"/>
          <w:lang w:val="sq-AL"/>
        </w:rPr>
        <w:t>Tjerët</w:t>
      </w:r>
      <w:r w:rsidRPr="00BE1029">
        <w:rPr>
          <w:rFonts w:ascii="Garamond" w:hAnsi="Garamond" w:cs="Times New Roman"/>
          <w:i/>
          <w:iCs/>
          <w:color w:val="000000"/>
          <w:sz w:val="24"/>
          <w:szCs w:val="24"/>
          <w:lang w:val="sq-AL"/>
        </w:rPr>
        <w:t xml:space="preserve"> kundër Serbisë</w:t>
      </w:r>
      <w:r w:rsidRPr="00BE1029">
        <w:rPr>
          <w:rFonts w:ascii="Garamond" w:hAnsi="Garamond" w:cs="Times New Roman"/>
          <w:color w:val="000000"/>
          <w:sz w:val="24"/>
          <w:szCs w:val="24"/>
          <w:lang w:val="sq-AL"/>
        </w:rPr>
        <w:t xml:space="preserve"> (kundërshtimi paraprak) [DHM], nr. 17165/11 dhe 29 të tjerë, § 70, 25 </w:t>
      </w:r>
      <w:r w:rsidR="0038204E" w:rsidRPr="00BE1029">
        <w:rPr>
          <w:rFonts w:ascii="Garamond" w:hAnsi="Garamond" w:cs="Times New Roman"/>
          <w:color w:val="000000"/>
          <w:sz w:val="24"/>
          <w:szCs w:val="24"/>
          <w:lang w:val="sq-AL"/>
        </w:rPr>
        <w:t xml:space="preserve">mars </w:t>
      </w:r>
      <w:r w:rsidRPr="00BE1029">
        <w:rPr>
          <w:rFonts w:ascii="Garamond" w:hAnsi="Garamond" w:cs="Times New Roman"/>
          <w:color w:val="000000"/>
          <w:sz w:val="24"/>
          <w:szCs w:val="24"/>
          <w:lang w:val="sq-AL"/>
        </w:rPr>
        <w:t>2014).</w:t>
      </w:r>
    </w:p>
    <w:p w14:paraId="70E42ED9" w14:textId="3FABB1A7"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67. Është përgjegjësia e Qeverisë që pretendon mosshterimin për t’i provuar Gjykatës së mjeti ishte efektiv, i disponueshëm në teori dhe në praktikë në periudhën përkatëse. Pasi një barrë e tillë të jetë provuar, i mbetet ankuesit të provojë se mjeti i garantuar nga Qeveria faktiki</w:t>
      </w:r>
      <w:r w:rsidR="0038204E">
        <w:rPr>
          <w:rFonts w:ascii="Garamond" w:hAnsi="Garamond" w:cs="Times New Roman"/>
          <w:color w:val="000000"/>
          <w:sz w:val="24"/>
          <w:szCs w:val="24"/>
          <w:lang w:val="sq-AL"/>
        </w:rPr>
        <w:t>sht u shterua</w:t>
      </w:r>
      <w:r w:rsidRPr="00BE1029">
        <w:rPr>
          <w:rFonts w:ascii="Garamond" w:hAnsi="Garamond" w:cs="Times New Roman"/>
          <w:color w:val="000000"/>
          <w:sz w:val="24"/>
          <w:szCs w:val="24"/>
          <w:lang w:val="sq-AL"/>
        </w:rPr>
        <w:t xml:space="preserve"> ose se për disa arsye të caktuar</w:t>
      </w:r>
      <w:r w:rsidR="0038204E">
        <w:rPr>
          <w:rFonts w:ascii="Garamond" w:hAnsi="Garamond" w:cs="Times New Roman"/>
          <w:color w:val="000000"/>
          <w:sz w:val="24"/>
          <w:szCs w:val="24"/>
          <w:lang w:val="sq-AL"/>
        </w:rPr>
        <w:t>a ishte i papërshtatshëm dhe jo</w:t>
      </w:r>
      <w:r w:rsidRPr="00BE1029">
        <w:rPr>
          <w:rFonts w:ascii="Garamond" w:hAnsi="Garamond" w:cs="Times New Roman"/>
          <w:color w:val="000000"/>
          <w:sz w:val="24"/>
          <w:szCs w:val="24"/>
          <w:lang w:val="sq-AL"/>
        </w:rPr>
        <w:t>efektiv në rrethanat konkretet të çështjes, apo se ekzistonin rrethana të veçanta që e çlironin atë nga kjo kërkesë (po aty, § 77).</w:t>
      </w:r>
    </w:p>
    <w:p w14:paraId="7CE62E4B" w14:textId="2B39A3F7"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68. Duke u kthyer në çështjen konkrete, Gjykata vëren se Qeveria nuk iu përgjigj pretendimit specifik të ankuesit se nuk i takonte një gjykate administrative të shkallës së parë që të vendoste për ligjshmërinë e emërimit të një gjyqtari në KPA, një prej gjykatave më të larta në vend. Gjykata ndan dyshimet e ankuesit për këtë aspekt. </w:t>
      </w:r>
    </w:p>
    <w:p w14:paraId="258AF001" w14:textId="7CDCBFC3"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69. Sido që të jetë, Gjykata bie dakord me argumentin e ankuesit se praktika gjyqësore tek e cila u mbështet Qeveria nuk duket të jetë e përshtatshme për sa i përkiste shkarkimit nga detyra dhe emërimit nga Parlamenti të një zyrtari të një organi administrativ, ndërsa ankesa e kërkuesit kishte të bënte me një gjyqtar të KPA-së, i cili është një organ gjyqësor dhe kushtetues (shih paragrafin 59 më sipër), gjyqtarët e të cilit kanë statusin e gjyqtarëve të Gjykatës Kushtetuese (shih paragrafin 47 më sipër). Për më tepër, Qeveria nuk citonte ndonjë vendim të dhënë nga një gjykatë administrative e shkallës së parë që të kishte shërbyer si një mjet efektiv në situatat e krahasueshme me atë të ankuesit. </w:t>
      </w:r>
    </w:p>
    <w:p w14:paraId="5E261A79" w14:textId="652D8AF1"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70. Më i rëndësishëm është fakti se Gjykata vëren që KPA dhe Gjykata Kushtetuese – përpara së cilave ankuesi paraqiti procedurat për këtë çështje, dhe të cilat kishin, në këtë mënyrë, mundësinë të zbatonin praktikën gjyqësore të cituar nga Qeveria</w:t>
      </w:r>
      <w:r w:rsidR="0038204E">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e cila pretendohej të ishte e mirëpërcaktuar – nuk iu referuan asaj jurisprudence apo gjykatës administrative të shkallës së parë si një mjet që mund të përdorej nga ankuesi. Qeveria nuk identifikoi as ndonjë çështje për mosshterim</w:t>
      </w:r>
      <w:r w:rsidR="0038204E">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në lidhje me veprimet e ankuesit. </w:t>
      </w:r>
    </w:p>
    <w:p w14:paraId="76D27210" w14:textId="32DA569C"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lastRenderedPageBreak/>
        <w:t xml:space="preserve">71. Përkundrazi, një nga arsyet referuar nga Gjykata Kushtetuese në kundërshtimin e ankesës së kërkuesit ishte se e drejta e kërkuesit për një “gjykatë të krijuar me ligj” garantohej gjatë procesit të rivlerësimit të kryer përpara dhe nga KPA (shih §§ 21 dhe 24 të vendimit të Gjykatës Kushtetuese të paraqitur në paragrafin 43 më sipër), juridiksioni ekskluziv i së cilës e hoqi çështjen nga juridiksioni i zakonshëm i Gjykatës Kushtetuese. Ky përfundim i Gjykatës Kushtetuese vë në dyshim qëndrimin e Qeverisë se ankesa e kërkuesit në lidhje me të drejtën e tij për një “gjykatë të krijuar me ligj” ishte nën juridiksionin e gjykatave administrative. </w:t>
      </w:r>
    </w:p>
    <w:p w14:paraId="026ED56A" w14:textId="1F867A23"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72. Në lidhje me rrethanat, Gjykata nuk mundet të ndjekë pretendimin e Qeverisë se gjykata administrative e shkallës së parë ishte një mjet efektiv për sa i përkiste kundërshtimit të kërkuesit për emërimin e L.D. në KPA (shih paragrafin 67 më sipër). </w:t>
      </w:r>
    </w:p>
    <w:p w14:paraId="70FDF1E3" w14:textId="2B26C6B6"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73. Për sa më sipër, pretendimi i Qeverisë për mosshfrytëzim rrëzohet. </w:t>
      </w:r>
    </w:p>
    <w:p w14:paraId="59357C04" w14:textId="7E88CBFD"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74. Gjykata vëren se kjo ankesë nuk është as haptazi e pambështetur dhe as e papranueshme</w:t>
      </w:r>
      <w:r w:rsidR="00420FA8">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sipas arsyeve të listuara në </w:t>
      </w:r>
      <w:r w:rsidR="00420FA8" w:rsidRPr="00BE1029">
        <w:rPr>
          <w:rFonts w:ascii="Garamond" w:hAnsi="Garamond" w:cs="Times New Roman"/>
          <w:color w:val="000000"/>
          <w:sz w:val="24"/>
          <w:szCs w:val="24"/>
          <w:lang w:val="sq-AL"/>
        </w:rPr>
        <w:t xml:space="preserve">nenin </w:t>
      </w:r>
      <w:r w:rsidRPr="00BE1029">
        <w:rPr>
          <w:rFonts w:ascii="Garamond" w:hAnsi="Garamond" w:cs="Times New Roman"/>
          <w:color w:val="000000"/>
          <w:sz w:val="24"/>
          <w:szCs w:val="24"/>
          <w:lang w:val="sq-AL"/>
        </w:rPr>
        <w:t xml:space="preserve">35 të Konventës. Për këtë arsye, ajo duhet të shpallet e pranueshme. </w:t>
      </w:r>
    </w:p>
    <w:p w14:paraId="78FBF8E6" w14:textId="28B311E7" w:rsidR="00A43DB1" w:rsidRPr="00BE1029" w:rsidRDefault="00A43DB1" w:rsidP="00A43DB1">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BE1029">
        <w:rPr>
          <w:rFonts w:ascii="Garamond" w:hAnsi="Garamond" w:cs="Times New Roman"/>
          <w:b/>
          <w:bCs/>
          <w:color w:val="000000"/>
          <w:sz w:val="24"/>
          <w:szCs w:val="24"/>
          <w:lang w:val="sq-AL"/>
        </w:rPr>
        <w:t xml:space="preserve">B. Meritat </w:t>
      </w:r>
    </w:p>
    <w:p w14:paraId="11C96532" w14:textId="5CEFC6E4" w:rsidR="00A43DB1" w:rsidRPr="00BE1029" w:rsidRDefault="00A43DB1" w:rsidP="00A43DB1">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BE1029">
        <w:rPr>
          <w:rFonts w:ascii="Garamond" w:hAnsi="Garamond" w:cs="Times New Roman"/>
          <w:i/>
          <w:iCs/>
          <w:color w:val="000000"/>
          <w:sz w:val="24"/>
          <w:szCs w:val="24"/>
          <w:lang w:val="sq-AL"/>
        </w:rPr>
        <w:t>1. Parashtrimet e palëve</w:t>
      </w:r>
    </w:p>
    <w:p w14:paraId="71250E40" w14:textId="18424508" w:rsidR="00A43DB1" w:rsidRPr="00BE1029" w:rsidRDefault="00A43DB1" w:rsidP="00A43DB1">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BE1029">
        <w:rPr>
          <w:rFonts w:ascii="Garamond" w:hAnsi="Garamond" w:cs="Times New Roman"/>
          <w:b/>
          <w:bCs/>
          <w:color w:val="000000"/>
          <w:sz w:val="24"/>
          <w:szCs w:val="24"/>
          <w:lang w:val="sq-AL"/>
        </w:rPr>
        <w:t xml:space="preserve">a) Kërkuesi </w:t>
      </w:r>
    </w:p>
    <w:p w14:paraId="6D063119" w14:textId="20AFF9E9"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75. Kërkuesi parashtroi se trupa e KPA-së e cila kishte shqyrtuar çështjen e tij nuk përbënte një “gjykatë të krijuar me ligj”</w:t>
      </w:r>
      <w:r w:rsidR="007F21F6">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sipas kuptimit të </w:t>
      </w:r>
      <w:r w:rsidR="007F21F6" w:rsidRPr="00BE1029">
        <w:rPr>
          <w:rFonts w:ascii="Garamond" w:hAnsi="Garamond" w:cs="Times New Roman"/>
          <w:color w:val="000000"/>
          <w:sz w:val="24"/>
          <w:szCs w:val="24"/>
          <w:lang w:val="sq-AL"/>
        </w:rPr>
        <w:t xml:space="preserve">nenit </w:t>
      </w:r>
      <w:r w:rsidRPr="00BE1029">
        <w:rPr>
          <w:rFonts w:ascii="Garamond" w:hAnsi="Garamond" w:cs="Times New Roman"/>
          <w:color w:val="000000"/>
          <w:sz w:val="24"/>
          <w:szCs w:val="24"/>
          <w:lang w:val="sq-AL"/>
        </w:rPr>
        <w:t xml:space="preserve">6 § 1 të Konventës, pasi njëri prej gjyqtarëve, më konkretisht L.D., nuk kishte përmbushur kushtet statutore të përzgjedhshmërisë për t’u emëruar në KPA si gjyqtar. </w:t>
      </w:r>
    </w:p>
    <w:p w14:paraId="21966F70" w14:textId="4D819F06"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76. Veçanërisht, </w:t>
      </w:r>
      <w:r w:rsidR="007F21F6">
        <w:rPr>
          <w:rFonts w:ascii="Garamond" w:hAnsi="Garamond" w:cs="Times New Roman"/>
          <w:color w:val="000000"/>
          <w:sz w:val="24"/>
          <w:szCs w:val="24"/>
          <w:lang w:val="sq-AL"/>
        </w:rPr>
        <w:t>ankuesi parashtroi se neni 6(1)</w:t>
      </w:r>
      <w:r w:rsidRPr="00BE1029">
        <w:rPr>
          <w:rFonts w:ascii="Garamond" w:hAnsi="Garamond" w:cs="Times New Roman"/>
          <w:color w:val="000000"/>
          <w:sz w:val="24"/>
          <w:szCs w:val="24"/>
          <w:lang w:val="sq-AL"/>
        </w:rPr>
        <w:t xml:space="preserve">(dh) i </w:t>
      </w:r>
      <w:r w:rsidR="007F21F6" w:rsidRPr="00BE1029">
        <w:rPr>
          <w:rFonts w:ascii="Garamond" w:hAnsi="Garamond" w:cs="Times New Roman"/>
          <w:color w:val="000000"/>
          <w:sz w:val="24"/>
          <w:szCs w:val="24"/>
          <w:lang w:val="sq-AL"/>
        </w:rPr>
        <w:t xml:space="preserve">ligjit për rivlerësimin </w:t>
      </w:r>
      <w:r w:rsidRPr="00BE1029">
        <w:rPr>
          <w:rFonts w:ascii="Garamond" w:hAnsi="Garamond" w:cs="Times New Roman"/>
          <w:color w:val="000000"/>
          <w:sz w:val="24"/>
          <w:szCs w:val="24"/>
          <w:lang w:val="sq-AL"/>
        </w:rPr>
        <w:t>parashikonte se kandidatët</w:t>
      </w:r>
      <w:r w:rsidR="007F21F6">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të cilët ishin shkarkuar më herët nga detyra nuk mund të emëroheshin si gjyqtarë të KPA-së; për këtë arsye, L.D. i cili ishte shkarkuar nga detyra si gjyqtar i Gjykatës së Rrethit Tiranë në vitin 1997 nuk e kishte përmbushur atë kusht dhe për pasojë, ishte emëruar në shkelje të ligjit. </w:t>
      </w:r>
    </w:p>
    <w:p w14:paraId="233DF022" w14:textId="00BE76BC"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77. Për më tepër, ankuesi parashtronte se L.D. nuk kishte përmbushur një numër kriteresh të tjera për përzgjedhshmërinë</w:t>
      </w:r>
      <w:r w:rsidR="007F21F6">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në lidhje me kohëzgjatjen e eksperiencës së tij profesionale, notën mesatare që kishte arritur gjatë studimeve të tij në drejtësi, gradat akademike dhe njohuritë në gjuhën angleze. </w:t>
      </w:r>
    </w:p>
    <w:p w14:paraId="1A321707" w14:textId="51E38D11"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78. Për sa më sipër, ankuesi argumentonte se Avokati i Popullit dhe Parlamenti duhet t’i kishin kontrolluar kandidatët për KPA me më shumë kujdes dhe duhet të ishin siguruar se të gjithë anëtarët e KPA-së kishin një nivel të lartë të integritetit moral dhe profesional, për shkak të pushtetit të tyre për të vendosur në lidhje me ndërprerjen e karrierave të magjistratëve të cilët kishin shërbyer për shumë vite në sistemin e drejtësisë. Sipas opinionit të ankuesit, kjo ishte e vetmja mënyrë për të garantuar se procesi i rivlerësimit ishte i ligjshëm dhe i besueshëm në sytë e publikut dhe të magjistratëve. </w:t>
      </w:r>
    </w:p>
    <w:p w14:paraId="3302F0A4" w14:textId="415EF73B"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b/>
          <w:bCs/>
          <w:color w:val="000000"/>
          <w:sz w:val="24"/>
          <w:szCs w:val="24"/>
          <w:lang w:val="sq-AL"/>
        </w:rPr>
        <w:t xml:space="preserve">b) Qeveria </w:t>
      </w:r>
    </w:p>
    <w:p w14:paraId="4A0695B9" w14:textId="18C93B69"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79.</w:t>
      </w:r>
      <w:r w:rsidR="00BB6ABE" w:rsidRPr="00BE1029">
        <w:rPr>
          <w:rFonts w:ascii="Garamond" w:hAnsi="Garamond" w:cs="Times New Roman"/>
          <w:color w:val="000000"/>
          <w:sz w:val="24"/>
          <w:szCs w:val="24"/>
          <w:lang w:val="sq-AL"/>
        </w:rPr>
        <w:t xml:space="preserve"> </w:t>
      </w:r>
      <w:r w:rsidRPr="00BE1029">
        <w:rPr>
          <w:rFonts w:ascii="Garamond" w:hAnsi="Garamond" w:cs="Times New Roman"/>
          <w:color w:val="000000"/>
          <w:sz w:val="24"/>
          <w:szCs w:val="24"/>
          <w:lang w:val="sq-AL"/>
        </w:rPr>
        <w:t xml:space="preserve">Qeveria kundërshtoi pohimin e ankuesit se kishte pasur një shkelje të kërkesës për një “gjykatë të krijuar me ligj” në përputhje me </w:t>
      </w:r>
      <w:r w:rsidR="007C0063" w:rsidRPr="00BE1029">
        <w:rPr>
          <w:rFonts w:ascii="Garamond" w:hAnsi="Garamond" w:cs="Times New Roman"/>
          <w:color w:val="000000"/>
          <w:sz w:val="24"/>
          <w:szCs w:val="24"/>
          <w:lang w:val="sq-AL"/>
        </w:rPr>
        <w:t xml:space="preserve">nenin </w:t>
      </w:r>
      <w:r w:rsidRPr="00BE1029">
        <w:rPr>
          <w:rFonts w:ascii="Garamond" w:hAnsi="Garamond" w:cs="Times New Roman"/>
          <w:color w:val="000000"/>
          <w:sz w:val="24"/>
          <w:szCs w:val="24"/>
          <w:lang w:val="sq-AL"/>
        </w:rPr>
        <w:t xml:space="preserve">6 § 1 të Konventës. </w:t>
      </w:r>
    </w:p>
    <w:p w14:paraId="79AAA74E" w14:textId="1245284B"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80. Qeveri argumentoi se duke qenë se L.D. kishte fshehur faktin se ai nuk kishte përmbushur </w:t>
      </w:r>
      <w:r w:rsidRPr="00BB4ECC">
        <w:rPr>
          <w:rFonts w:ascii="Garamond" w:hAnsi="Garamond" w:cs="Times New Roman"/>
          <w:color w:val="000000"/>
          <w:sz w:val="24"/>
          <w:szCs w:val="24"/>
          <w:lang w:val="sq-AL"/>
        </w:rPr>
        <w:t>kriteret e për</w:t>
      </w:r>
      <w:r w:rsidR="004F0590" w:rsidRPr="00BB4ECC">
        <w:rPr>
          <w:rFonts w:ascii="Garamond" w:hAnsi="Garamond" w:cs="Times New Roman"/>
          <w:color w:val="000000"/>
          <w:sz w:val="24"/>
          <w:szCs w:val="24"/>
          <w:lang w:val="sq-AL"/>
        </w:rPr>
        <w:t>z</w:t>
      </w:r>
      <w:r w:rsidRPr="00BB4ECC">
        <w:rPr>
          <w:rFonts w:ascii="Garamond" w:hAnsi="Garamond" w:cs="Times New Roman"/>
          <w:color w:val="000000"/>
          <w:sz w:val="24"/>
          <w:szCs w:val="24"/>
          <w:lang w:val="sq-AL"/>
        </w:rPr>
        <w:t>gjedhshmërisë</w:t>
      </w:r>
      <w:r w:rsidRPr="00BE1029">
        <w:rPr>
          <w:rFonts w:ascii="Garamond" w:hAnsi="Garamond" w:cs="Times New Roman"/>
          <w:color w:val="000000"/>
          <w:sz w:val="24"/>
          <w:szCs w:val="24"/>
          <w:lang w:val="sq-AL"/>
        </w:rPr>
        <w:t xml:space="preserve"> të parashikuara në </w:t>
      </w:r>
      <w:r w:rsidR="007C0063" w:rsidRPr="00BE1029">
        <w:rPr>
          <w:rFonts w:ascii="Garamond" w:hAnsi="Garamond" w:cs="Times New Roman"/>
          <w:color w:val="000000"/>
          <w:sz w:val="24"/>
          <w:szCs w:val="24"/>
          <w:lang w:val="sq-AL"/>
        </w:rPr>
        <w:t xml:space="preserve">nenin </w:t>
      </w:r>
      <w:r w:rsidRPr="00BE1029">
        <w:rPr>
          <w:rFonts w:ascii="Garamond" w:hAnsi="Garamond" w:cs="Times New Roman"/>
          <w:color w:val="000000"/>
          <w:sz w:val="24"/>
          <w:szCs w:val="24"/>
          <w:lang w:val="sq-AL"/>
        </w:rPr>
        <w:t xml:space="preserve">6(1) (dh) të </w:t>
      </w:r>
      <w:r w:rsidR="007C0063" w:rsidRPr="00BE1029">
        <w:rPr>
          <w:rFonts w:ascii="Garamond" w:hAnsi="Garamond" w:cs="Times New Roman"/>
          <w:color w:val="000000"/>
          <w:sz w:val="24"/>
          <w:szCs w:val="24"/>
          <w:lang w:val="sq-AL"/>
        </w:rPr>
        <w:t>ligjit për rivlerësimin</w:t>
      </w:r>
      <w:r w:rsidRPr="00BE1029">
        <w:rPr>
          <w:rFonts w:ascii="Garamond" w:hAnsi="Garamond" w:cs="Times New Roman"/>
          <w:color w:val="000000"/>
          <w:sz w:val="24"/>
          <w:szCs w:val="24"/>
          <w:lang w:val="sq-AL"/>
        </w:rPr>
        <w:t xml:space="preserve">, Avokati i Popullit dhe ONM nuk kishin pasur arsye të kryenin një hetim të detajuar në historikun e karrierës së tij. Në të njëjtën mënyrë, L.D. kishte fshehur shkarkimin e tij të mëparshëm nga detyra kur ishte pyetur specifikisht nga komisioni parlamentar i posaçëm nëse ishte shkarkuar ndonjëherë nga ndonjë detyrë; prandaj, </w:t>
      </w:r>
      <w:r w:rsidRPr="004F0590">
        <w:rPr>
          <w:rFonts w:ascii="Garamond" w:hAnsi="Garamond" w:cs="Times New Roman"/>
          <w:color w:val="000000"/>
          <w:sz w:val="24"/>
          <w:szCs w:val="24"/>
          <w:lang w:val="sq-AL"/>
        </w:rPr>
        <w:t>Parlamenti nuk mund të kritikohej për faktin se e kishte emëruar L.D. në KPA. Sipas këndvështrimit të Qeverisë, fakti</w:t>
      </w:r>
      <w:r w:rsidRPr="00BE1029">
        <w:rPr>
          <w:rFonts w:ascii="Garamond" w:hAnsi="Garamond" w:cs="Times New Roman"/>
          <w:color w:val="000000"/>
          <w:sz w:val="24"/>
          <w:szCs w:val="24"/>
          <w:lang w:val="sq-AL"/>
        </w:rPr>
        <w:t xml:space="preserve"> ndalues për emërimin e L.D. në KPA ishte bërë i ditur vetëm në një fazë të mëvonshme dhe Parlamenti nuk kishte vepruar në mënyrë arbitrare apo të qëllimshme në emërimin e L.D. në KPA. </w:t>
      </w:r>
    </w:p>
    <w:p w14:paraId="22E15805" w14:textId="36DC428B"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lastRenderedPageBreak/>
        <w:t xml:space="preserve">81. Në vijim Qeveria argumentoi se duhej bërë dallimi midis çështjes konkrete dhe çështjes </w:t>
      </w:r>
      <w:r w:rsidRPr="00BE1029">
        <w:rPr>
          <w:rFonts w:ascii="Garamond" w:hAnsi="Garamond" w:cs="Times New Roman"/>
          <w:i/>
          <w:iCs/>
          <w:color w:val="000000"/>
          <w:sz w:val="24"/>
          <w:szCs w:val="24"/>
          <w:lang w:val="sq-AL"/>
        </w:rPr>
        <w:t>Guðmundur Andri Ástráðsson kundër Islandës</w:t>
      </w:r>
      <w:r w:rsidRPr="00BE1029">
        <w:rPr>
          <w:rFonts w:ascii="Garamond" w:hAnsi="Garamond" w:cs="Times New Roman"/>
          <w:color w:val="000000"/>
          <w:sz w:val="24"/>
          <w:szCs w:val="24"/>
          <w:lang w:val="sq-AL"/>
        </w:rPr>
        <w:t xml:space="preserve"> ([DHM], nr. 26374/18, 1 </w:t>
      </w:r>
      <w:r w:rsidR="00CC0179" w:rsidRPr="00BE1029">
        <w:rPr>
          <w:rFonts w:ascii="Garamond" w:hAnsi="Garamond" w:cs="Times New Roman"/>
          <w:color w:val="000000"/>
          <w:sz w:val="24"/>
          <w:szCs w:val="24"/>
          <w:lang w:val="sq-AL"/>
        </w:rPr>
        <w:t xml:space="preserve">dhjetor </w:t>
      </w:r>
      <w:r w:rsidRPr="00BE1029">
        <w:rPr>
          <w:rFonts w:ascii="Garamond" w:hAnsi="Garamond" w:cs="Times New Roman"/>
          <w:color w:val="000000"/>
          <w:sz w:val="24"/>
          <w:szCs w:val="24"/>
          <w:lang w:val="sq-AL"/>
        </w:rPr>
        <w:t>2020), pasi nuk kishte pasur ndërhyrje politike në emërimin e L.D. Gjithashtu, Qeveria argumentoi se, në përgjithësi, ishin respektuar rregullat për emërimin e L.D. në KPA, ndërsa shkelja e pretenduar nga ankuesi nuk kishte qenë shumë e rëndë; për këtë arsye, nuk kishte pasur shkelje të ndonjë rregulli themelor</w:t>
      </w:r>
      <w:r w:rsidR="00CC0179">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në lidhje me procedurën për emërimin e gjyqtarëve. </w:t>
      </w:r>
    </w:p>
    <w:p w14:paraId="39FA74E2" w14:textId="3E12B89B"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82. Për sa i përket aspektit</w:t>
      </w:r>
      <w:r w:rsidR="00E82A05">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nëse pretendimet e ankuesit ishin adresuar nga autoritetet </w:t>
      </w:r>
      <w:r w:rsidR="008A55FD" w:rsidRPr="00BE1029">
        <w:rPr>
          <w:rFonts w:ascii="Garamond" w:hAnsi="Garamond" w:cs="Times New Roman"/>
          <w:color w:val="000000"/>
          <w:sz w:val="24"/>
          <w:szCs w:val="24"/>
          <w:lang w:val="sq-AL"/>
        </w:rPr>
        <w:t>vendës</w:t>
      </w:r>
      <w:r w:rsidRPr="00BE1029">
        <w:rPr>
          <w:rFonts w:ascii="Garamond" w:hAnsi="Garamond" w:cs="Times New Roman"/>
          <w:color w:val="000000"/>
          <w:sz w:val="24"/>
          <w:szCs w:val="24"/>
          <w:lang w:val="sq-AL"/>
        </w:rPr>
        <w:t xml:space="preserve">e, Qeveria iu referua kërkesave të paraqitura nga ankuesi në KPA (shih paragrafët 35 dhe 36 më sipër), ankesave të tij kushtetuese dhe penale dhe procedurave disiplinore kundër L.D., duke parashtruar se ishte e qartë se autoritetet </w:t>
      </w:r>
      <w:r w:rsidR="008A55FD" w:rsidRPr="00BE1029">
        <w:rPr>
          <w:rFonts w:ascii="Garamond" w:hAnsi="Garamond" w:cs="Times New Roman"/>
          <w:color w:val="000000"/>
          <w:sz w:val="24"/>
          <w:szCs w:val="24"/>
          <w:lang w:val="sq-AL"/>
        </w:rPr>
        <w:t>vendës</w:t>
      </w:r>
      <w:r w:rsidRPr="00BE1029">
        <w:rPr>
          <w:rFonts w:ascii="Garamond" w:hAnsi="Garamond" w:cs="Times New Roman"/>
          <w:color w:val="000000"/>
          <w:sz w:val="24"/>
          <w:szCs w:val="24"/>
          <w:lang w:val="sq-AL"/>
        </w:rPr>
        <w:t xml:space="preserve">e i kishin adresuar rregullisht pretendimet e ankuesit. </w:t>
      </w:r>
    </w:p>
    <w:p w14:paraId="63D31BC3" w14:textId="77AC3E58" w:rsidR="00A43DB1" w:rsidRPr="00BE1029" w:rsidRDefault="00A43DB1" w:rsidP="00A43DB1">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BE1029">
        <w:rPr>
          <w:rFonts w:ascii="Garamond" w:hAnsi="Garamond" w:cs="Times New Roman"/>
          <w:i/>
          <w:iCs/>
          <w:color w:val="000000"/>
          <w:sz w:val="24"/>
          <w:szCs w:val="24"/>
          <w:lang w:val="sq-AL"/>
        </w:rPr>
        <w:t xml:space="preserve">2. Vlerësimi i Gjykatës </w:t>
      </w:r>
    </w:p>
    <w:p w14:paraId="34DD0605" w14:textId="34D41489" w:rsidR="00A43DB1" w:rsidRPr="00BE1029" w:rsidRDefault="00A43DB1" w:rsidP="00A43DB1">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BE1029">
        <w:rPr>
          <w:rFonts w:ascii="Garamond" w:hAnsi="Garamond" w:cs="Times New Roman"/>
          <w:i/>
          <w:iCs/>
          <w:color w:val="000000"/>
          <w:sz w:val="24"/>
          <w:szCs w:val="24"/>
          <w:lang w:val="sq-AL"/>
        </w:rPr>
        <w:t xml:space="preserve">3. </w:t>
      </w:r>
    </w:p>
    <w:p w14:paraId="1E3CC32A" w14:textId="733F7C87" w:rsidR="00A43DB1" w:rsidRPr="00BE1029" w:rsidRDefault="00A43DB1" w:rsidP="00A43DB1">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BE1029">
        <w:rPr>
          <w:rFonts w:ascii="Garamond" w:hAnsi="Garamond" w:cs="Times New Roman"/>
          <w:b/>
          <w:bCs/>
          <w:color w:val="000000"/>
          <w:sz w:val="24"/>
          <w:szCs w:val="24"/>
          <w:lang w:val="sq-AL"/>
        </w:rPr>
        <w:t>a) Në lidhje me ndikimin e shkarkimit të mëparshëm nga detyra të L.D. në emërimin e tij të radhës në KPA</w:t>
      </w:r>
    </w:p>
    <w:p w14:paraId="58CB8657" w14:textId="7465E4D6" w:rsidR="00A43DB1" w:rsidRPr="00BE1029" w:rsidRDefault="00A43DB1" w:rsidP="00F17296">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BE1029">
        <w:rPr>
          <w:rFonts w:ascii="Garamond" w:hAnsi="Garamond" w:cs="Times New Roman"/>
          <w:i/>
          <w:iCs/>
          <w:color w:val="000000"/>
          <w:sz w:val="24"/>
          <w:szCs w:val="24"/>
          <w:lang w:val="sq-AL"/>
        </w:rPr>
        <w:t>i</w:t>
      </w:r>
      <w:r w:rsidR="00F17296" w:rsidRPr="00BE1029">
        <w:rPr>
          <w:rFonts w:ascii="Garamond" w:hAnsi="Garamond" w:cs="Times New Roman"/>
          <w:i/>
          <w:iCs/>
          <w:color w:val="000000"/>
          <w:sz w:val="24"/>
          <w:szCs w:val="24"/>
          <w:lang w:val="sq-AL"/>
        </w:rPr>
        <w:t>.</w:t>
      </w:r>
      <w:r w:rsidRPr="00BE1029">
        <w:rPr>
          <w:rFonts w:ascii="Garamond" w:hAnsi="Garamond" w:cs="Times New Roman"/>
          <w:i/>
          <w:iCs/>
          <w:color w:val="000000"/>
          <w:sz w:val="24"/>
          <w:szCs w:val="24"/>
          <w:lang w:val="sq-AL"/>
        </w:rPr>
        <w:t xml:space="preserve"> Parimet e përgjithshme </w:t>
      </w:r>
    </w:p>
    <w:p w14:paraId="3F956CB7" w14:textId="16897033"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83. Në vendimin e saj në çështjen </w:t>
      </w:r>
      <w:r w:rsidRPr="00BE1029">
        <w:rPr>
          <w:rFonts w:ascii="Garamond" w:hAnsi="Garamond" w:cs="Times New Roman"/>
          <w:i/>
          <w:iCs/>
          <w:color w:val="000000"/>
          <w:sz w:val="24"/>
          <w:szCs w:val="24"/>
          <w:lang w:val="sq-AL"/>
        </w:rPr>
        <w:t>Guðmundur Andri Ástráðsson kundër Islandës (</w:t>
      </w:r>
      <w:r w:rsidRPr="00BE1029">
        <w:rPr>
          <w:rFonts w:ascii="Garamond" w:hAnsi="Garamond" w:cs="Times New Roman"/>
          <w:sz w:val="24"/>
          <w:szCs w:val="24"/>
          <w:lang w:val="sq-AL"/>
        </w:rPr>
        <w:t>cituar më sipër, § 218 e në vijim</w:t>
      </w:r>
      <w:r w:rsidRPr="00BE1029">
        <w:rPr>
          <w:rFonts w:ascii="Garamond" w:hAnsi="Garamond" w:cs="Times New Roman"/>
          <w:i/>
          <w:iCs/>
          <w:sz w:val="24"/>
          <w:szCs w:val="24"/>
          <w:lang w:val="sq-AL"/>
        </w:rPr>
        <w:t xml:space="preserve">), </w:t>
      </w:r>
      <w:r w:rsidRPr="00BE1029">
        <w:rPr>
          <w:rFonts w:ascii="Garamond" w:hAnsi="Garamond" w:cs="Times New Roman"/>
          <w:sz w:val="24"/>
          <w:szCs w:val="24"/>
          <w:lang w:val="sq-AL"/>
        </w:rPr>
        <w:t>Dhoma e Madhe e Gjykatës sqaroi fushën e veprimit të, dhe kupti</w:t>
      </w:r>
      <w:r w:rsidR="0094596F">
        <w:rPr>
          <w:rFonts w:ascii="Garamond" w:hAnsi="Garamond" w:cs="Times New Roman"/>
          <w:sz w:val="24"/>
          <w:szCs w:val="24"/>
          <w:lang w:val="sq-AL"/>
        </w:rPr>
        <w:t>min që i jepej, konceptit një “</w:t>
      </w:r>
      <w:r w:rsidRPr="00BE1029">
        <w:rPr>
          <w:rFonts w:ascii="Garamond" w:hAnsi="Garamond" w:cs="Times New Roman"/>
          <w:sz w:val="24"/>
          <w:szCs w:val="24"/>
          <w:lang w:val="sq-AL"/>
        </w:rPr>
        <w:t xml:space="preserve">gjykatë e krijuar me ligj”. Gjykata analizoi komponentët individual të atij koncepti dhe gjykoi se si duhej të interpretoheshin në mënyrë që të reflektohej qëllimi i tij, dhe domosdoshmërisht, të garantohej se mbrojtja që ofronte ishte me të vërtetë efikase. </w:t>
      </w:r>
    </w:p>
    <w:p w14:paraId="62787D26" w14:textId="42438F65"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84. Në lidhje me nocionin një “gjykatë”, përveç detyrimeve që lindnin nga praktika gjyqësore e Gjykatës, Gjykata theksoi rëndësinë e padiskutueshme të një procesi rigoroz për emërimin e gjyqtarëve për t’u garantuar se në postet gjyqësore do të emëroheshin kandidatët më të kualifikuar – si në aspektin e kompetencës teknike edhe të integritetit moral. Gjykata nënvizoi se sa më lartë në hierarki të pozicionohej një gjykatë, aq më kërkuese duhej të ishin kriteret e aplikueshme për përzgjedhjen. Në opinionin e Gjykatës, një përzgjedhje e tillë e mbështetur në merita nuk garanton vetëm kapacitetin teknik të një organi gjyqësor në dhënien e drejtësisë si një “gjykatë”, por është e rëndësishme edhe për të siguruar besimin e publikut në gjyqësor (po aty, § 222).</w:t>
      </w:r>
    </w:p>
    <w:p w14:paraId="4365FE62" w14:textId="3FF3DC49"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85. Në lidhje me termin “krijuar”, Gjykata konstatoi se procesi për emërimin e gjyqtarëve në mënyrë të domosdoshme përfshinte një element të rëndësishëm të konceptit “krijuar me ligj”, duke pasur në konsideratë rëndësinë e saj themelore për funksionimin e duhur dhe legjitimitetin e gjyqësorit në një </w:t>
      </w:r>
      <w:r w:rsidR="0094596F" w:rsidRPr="00BE1029">
        <w:rPr>
          <w:rFonts w:ascii="Garamond" w:hAnsi="Garamond" w:cs="Times New Roman"/>
          <w:color w:val="000000"/>
          <w:sz w:val="24"/>
          <w:szCs w:val="24"/>
          <w:lang w:val="sq-AL"/>
        </w:rPr>
        <w:t xml:space="preserve">shtet </w:t>
      </w:r>
      <w:r w:rsidRPr="00BE1029">
        <w:rPr>
          <w:rFonts w:ascii="Garamond" w:hAnsi="Garamond" w:cs="Times New Roman"/>
          <w:color w:val="000000"/>
          <w:sz w:val="24"/>
          <w:szCs w:val="24"/>
          <w:lang w:val="sq-AL"/>
        </w:rPr>
        <w:t>demokratik të udhëhequr nga shteti i së drejtës. Në gjykimin e Gjykatës, shkeljet e ligjit që rregullon procesin e emërimeve në gjyqësor mund të sillnin pjesëmarrjen “e parregullt” të gjyqtarit konkret në shqyrtimin e një çështje (po aty, §§ 226</w:t>
      </w:r>
      <w:r w:rsidR="00B656DF">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227). </w:t>
      </w:r>
    </w:p>
    <w:p w14:paraId="3ADCDECD" w14:textId="3C70837C"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86. Në lidhje me shprehjen “</w:t>
      </w:r>
      <w:r w:rsidRPr="00BE1029">
        <w:rPr>
          <w:rFonts w:ascii="Garamond" w:hAnsi="Garamond" w:cs="Times New Roman"/>
          <w:sz w:val="24"/>
          <w:szCs w:val="24"/>
          <w:lang w:val="sq-AL"/>
        </w:rPr>
        <w:t xml:space="preserve">me ligj”, Gjykata sqaroi se edhe komponenti i tretë nënkuptonte një “gjykatë e krijuar në përputhje me ligjin”. Ajo vlerësoi se ligji respektiv </w:t>
      </w:r>
      <w:r w:rsidR="008A55FD" w:rsidRPr="00BE1029">
        <w:rPr>
          <w:rFonts w:ascii="Garamond" w:hAnsi="Garamond" w:cs="Times New Roman"/>
          <w:sz w:val="24"/>
          <w:szCs w:val="24"/>
          <w:lang w:val="sq-AL"/>
        </w:rPr>
        <w:t>vendës</w:t>
      </w:r>
      <w:r w:rsidRPr="00BE1029">
        <w:rPr>
          <w:rFonts w:ascii="Garamond" w:hAnsi="Garamond" w:cs="Times New Roman"/>
          <w:sz w:val="24"/>
          <w:szCs w:val="24"/>
          <w:lang w:val="sq-AL"/>
        </w:rPr>
        <w:t xml:space="preserve"> për emërimet në gjyqësor duhej të shprehej në terma sa më të qartë të ishte e mundur, në mënyrë që të mos lejoheshin ndërhyrje arbitrare në procesin e emërimit (po aty, §§ 229</w:t>
      </w:r>
      <w:r w:rsidR="0039122E">
        <w:rPr>
          <w:rFonts w:ascii="Garamond" w:hAnsi="Garamond" w:cs="Times New Roman"/>
          <w:sz w:val="24"/>
          <w:szCs w:val="24"/>
          <w:lang w:val="sq-AL"/>
        </w:rPr>
        <w:t>–</w:t>
      </w:r>
      <w:r w:rsidRPr="00BE1029">
        <w:rPr>
          <w:rFonts w:ascii="Garamond" w:hAnsi="Garamond" w:cs="Times New Roman"/>
          <w:sz w:val="24"/>
          <w:szCs w:val="24"/>
          <w:lang w:val="sq-AL"/>
        </w:rPr>
        <w:t xml:space="preserve">230). </w:t>
      </w:r>
    </w:p>
    <w:p w14:paraId="465C3936" w14:textId="2CFADC65" w:rsidR="00A43DB1" w:rsidRPr="00BE1029" w:rsidRDefault="00A43DB1" w:rsidP="006B343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87. Në vijim Gjykata theksoi se edhe pse e drejta për një “gjykatë të krijuar me ligj” ishte një e drejtë e pavarur</w:t>
      </w:r>
      <w:r w:rsidR="006B3435">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sipas </w:t>
      </w:r>
      <w:r w:rsidR="006B3435" w:rsidRPr="00BE1029">
        <w:rPr>
          <w:rFonts w:ascii="Garamond" w:hAnsi="Garamond" w:cs="Times New Roman"/>
          <w:color w:val="000000"/>
          <w:sz w:val="24"/>
          <w:szCs w:val="24"/>
          <w:lang w:val="sq-AL"/>
        </w:rPr>
        <w:t xml:space="preserve">nenit </w:t>
      </w:r>
      <w:r w:rsidRPr="00BE1029">
        <w:rPr>
          <w:rFonts w:ascii="Garamond" w:hAnsi="Garamond" w:cs="Times New Roman"/>
          <w:color w:val="000000"/>
          <w:sz w:val="24"/>
          <w:szCs w:val="24"/>
          <w:lang w:val="sq-AL"/>
        </w:rPr>
        <w:t xml:space="preserve">6 § 1 të Konventës, një ndërlidhje shumë e afërt ishte formuluar në praktikën gjyqësore të Gjykatës midis asaj të drejte specifike dhe garancive për “pavarësi” dhe “paanshmëri”. Kërkesat institucionale të </w:t>
      </w:r>
      <w:r w:rsidR="006B3435" w:rsidRPr="00BE1029">
        <w:rPr>
          <w:rFonts w:ascii="Garamond" w:hAnsi="Garamond" w:cs="Times New Roman"/>
          <w:color w:val="000000"/>
          <w:sz w:val="24"/>
          <w:szCs w:val="24"/>
          <w:lang w:val="sq-AL"/>
        </w:rPr>
        <w:t xml:space="preserve">nenit </w:t>
      </w:r>
      <w:r w:rsidRPr="00BE1029">
        <w:rPr>
          <w:rFonts w:ascii="Garamond" w:hAnsi="Garamond" w:cs="Times New Roman"/>
          <w:color w:val="000000"/>
          <w:sz w:val="24"/>
          <w:szCs w:val="24"/>
          <w:lang w:val="sq-AL"/>
        </w:rPr>
        <w:t>6 § 1 shprehnin qëllimin e zakonshëm për ruajtjen e parimeve themelore të shtetit të së drejtës dhe ndarjen e pushteteve (po aty, §§ 231</w:t>
      </w:r>
      <w:r w:rsidR="006B3435">
        <w:rPr>
          <w:rFonts w:ascii="Garamond" w:hAnsi="Garamond" w:cs="Times New Roman"/>
          <w:sz w:val="24"/>
          <w:szCs w:val="24"/>
          <w:lang w:val="sq-AL"/>
        </w:rPr>
        <w:t>–</w:t>
      </w:r>
      <w:r w:rsidRPr="00BE1029">
        <w:rPr>
          <w:rFonts w:ascii="Garamond" w:hAnsi="Garamond" w:cs="Times New Roman"/>
          <w:color w:val="000000"/>
          <w:sz w:val="24"/>
          <w:szCs w:val="24"/>
          <w:lang w:val="sq-AL"/>
        </w:rPr>
        <w:t xml:space="preserve">233). </w:t>
      </w:r>
    </w:p>
    <w:p w14:paraId="5B0BA52E" w14:textId="01084938" w:rsidR="00A43DB1" w:rsidRPr="00BE1029" w:rsidRDefault="00A43DB1" w:rsidP="00D552A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88. </w:t>
      </w:r>
      <w:r w:rsidRPr="00BE1029">
        <w:rPr>
          <w:rFonts w:ascii="Garamond" w:hAnsi="Garamond" w:cs="Times New Roman"/>
          <w:sz w:val="24"/>
          <w:szCs w:val="24"/>
          <w:lang w:val="sq-AL"/>
        </w:rPr>
        <w:t>Duke pasur parasysh sa më sipër, Gjykata theksoi se parimi i shtetit të së drejtës përfshin një numër parimesh të tjera po aq të rëndësishme dhe mundësisht kundërbalacuese (po aty, §§ 237</w:t>
      </w:r>
      <w:r w:rsidR="006B3435">
        <w:rPr>
          <w:rFonts w:ascii="Garamond" w:hAnsi="Garamond" w:cs="Times New Roman"/>
          <w:sz w:val="24"/>
          <w:szCs w:val="24"/>
          <w:lang w:val="sq-AL"/>
        </w:rPr>
        <w:t>–</w:t>
      </w:r>
      <w:r w:rsidRPr="00BE1029">
        <w:rPr>
          <w:rFonts w:ascii="Garamond" w:hAnsi="Garamond" w:cs="Times New Roman"/>
          <w:sz w:val="24"/>
          <w:szCs w:val="24"/>
          <w:lang w:val="sq-AL"/>
        </w:rPr>
        <w:t xml:space="preserve">240). Këto parime përfshijnë veçanërisht sigurinë ligjore dhe respektin për forcën e </w:t>
      </w:r>
      <w:r w:rsidRPr="00BE1029">
        <w:rPr>
          <w:rFonts w:ascii="Garamond" w:hAnsi="Garamond" w:cs="Times New Roman"/>
          <w:i/>
          <w:iCs/>
          <w:sz w:val="24"/>
          <w:szCs w:val="24"/>
          <w:lang w:val="sq-AL"/>
        </w:rPr>
        <w:t>res judicata</w:t>
      </w:r>
      <w:r w:rsidRPr="00BE1029">
        <w:rPr>
          <w:rFonts w:ascii="Garamond" w:hAnsi="Garamond" w:cs="Times New Roman"/>
          <w:sz w:val="24"/>
          <w:szCs w:val="24"/>
          <w:lang w:val="sq-AL"/>
        </w:rPr>
        <w:t xml:space="preserve">, si edhe parimin e palëvizshmërisë së gjyqtarëve gjatë mandatit të tyre; shmangia nga këto parime mund të justifikohet vetëm në rrethana të jashtëzakonshme dhe të mirëpërcaktuara. </w:t>
      </w:r>
      <w:r w:rsidR="00D552A2">
        <w:rPr>
          <w:rFonts w:ascii="Garamond" w:hAnsi="Garamond" w:cs="Times New Roman"/>
          <w:sz w:val="24"/>
          <w:szCs w:val="24"/>
          <w:lang w:val="sq-AL"/>
        </w:rPr>
        <w:t>U</w:t>
      </w:r>
      <w:r w:rsidRPr="00BE1029">
        <w:rPr>
          <w:rFonts w:ascii="Garamond" w:hAnsi="Garamond" w:cs="Times New Roman"/>
          <w:sz w:val="24"/>
          <w:szCs w:val="24"/>
          <w:lang w:val="sq-AL"/>
        </w:rPr>
        <w:t xml:space="preserve"> takon autoriteteve </w:t>
      </w:r>
      <w:r w:rsidRPr="00BE1029">
        <w:rPr>
          <w:rFonts w:ascii="Garamond" w:hAnsi="Garamond" w:cs="Times New Roman"/>
          <w:sz w:val="24"/>
          <w:szCs w:val="24"/>
          <w:lang w:val="sq-AL"/>
        </w:rPr>
        <w:lastRenderedPageBreak/>
        <w:t xml:space="preserve">kombëtare që në secilën çështje “të përcaktojnë nëse ka një nevojë të domosdoshme – të një karakteri të rëndësishëm dhe detyrues – që justifikon shmangien” nga parimet e sigurisë ligjore dhe të besimit në publik në gjyqësor “në rrethanat e veçanta të një çështje” (po aty, § 240). </w:t>
      </w:r>
    </w:p>
    <w:p w14:paraId="68CCCA5F" w14:textId="79D3BE48" w:rsidR="00A43DB1" w:rsidRPr="00BE1029" w:rsidRDefault="00A43DB1" w:rsidP="00307DA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89. Për të vlerësuar nëse parregullsitë në një procedurë të caktuar për emërime në gjyqësor ishin aq serioze sa të passillnin shkeljen </w:t>
      </w:r>
      <w:r w:rsidRPr="004F0590">
        <w:rPr>
          <w:rFonts w:ascii="Garamond" w:hAnsi="Garamond" w:cs="Times New Roman"/>
          <w:color w:val="000000"/>
          <w:sz w:val="24"/>
          <w:szCs w:val="24"/>
          <w:lang w:val="sq-AL"/>
        </w:rPr>
        <w:t xml:space="preserve">e </w:t>
      </w:r>
      <w:r w:rsidR="00307DA6" w:rsidRPr="004F0590">
        <w:rPr>
          <w:rFonts w:ascii="Garamond" w:hAnsi="Garamond" w:cs="Times New Roman"/>
          <w:color w:val="000000"/>
          <w:sz w:val="24"/>
          <w:szCs w:val="24"/>
          <w:lang w:val="sq-AL"/>
        </w:rPr>
        <w:t>s</w:t>
      </w:r>
      <w:r w:rsidRPr="004F0590">
        <w:rPr>
          <w:rFonts w:ascii="Garamond" w:hAnsi="Garamond" w:cs="Times New Roman"/>
          <w:color w:val="000000"/>
          <w:sz w:val="24"/>
          <w:szCs w:val="24"/>
          <w:lang w:val="sq-AL"/>
        </w:rPr>
        <w:t>ë drejtës</w:t>
      </w:r>
      <w:r w:rsidRPr="00BE1029">
        <w:rPr>
          <w:rFonts w:ascii="Garamond" w:hAnsi="Garamond" w:cs="Times New Roman"/>
          <w:color w:val="000000"/>
          <w:sz w:val="24"/>
          <w:szCs w:val="24"/>
          <w:lang w:val="sq-AL"/>
        </w:rPr>
        <w:t xml:space="preserve"> për një gjykatë të themeluar me ligj, dhe nëse balanca midis parimeve detyruese është prishur nga autoritetet </w:t>
      </w:r>
      <w:r w:rsidR="00307DA6" w:rsidRPr="00BE1029">
        <w:rPr>
          <w:rFonts w:ascii="Garamond" w:hAnsi="Garamond" w:cs="Times New Roman"/>
          <w:color w:val="000000"/>
          <w:sz w:val="24"/>
          <w:szCs w:val="24"/>
          <w:lang w:val="sq-AL"/>
        </w:rPr>
        <w:t>shtetërore</w:t>
      </w:r>
      <w:r w:rsidRPr="00BE1029">
        <w:rPr>
          <w:rFonts w:ascii="Garamond" w:hAnsi="Garamond" w:cs="Times New Roman"/>
          <w:color w:val="000000"/>
          <w:sz w:val="24"/>
          <w:szCs w:val="24"/>
          <w:lang w:val="sq-AL"/>
        </w:rPr>
        <w:t>, Gjykata përgatiti një test matës të përbërë nga tr</w:t>
      </w:r>
      <w:r w:rsidR="00307DA6">
        <w:rPr>
          <w:rFonts w:ascii="Garamond" w:hAnsi="Garamond" w:cs="Times New Roman"/>
          <w:color w:val="000000"/>
          <w:sz w:val="24"/>
          <w:szCs w:val="24"/>
          <w:lang w:val="sq-AL"/>
        </w:rPr>
        <w:t>i</w:t>
      </w:r>
      <w:r w:rsidRPr="00BE1029">
        <w:rPr>
          <w:rFonts w:ascii="Garamond" w:hAnsi="Garamond" w:cs="Times New Roman"/>
          <w:color w:val="000000"/>
          <w:sz w:val="24"/>
          <w:szCs w:val="24"/>
          <w:lang w:val="sq-AL"/>
        </w:rPr>
        <w:t xml:space="preserve"> kritere, të përzgjedhura në mënyrë kumulative (po aty, § 243). </w:t>
      </w:r>
    </w:p>
    <w:p w14:paraId="137C9799" w14:textId="6EE38049" w:rsidR="00A43DB1" w:rsidRPr="00BE1029" w:rsidRDefault="00A43DB1" w:rsidP="000463B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90. Fillimisht, në parim, duhet të ekzistojë një shkelje e dukshme e ligjit </w:t>
      </w:r>
      <w:r w:rsidR="008A55FD" w:rsidRPr="00BE1029">
        <w:rPr>
          <w:rFonts w:ascii="Garamond" w:hAnsi="Garamond" w:cs="Times New Roman"/>
          <w:color w:val="000000"/>
          <w:sz w:val="24"/>
          <w:szCs w:val="24"/>
          <w:lang w:val="sq-AL"/>
        </w:rPr>
        <w:t>vendës</w:t>
      </w:r>
      <w:r w:rsidRPr="00BE1029">
        <w:rPr>
          <w:rFonts w:ascii="Garamond" w:hAnsi="Garamond" w:cs="Times New Roman"/>
          <w:color w:val="000000"/>
          <w:sz w:val="24"/>
          <w:szCs w:val="24"/>
          <w:lang w:val="sq-AL"/>
        </w:rPr>
        <w:t xml:space="preserve">, në kuptimin që shkelja duhet të jetë e identifikueshme në mënyrë objektive dhe të vërtetë. Në përcaktimin e këtij aspekti, Gjykata do të mbështetet në interpretimin e gjykatave </w:t>
      </w:r>
      <w:r w:rsidR="008A55FD" w:rsidRPr="00BE1029">
        <w:rPr>
          <w:rFonts w:ascii="Garamond" w:hAnsi="Garamond" w:cs="Times New Roman"/>
          <w:color w:val="000000"/>
          <w:sz w:val="24"/>
          <w:szCs w:val="24"/>
          <w:lang w:val="sq-AL"/>
        </w:rPr>
        <w:t>vendës</w:t>
      </w:r>
      <w:r w:rsidRPr="00BE1029">
        <w:rPr>
          <w:rFonts w:ascii="Garamond" w:hAnsi="Garamond" w:cs="Times New Roman"/>
          <w:color w:val="000000"/>
          <w:sz w:val="24"/>
          <w:szCs w:val="24"/>
          <w:lang w:val="sq-AL"/>
        </w:rPr>
        <w:t>e</w:t>
      </w:r>
      <w:r w:rsidR="00307DA6">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për faktin nëse ka pasur një shkelje të ligjit </w:t>
      </w:r>
      <w:r w:rsidR="008A55FD" w:rsidRPr="00BE1029">
        <w:rPr>
          <w:rFonts w:ascii="Garamond" w:hAnsi="Garamond" w:cs="Times New Roman"/>
          <w:color w:val="000000"/>
          <w:sz w:val="24"/>
          <w:szCs w:val="24"/>
          <w:lang w:val="sq-AL"/>
        </w:rPr>
        <w:t>vendës</w:t>
      </w:r>
      <w:r w:rsidRPr="00BE1029">
        <w:rPr>
          <w:rFonts w:ascii="Garamond" w:hAnsi="Garamond" w:cs="Times New Roman"/>
          <w:color w:val="000000"/>
          <w:sz w:val="24"/>
          <w:szCs w:val="24"/>
          <w:lang w:val="sq-AL"/>
        </w:rPr>
        <w:t xml:space="preserve">, në rast se shkelja nuk është “flagrante” – që do të thotë, nëse konstatimet e gjykatave </w:t>
      </w:r>
      <w:r w:rsidR="008A55FD" w:rsidRPr="00BE1029">
        <w:rPr>
          <w:rFonts w:ascii="Garamond" w:hAnsi="Garamond" w:cs="Times New Roman"/>
          <w:color w:val="000000"/>
          <w:sz w:val="24"/>
          <w:szCs w:val="24"/>
          <w:lang w:val="sq-AL"/>
        </w:rPr>
        <w:t>vendës</w:t>
      </w:r>
      <w:r w:rsidRPr="00BE1029">
        <w:rPr>
          <w:rFonts w:ascii="Garamond" w:hAnsi="Garamond" w:cs="Times New Roman"/>
          <w:color w:val="000000"/>
          <w:sz w:val="24"/>
          <w:szCs w:val="24"/>
          <w:lang w:val="sq-AL"/>
        </w:rPr>
        <w:t xml:space="preserve">e nuk mund të konsiderohen si arbitrare ose haptazi të paarsyeshme. Megjithatë, mungesa e një shkeljeje të tillë nuk përjashton mundësinë e shkeljes </w:t>
      </w:r>
      <w:r w:rsidR="00307DA6">
        <w:rPr>
          <w:rFonts w:ascii="Garamond" w:hAnsi="Garamond" w:cs="Times New Roman"/>
          <w:color w:val="000000"/>
          <w:sz w:val="24"/>
          <w:szCs w:val="24"/>
          <w:lang w:val="sq-AL"/>
        </w:rPr>
        <w:t>s</w:t>
      </w:r>
      <w:r w:rsidRPr="00BE1029">
        <w:rPr>
          <w:rFonts w:ascii="Garamond" w:hAnsi="Garamond" w:cs="Times New Roman"/>
          <w:color w:val="000000"/>
          <w:sz w:val="24"/>
          <w:szCs w:val="24"/>
          <w:lang w:val="sq-AL"/>
        </w:rPr>
        <w:t xml:space="preserve">ë </w:t>
      </w:r>
      <w:r w:rsidR="00307DA6">
        <w:rPr>
          <w:rFonts w:ascii="Garamond" w:hAnsi="Garamond" w:cs="Times New Roman"/>
          <w:color w:val="000000"/>
          <w:sz w:val="24"/>
          <w:szCs w:val="24"/>
          <w:lang w:val="sq-AL"/>
        </w:rPr>
        <w:t>t</w:t>
      </w:r>
      <w:r w:rsidRPr="00BE1029">
        <w:rPr>
          <w:rFonts w:ascii="Garamond" w:hAnsi="Garamond" w:cs="Times New Roman"/>
          <w:color w:val="000000"/>
          <w:sz w:val="24"/>
          <w:szCs w:val="24"/>
          <w:lang w:val="sq-AL"/>
        </w:rPr>
        <w:t xml:space="preserve">ë drejtës për një gjykatë të krijuar me ligj, duke qenë se një procedurë e cila duket se është në përputhje me rregullat </w:t>
      </w:r>
      <w:r w:rsidR="008A55FD" w:rsidRPr="00BE1029">
        <w:rPr>
          <w:rFonts w:ascii="Garamond" w:hAnsi="Garamond" w:cs="Times New Roman"/>
          <w:color w:val="000000"/>
          <w:sz w:val="24"/>
          <w:szCs w:val="24"/>
          <w:lang w:val="sq-AL"/>
        </w:rPr>
        <w:t>vendës</w:t>
      </w:r>
      <w:r w:rsidRPr="00BE1029">
        <w:rPr>
          <w:rFonts w:ascii="Garamond" w:hAnsi="Garamond" w:cs="Times New Roman"/>
          <w:color w:val="000000"/>
          <w:sz w:val="24"/>
          <w:szCs w:val="24"/>
          <w:lang w:val="sq-AL"/>
        </w:rPr>
        <w:t>e, gjithsesi mund të sjellë rezultate</w:t>
      </w:r>
      <w:r w:rsidR="000463B7">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të cilat nuk janë në përputhje me objektin dhe qëllimin e asaj të drejte. Në një rast të tillë, Gjykata, sipas rastit, duhet të bëjë shqyrtimin e saj sipas kriterit të dytë dhe të tretë të testit, paraqitur në vijim, për të përcaktuar nëse rezultatet e zbatimit të rregullave konkret </w:t>
      </w:r>
      <w:r w:rsidR="008A55FD" w:rsidRPr="00BE1029">
        <w:rPr>
          <w:rFonts w:ascii="Garamond" w:hAnsi="Garamond" w:cs="Times New Roman"/>
          <w:color w:val="000000"/>
          <w:sz w:val="24"/>
          <w:szCs w:val="24"/>
          <w:lang w:val="sq-AL"/>
        </w:rPr>
        <w:t>vendës</w:t>
      </w:r>
      <w:r w:rsidRPr="00BE1029">
        <w:rPr>
          <w:rFonts w:ascii="Garamond" w:hAnsi="Garamond" w:cs="Times New Roman"/>
          <w:sz w:val="24"/>
          <w:szCs w:val="24"/>
          <w:lang w:val="sq-AL"/>
        </w:rPr>
        <w:t xml:space="preserve"> kanë qenë në përputhje me kërkesat specifike të së drejtës për një “gjykatë të krijuar me ligj” sipas kuptimit në Konventë (po aty, §§ 244</w:t>
      </w:r>
      <w:r w:rsidR="000463B7">
        <w:rPr>
          <w:rFonts w:ascii="Garamond" w:hAnsi="Garamond" w:cs="Times New Roman"/>
          <w:sz w:val="24"/>
          <w:szCs w:val="24"/>
          <w:lang w:val="sq-AL"/>
        </w:rPr>
        <w:t>–</w:t>
      </w:r>
      <w:r w:rsidRPr="00BE1029">
        <w:rPr>
          <w:rFonts w:ascii="Garamond" w:hAnsi="Garamond" w:cs="Times New Roman"/>
          <w:sz w:val="24"/>
          <w:szCs w:val="24"/>
          <w:lang w:val="sq-AL"/>
        </w:rPr>
        <w:t xml:space="preserve">245). </w:t>
      </w:r>
    </w:p>
    <w:p w14:paraId="2DD09071" w14:textId="4D07ED9E"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91. Së dyti, shkelja konkrete duhet të vlerësohet sipas objektit dhe qëllimit të kërkesës për një “gjykatë të krijuar me ligj” – më konkretisht, të garantohet se gjyqësori realizon detyrat e tij i pavarur nga ndërhyrje të parregullta dhe në këtë mënyrë ruan shtetin e së drejtës dhe ndarjen e pushteteve. Sipas rrethanave, shkeljet e një natyre tërësisht teknike</w:t>
      </w:r>
      <w:r w:rsidR="00DB2B7A">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të cilat nuk kanë ndikim në legjitimitetin e procesit të emërimeve duhet të konsiderohen se janë nën pragun konkret. Nga ana tjetër, shkeljet të cilat cenojnë rregullat më themelorë në procedurën e emërimeve (të tillë si</w:t>
      </w:r>
      <w:r w:rsidR="008C38CD">
        <w:rPr>
          <w:rFonts w:ascii="Garamond" w:hAnsi="Garamond" w:cs="Times New Roman"/>
          <w:color w:val="000000"/>
          <w:sz w:val="24"/>
          <w:szCs w:val="24"/>
          <w:lang w:val="sq-AL"/>
        </w:rPr>
        <w:t xml:space="preserve"> kriteret e përzgjedhshmërisë) </w:t>
      </w:r>
      <w:r w:rsidRPr="00BE1029">
        <w:rPr>
          <w:rFonts w:ascii="Garamond" w:hAnsi="Garamond" w:cs="Times New Roman"/>
          <w:color w:val="000000"/>
          <w:sz w:val="24"/>
          <w:szCs w:val="24"/>
          <w:lang w:val="sq-AL"/>
        </w:rPr>
        <w:t>ose shkeljet që mund të dëmtojnë qëllimin dhe ndikimin e kërkesës “të krijuar me ligj” (sipas interpretimit të Gjykatës) duhet të konsiderohen se e shkelin atë kërkesë (po aty, §</w:t>
      </w:r>
      <w:r w:rsidR="00174D6E">
        <w:rPr>
          <w:rFonts w:ascii="Garamond" w:hAnsi="Garamond" w:cs="Times New Roman"/>
          <w:color w:val="000000"/>
          <w:sz w:val="24"/>
          <w:szCs w:val="24"/>
          <w:lang w:val="sq-AL"/>
        </w:rPr>
        <w:t xml:space="preserve"> </w:t>
      </w:r>
      <w:r w:rsidRPr="00BE1029">
        <w:rPr>
          <w:rFonts w:ascii="Garamond" w:hAnsi="Garamond" w:cs="Times New Roman"/>
          <w:color w:val="000000"/>
          <w:sz w:val="24"/>
          <w:szCs w:val="24"/>
          <w:lang w:val="sq-AL"/>
        </w:rPr>
        <w:t xml:space="preserve">246). </w:t>
      </w:r>
    </w:p>
    <w:p w14:paraId="3541F9F2" w14:textId="5A262CB1" w:rsidR="00A43DB1" w:rsidRPr="00BE1029" w:rsidRDefault="00A43DB1" w:rsidP="00174D6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92. Së treti, shqyrtimi i realizuar nga gjykatat </w:t>
      </w:r>
      <w:r w:rsidR="008A55FD" w:rsidRPr="00BE1029">
        <w:rPr>
          <w:rFonts w:ascii="Garamond" w:hAnsi="Garamond" w:cs="Times New Roman"/>
          <w:color w:val="000000"/>
          <w:sz w:val="24"/>
          <w:szCs w:val="24"/>
          <w:lang w:val="sq-AL"/>
        </w:rPr>
        <w:t>vendës</w:t>
      </w:r>
      <w:r w:rsidRPr="00BE1029">
        <w:rPr>
          <w:rFonts w:ascii="Garamond" w:hAnsi="Garamond" w:cs="Times New Roman"/>
          <w:color w:val="000000"/>
          <w:sz w:val="24"/>
          <w:szCs w:val="24"/>
          <w:lang w:val="sq-AL"/>
        </w:rPr>
        <w:t xml:space="preserve">e, nëse ka ndonjë të tillë, për pasojat ligjore – për sa </w:t>
      </w:r>
      <w:r w:rsidR="00174D6E">
        <w:rPr>
          <w:rFonts w:ascii="Garamond" w:hAnsi="Garamond" w:cs="Times New Roman"/>
          <w:color w:val="000000"/>
          <w:sz w:val="24"/>
          <w:szCs w:val="24"/>
          <w:lang w:val="sq-AL"/>
        </w:rPr>
        <w:t>u</w:t>
      </w:r>
      <w:r w:rsidRPr="00BE1029">
        <w:rPr>
          <w:rFonts w:ascii="Garamond" w:hAnsi="Garamond" w:cs="Times New Roman"/>
          <w:color w:val="000000"/>
          <w:sz w:val="24"/>
          <w:szCs w:val="24"/>
          <w:lang w:val="sq-AL"/>
        </w:rPr>
        <w:t xml:space="preserve"> përket të drejtave të një individi sipas Konventës – e një shkeljeje të një rregulli të brendshëm</w:t>
      </w:r>
      <w:r w:rsidR="002F7185">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në lidhje me emërimet gjyqësore luan një rol të rëndësishëm në përcaktimin nëse një shkelje e tillë ka cenuar të drejtën e aksesit në një “gjykatë të krijuar me ligj”, dhe në këtë mënyrë, bëhet pjesë e vet testimit. Një vlerësim nga gjykatat </w:t>
      </w:r>
      <w:r w:rsidR="008A55FD" w:rsidRPr="00BE1029">
        <w:rPr>
          <w:rFonts w:ascii="Garamond" w:hAnsi="Garamond" w:cs="Times New Roman"/>
          <w:color w:val="000000"/>
          <w:sz w:val="24"/>
          <w:szCs w:val="24"/>
          <w:lang w:val="sq-AL"/>
        </w:rPr>
        <w:t>vendës</w:t>
      </w:r>
      <w:r w:rsidRPr="00BE1029">
        <w:rPr>
          <w:rFonts w:ascii="Garamond" w:hAnsi="Garamond" w:cs="Times New Roman"/>
          <w:color w:val="000000"/>
          <w:sz w:val="24"/>
          <w:szCs w:val="24"/>
          <w:lang w:val="sq-AL"/>
        </w:rPr>
        <w:t xml:space="preserve">e të efekteve ligjore për një shkelje të tillë duhet të kryhet në mbështetje të praktikës gjyqësore përkatëse të Konventës dhe parimeve që burojnë prej saj (po aty, §§ 248 dhe 250). </w:t>
      </w:r>
    </w:p>
    <w:p w14:paraId="3F1E89E9" w14:textId="27471583"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93. Gjykata e ka zbatuar testimin e mësipërm në një sërë çështjesh të kohëve të fundit që kanë lidhje me kërkesën në </w:t>
      </w:r>
      <w:r w:rsidR="002F7185" w:rsidRPr="00BE1029">
        <w:rPr>
          <w:rFonts w:ascii="Garamond" w:hAnsi="Garamond" w:cs="Times New Roman"/>
          <w:color w:val="000000"/>
          <w:sz w:val="24"/>
          <w:szCs w:val="24"/>
          <w:lang w:val="sq-AL"/>
        </w:rPr>
        <w:t xml:space="preserve">nenin </w:t>
      </w:r>
      <w:r w:rsidRPr="00BE1029">
        <w:rPr>
          <w:rFonts w:ascii="Garamond" w:hAnsi="Garamond" w:cs="Times New Roman"/>
          <w:color w:val="000000"/>
          <w:sz w:val="24"/>
          <w:szCs w:val="24"/>
          <w:lang w:val="sq-AL"/>
        </w:rPr>
        <w:t xml:space="preserve">6 §1 të Konventës se një gjykatë duhet të krijohet me ligj (shih, çështjet më të fundit, </w:t>
      </w:r>
      <w:r w:rsidRPr="00BE1029">
        <w:rPr>
          <w:rFonts w:ascii="Garamond" w:hAnsi="Garamond" w:cs="Times New Roman"/>
          <w:i/>
          <w:iCs/>
          <w:color w:val="000000"/>
          <w:sz w:val="24"/>
          <w:szCs w:val="24"/>
          <w:lang w:val="sq-AL"/>
        </w:rPr>
        <w:t>Advance Pharma sp. Z o.o kundër Polonisë</w:t>
      </w:r>
      <w:r w:rsidRPr="00BE1029">
        <w:rPr>
          <w:rFonts w:ascii="Garamond" w:hAnsi="Garamond" w:cs="Times New Roman"/>
          <w:color w:val="000000"/>
          <w:sz w:val="24"/>
          <w:szCs w:val="24"/>
          <w:lang w:val="sq-AL"/>
        </w:rPr>
        <w:t xml:space="preserve">, nr. 1469/20, § 349, 3 </w:t>
      </w:r>
      <w:r w:rsidR="00B37E46" w:rsidRPr="00BE1029">
        <w:rPr>
          <w:rFonts w:ascii="Garamond" w:hAnsi="Garamond" w:cs="Times New Roman"/>
          <w:color w:val="000000"/>
          <w:sz w:val="24"/>
          <w:szCs w:val="24"/>
          <w:lang w:val="sq-AL"/>
        </w:rPr>
        <w:t xml:space="preserve">shkurt </w:t>
      </w:r>
      <w:r w:rsidRPr="00BE1029">
        <w:rPr>
          <w:rFonts w:ascii="Garamond" w:hAnsi="Garamond" w:cs="Times New Roman"/>
          <w:color w:val="000000"/>
          <w:sz w:val="24"/>
          <w:szCs w:val="24"/>
          <w:lang w:val="sq-AL"/>
        </w:rPr>
        <w:t xml:space="preserve">2022; </w:t>
      </w:r>
      <w:r w:rsidRPr="00BE1029">
        <w:rPr>
          <w:rFonts w:ascii="Garamond" w:hAnsi="Garamond" w:cs="Times New Roman"/>
          <w:i/>
          <w:iCs/>
          <w:sz w:val="24"/>
          <w:szCs w:val="24"/>
          <w:lang w:val="sq-AL"/>
        </w:rPr>
        <w:t>Dolińska-Ficek dhe Ozimek kundër Polonisë</w:t>
      </w:r>
      <w:r w:rsidRPr="00BE1029">
        <w:rPr>
          <w:rFonts w:ascii="Garamond" w:hAnsi="Garamond" w:cs="Times New Roman"/>
          <w:sz w:val="24"/>
          <w:szCs w:val="24"/>
          <w:lang w:val="sq-AL"/>
        </w:rPr>
        <w:t xml:space="preserve">, nr. 49868/19 dhe 57511/19, § 353, 8 </w:t>
      </w:r>
      <w:r w:rsidR="00B37E46" w:rsidRPr="00BE1029">
        <w:rPr>
          <w:rFonts w:ascii="Garamond" w:hAnsi="Garamond" w:cs="Times New Roman"/>
          <w:sz w:val="24"/>
          <w:szCs w:val="24"/>
          <w:lang w:val="sq-AL"/>
        </w:rPr>
        <w:t xml:space="preserve">nëntor </w:t>
      </w:r>
      <w:r w:rsidRPr="00BE1029">
        <w:rPr>
          <w:rFonts w:ascii="Garamond" w:hAnsi="Garamond" w:cs="Times New Roman"/>
          <w:sz w:val="24"/>
          <w:szCs w:val="24"/>
          <w:lang w:val="sq-AL"/>
        </w:rPr>
        <w:t xml:space="preserve">2021; </w:t>
      </w:r>
      <w:r w:rsidRPr="00BE1029">
        <w:rPr>
          <w:rFonts w:ascii="Garamond" w:hAnsi="Garamond" w:cs="Times New Roman"/>
          <w:i/>
          <w:iCs/>
          <w:sz w:val="24"/>
          <w:szCs w:val="24"/>
          <w:lang w:val="sq-AL"/>
        </w:rPr>
        <w:t>Reczkowicz kundër Polonisë</w:t>
      </w:r>
      <w:r w:rsidRPr="00BE1029">
        <w:rPr>
          <w:rFonts w:ascii="Garamond" w:hAnsi="Garamond" w:cs="Times New Roman"/>
          <w:sz w:val="24"/>
          <w:szCs w:val="24"/>
          <w:lang w:val="sq-AL"/>
        </w:rPr>
        <w:t xml:space="preserve">, nr. 43447/19, § 280, 22 </w:t>
      </w:r>
      <w:r w:rsidR="00B37E46" w:rsidRPr="00BE1029">
        <w:rPr>
          <w:rFonts w:ascii="Garamond" w:hAnsi="Garamond" w:cs="Times New Roman"/>
          <w:sz w:val="24"/>
          <w:szCs w:val="24"/>
          <w:lang w:val="sq-AL"/>
        </w:rPr>
        <w:t xml:space="preserve">korrik </w:t>
      </w:r>
      <w:r w:rsidRPr="00BE1029">
        <w:rPr>
          <w:rFonts w:ascii="Garamond" w:hAnsi="Garamond" w:cs="Times New Roman"/>
          <w:sz w:val="24"/>
          <w:szCs w:val="24"/>
          <w:lang w:val="sq-AL"/>
        </w:rPr>
        <w:t xml:space="preserve">2021; dhe </w:t>
      </w:r>
      <w:r w:rsidRPr="00BE1029">
        <w:rPr>
          <w:rFonts w:ascii="Garamond" w:hAnsi="Garamond" w:cs="Times New Roman"/>
          <w:i/>
          <w:iCs/>
          <w:sz w:val="24"/>
          <w:szCs w:val="24"/>
          <w:lang w:val="sq-AL"/>
        </w:rPr>
        <w:t>Xero Flor</w:t>
      </w:r>
      <w:r w:rsidRPr="00BE1029">
        <w:rPr>
          <w:rFonts w:ascii="Garamond" w:hAnsi="Garamond" w:cs="Times New Roman"/>
          <w:sz w:val="24"/>
          <w:szCs w:val="24"/>
          <w:lang w:val="sq-AL"/>
        </w:rPr>
        <w:t xml:space="preserve"> </w:t>
      </w:r>
      <w:r w:rsidRPr="00BE1029">
        <w:rPr>
          <w:rFonts w:ascii="Garamond" w:hAnsi="Garamond" w:cs="Times New Roman"/>
          <w:i/>
          <w:iCs/>
          <w:sz w:val="24"/>
          <w:szCs w:val="24"/>
          <w:lang w:val="sq-AL"/>
        </w:rPr>
        <w:t xml:space="preserve">w Polsce sp.z o.o. kundër Polonisë, </w:t>
      </w:r>
      <w:r w:rsidRPr="00BE1029">
        <w:rPr>
          <w:rFonts w:ascii="Garamond" w:hAnsi="Garamond" w:cs="Times New Roman"/>
          <w:sz w:val="24"/>
          <w:szCs w:val="24"/>
          <w:lang w:val="sq-AL"/>
        </w:rPr>
        <w:t>nr. 4907/18</w:t>
      </w:r>
      <w:r w:rsidRPr="00BE1029">
        <w:rPr>
          <w:rFonts w:ascii="Garamond" w:hAnsi="Garamond" w:cs="Times New Roman"/>
          <w:i/>
          <w:iCs/>
          <w:sz w:val="24"/>
          <w:szCs w:val="24"/>
          <w:lang w:val="sq-AL"/>
        </w:rPr>
        <w:t xml:space="preserve">, </w:t>
      </w:r>
      <w:r w:rsidRPr="00BE1029">
        <w:rPr>
          <w:rFonts w:ascii="Garamond" w:hAnsi="Garamond" w:cs="Times New Roman"/>
          <w:sz w:val="24"/>
          <w:szCs w:val="24"/>
          <w:lang w:val="sq-AL"/>
        </w:rPr>
        <w:t>§</w:t>
      </w:r>
      <w:r w:rsidRPr="00BE1029">
        <w:rPr>
          <w:rFonts w:ascii="Garamond" w:hAnsi="Garamond" w:cs="Times New Roman"/>
          <w:color w:val="000000"/>
          <w:sz w:val="24"/>
          <w:szCs w:val="24"/>
          <w:lang w:val="sq-AL"/>
        </w:rPr>
        <w:t xml:space="preserve">289, 7 </w:t>
      </w:r>
      <w:r w:rsidR="00B37E46" w:rsidRPr="00BE1029">
        <w:rPr>
          <w:rFonts w:ascii="Garamond" w:hAnsi="Garamond" w:cs="Times New Roman"/>
          <w:color w:val="000000"/>
          <w:sz w:val="24"/>
          <w:szCs w:val="24"/>
          <w:lang w:val="sq-AL"/>
        </w:rPr>
        <w:t xml:space="preserve">maj </w:t>
      </w:r>
      <w:r w:rsidRPr="00BE1029">
        <w:rPr>
          <w:rFonts w:ascii="Garamond" w:hAnsi="Garamond" w:cs="Times New Roman"/>
          <w:color w:val="000000"/>
          <w:sz w:val="24"/>
          <w:szCs w:val="24"/>
          <w:lang w:val="sq-AL"/>
        </w:rPr>
        <w:t xml:space="preserve">2021). </w:t>
      </w:r>
    </w:p>
    <w:p w14:paraId="65B8744F" w14:textId="1083EA43" w:rsidR="00A43DB1" w:rsidRPr="00BE1029" w:rsidRDefault="00F17296" w:rsidP="00A43DB1">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BE1029">
        <w:rPr>
          <w:rFonts w:ascii="Garamond" w:hAnsi="Garamond" w:cs="Times New Roman"/>
          <w:i/>
          <w:iCs/>
          <w:color w:val="000000"/>
          <w:sz w:val="24"/>
          <w:szCs w:val="24"/>
          <w:lang w:val="sq-AL"/>
        </w:rPr>
        <w:t>ii.</w:t>
      </w:r>
      <w:r w:rsidR="00A43DB1" w:rsidRPr="00BE1029">
        <w:rPr>
          <w:rFonts w:ascii="Garamond" w:hAnsi="Garamond" w:cs="Times New Roman"/>
          <w:i/>
          <w:iCs/>
          <w:color w:val="000000"/>
          <w:sz w:val="24"/>
          <w:szCs w:val="24"/>
          <w:lang w:val="sq-AL"/>
        </w:rPr>
        <w:t xml:space="preserve"> Zbatimi i parimeve të mësipërme në çështjen konkrete</w:t>
      </w:r>
    </w:p>
    <w:p w14:paraId="37D27FB9" w14:textId="1E1189EC" w:rsidR="00A43DB1" w:rsidRPr="00BE1029" w:rsidRDefault="00A43DB1" w:rsidP="00A43DB1">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BE1029">
        <w:rPr>
          <w:rFonts w:ascii="Garamond" w:hAnsi="Garamond" w:cs="Times New Roman"/>
          <w:color w:val="000000"/>
          <w:sz w:val="24"/>
          <w:szCs w:val="24"/>
          <w:lang w:val="sq-AL"/>
        </w:rPr>
        <w:t xml:space="preserve">a) Nëse pati një shkelje të qartë të ligjit </w:t>
      </w:r>
      <w:r w:rsidR="008A55FD" w:rsidRPr="00BE1029">
        <w:rPr>
          <w:rFonts w:ascii="Garamond" w:hAnsi="Garamond" w:cs="Times New Roman"/>
          <w:color w:val="000000"/>
          <w:sz w:val="24"/>
          <w:szCs w:val="24"/>
          <w:lang w:val="sq-AL"/>
        </w:rPr>
        <w:t>vendës</w:t>
      </w:r>
    </w:p>
    <w:p w14:paraId="7BC37ABC" w14:textId="79D7760C" w:rsidR="00A43DB1" w:rsidRPr="00BE1029" w:rsidRDefault="00A43DB1" w:rsidP="00A43DB1">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BE1029">
        <w:rPr>
          <w:rFonts w:ascii="Garamond" w:hAnsi="Garamond" w:cs="Times New Roman"/>
          <w:color w:val="000000"/>
          <w:sz w:val="24"/>
          <w:szCs w:val="24"/>
          <w:lang w:val="sq-AL"/>
        </w:rPr>
        <w:t xml:space="preserve">94. Për të përcaktuar nëse u cenua ligji </w:t>
      </w:r>
      <w:r w:rsidR="008A55FD" w:rsidRPr="00BE1029">
        <w:rPr>
          <w:rFonts w:ascii="Garamond" w:hAnsi="Garamond" w:cs="Times New Roman"/>
          <w:color w:val="000000"/>
          <w:sz w:val="24"/>
          <w:szCs w:val="24"/>
          <w:lang w:val="sq-AL"/>
        </w:rPr>
        <w:t>vendës</w:t>
      </w:r>
      <w:r w:rsidRPr="00BE1029">
        <w:rPr>
          <w:rFonts w:ascii="Garamond" w:hAnsi="Garamond" w:cs="Times New Roman"/>
          <w:color w:val="000000"/>
          <w:sz w:val="24"/>
          <w:szCs w:val="24"/>
          <w:lang w:val="sq-AL"/>
        </w:rPr>
        <w:t xml:space="preserve"> si rezultat i emërimit të gjyqtarit L.D. në KPA, Gjykata duhet të identifikojë pozicionin e autoriteteve </w:t>
      </w:r>
      <w:r w:rsidR="008A55FD" w:rsidRPr="00BE1029">
        <w:rPr>
          <w:rFonts w:ascii="Garamond" w:hAnsi="Garamond" w:cs="Times New Roman"/>
          <w:color w:val="000000"/>
          <w:sz w:val="24"/>
          <w:szCs w:val="24"/>
          <w:lang w:val="sq-AL"/>
        </w:rPr>
        <w:t>vendës</w:t>
      </w:r>
      <w:r w:rsidRPr="00BE1029">
        <w:rPr>
          <w:rFonts w:ascii="Garamond" w:hAnsi="Garamond" w:cs="Times New Roman"/>
          <w:color w:val="000000"/>
          <w:sz w:val="24"/>
          <w:szCs w:val="24"/>
          <w:lang w:val="sq-AL"/>
        </w:rPr>
        <w:t>e</w:t>
      </w:r>
      <w:r w:rsidR="00B37E46">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në lidhje me këtë aspekt. Kështu, Gjykata vëren</w:t>
      </w:r>
      <w:r w:rsidR="00B37E46">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se KPA-ja dhe Gjykata Kushtetuese nuk e shqyrtuan këtë aspekt (shih paragrafët 35, 36 dhe 41 më sipër), ndërsa procedurat disiplinore ndaj L.D. u ndërmorën me arsyetimin se ai ishte dënuar për një vepër penale pas emërimit të tij në detyrë (shih paragrafin 16 më sipër); për këtë </w:t>
      </w:r>
      <w:r w:rsidRPr="00BE1029">
        <w:rPr>
          <w:rFonts w:ascii="Garamond" w:hAnsi="Garamond" w:cs="Times New Roman"/>
          <w:color w:val="000000"/>
          <w:sz w:val="24"/>
          <w:szCs w:val="24"/>
          <w:lang w:val="sq-AL"/>
        </w:rPr>
        <w:lastRenderedPageBreak/>
        <w:t xml:space="preserve">arsye, procedurat nuk përcaktuan aspektin specifik nëse emërimi fillestar i L.D. ishte bërë në përputhje me ligjin. Për sa i përket procesit penal kundër L.D., ai kishte të bënte me aspektin nëse ai kishte kryer falsifikim në aplikimin e tij për pozicionin e gjyqtarit në KPA; përsëri, kjo problematikë është e ndryshme nga problematika që ka të bëjë me faktin nëse emërimi i tij ishte i ligjshëm. Në shqyrtimin e elementit </w:t>
      </w:r>
      <w:r w:rsidRPr="00BE1029">
        <w:rPr>
          <w:rFonts w:ascii="Garamond" w:hAnsi="Garamond" w:cs="Times New Roman"/>
          <w:i/>
          <w:iCs/>
          <w:color w:val="000000"/>
          <w:sz w:val="24"/>
          <w:szCs w:val="24"/>
          <w:lang w:val="sq-AL"/>
        </w:rPr>
        <w:t>mens rea</w:t>
      </w:r>
      <w:r w:rsidRPr="00BE1029">
        <w:rPr>
          <w:rFonts w:ascii="Garamond" w:hAnsi="Garamond" w:cs="Times New Roman"/>
          <w:color w:val="000000"/>
          <w:sz w:val="24"/>
          <w:szCs w:val="24"/>
          <w:lang w:val="sq-AL"/>
        </w:rPr>
        <w:t xml:space="preserve"> të akuzës për falsifikim kundër L.D., gjykatat penale </w:t>
      </w:r>
      <w:r w:rsidR="008A55FD" w:rsidRPr="00BE1029">
        <w:rPr>
          <w:rFonts w:ascii="Garamond" w:hAnsi="Garamond" w:cs="Times New Roman"/>
          <w:color w:val="000000"/>
          <w:sz w:val="24"/>
          <w:szCs w:val="24"/>
          <w:lang w:val="sq-AL"/>
        </w:rPr>
        <w:t>vendës</w:t>
      </w:r>
      <w:r w:rsidRPr="00BE1029">
        <w:rPr>
          <w:rFonts w:ascii="Garamond" w:hAnsi="Garamond" w:cs="Times New Roman"/>
          <w:color w:val="000000"/>
          <w:sz w:val="24"/>
          <w:szCs w:val="24"/>
          <w:lang w:val="sq-AL"/>
        </w:rPr>
        <w:t xml:space="preserve">e bënë një sërë konstatimesh për faktin nëse L.D. kishte përmbushur kërkesat e ligjit </w:t>
      </w:r>
      <w:r w:rsidR="008A55FD" w:rsidRPr="00BE1029">
        <w:rPr>
          <w:rFonts w:ascii="Garamond" w:hAnsi="Garamond" w:cs="Times New Roman"/>
          <w:color w:val="000000"/>
          <w:sz w:val="24"/>
          <w:szCs w:val="24"/>
          <w:lang w:val="sq-AL"/>
        </w:rPr>
        <w:t>vendës</w:t>
      </w:r>
      <w:r w:rsidR="00B37E46">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në lidhje me aplikimin e tij për pozicionin e gjyqtarit në KPA. Megjithatë, nuk rezulton se gjykatat e zakonshme, duke përfshirë Gjykatën e Lartë, kishin pushtetin të merrnin një vendim për ligjshmërinë e emërimit të L.D., i cili si gjyqtar i KPA-së, kishte statusin e gjyqtarit të Gjykatës Kushtetuese. Duke iu referuar rrethanave, Gjykata vlerëson</w:t>
      </w:r>
      <w:r w:rsidR="00B37E46">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se aspekti</w:t>
      </w:r>
      <w:r w:rsidR="00B37E46">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nëse kishte pasur një shkelje të qartë të ligjit </w:t>
      </w:r>
      <w:r w:rsidR="008A55FD" w:rsidRPr="00BE1029">
        <w:rPr>
          <w:rFonts w:ascii="Garamond" w:hAnsi="Garamond" w:cs="Times New Roman"/>
          <w:color w:val="000000"/>
          <w:sz w:val="24"/>
          <w:szCs w:val="24"/>
          <w:lang w:val="sq-AL"/>
        </w:rPr>
        <w:t>vendës</w:t>
      </w:r>
      <w:r w:rsidRPr="00BE1029">
        <w:rPr>
          <w:rFonts w:ascii="Garamond" w:hAnsi="Garamond" w:cs="Times New Roman"/>
          <w:color w:val="000000"/>
          <w:sz w:val="24"/>
          <w:szCs w:val="24"/>
          <w:lang w:val="sq-AL"/>
        </w:rPr>
        <w:t xml:space="preserve"> në emërimin e L.D. në KPA</w:t>
      </w:r>
      <w:r w:rsidR="00B37E46">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nuk kishte marrë përgjigje nga gjykatat </w:t>
      </w:r>
      <w:r w:rsidR="008A55FD" w:rsidRPr="00BE1029">
        <w:rPr>
          <w:rFonts w:ascii="Garamond" w:hAnsi="Garamond" w:cs="Times New Roman"/>
          <w:color w:val="000000"/>
          <w:sz w:val="24"/>
          <w:szCs w:val="24"/>
          <w:lang w:val="sq-AL"/>
        </w:rPr>
        <w:t>vendës</w:t>
      </w:r>
      <w:r w:rsidRPr="00BE1029">
        <w:rPr>
          <w:rFonts w:ascii="Garamond" w:hAnsi="Garamond" w:cs="Times New Roman"/>
          <w:color w:val="000000"/>
          <w:sz w:val="24"/>
          <w:szCs w:val="24"/>
          <w:lang w:val="sq-AL"/>
        </w:rPr>
        <w:t xml:space="preserve">e. Sidoqoftë, Gjykata mund të marrë në konsideratë konstatimet kontekstuale të gjykatave </w:t>
      </w:r>
      <w:r w:rsidR="008A55FD" w:rsidRPr="00BE1029">
        <w:rPr>
          <w:rFonts w:ascii="Garamond" w:hAnsi="Garamond" w:cs="Times New Roman"/>
          <w:color w:val="000000"/>
          <w:sz w:val="24"/>
          <w:szCs w:val="24"/>
          <w:lang w:val="sq-AL"/>
        </w:rPr>
        <w:t>vendës</w:t>
      </w:r>
      <w:r w:rsidRPr="00BE1029">
        <w:rPr>
          <w:rFonts w:ascii="Garamond" w:hAnsi="Garamond" w:cs="Times New Roman"/>
          <w:color w:val="000000"/>
          <w:sz w:val="24"/>
          <w:szCs w:val="24"/>
          <w:lang w:val="sq-AL"/>
        </w:rPr>
        <w:t xml:space="preserve">e për këtë aspekt. </w:t>
      </w:r>
    </w:p>
    <w:p w14:paraId="15487B35" w14:textId="2A344A8D" w:rsidR="00A43DB1" w:rsidRPr="00BE1029" w:rsidRDefault="00A43DB1" w:rsidP="00A43DB1">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BE1029">
        <w:rPr>
          <w:rFonts w:ascii="Garamond" w:hAnsi="Garamond" w:cs="Times New Roman"/>
          <w:color w:val="000000"/>
          <w:sz w:val="24"/>
          <w:szCs w:val="24"/>
          <w:lang w:val="sq-AL"/>
        </w:rPr>
        <w:t xml:space="preserve">95. Në vlerësimin e problematikës nëse ka pasur në të vërtetë një shkelje të qartë të ligjit </w:t>
      </w:r>
      <w:r w:rsidR="008A55FD" w:rsidRPr="00BE1029">
        <w:rPr>
          <w:rFonts w:ascii="Garamond" w:hAnsi="Garamond" w:cs="Times New Roman"/>
          <w:color w:val="000000"/>
          <w:sz w:val="24"/>
          <w:szCs w:val="24"/>
          <w:lang w:val="sq-AL"/>
        </w:rPr>
        <w:t>vendës</w:t>
      </w:r>
      <w:r w:rsidRPr="00BE1029">
        <w:rPr>
          <w:rFonts w:ascii="Garamond" w:hAnsi="Garamond" w:cs="Times New Roman"/>
          <w:color w:val="000000"/>
          <w:sz w:val="24"/>
          <w:szCs w:val="24"/>
          <w:lang w:val="sq-AL"/>
        </w:rPr>
        <w:t xml:space="preserve">, Gjykata do të mbajë në konsideratë rrethanat e mëposhtme, të cilat nuk u kundërshtuan nga palët. Së pari, neni 6(1) (dh) </w:t>
      </w:r>
      <w:r w:rsidR="00360A95" w:rsidRPr="00BE1029">
        <w:rPr>
          <w:rFonts w:ascii="Garamond" w:hAnsi="Garamond" w:cs="Times New Roman"/>
          <w:color w:val="000000"/>
          <w:sz w:val="24"/>
          <w:szCs w:val="24"/>
          <w:lang w:val="sq-AL"/>
        </w:rPr>
        <w:t xml:space="preserve">i ligjit për rivlerësimin </w:t>
      </w:r>
      <w:r w:rsidRPr="00BE1029">
        <w:rPr>
          <w:rFonts w:ascii="Garamond" w:hAnsi="Garamond" w:cs="Times New Roman"/>
          <w:color w:val="000000"/>
          <w:sz w:val="24"/>
          <w:szCs w:val="24"/>
          <w:lang w:val="sq-AL"/>
        </w:rPr>
        <w:t>parashikonte</w:t>
      </w:r>
      <w:r w:rsidR="008239AC">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se një kandidat i cili ka qenë subjekt i masës disiplinore të shkarkimit nga detyra në kohën e aplikimit të tij për pozicionin e gjyqtarit në KPA, nuk mund të emërohej në atë pozicion (shih paragrafin 50 më sipër). Sipas rrethanave, emërimi pranë KPA-së i një kandidati i cili nuk përmbushte atë kusht ishte në kundërshtim me ligjin </w:t>
      </w:r>
      <w:r w:rsidR="008A55FD" w:rsidRPr="00BE1029">
        <w:rPr>
          <w:rFonts w:ascii="Garamond" w:hAnsi="Garamond" w:cs="Times New Roman"/>
          <w:color w:val="000000"/>
          <w:sz w:val="24"/>
          <w:szCs w:val="24"/>
          <w:lang w:val="sq-AL"/>
        </w:rPr>
        <w:t>vendës</w:t>
      </w:r>
      <w:r w:rsidRPr="00BE1029">
        <w:rPr>
          <w:rFonts w:ascii="Garamond" w:hAnsi="Garamond" w:cs="Times New Roman"/>
          <w:color w:val="000000"/>
          <w:sz w:val="24"/>
          <w:szCs w:val="24"/>
          <w:lang w:val="sq-AL"/>
        </w:rPr>
        <w:t xml:space="preserve">. Së dyti, L.D. kishte qenë subjekt i masës disiplinore të shkarkimit nga detyra në vitin 1997, për shkelje të ligjit dhe për paaftësi (shih paragrafin 8 më sipër). </w:t>
      </w:r>
    </w:p>
    <w:p w14:paraId="18AB4BF1" w14:textId="57226C72" w:rsidR="00A43DB1" w:rsidRPr="00BE1029" w:rsidRDefault="00A43DB1" w:rsidP="00D47B2B">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BE1029">
        <w:rPr>
          <w:rFonts w:ascii="Garamond" w:hAnsi="Garamond" w:cs="Times New Roman"/>
          <w:color w:val="000000"/>
          <w:sz w:val="24"/>
          <w:szCs w:val="24"/>
          <w:lang w:val="sq-AL"/>
        </w:rPr>
        <w:t xml:space="preserve">96. Një tjetër aspekt i pakundërshtuar midis ankuesit dhe Qeverisë ishte edhe fakti se masa disiplinore kundër L.D. vijonte të ishte në fuqi – që do të thotë se ajo nuk ishte hequr nga të dhënat e tij. Edhe pse Gjykata e Lartë e kishte marrë në konsideratë faktin se masa disiplinore kundër L.D. nuk ishte hequr nga të dhënat e tij, Gjykata thekson se ato konstatime ishin kufizuar brenda qëllimit për të vlerësuar përgjegjësinë penale të L.D. në lidhje me deklaratat e bëra në aplikimin e tij për pozicionin në KPA, dhe jo në ligjshmërinë e emërimit të tij nga Parlamenti, si e tillë. Kjo çështje e fundit do të kërkonte interpretimin e rregullave përkatës të parashikuar në ligjin shqiptar për heqjen nga të dhënat e gjyqtarëve të shkeljeve disiplinore të kryera prej tyre, duke u lexuar së bashku me </w:t>
      </w:r>
      <w:r w:rsidR="008239AC" w:rsidRPr="00BE1029">
        <w:rPr>
          <w:rFonts w:ascii="Garamond" w:hAnsi="Garamond" w:cs="Times New Roman"/>
          <w:color w:val="000000"/>
          <w:sz w:val="24"/>
          <w:szCs w:val="24"/>
          <w:lang w:val="sq-AL"/>
        </w:rPr>
        <w:t xml:space="preserve">nenin </w:t>
      </w:r>
      <w:r w:rsidRPr="00BE1029">
        <w:rPr>
          <w:rFonts w:ascii="Garamond" w:hAnsi="Garamond" w:cs="Times New Roman"/>
          <w:color w:val="000000"/>
          <w:sz w:val="24"/>
          <w:szCs w:val="24"/>
          <w:lang w:val="sq-AL"/>
        </w:rPr>
        <w:t xml:space="preserve">6(1) (dh) të </w:t>
      </w:r>
      <w:r w:rsidR="008239AC" w:rsidRPr="00BE1029">
        <w:rPr>
          <w:rFonts w:ascii="Garamond" w:hAnsi="Garamond" w:cs="Times New Roman"/>
          <w:color w:val="000000"/>
          <w:sz w:val="24"/>
          <w:szCs w:val="24"/>
          <w:lang w:val="sq-AL"/>
        </w:rPr>
        <w:t>ligjit të rivlerësimit. gjithashtu</w:t>
      </w:r>
      <w:r w:rsidRPr="00BE1029">
        <w:rPr>
          <w:rFonts w:ascii="Garamond" w:hAnsi="Garamond" w:cs="Times New Roman"/>
          <w:color w:val="000000"/>
          <w:sz w:val="24"/>
          <w:szCs w:val="24"/>
          <w:lang w:val="sq-AL"/>
        </w:rPr>
        <w:t xml:space="preserve">, </w:t>
      </w:r>
      <w:r w:rsidR="008239AC" w:rsidRPr="00BE1029">
        <w:rPr>
          <w:rFonts w:ascii="Garamond" w:hAnsi="Garamond" w:cs="Times New Roman"/>
          <w:color w:val="000000"/>
          <w:sz w:val="24"/>
          <w:szCs w:val="24"/>
          <w:lang w:val="sq-AL"/>
        </w:rPr>
        <w:t xml:space="preserve">neni </w:t>
      </w:r>
      <w:r w:rsidRPr="00BE1029">
        <w:rPr>
          <w:rFonts w:ascii="Garamond" w:hAnsi="Garamond" w:cs="Times New Roman"/>
          <w:color w:val="000000"/>
          <w:sz w:val="24"/>
          <w:szCs w:val="24"/>
          <w:lang w:val="sq-AL"/>
        </w:rPr>
        <w:t xml:space="preserve">6(1) (c) i </w:t>
      </w:r>
      <w:r w:rsidR="008239AC" w:rsidRPr="00BE1029">
        <w:rPr>
          <w:rFonts w:ascii="Garamond" w:hAnsi="Garamond" w:cs="Times New Roman"/>
          <w:color w:val="000000"/>
          <w:sz w:val="24"/>
          <w:szCs w:val="24"/>
          <w:lang w:val="sq-AL"/>
        </w:rPr>
        <w:t xml:space="preserve">ligjit të rivlerësimit </w:t>
      </w:r>
      <w:r w:rsidRPr="00BE1029">
        <w:rPr>
          <w:rFonts w:ascii="Garamond" w:hAnsi="Garamond" w:cs="Times New Roman"/>
          <w:color w:val="000000"/>
          <w:sz w:val="24"/>
          <w:szCs w:val="24"/>
          <w:lang w:val="sq-AL"/>
        </w:rPr>
        <w:t>(shih paragrafin 50 më sipër)</w:t>
      </w:r>
      <w:r w:rsidR="008239AC">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w:t>
      </w:r>
      <w:r w:rsidR="008239AC">
        <w:rPr>
          <w:rFonts w:ascii="Garamond" w:hAnsi="Garamond" w:cs="Times New Roman"/>
          <w:color w:val="000000"/>
          <w:sz w:val="24"/>
          <w:szCs w:val="24"/>
          <w:lang w:val="sq-AL"/>
        </w:rPr>
        <w:t>u</w:t>
      </w:r>
      <w:r w:rsidRPr="00BE1029">
        <w:rPr>
          <w:rFonts w:ascii="Garamond" w:hAnsi="Garamond" w:cs="Times New Roman"/>
          <w:color w:val="000000"/>
          <w:sz w:val="24"/>
          <w:szCs w:val="24"/>
          <w:lang w:val="sq-AL"/>
        </w:rPr>
        <w:t xml:space="preserve"> jepte të drejtën kandidatëve për pozicionin e gjyqtarit në një nga organet e </w:t>
      </w:r>
      <w:r w:rsidRPr="001653F3">
        <w:rPr>
          <w:rFonts w:ascii="Garamond" w:hAnsi="Garamond" w:cs="Times New Roman"/>
          <w:i/>
          <w:iCs/>
          <w:color w:val="000000"/>
          <w:sz w:val="24"/>
          <w:szCs w:val="24"/>
          <w:lang w:val="sq-AL"/>
        </w:rPr>
        <w:t>vetting</w:t>
      </w:r>
      <w:r w:rsidRPr="00BE1029">
        <w:rPr>
          <w:rFonts w:ascii="Garamond" w:hAnsi="Garamond" w:cs="Times New Roman"/>
          <w:color w:val="000000"/>
          <w:sz w:val="24"/>
          <w:szCs w:val="24"/>
          <w:lang w:val="sq-AL"/>
        </w:rPr>
        <w:t xml:space="preserve">-ut, në rast se gjatë karrierës së tyre ata kishin marrë vlerësime pozitive për aftësitë dhe etikën e tyre profesionale dhe për integritetin e tyre moral, </w:t>
      </w:r>
      <w:r w:rsidR="00D47B2B" w:rsidRPr="00D47B2B">
        <w:rPr>
          <w:rFonts w:ascii="Garamond" w:hAnsi="Garamond" w:cs="Times New Roman"/>
          <w:color w:val="000000"/>
          <w:sz w:val="24"/>
          <w:szCs w:val="24"/>
          <w:lang w:val="sq-AL"/>
        </w:rPr>
        <w:t xml:space="preserve">gjë </w:t>
      </w:r>
      <w:r w:rsidRPr="00D47B2B">
        <w:rPr>
          <w:rFonts w:ascii="Garamond" w:hAnsi="Garamond" w:cs="Times New Roman"/>
          <w:color w:val="000000"/>
          <w:sz w:val="24"/>
          <w:szCs w:val="24"/>
          <w:lang w:val="sq-AL"/>
        </w:rPr>
        <w:t>që vështirë</w:t>
      </w:r>
      <w:r w:rsidRPr="00BE1029">
        <w:rPr>
          <w:rFonts w:ascii="Garamond" w:hAnsi="Garamond" w:cs="Times New Roman"/>
          <w:color w:val="000000"/>
          <w:sz w:val="24"/>
          <w:szCs w:val="24"/>
          <w:lang w:val="sq-AL"/>
        </w:rPr>
        <w:t xml:space="preserve"> se mund të jetë e mundur</w:t>
      </w:r>
      <w:r w:rsidR="00D47B2B">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duke pasur parasysh shkarkimin e mëparshëm nga detyra për “shkelje të ligjit dhe paaftësi”.</w:t>
      </w:r>
    </w:p>
    <w:p w14:paraId="7E8D0C0D" w14:textId="1B00FCB8" w:rsidR="00A43DB1" w:rsidRPr="00BE1029" w:rsidRDefault="00A43DB1" w:rsidP="00A43DB1">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BE1029">
        <w:rPr>
          <w:rFonts w:ascii="Garamond" w:hAnsi="Garamond" w:cs="Times New Roman"/>
          <w:color w:val="000000"/>
          <w:sz w:val="24"/>
          <w:szCs w:val="24"/>
          <w:lang w:val="sq-AL"/>
        </w:rPr>
        <w:t xml:space="preserve">97. E teksa nuk i takon Gjykatës të japë një interpretim përfundimtar të ligjit </w:t>
      </w:r>
      <w:r w:rsidR="008A55FD" w:rsidRPr="00BE1029">
        <w:rPr>
          <w:rFonts w:ascii="Garamond" w:hAnsi="Garamond" w:cs="Times New Roman"/>
          <w:color w:val="000000"/>
          <w:sz w:val="24"/>
          <w:szCs w:val="24"/>
          <w:lang w:val="sq-AL"/>
        </w:rPr>
        <w:t>vendës</w:t>
      </w:r>
      <w:r w:rsidRPr="00BE1029">
        <w:rPr>
          <w:rFonts w:ascii="Garamond" w:hAnsi="Garamond" w:cs="Times New Roman"/>
          <w:color w:val="000000"/>
          <w:sz w:val="24"/>
          <w:szCs w:val="24"/>
          <w:lang w:val="sq-AL"/>
        </w:rPr>
        <w:t xml:space="preserve">, veçanërisht në mungesë të deklarimeve të qarta dhe autoritare të gjykatave </w:t>
      </w:r>
      <w:r w:rsidR="008A55FD" w:rsidRPr="00BE1029">
        <w:rPr>
          <w:rFonts w:ascii="Garamond" w:hAnsi="Garamond" w:cs="Times New Roman"/>
          <w:color w:val="000000"/>
          <w:sz w:val="24"/>
          <w:szCs w:val="24"/>
          <w:lang w:val="sq-AL"/>
        </w:rPr>
        <w:t>vendës</w:t>
      </w:r>
      <w:r w:rsidRPr="00BE1029">
        <w:rPr>
          <w:rFonts w:ascii="Garamond" w:hAnsi="Garamond" w:cs="Times New Roman"/>
          <w:color w:val="000000"/>
          <w:sz w:val="24"/>
          <w:szCs w:val="24"/>
          <w:lang w:val="sq-AL"/>
        </w:rPr>
        <w:t xml:space="preserve">e, është e qartë se shkarkimi i L.D. nga detyra në vitin 1997 si gjyqtar i Gjykatës së Rrethit Tiranë ka ngritur pikëpyetje të rëndësishme për sa i përket ligjshmërisë së emërimit të tij nga Parlamenti në pozicionin e gjyqtarit të KPA-së, gjë e cila u kundërshtua në vijim nga ankuesi gjatë procedurave </w:t>
      </w:r>
      <w:r w:rsidR="008A55FD" w:rsidRPr="00BE1029">
        <w:rPr>
          <w:rFonts w:ascii="Garamond" w:hAnsi="Garamond" w:cs="Times New Roman"/>
          <w:color w:val="000000"/>
          <w:sz w:val="24"/>
          <w:szCs w:val="24"/>
          <w:lang w:val="sq-AL"/>
        </w:rPr>
        <w:t>vendës</w:t>
      </w:r>
      <w:r w:rsidRPr="00BE1029">
        <w:rPr>
          <w:rFonts w:ascii="Garamond" w:hAnsi="Garamond" w:cs="Times New Roman"/>
          <w:color w:val="000000"/>
          <w:sz w:val="24"/>
          <w:szCs w:val="24"/>
          <w:lang w:val="sq-AL"/>
        </w:rPr>
        <w:t xml:space="preserve">e. Për këtë arsye, Gjykata do të procedojë mbi bazën se pretendimi i ankuesit për këtë aspekt ishte për t’u diskutuar dhe mjaftueshëm serioz sa për të krijuar detyrimin për gjykatat </w:t>
      </w:r>
      <w:r w:rsidR="008A55FD" w:rsidRPr="00BE1029">
        <w:rPr>
          <w:rFonts w:ascii="Garamond" w:hAnsi="Garamond" w:cs="Times New Roman"/>
          <w:color w:val="000000"/>
          <w:sz w:val="24"/>
          <w:szCs w:val="24"/>
          <w:lang w:val="sq-AL"/>
        </w:rPr>
        <w:t>vendës</w:t>
      </w:r>
      <w:r w:rsidRPr="00BE1029">
        <w:rPr>
          <w:rFonts w:ascii="Garamond" w:hAnsi="Garamond" w:cs="Times New Roman"/>
          <w:color w:val="000000"/>
          <w:sz w:val="24"/>
          <w:szCs w:val="24"/>
          <w:lang w:val="sq-AL"/>
        </w:rPr>
        <w:t xml:space="preserve">e që ta merrnin në konsideratë këtë problem. </w:t>
      </w:r>
    </w:p>
    <w:p w14:paraId="04145513" w14:textId="0F2A278B" w:rsidR="00A43DB1" w:rsidRPr="00BE1029" w:rsidRDefault="00A43DB1" w:rsidP="004F0590">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BE1029">
        <w:rPr>
          <w:rFonts w:ascii="Garamond" w:hAnsi="Garamond" w:cs="Times New Roman"/>
          <w:color w:val="000000"/>
          <w:sz w:val="24"/>
          <w:szCs w:val="24"/>
          <w:lang w:val="sq-AL"/>
        </w:rPr>
        <w:t xml:space="preserve">98. Për sa më sipër, Gjykata arrin në përfundimin se kërkuesi ngriti një pretendim serioz dhe që duhej të shqyrtohej për një shkelje të qartë të ligjit </w:t>
      </w:r>
      <w:r w:rsidR="00552315">
        <w:rPr>
          <w:rFonts w:ascii="Garamond" w:hAnsi="Garamond" w:cs="Times New Roman"/>
          <w:color w:val="000000"/>
          <w:sz w:val="24"/>
          <w:szCs w:val="24"/>
          <w:lang w:val="sq-AL"/>
        </w:rPr>
        <w:t>vend</w:t>
      </w:r>
      <w:r w:rsidR="004F0590">
        <w:rPr>
          <w:rFonts w:ascii="Garamond" w:hAnsi="Garamond" w:cs="Times New Roman"/>
          <w:color w:val="000000"/>
          <w:sz w:val="24"/>
          <w:szCs w:val="24"/>
          <w:lang w:val="sq-AL"/>
        </w:rPr>
        <w:t>ë</w:t>
      </w:r>
      <w:r w:rsidR="008A55FD" w:rsidRPr="00BE1029">
        <w:rPr>
          <w:rFonts w:ascii="Garamond" w:hAnsi="Garamond" w:cs="Times New Roman"/>
          <w:color w:val="000000"/>
          <w:sz w:val="24"/>
          <w:szCs w:val="24"/>
          <w:lang w:val="sq-AL"/>
        </w:rPr>
        <w:t>s</w:t>
      </w:r>
      <w:r w:rsidR="004F0590">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në lidhje me emërimin e L.D. në KPA. </w:t>
      </w:r>
    </w:p>
    <w:p w14:paraId="5E6F48DC" w14:textId="61E5983E" w:rsidR="00A43DB1" w:rsidRPr="00BE1029" w:rsidRDefault="00A43DB1" w:rsidP="00A43DB1">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BE1029">
        <w:rPr>
          <w:rFonts w:ascii="Garamond" w:hAnsi="Garamond" w:cs="Times New Roman"/>
          <w:i/>
          <w:iCs/>
          <w:color w:val="000000"/>
          <w:sz w:val="24"/>
          <w:szCs w:val="24"/>
          <w:lang w:val="sq-AL"/>
        </w:rPr>
        <w:t xml:space="preserve">b) Nëse shkelja e ligjit </w:t>
      </w:r>
      <w:r w:rsidR="008A55FD" w:rsidRPr="00BE1029">
        <w:rPr>
          <w:rFonts w:ascii="Garamond" w:hAnsi="Garamond" w:cs="Times New Roman"/>
          <w:i/>
          <w:iCs/>
          <w:color w:val="000000"/>
          <w:sz w:val="24"/>
          <w:szCs w:val="24"/>
          <w:lang w:val="sq-AL"/>
        </w:rPr>
        <w:t>vendës</w:t>
      </w:r>
      <w:r w:rsidRPr="00BE1029">
        <w:rPr>
          <w:rFonts w:ascii="Garamond" w:hAnsi="Garamond" w:cs="Times New Roman"/>
          <w:i/>
          <w:iCs/>
          <w:color w:val="000000"/>
          <w:sz w:val="24"/>
          <w:szCs w:val="24"/>
          <w:lang w:val="sq-AL"/>
        </w:rPr>
        <w:t xml:space="preserve"> kishte lidhje me një rregull themelor për procedurën për emërimin e gjyqtarëve</w:t>
      </w:r>
    </w:p>
    <w:p w14:paraId="4F9B65A5" w14:textId="5F5999FE" w:rsidR="00A43DB1" w:rsidRPr="00BE1029" w:rsidRDefault="00A43DB1" w:rsidP="009D757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99. Në rastin kur përcaktohet nëse një defekt i caktuar në procesin e emërimeve në gjyqësor ka qenë aq i rëndë sa të shkaktonte një shkelje të së drejtës për “një gjykatë të krijuar me ligj”, i duhet kushtuar vëmendje, midis të tjerash, qëllimit të ligjit që duket se është shkelur – që do të thotë, nëse kërkonte të parandalohej një ndërhyrje e parregullt nga ana e ekzekutivit apo legjislativit në gjyqësor, </w:t>
      </w:r>
      <w:r w:rsidRPr="00BE1029">
        <w:rPr>
          <w:rFonts w:ascii="Garamond" w:hAnsi="Garamond" w:cs="Times New Roman"/>
          <w:color w:val="000000"/>
          <w:sz w:val="24"/>
          <w:szCs w:val="24"/>
          <w:lang w:val="sq-AL"/>
        </w:rPr>
        <w:lastRenderedPageBreak/>
        <w:t>dhe nëse shkelja konkrete dëmtonte vet</w:t>
      </w:r>
      <w:r w:rsidR="00B71CFC">
        <w:rPr>
          <w:rFonts w:ascii="Garamond" w:hAnsi="Garamond" w:cs="Times New Roman"/>
          <w:color w:val="000000"/>
          <w:sz w:val="24"/>
          <w:szCs w:val="24"/>
          <w:lang w:val="sq-AL"/>
        </w:rPr>
        <w:t>ë</w:t>
      </w:r>
      <w:r w:rsidRPr="00BE1029">
        <w:rPr>
          <w:rFonts w:ascii="Garamond" w:hAnsi="Garamond" w:cs="Times New Roman"/>
          <w:color w:val="000000"/>
          <w:sz w:val="24"/>
          <w:szCs w:val="24"/>
          <w:lang w:val="sq-AL"/>
        </w:rPr>
        <w:t xml:space="preserve"> esencën e </w:t>
      </w:r>
      <w:r w:rsidR="009D7573">
        <w:rPr>
          <w:rFonts w:ascii="Garamond" w:hAnsi="Garamond" w:cs="Times New Roman"/>
          <w:color w:val="000000"/>
          <w:sz w:val="24"/>
          <w:szCs w:val="24"/>
          <w:lang w:val="sq-AL"/>
        </w:rPr>
        <w:t>s</w:t>
      </w:r>
      <w:r w:rsidRPr="00BE1029">
        <w:rPr>
          <w:rFonts w:ascii="Garamond" w:hAnsi="Garamond" w:cs="Times New Roman"/>
          <w:color w:val="000000"/>
          <w:sz w:val="24"/>
          <w:szCs w:val="24"/>
          <w:lang w:val="sq-AL"/>
        </w:rPr>
        <w:t xml:space="preserve">ë drejtës për një “gjykatë të krijuar me ligj” (shih </w:t>
      </w:r>
      <w:r w:rsidRPr="00BE1029">
        <w:rPr>
          <w:rFonts w:ascii="Garamond" w:hAnsi="Garamond" w:cs="Times New Roman"/>
          <w:i/>
          <w:iCs/>
          <w:color w:val="000000"/>
          <w:sz w:val="24"/>
          <w:szCs w:val="24"/>
          <w:lang w:val="sq-AL"/>
        </w:rPr>
        <w:t>Guðmundur Andri Ástráðsson</w:t>
      </w:r>
      <w:r w:rsidRPr="00BE1029">
        <w:rPr>
          <w:rFonts w:ascii="Garamond" w:hAnsi="Garamond" w:cs="Times New Roman"/>
          <w:color w:val="000000"/>
          <w:sz w:val="24"/>
          <w:szCs w:val="24"/>
          <w:lang w:val="sq-AL"/>
        </w:rPr>
        <w:t xml:space="preserve">, cituar më sipër, §§ 226 dhe 225). Në lidhje me këtë, Gjykata ka nënvizuar tashmë se kërkesat për përzgjedhshmërinë në emërimin e gjyqtarëve konsiderohen si rregulla themelorë, shkelja e të cilëve cenon qëllimin dhe ndikimin e kërkesës të “krijuar me ligj” (shih, po aty, § 246). </w:t>
      </w:r>
    </w:p>
    <w:p w14:paraId="17975844" w14:textId="2665D4D1"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100. Sipas rrethanave, Gjykata do ta përcaktojë këtë pikë sipas qëllimit të rregullit që pretendohet të jetë shkelur – me konkretisht </w:t>
      </w:r>
      <w:r w:rsidR="009D7573" w:rsidRPr="00BE1029">
        <w:rPr>
          <w:rFonts w:ascii="Garamond" w:hAnsi="Garamond" w:cs="Times New Roman"/>
          <w:color w:val="000000"/>
          <w:sz w:val="24"/>
          <w:szCs w:val="24"/>
          <w:lang w:val="sq-AL"/>
        </w:rPr>
        <w:t xml:space="preserve">neni </w:t>
      </w:r>
      <w:r w:rsidRPr="00BE1029">
        <w:rPr>
          <w:rFonts w:ascii="Garamond" w:hAnsi="Garamond" w:cs="Times New Roman"/>
          <w:color w:val="000000"/>
          <w:sz w:val="24"/>
          <w:szCs w:val="24"/>
          <w:lang w:val="sq-AL"/>
        </w:rPr>
        <w:t xml:space="preserve">6(1)(dh) </w:t>
      </w:r>
      <w:r w:rsidR="009D7573" w:rsidRPr="00BE1029">
        <w:rPr>
          <w:rFonts w:ascii="Garamond" w:hAnsi="Garamond" w:cs="Times New Roman"/>
          <w:color w:val="000000"/>
          <w:sz w:val="24"/>
          <w:szCs w:val="24"/>
          <w:lang w:val="sq-AL"/>
        </w:rPr>
        <w:t xml:space="preserve">i ligjit të rivlerësimit. Argumenti </w:t>
      </w:r>
      <w:r w:rsidRPr="00BE1029">
        <w:rPr>
          <w:rFonts w:ascii="Garamond" w:hAnsi="Garamond" w:cs="Times New Roman"/>
          <w:color w:val="000000"/>
          <w:sz w:val="24"/>
          <w:szCs w:val="24"/>
          <w:lang w:val="sq-AL"/>
        </w:rPr>
        <w:t>i Qeverisë</w:t>
      </w:r>
      <w:r w:rsidR="00EF42C3">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se janë respektuar rregullat e tjerë që zbatohen për emërimin e gjyqtarëve të KPA</w:t>
      </w:r>
      <w:r w:rsidR="00D86230">
        <w:rPr>
          <w:rFonts w:ascii="Garamond" w:hAnsi="Garamond" w:cs="Times New Roman"/>
          <w:color w:val="000000"/>
          <w:sz w:val="24"/>
          <w:szCs w:val="24"/>
          <w:lang w:val="sq-AL"/>
        </w:rPr>
        <w:t>-së</w:t>
      </w:r>
      <w:r w:rsidRPr="00BE1029">
        <w:rPr>
          <w:rFonts w:ascii="Garamond" w:hAnsi="Garamond" w:cs="Times New Roman"/>
          <w:color w:val="000000"/>
          <w:sz w:val="24"/>
          <w:szCs w:val="24"/>
          <w:lang w:val="sq-AL"/>
        </w:rPr>
        <w:t xml:space="preserve">, ka një peshë të kufizuar në këtë vlerësim. </w:t>
      </w:r>
    </w:p>
    <w:p w14:paraId="2421DCB5" w14:textId="617D0E35" w:rsidR="00A43DB1" w:rsidRPr="00BE1029" w:rsidRDefault="00A43DB1" w:rsidP="001C65C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101. Gjykata vëren se, me përjashtim të argumentit të sipërpërmendur se janë zbatuar rregullat e tjer</w:t>
      </w:r>
      <w:r w:rsidR="001C65C2">
        <w:rPr>
          <w:rFonts w:ascii="Garamond" w:hAnsi="Garamond" w:cs="Times New Roman"/>
          <w:color w:val="000000"/>
          <w:sz w:val="24"/>
          <w:szCs w:val="24"/>
          <w:lang w:val="sq-AL"/>
        </w:rPr>
        <w:t>a</w:t>
      </w:r>
      <w:r w:rsidRPr="00BE1029">
        <w:rPr>
          <w:rFonts w:ascii="Garamond" w:hAnsi="Garamond" w:cs="Times New Roman"/>
          <w:color w:val="000000"/>
          <w:sz w:val="24"/>
          <w:szCs w:val="24"/>
          <w:lang w:val="sq-AL"/>
        </w:rPr>
        <w:t xml:space="preserve"> për emërimin e gjyqtarit L.D. në KPA, Qeveria nuk parashtroi ndonjë koment në lidhje me qëllimin e seksionit 6 (1)(dh) të </w:t>
      </w:r>
      <w:r w:rsidR="001C65C2" w:rsidRPr="00BE1029">
        <w:rPr>
          <w:rFonts w:ascii="Garamond" w:hAnsi="Garamond" w:cs="Times New Roman"/>
          <w:color w:val="000000"/>
          <w:sz w:val="24"/>
          <w:szCs w:val="24"/>
          <w:lang w:val="sq-AL"/>
        </w:rPr>
        <w:t>ligjit të rivlerësimit</w:t>
      </w:r>
      <w:r w:rsidRPr="00BE1029">
        <w:rPr>
          <w:rFonts w:ascii="Garamond" w:hAnsi="Garamond" w:cs="Times New Roman"/>
          <w:color w:val="000000"/>
          <w:sz w:val="24"/>
          <w:szCs w:val="24"/>
          <w:lang w:val="sq-AL"/>
        </w:rPr>
        <w:t xml:space="preserve">; dhe nuk paraqiti as ndonjë arsye se përse ai rregull duhet të konsiderohet si një rregull teknik, shkelja e të cilit nuk do të ishte e ndonjë serioziteti të konsiderueshëm. </w:t>
      </w:r>
    </w:p>
    <w:p w14:paraId="421CC17A" w14:textId="6D4F18EE"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102. Nga ana tjetër, ankuesi parashtroi – dhe Gjykata ra dakord – se rregulli konkret synonte të ruante legjitimi</w:t>
      </w:r>
      <w:r w:rsidR="001C65C2">
        <w:rPr>
          <w:rFonts w:ascii="Garamond" w:hAnsi="Garamond" w:cs="Times New Roman"/>
          <w:color w:val="000000"/>
          <w:sz w:val="24"/>
          <w:szCs w:val="24"/>
          <w:lang w:val="sq-AL"/>
        </w:rPr>
        <w:t>tetin dhe besimin e publikut te</w:t>
      </w:r>
      <w:r w:rsidRPr="00BE1029">
        <w:rPr>
          <w:rFonts w:ascii="Garamond" w:hAnsi="Garamond" w:cs="Times New Roman"/>
          <w:color w:val="000000"/>
          <w:sz w:val="24"/>
          <w:szCs w:val="24"/>
          <w:lang w:val="sq-AL"/>
        </w:rPr>
        <w:t xml:space="preserve"> procesi i rivlerësimit. Edhe Gjykata priret të jetë dakord me gjykatat </w:t>
      </w:r>
      <w:r w:rsidR="008A55FD" w:rsidRPr="00BE1029">
        <w:rPr>
          <w:rFonts w:ascii="Garamond" w:hAnsi="Garamond" w:cs="Times New Roman"/>
          <w:color w:val="000000"/>
          <w:sz w:val="24"/>
          <w:szCs w:val="24"/>
          <w:lang w:val="sq-AL"/>
        </w:rPr>
        <w:t>vendës</w:t>
      </w:r>
      <w:r w:rsidRPr="00BE1029">
        <w:rPr>
          <w:rFonts w:ascii="Garamond" w:hAnsi="Garamond" w:cs="Times New Roman"/>
          <w:color w:val="000000"/>
          <w:sz w:val="24"/>
          <w:szCs w:val="24"/>
          <w:lang w:val="sq-AL"/>
        </w:rPr>
        <w:t xml:space="preserve">e, të cilat – për aq sa ato e trajtuan këtë çështje sipas kontekstit të procesit penal ndaj L.D. – bënë deklarata të ngjashme në lidhje me rëndësinë e kërkesës për përzgjedhshmërinë të parashikuar në </w:t>
      </w:r>
      <w:r w:rsidR="001C65C2" w:rsidRPr="00BE1029">
        <w:rPr>
          <w:rFonts w:ascii="Garamond" w:hAnsi="Garamond" w:cs="Times New Roman"/>
          <w:color w:val="000000"/>
          <w:sz w:val="24"/>
          <w:szCs w:val="24"/>
          <w:lang w:val="sq-AL"/>
        </w:rPr>
        <w:t xml:space="preserve">nenin </w:t>
      </w:r>
      <w:r w:rsidRPr="00BE1029">
        <w:rPr>
          <w:rFonts w:ascii="Garamond" w:hAnsi="Garamond" w:cs="Times New Roman"/>
          <w:color w:val="000000"/>
          <w:sz w:val="24"/>
          <w:szCs w:val="24"/>
          <w:lang w:val="sq-AL"/>
        </w:rPr>
        <w:t xml:space="preserve">6(1)(dh) të </w:t>
      </w:r>
      <w:r w:rsidR="001C65C2" w:rsidRPr="00BE1029">
        <w:rPr>
          <w:rFonts w:ascii="Garamond" w:hAnsi="Garamond" w:cs="Times New Roman"/>
          <w:color w:val="000000"/>
          <w:sz w:val="24"/>
          <w:szCs w:val="24"/>
          <w:lang w:val="sq-AL"/>
        </w:rPr>
        <w:t xml:space="preserve">ligjit të rivlerësimit </w:t>
      </w:r>
      <w:r w:rsidRPr="00BE1029">
        <w:rPr>
          <w:rFonts w:ascii="Garamond" w:hAnsi="Garamond" w:cs="Times New Roman"/>
          <w:color w:val="000000"/>
          <w:sz w:val="24"/>
          <w:szCs w:val="24"/>
          <w:lang w:val="sq-AL"/>
        </w:rPr>
        <w:t xml:space="preserve">(shih paragrafët 25 dhe 29 më sipër). Është e qartë se emërimi i një personi i cili nuk përmbush kriteret statutore për një post të caktuar në gjyqësor mund të dëmtojë legjitimitetin e funksionit gjyqësor në fjalë. Sipas Gjykatës, rëndësia e kritereve statutore të përzgjedhshmërisë për gjyqtarët është e qartë edhe në </w:t>
      </w:r>
      <w:r w:rsidR="00946DAA" w:rsidRPr="00BE1029">
        <w:rPr>
          <w:rFonts w:ascii="Garamond" w:hAnsi="Garamond" w:cs="Times New Roman"/>
          <w:color w:val="000000"/>
          <w:sz w:val="24"/>
          <w:szCs w:val="24"/>
          <w:lang w:val="sq-AL"/>
        </w:rPr>
        <w:t xml:space="preserve">ligjin </w:t>
      </w:r>
      <w:r w:rsidRPr="00BE1029">
        <w:rPr>
          <w:rFonts w:ascii="Garamond" w:hAnsi="Garamond" w:cs="Times New Roman"/>
          <w:color w:val="000000"/>
          <w:sz w:val="24"/>
          <w:szCs w:val="24"/>
          <w:lang w:val="sq-AL"/>
        </w:rPr>
        <w:t xml:space="preserve">për </w:t>
      </w:r>
      <w:r w:rsidR="00946DAA" w:rsidRPr="00BE1029">
        <w:rPr>
          <w:rFonts w:ascii="Garamond" w:hAnsi="Garamond" w:cs="Times New Roman"/>
          <w:color w:val="000000"/>
          <w:sz w:val="24"/>
          <w:szCs w:val="24"/>
          <w:lang w:val="sq-AL"/>
        </w:rPr>
        <w:t>gjyqtarët dhe prokurorët</w:t>
      </w:r>
      <w:r w:rsidRPr="00BE1029">
        <w:rPr>
          <w:rFonts w:ascii="Garamond" w:hAnsi="Garamond" w:cs="Times New Roman"/>
          <w:color w:val="000000"/>
          <w:sz w:val="24"/>
          <w:szCs w:val="24"/>
          <w:lang w:val="sq-AL"/>
        </w:rPr>
        <w:t>, i cili parashikon se mosrespektimi i kritereve të përzgjedhshmërisë çon në ndërprerjen e mandatit të magjistratit në datën e vendimit</w:t>
      </w:r>
      <w:r w:rsidR="00946DAA">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i cili e</w:t>
      </w:r>
      <w:r w:rsidR="00946DAA">
        <w:rPr>
          <w:rFonts w:ascii="Garamond" w:hAnsi="Garamond" w:cs="Times New Roman"/>
          <w:color w:val="000000"/>
          <w:sz w:val="24"/>
          <w:szCs w:val="24"/>
          <w:lang w:val="sq-AL"/>
        </w:rPr>
        <w:t xml:space="preserve"> njeh një mosrespektim të tillë</w:t>
      </w:r>
      <w:r w:rsidRPr="00BE1029">
        <w:rPr>
          <w:rFonts w:ascii="Garamond" w:hAnsi="Garamond" w:cs="Times New Roman"/>
          <w:color w:val="000000"/>
          <w:sz w:val="24"/>
          <w:szCs w:val="24"/>
          <w:lang w:val="sq-AL"/>
        </w:rPr>
        <w:t xml:space="preserve"> dhe pavarësisht periudhës që prej emërimit të parë (shih paragrafin 53 më sipër). </w:t>
      </w:r>
    </w:p>
    <w:p w14:paraId="64374839" w14:textId="223EEE19"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103. Në vijim, Gjykata vlerëson se për sa ka të bëjë me procedurat e rivlerësimit, KPA</w:t>
      </w:r>
      <w:r w:rsidR="00946DAA">
        <w:rPr>
          <w:rFonts w:ascii="Garamond" w:hAnsi="Garamond" w:cs="Times New Roman"/>
          <w:color w:val="000000"/>
          <w:sz w:val="24"/>
          <w:szCs w:val="24"/>
          <w:lang w:val="sq-AL"/>
        </w:rPr>
        <w:t>-ja</w:t>
      </w:r>
      <w:r w:rsidRPr="00BE1029">
        <w:rPr>
          <w:rFonts w:ascii="Garamond" w:hAnsi="Garamond" w:cs="Times New Roman"/>
          <w:color w:val="000000"/>
          <w:sz w:val="24"/>
          <w:szCs w:val="24"/>
          <w:lang w:val="sq-AL"/>
        </w:rPr>
        <w:t xml:space="preserve"> është gjykata më e lartë në vend. Sipas rrethanave, emërimi në KPA i një kandidati</w:t>
      </w:r>
      <w:r w:rsidR="00FC7CCE">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i cili më herët është shkarkuar nga detyra për një shkelje të ligjit dhe për paaftësi (shih paragrafët 9 dhe 51 më sipër) vështirë se mund të pajtohet me kërkesën</w:t>
      </w:r>
      <w:r w:rsidR="00FC7CCE">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që sa më i lartë të jetë niveli i një gjykate në hierarkinë e gjyqësorit, më kërkuese duhet të jenë kriteret e zbatueshme të përzgjedhjes (shih paragrafin 84 më sipër). </w:t>
      </w:r>
    </w:p>
    <w:p w14:paraId="37DAA9EB" w14:textId="47B57542"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104. Edhe pse Qeveria nuk e kundërshtoi konstatimin se L.D. ishte emëruar në kundërshtim me </w:t>
      </w:r>
      <w:r w:rsidR="00FC7CCE" w:rsidRPr="00BE1029">
        <w:rPr>
          <w:rFonts w:ascii="Garamond" w:hAnsi="Garamond" w:cs="Times New Roman"/>
          <w:color w:val="000000"/>
          <w:sz w:val="24"/>
          <w:szCs w:val="24"/>
          <w:lang w:val="sq-AL"/>
        </w:rPr>
        <w:t xml:space="preserve">nenin </w:t>
      </w:r>
      <w:r w:rsidRPr="00BE1029">
        <w:rPr>
          <w:rFonts w:ascii="Garamond" w:hAnsi="Garamond" w:cs="Times New Roman"/>
          <w:color w:val="000000"/>
          <w:sz w:val="24"/>
          <w:szCs w:val="24"/>
          <w:lang w:val="sq-AL"/>
        </w:rPr>
        <w:t xml:space="preserve">6(1)(dh) të </w:t>
      </w:r>
      <w:r w:rsidR="00FC7CCE" w:rsidRPr="00BE1029">
        <w:rPr>
          <w:rFonts w:ascii="Garamond" w:hAnsi="Garamond" w:cs="Times New Roman"/>
          <w:color w:val="000000"/>
          <w:sz w:val="24"/>
          <w:szCs w:val="24"/>
          <w:lang w:val="sq-AL"/>
        </w:rPr>
        <w:t>ligjit të rivlerësimit</w:t>
      </w:r>
      <w:r w:rsidRPr="00BE1029">
        <w:rPr>
          <w:rFonts w:ascii="Garamond" w:hAnsi="Garamond" w:cs="Times New Roman"/>
          <w:color w:val="000000"/>
          <w:sz w:val="24"/>
          <w:szCs w:val="24"/>
          <w:lang w:val="sq-AL"/>
        </w:rPr>
        <w:t xml:space="preserve">, ajo argumentoi se nuk kishte pasur shkelje të së drejtës së kërkuesit për një “gjykatë të krijuar me ligj”, pasi L.D. nuk kishte treguar për masën disiplinore ndaj tij dhe autoritetet nuk kishin pasur dijeni për një gjë të tillë. Në vijim, Qeveria shprehej se në ndryshim nga rrethanat në çështjen </w:t>
      </w:r>
      <w:r w:rsidRPr="00BE1029">
        <w:rPr>
          <w:rFonts w:ascii="Garamond" w:hAnsi="Garamond" w:cs="Times New Roman"/>
          <w:i/>
          <w:iCs/>
          <w:color w:val="000000"/>
          <w:sz w:val="24"/>
          <w:szCs w:val="24"/>
          <w:lang w:val="sq-AL"/>
        </w:rPr>
        <w:t>Guðmundur Andri Ástráðsson</w:t>
      </w:r>
      <w:r w:rsidRPr="00BE1029">
        <w:rPr>
          <w:rFonts w:ascii="Garamond" w:hAnsi="Garamond" w:cs="Times New Roman"/>
          <w:color w:val="000000"/>
          <w:sz w:val="24"/>
          <w:szCs w:val="24"/>
          <w:lang w:val="sq-AL"/>
        </w:rPr>
        <w:t xml:space="preserve">, në çështjen konkrete autoritetet </w:t>
      </w:r>
      <w:r w:rsidR="008A55FD" w:rsidRPr="00BE1029">
        <w:rPr>
          <w:rFonts w:ascii="Garamond" w:hAnsi="Garamond" w:cs="Times New Roman"/>
          <w:color w:val="000000"/>
          <w:sz w:val="24"/>
          <w:szCs w:val="24"/>
          <w:lang w:val="sq-AL"/>
        </w:rPr>
        <w:t>vendës</w:t>
      </w:r>
      <w:r w:rsidRPr="00BE1029">
        <w:rPr>
          <w:rFonts w:ascii="Garamond" w:hAnsi="Garamond" w:cs="Times New Roman"/>
          <w:color w:val="000000"/>
          <w:sz w:val="24"/>
          <w:szCs w:val="24"/>
          <w:lang w:val="sq-AL"/>
        </w:rPr>
        <w:t xml:space="preserve">e nuk kishin ndërhyrë në procedurën e emërimit të L.D. në mënyrë të tillë që do të vinte në pikëpyetje pavarësinë e tij. Si pasojë, Gjykata do t’i adresojë këto argumente me radhë. </w:t>
      </w:r>
    </w:p>
    <w:p w14:paraId="5AB575D6" w14:textId="51D93E71" w:rsidR="00A43DB1" w:rsidRPr="00BE1029" w:rsidRDefault="00A43DB1" w:rsidP="00B8372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105. Në lidhje me argumentin e Qeverisë</w:t>
      </w:r>
      <w:r w:rsidR="00763F11">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se padijenia e autoriteteve për shkarkimin e L.D nga detyra e tij si gjyqtar i Gjykatës së Rrethit Tiranë në vitin 1997 duhet të konsiderohet se përjashton mundësinë që autoritetet të kenë shkelur të drejtën e ankuesit për një “gjykatë të krijuar me ligj”, Gjykata vlerëson se Shtetet kanë një detyrim të përgjithshëm për të organizuar sistemet e tyre ligjore</w:t>
      </w:r>
      <w:r w:rsidR="00B8372D">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në mënyrë të tillë që të sigurojnë pajtueshmërinë me kërkesat e </w:t>
      </w:r>
      <w:r w:rsidR="00B8372D" w:rsidRPr="00BE1029">
        <w:rPr>
          <w:rFonts w:ascii="Garamond" w:hAnsi="Garamond" w:cs="Times New Roman"/>
          <w:color w:val="000000"/>
          <w:sz w:val="24"/>
          <w:szCs w:val="24"/>
          <w:lang w:val="sq-AL"/>
        </w:rPr>
        <w:t xml:space="preserve">nenit </w:t>
      </w:r>
      <w:r w:rsidR="00B8372D">
        <w:rPr>
          <w:rFonts w:ascii="Garamond" w:hAnsi="Garamond" w:cs="Times New Roman"/>
          <w:color w:val="000000"/>
          <w:sz w:val="24"/>
          <w:szCs w:val="24"/>
          <w:lang w:val="sq-AL"/>
        </w:rPr>
        <w:t xml:space="preserve">6 </w:t>
      </w:r>
      <w:r w:rsidRPr="00BE1029">
        <w:rPr>
          <w:rFonts w:ascii="Garamond" w:hAnsi="Garamond" w:cs="Times New Roman"/>
          <w:color w:val="000000"/>
          <w:sz w:val="24"/>
          <w:szCs w:val="24"/>
          <w:lang w:val="sq-AL"/>
        </w:rPr>
        <w:t xml:space="preserve">§ 1 (shih, </w:t>
      </w:r>
      <w:r w:rsidRPr="00BE1029">
        <w:rPr>
          <w:rFonts w:ascii="Garamond" w:hAnsi="Garamond" w:cs="Times New Roman"/>
          <w:i/>
          <w:iCs/>
          <w:color w:val="000000"/>
          <w:sz w:val="24"/>
          <w:szCs w:val="24"/>
          <w:lang w:val="sq-AL"/>
        </w:rPr>
        <w:t xml:space="preserve">mutatis mutandis, Krastanov kundër Bullgarisë, </w:t>
      </w:r>
      <w:r w:rsidRPr="00BE1029">
        <w:rPr>
          <w:rFonts w:ascii="Garamond" w:hAnsi="Garamond" w:cs="Times New Roman"/>
          <w:color w:val="000000"/>
          <w:sz w:val="24"/>
          <w:szCs w:val="24"/>
          <w:lang w:val="sq-AL"/>
        </w:rPr>
        <w:t xml:space="preserve">nr. 50222/99, § 74, 30 </w:t>
      </w:r>
      <w:r w:rsidR="00B8372D" w:rsidRPr="00BE1029">
        <w:rPr>
          <w:rFonts w:ascii="Garamond" w:hAnsi="Garamond" w:cs="Times New Roman"/>
          <w:color w:val="000000"/>
          <w:sz w:val="24"/>
          <w:szCs w:val="24"/>
          <w:lang w:val="sq-AL"/>
        </w:rPr>
        <w:t xml:space="preserve">shtator </w:t>
      </w:r>
      <w:r w:rsidRPr="00BE1029">
        <w:rPr>
          <w:rFonts w:ascii="Garamond" w:hAnsi="Garamond" w:cs="Times New Roman"/>
          <w:color w:val="000000"/>
          <w:sz w:val="24"/>
          <w:szCs w:val="24"/>
          <w:lang w:val="sq-AL"/>
        </w:rPr>
        <w:t xml:space="preserve">2004). Për këtë arsye, </w:t>
      </w:r>
      <w:r w:rsidR="00B8372D">
        <w:rPr>
          <w:rFonts w:ascii="Garamond" w:hAnsi="Garamond" w:cs="Times New Roman"/>
          <w:color w:val="000000"/>
          <w:sz w:val="24"/>
          <w:szCs w:val="24"/>
          <w:lang w:val="sq-AL"/>
        </w:rPr>
        <w:t>u</w:t>
      </w:r>
      <w:r w:rsidRPr="00BE1029">
        <w:rPr>
          <w:rFonts w:ascii="Garamond" w:hAnsi="Garamond" w:cs="Times New Roman"/>
          <w:color w:val="000000"/>
          <w:sz w:val="24"/>
          <w:szCs w:val="24"/>
          <w:lang w:val="sq-AL"/>
        </w:rPr>
        <w:t xml:space="preserve"> takonte autoriteteve </w:t>
      </w:r>
      <w:r w:rsidR="008A55FD" w:rsidRPr="00BE1029">
        <w:rPr>
          <w:rFonts w:ascii="Garamond" w:hAnsi="Garamond" w:cs="Times New Roman"/>
          <w:color w:val="000000"/>
          <w:sz w:val="24"/>
          <w:szCs w:val="24"/>
          <w:lang w:val="sq-AL"/>
        </w:rPr>
        <w:t>vendës</w:t>
      </w:r>
      <w:r w:rsidRPr="00BE1029">
        <w:rPr>
          <w:rFonts w:ascii="Garamond" w:hAnsi="Garamond" w:cs="Times New Roman"/>
          <w:color w:val="000000"/>
          <w:sz w:val="24"/>
          <w:szCs w:val="24"/>
          <w:lang w:val="sq-AL"/>
        </w:rPr>
        <w:t>e të përdornin të gjitha mjetet që kishin në dispozicion për të garantuar se gjyqtarët e KPA</w:t>
      </w:r>
      <w:r w:rsidR="006D24DC">
        <w:rPr>
          <w:rFonts w:ascii="Garamond" w:hAnsi="Garamond" w:cs="Times New Roman"/>
          <w:color w:val="000000"/>
          <w:sz w:val="24"/>
          <w:szCs w:val="24"/>
          <w:lang w:val="sq-AL"/>
        </w:rPr>
        <w:t>-së</w:t>
      </w:r>
      <w:r w:rsidRPr="00BE1029">
        <w:rPr>
          <w:rFonts w:ascii="Garamond" w:hAnsi="Garamond" w:cs="Times New Roman"/>
          <w:color w:val="000000"/>
          <w:sz w:val="24"/>
          <w:szCs w:val="24"/>
          <w:lang w:val="sq-AL"/>
        </w:rPr>
        <w:t xml:space="preserve"> përmbushnin kërkesat statutore për pozicionin e tyre. Në lidhje me këtë, Gjykata bie dakord me pohimet e gjykatave </w:t>
      </w:r>
      <w:r w:rsidR="008A55FD" w:rsidRPr="00BE1029">
        <w:rPr>
          <w:rFonts w:ascii="Garamond" w:hAnsi="Garamond" w:cs="Times New Roman"/>
          <w:color w:val="000000"/>
          <w:sz w:val="24"/>
          <w:szCs w:val="24"/>
          <w:lang w:val="sq-AL"/>
        </w:rPr>
        <w:t>vendës</w:t>
      </w:r>
      <w:r w:rsidRPr="00BE1029">
        <w:rPr>
          <w:rFonts w:ascii="Garamond" w:hAnsi="Garamond" w:cs="Times New Roman"/>
          <w:color w:val="000000"/>
          <w:sz w:val="24"/>
          <w:szCs w:val="24"/>
          <w:lang w:val="sq-AL"/>
        </w:rPr>
        <w:t>e se autoritetet përkatëse kishin detyrimin të verifikonin</w:t>
      </w:r>
      <w:r w:rsidR="006D24DC">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se aplikimi i </w:t>
      </w:r>
      <w:r w:rsidRPr="00BE1029">
        <w:rPr>
          <w:rFonts w:ascii="Garamond" w:hAnsi="Garamond" w:cs="Times New Roman"/>
          <w:color w:val="000000"/>
          <w:sz w:val="24"/>
          <w:szCs w:val="24"/>
          <w:lang w:val="sq-AL"/>
        </w:rPr>
        <w:lastRenderedPageBreak/>
        <w:t xml:space="preserve">L.D. për pozicionin e gjyqtarit në KPA respektonte kërkesat statutore për pozicionin e tij (shih paragrafët 26 dhe 28 më sipër). </w:t>
      </w:r>
    </w:p>
    <w:p w14:paraId="7E7667EF" w14:textId="163D4DC5"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106. Gjithashtu, Qeveria nuk iu referua ndonjë vështirësie për të verifikuar nëse L.D. kishte qenë subjekt i masës disiplinore të shkarkimit nga detyra në të shkuarën. Nga ana tjetër, ai informacion ishte në të dhënat zyrtare dhe ishte cituar jo më vonë se</w:t>
      </w:r>
      <w:r w:rsidR="006D24DC">
        <w:rPr>
          <w:rFonts w:ascii="Garamond" w:hAnsi="Garamond" w:cs="Times New Roman"/>
          <w:color w:val="000000"/>
          <w:sz w:val="24"/>
          <w:szCs w:val="24"/>
          <w:lang w:val="sq-AL"/>
        </w:rPr>
        <w:t xml:space="preserve"> </w:t>
      </w:r>
      <w:r w:rsidRPr="00BE1029">
        <w:rPr>
          <w:rFonts w:ascii="Garamond" w:hAnsi="Garamond" w:cs="Times New Roman"/>
          <w:color w:val="000000"/>
          <w:sz w:val="24"/>
          <w:szCs w:val="24"/>
          <w:lang w:val="sq-AL"/>
        </w:rPr>
        <w:t xml:space="preserve">sa në vitin 2016 në skualifikimin e L.D. nga pozicioni i gjyqtarit të Gjykatës së Rrethit Tiranë (shih paragrafin 9 më sipër). Gjithashtu, një anëtar i komisionit të posaçëm parlamentar i drejtoi L.D një pyetje specifikisht të lidhur me largimin e tij të mëhershëm nga gjyqësori (shih paragrafin 13 më sipër). </w:t>
      </w:r>
    </w:p>
    <w:p w14:paraId="1F7E29D2" w14:textId="48DD3471"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107. Në lidhje me argumentin se pavarësia e L.D nuk vihej në pikëpyetje nga autoritetet </w:t>
      </w:r>
      <w:r w:rsidR="008A55FD" w:rsidRPr="00BE1029">
        <w:rPr>
          <w:rFonts w:ascii="Garamond" w:hAnsi="Garamond" w:cs="Times New Roman"/>
          <w:color w:val="000000"/>
          <w:sz w:val="24"/>
          <w:szCs w:val="24"/>
          <w:lang w:val="sq-AL"/>
        </w:rPr>
        <w:t>vendës</w:t>
      </w:r>
      <w:r w:rsidRPr="00BE1029">
        <w:rPr>
          <w:rFonts w:ascii="Garamond" w:hAnsi="Garamond" w:cs="Times New Roman"/>
          <w:color w:val="000000"/>
          <w:sz w:val="24"/>
          <w:szCs w:val="24"/>
          <w:lang w:val="sq-AL"/>
        </w:rPr>
        <w:t>e, Gjykata vlerëson se kërkesat që një gjykatë të jetë e “krijuar me ligj” dhe “e pavarur” përbëjnë të drejta të pavarura. Fakti se në disa raste ato shqyrtohen të lidhura me njëra-tjetrën</w:t>
      </w:r>
      <w:r w:rsidR="006D24DC">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për shkak të lidhjes së tyre të ngushtë, nuk do të thotë se pajtueshmëria e mundshme me rregullat për kërkesën për “pavarësi”, nuk përjashton një shkelje të kërkesës që një gjykatë të jetë e “krijuar me ligj” (shih paragrafin 87 më sipër). </w:t>
      </w:r>
    </w:p>
    <w:p w14:paraId="461729A4" w14:textId="5A4D1DC4"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108. Për sa më sipër, Gjykata vlerëson se aspekti i përshtatshmërisë së gjyqtarit L.D. në detyrë kishte të bënte me një rregull themelor në lidhje me emërimin e gjyqtarëve të KPA-së. </w:t>
      </w:r>
    </w:p>
    <w:p w14:paraId="3EDEBE77" w14:textId="4066CB52"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i/>
          <w:iCs/>
          <w:color w:val="000000"/>
          <w:sz w:val="24"/>
          <w:szCs w:val="24"/>
          <w:lang w:val="sq-AL"/>
        </w:rPr>
        <w:t xml:space="preserve">c) Nëse pretendimet në lidhje me të drejtën për një “gjykatë të krijuar me ligj” u shqyrtuan dhe korrigjuan në mënyrë efektive nga gjykatat </w:t>
      </w:r>
      <w:r w:rsidR="008A55FD" w:rsidRPr="00BE1029">
        <w:rPr>
          <w:rFonts w:ascii="Garamond" w:hAnsi="Garamond" w:cs="Times New Roman"/>
          <w:i/>
          <w:iCs/>
          <w:color w:val="000000"/>
          <w:sz w:val="24"/>
          <w:szCs w:val="24"/>
          <w:lang w:val="sq-AL"/>
        </w:rPr>
        <w:t>vendës</w:t>
      </w:r>
      <w:r w:rsidRPr="00BE1029">
        <w:rPr>
          <w:rFonts w:ascii="Garamond" w:hAnsi="Garamond" w:cs="Times New Roman"/>
          <w:i/>
          <w:iCs/>
          <w:color w:val="000000"/>
          <w:sz w:val="24"/>
          <w:szCs w:val="24"/>
          <w:lang w:val="sq-AL"/>
        </w:rPr>
        <w:t xml:space="preserve">e </w:t>
      </w:r>
    </w:p>
    <w:p w14:paraId="13FF34B0" w14:textId="69319D87"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109. Qeveria parashtroi</w:t>
      </w:r>
      <w:r w:rsidR="006D24DC">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se, ndryshe nga rasti i gjyqtarëve të Gjykatës Kushtetuese të zakonshme, nuk ka asnjë parashikim specifik në ligjin shqiptar që parashikon një ndërprerje të parakohshme të mandatit të një gjyqtari të KPA-së për arsyen se ai/ajo nuk kishte përmbushur kushtet e përzgjedhshmërisë. Në të njëjtën kohë, Qeveria iu referua efektit të kombinuar të procedurave në KPA, Gjykatën Kushtetuese</w:t>
      </w:r>
      <w:r w:rsidR="00BB6ABE" w:rsidRPr="00BE1029">
        <w:rPr>
          <w:rFonts w:ascii="Garamond" w:hAnsi="Garamond" w:cs="Times New Roman"/>
          <w:color w:val="000000"/>
          <w:sz w:val="24"/>
          <w:szCs w:val="24"/>
          <w:lang w:val="sq-AL"/>
        </w:rPr>
        <w:t xml:space="preserve"> </w:t>
      </w:r>
      <w:r w:rsidRPr="00BE1029">
        <w:rPr>
          <w:rFonts w:ascii="Garamond" w:hAnsi="Garamond" w:cs="Times New Roman"/>
          <w:color w:val="000000"/>
          <w:sz w:val="24"/>
          <w:szCs w:val="24"/>
          <w:lang w:val="sq-AL"/>
        </w:rPr>
        <w:t xml:space="preserve">dhe gjykatave penale, me argumentin se autoritetet </w:t>
      </w:r>
      <w:r w:rsidR="008A55FD" w:rsidRPr="00BE1029">
        <w:rPr>
          <w:rFonts w:ascii="Garamond" w:hAnsi="Garamond" w:cs="Times New Roman"/>
          <w:color w:val="000000"/>
          <w:sz w:val="24"/>
          <w:szCs w:val="24"/>
          <w:lang w:val="sq-AL"/>
        </w:rPr>
        <w:t>vendës</w:t>
      </w:r>
      <w:r w:rsidRPr="00BE1029">
        <w:rPr>
          <w:rFonts w:ascii="Garamond" w:hAnsi="Garamond" w:cs="Times New Roman"/>
          <w:color w:val="000000"/>
          <w:sz w:val="24"/>
          <w:szCs w:val="24"/>
          <w:lang w:val="sq-AL"/>
        </w:rPr>
        <w:t xml:space="preserve">e i kishin shqyrtuar pretendimet e kërkuesit në lidhje me aspektin që KPA nuk ishte një “gjykatë e krijuar me ligj” dhe i kishin korrigjuar ankesat e tij. </w:t>
      </w:r>
    </w:p>
    <w:p w14:paraId="4094FB9D" w14:textId="1B6C8CD9"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110. Në kërkesën e paraqitur prej tij më 17 </w:t>
      </w:r>
      <w:r w:rsidR="00F17296" w:rsidRPr="00BE1029">
        <w:rPr>
          <w:rFonts w:ascii="Garamond" w:hAnsi="Garamond" w:cs="Times New Roman"/>
          <w:color w:val="000000"/>
          <w:sz w:val="24"/>
          <w:szCs w:val="24"/>
          <w:lang w:val="sq-AL"/>
        </w:rPr>
        <w:t xml:space="preserve">janar </w:t>
      </w:r>
      <w:r w:rsidRPr="00BE1029">
        <w:rPr>
          <w:rFonts w:ascii="Garamond" w:hAnsi="Garamond" w:cs="Times New Roman"/>
          <w:color w:val="000000"/>
          <w:sz w:val="24"/>
          <w:szCs w:val="24"/>
          <w:lang w:val="sq-AL"/>
        </w:rPr>
        <w:t xml:space="preserve">2020 (shih paragrafin 35 më sipër), teksa çështja e tij e rivlerësimit ishte në vijimësi në KPA, ankuesi paraqiti informacionet përkatëse faktike dhe ligjore që mbështesnin pretendimin e tij të argumentueshëm se L.D. nuk ishte i përshtatshëm për pozicionin gjyqësor për shkakun se ai nuk kishte përmbushur kriteret e përzgjedhshmërisë në momentin e emërimit të tij (shih paragrafin 35). Pavarësisht kësaj, Gjykata tashmë ka konstatuar (shih paragrafin 94 më sipër) se asnjë autoritet </w:t>
      </w:r>
      <w:r w:rsidR="008A55FD" w:rsidRPr="00BE1029">
        <w:rPr>
          <w:rFonts w:ascii="Garamond" w:hAnsi="Garamond" w:cs="Times New Roman"/>
          <w:color w:val="000000"/>
          <w:sz w:val="24"/>
          <w:szCs w:val="24"/>
          <w:lang w:val="sq-AL"/>
        </w:rPr>
        <w:t>vendës</w:t>
      </w:r>
      <w:r w:rsidRPr="00BE1029">
        <w:rPr>
          <w:rFonts w:ascii="Garamond" w:hAnsi="Garamond" w:cs="Times New Roman"/>
          <w:color w:val="000000"/>
          <w:sz w:val="24"/>
          <w:szCs w:val="24"/>
          <w:lang w:val="sq-AL"/>
        </w:rPr>
        <w:t xml:space="preserve"> nuk ka shqyrtuar – dhe jo më të këtë korrigjuar – aspektin nëse L.D. ishte emëruar në KPA në përputhje me ligjin </w:t>
      </w:r>
      <w:r w:rsidR="008A55FD" w:rsidRPr="00BE1029">
        <w:rPr>
          <w:rFonts w:ascii="Garamond" w:hAnsi="Garamond" w:cs="Times New Roman"/>
          <w:color w:val="000000"/>
          <w:sz w:val="24"/>
          <w:szCs w:val="24"/>
          <w:lang w:val="sq-AL"/>
        </w:rPr>
        <w:t>vendës</w:t>
      </w:r>
      <w:r w:rsidRPr="00BE1029">
        <w:rPr>
          <w:rFonts w:ascii="Garamond" w:hAnsi="Garamond" w:cs="Times New Roman"/>
          <w:color w:val="000000"/>
          <w:sz w:val="24"/>
          <w:szCs w:val="24"/>
          <w:lang w:val="sq-AL"/>
        </w:rPr>
        <w:t xml:space="preserve">. Autoritetet </w:t>
      </w:r>
      <w:r w:rsidR="008A55FD" w:rsidRPr="00BE1029">
        <w:rPr>
          <w:rFonts w:ascii="Garamond" w:hAnsi="Garamond" w:cs="Times New Roman"/>
          <w:color w:val="000000"/>
          <w:sz w:val="24"/>
          <w:szCs w:val="24"/>
          <w:lang w:val="sq-AL"/>
        </w:rPr>
        <w:t>vendës</w:t>
      </w:r>
      <w:r w:rsidRPr="00BE1029">
        <w:rPr>
          <w:rFonts w:ascii="Garamond" w:hAnsi="Garamond" w:cs="Times New Roman"/>
          <w:color w:val="000000"/>
          <w:sz w:val="24"/>
          <w:szCs w:val="24"/>
          <w:lang w:val="sq-AL"/>
        </w:rPr>
        <w:t xml:space="preserve">e, veçanërisht, nuk mbajtën një pozicion të qartë për aspektin nëse L.D. do t’i ndërpritej mandati (dhe nëse po, nga cili autoritet), apo nëse ai mund të përjashtohej nga shqyrtimi i çështjes së kërkuesit për shkakun se ai nuk kishte respektuar kriteret përkatëse të përzgjedhshmërisë. </w:t>
      </w:r>
    </w:p>
    <w:p w14:paraId="2E857EF1" w14:textId="4DF17D52"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111. Në lidhje me këtë aspekt, vendimet kushtetuese dhe disiplinore nuk mund të korrigjonin ankesën e kërkuesit, sepse procedurat përfunduan pasi kërkuesi ishte shkarkuar me anë të një vendimi të formës së prerë dhe të paankimueshëm nga KPA-ja. </w:t>
      </w:r>
    </w:p>
    <w:p w14:paraId="5263B346" w14:textId="02383EE3" w:rsidR="00A43DB1" w:rsidRPr="00BE1029" w:rsidRDefault="00A43DB1" w:rsidP="00D0686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112. I vetmi vendim që u shpall përpara shkarkimit të ankuesit ishte vendimi i KPA-së, e cila në datën 5 </w:t>
      </w:r>
      <w:r w:rsidR="006D24DC" w:rsidRPr="00BE1029">
        <w:rPr>
          <w:rFonts w:ascii="Garamond" w:hAnsi="Garamond" w:cs="Times New Roman"/>
          <w:color w:val="000000"/>
          <w:sz w:val="24"/>
          <w:szCs w:val="24"/>
          <w:lang w:val="sq-AL"/>
        </w:rPr>
        <w:t xml:space="preserve">shkurt </w:t>
      </w:r>
      <w:r w:rsidRPr="00BE1029">
        <w:rPr>
          <w:rFonts w:ascii="Garamond" w:hAnsi="Garamond" w:cs="Times New Roman"/>
          <w:color w:val="000000"/>
          <w:sz w:val="24"/>
          <w:szCs w:val="24"/>
          <w:lang w:val="sq-AL"/>
        </w:rPr>
        <w:t xml:space="preserve">2020 nuk pranoi të shqyrtonte kërkesat e ankuesit për përjashtimin e L.D. nga paneli i cili shqyrtonte çështjen e tij, me arsyetimin se i mungonte juridiksioni që të trajtonte pyetjet në lidhje me emërimin e tij në atë pozicion (shih paragrafin 36 më sipër). Qasja e KPA-së rezulton të jetë kontradiktore me vendimin e mëpasshëm të Gjykatës Kushtetuese, duke nënvizuar se i takonte KPA-së, si një kolegj i veçantë i Gjykatës Kushtetuese, të garantonte respektimin e </w:t>
      </w:r>
      <w:r w:rsidR="00D06860">
        <w:rPr>
          <w:rFonts w:ascii="Garamond" w:hAnsi="Garamond" w:cs="Times New Roman"/>
          <w:color w:val="000000"/>
          <w:sz w:val="24"/>
          <w:szCs w:val="24"/>
          <w:lang w:val="sq-AL"/>
        </w:rPr>
        <w:t>s</w:t>
      </w:r>
      <w:r w:rsidRPr="00BE1029">
        <w:rPr>
          <w:rFonts w:ascii="Garamond" w:hAnsi="Garamond" w:cs="Times New Roman"/>
          <w:color w:val="000000"/>
          <w:sz w:val="24"/>
          <w:szCs w:val="24"/>
          <w:lang w:val="sq-AL"/>
        </w:rPr>
        <w:t>ë drejtës së ankuesit për një gjykatë të krijuar me ligj. Së fundmi, në vendimin e tij për shkarkimin e L.D. nga detyra. Komisioni Disiplinor i KPA</w:t>
      </w:r>
      <w:r w:rsidR="00377D94">
        <w:rPr>
          <w:rFonts w:ascii="Garamond" w:hAnsi="Garamond" w:cs="Times New Roman"/>
          <w:color w:val="000000"/>
          <w:sz w:val="24"/>
          <w:szCs w:val="24"/>
          <w:lang w:val="sq-AL"/>
        </w:rPr>
        <w:t>-së</w:t>
      </w:r>
      <w:r w:rsidRPr="00BE1029">
        <w:rPr>
          <w:rFonts w:ascii="Garamond" w:hAnsi="Garamond" w:cs="Times New Roman"/>
          <w:color w:val="000000"/>
          <w:sz w:val="24"/>
          <w:szCs w:val="24"/>
          <w:lang w:val="sq-AL"/>
        </w:rPr>
        <w:t xml:space="preserve"> konstatoi se ai kishte statusin e një gjyqtari të Gjykatës Kushtetuese, dhe ishte e detyrueshme që ai të shkarkohej nga detyra me të njëjtat kushte me ato që zbatoheshin për një gjyqtar të Gjykatës Kushtetuese, në mbështetje të </w:t>
      </w:r>
      <w:r w:rsidR="007E3B9F" w:rsidRPr="00BE1029">
        <w:rPr>
          <w:rFonts w:ascii="Garamond" w:hAnsi="Garamond" w:cs="Times New Roman"/>
          <w:color w:val="000000"/>
          <w:sz w:val="24"/>
          <w:szCs w:val="24"/>
          <w:lang w:val="sq-AL"/>
        </w:rPr>
        <w:t xml:space="preserve">nenit </w:t>
      </w:r>
      <w:r w:rsidR="007E3B9F">
        <w:rPr>
          <w:rFonts w:ascii="Garamond" w:hAnsi="Garamond" w:cs="Times New Roman"/>
          <w:color w:val="000000"/>
          <w:sz w:val="24"/>
          <w:szCs w:val="24"/>
          <w:lang w:val="sq-AL"/>
        </w:rPr>
        <w:t>128 § 2</w:t>
      </w:r>
      <w:r w:rsidRPr="00BE1029">
        <w:rPr>
          <w:rFonts w:ascii="Garamond" w:hAnsi="Garamond" w:cs="Times New Roman"/>
          <w:color w:val="000000"/>
          <w:sz w:val="24"/>
          <w:szCs w:val="24"/>
          <w:lang w:val="sq-AL"/>
        </w:rPr>
        <w:t xml:space="preserve">(b) të </w:t>
      </w:r>
      <w:r w:rsidRPr="00BE1029">
        <w:rPr>
          <w:rFonts w:ascii="Garamond" w:hAnsi="Garamond" w:cs="Times New Roman"/>
          <w:color w:val="000000"/>
          <w:sz w:val="24"/>
          <w:szCs w:val="24"/>
          <w:lang w:val="sq-AL"/>
        </w:rPr>
        <w:lastRenderedPageBreak/>
        <w:t>Kushtetutës (shih paragrafin 44 më sipër). Megjithatë, KPA</w:t>
      </w:r>
      <w:r w:rsidR="007E3B9F">
        <w:rPr>
          <w:rFonts w:ascii="Garamond" w:hAnsi="Garamond" w:cs="Times New Roman"/>
          <w:color w:val="000000"/>
          <w:sz w:val="24"/>
          <w:szCs w:val="24"/>
          <w:lang w:val="sq-AL"/>
        </w:rPr>
        <w:t>-ja</w:t>
      </w:r>
      <w:r w:rsidRPr="00BE1029">
        <w:rPr>
          <w:rFonts w:ascii="Garamond" w:hAnsi="Garamond" w:cs="Times New Roman"/>
          <w:color w:val="000000"/>
          <w:sz w:val="24"/>
          <w:szCs w:val="24"/>
          <w:lang w:val="sq-AL"/>
        </w:rPr>
        <w:t xml:space="preserve"> rezulton të ketë gjykuar, për arsye që nuk artikulohen në vendimin e tij të datës 5 </w:t>
      </w:r>
      <w:r w:rsidR="008810F4" w:rsidRPr="00BE1029">
        <w:rPr>
          <w:rFonts w:ascii="Garamond" w:hAnsi="Garamond" w:cs="Times New Roman"/>
          <w:color w:val="000000"/>
          <w:sz w:val="24"/>
          <w:szCs w:val="24"/>
          <w:lang w:val="sq-AL"/>
        </w:rPr>
        <w:t xml:space="preserve">shkurt </w:t>
      </w:r>
      <w:r w:rsidRPr="00BE1029">
        <w:rPr>
          <w:rFonts w:ascii="Garamond" w:hAnsi="Garamond" w:cs="Times New Roman"/>
          <w:color w:val="000000"/>
          <w:sz w:val="24"/>
          <w:szCs w:val="24"/>
          <w:lang w:val="sq-AL"/>
        </w:rPr>
        <w:t xml:space="preserve">2020, se </w:t>
      </w:r>
      <w:r w:rsidR="008810F4" w:rsidRPr="00BE1029">
        <w:rPr>
          <w:rFonts w:ascii="Garamond" w:hAnsi="Garamond" w:cs="Times New Roman"/>
          <w:color w:val="000000"/>
          <w:sz w:val="24"/>
          <w:szCs w:val="24"/>
          <w:lang w:val="sq-AL"/>
        </w:rPr>
        <w:t xml:space="preserve">neni </w:t>
      </w:r>
      <w:r w:rsidRPr="00BE1029">
        <w:rPr>
          <w:rFonts w:ascii="Garamond" w:hAnsi="Garamond" w:cs="Times New Roman"/>
          <w:color w:val="000000"/>
          <w:sz w:val="24"/>
          <w:szCs w:val="24"/>
          <w:lang w:val="sq-AL"/>
        </w:rPr>
        <w:t xml:space="preserve">127 § 1 (d) i Kushtetutës – i cili parashikon ndërprerjen e mandatit (shkarkimi nga detyra) të një gjyqtari të Gjykatës Kushtetuese me arsyetimin se ai ose ajo nuk ka respektuar kërkesat statutore të përzgjedhshmërisë (po aty) – nuk zbatohej për gjyqtarët e KPA-së. </w:t>
      </w:r>
    </w:p>
    <w:p w14:paraId="55E16875" w14:textId="42D13912"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113. Së fundmi, një parregullsi në procedurën e emërimit të një gjyqtari mund të mos jetë domosdoshmërisht e hapur për t’u kundërshtuar nga një individ</w:t>
      </w:r>
      <w:r w:rsidR="008810F4">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duke u mbështetur në të drejtën për një “gjykatë të krijuar me ligj” në mënyrë të vazhdueshme dhe të pacilësuar. Me kalimin e kohës, ruajtja e sigurisë ligjore dhe e sigurisë së mandatit gjyqësor do të marrë rëndësi në rritje në lidhje me të drejtën e ndërgjyqësit individual për një “gjykatë të krijuar me ligj” në ushtrimin balancues që duhet të realizohet (shih </w:t>
      </w:r>
      <w:r w:rsidRPr="00BE1029">
        <w:rPr>
          <w:rFonts w:ascii="Garamond" w:hAnsi="Garamond" w:cs="Times New Roman"/>
          <w:i/>
          <w:iCs/>
          <w:color w:val="000000"/>
          <w:sz w:val="24"/>
          <w:szCs w:val="24"/>
          <w:lang w:val="sq-AL"/>
        </w:rPr>
        <w:t>Guðmundur Andri Ástráðsson</w:t>
      </w:r>
      <w:r w:rsidRPr="00BE1029">
        <w:rPr>
          <w:rFonts w:ascii="Garamond" w:hAnsi="Garamond" w:cs="Times New Roman"/>
          <w:color w:val="000000"/>
          <w:sz w:val="24"/>
          <w:szCs w:val="24"/>
          <w:lang w:val="sq-AL"/>
        </w:rPr>
        <w:t xml:space="preserve">, cituar më sipër, §§ 252 dhe 284). Megjithatë, në çështjen konkrete, gjykatat </w:t>
      </w:r>
      <w:r w:rsidR="008A55FD" w:rsidRPr="00BE1029">
        <w:rPr>
          <w:rFonts w:ascii="Garamond" w:hAnsi="Garamond" w:cs="Times New Roman"/>
          <w:color w:val="000000"/>
          <w:sz w:val="24"/>
          <w:szCs w:val="24"/>
          <w:lang w:val="sq-AL"/>
        </w:rPr>
        <w:t>vendës</w:t>
      </w:r>
      <w:r w:rsidRPr="00BE1029">
        <w:rPr>
          <w:rFonts w:ascii="Garamond" w:hAnsi="Garamond" w:cs="Times New Roman"/>
          <w:color w:val="000000"/>
          <w:sz w:val="24"/>
          <w:szCs w:val="24"/>
          <w:lang w:val="sq-AL"/>
        </w:rPr>
        <w:t>e nuk arritën asnjë balancë të cilësdo natyre.</w:t>
      </w:r>
    </w:p>
    <w:p w14:paraId="43713D26" w14:textId="57B8482A"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114. Efekti i kombinuar i procedurave </w:t>
      </w:r>
      <w:r w:rsidR="008A55FD" w:rsidRPr="00BE1029">
        <w:rPr>
          <w:rFonts w:ascii="Garamond" w:hAnsi="Garamond" w:cs="Times New Roman"/>
          <w:color w:val="000000"/>
          <w:sz w:val="24"/>
          <w:szCs w:val="24"/>
          <w:lang w:val="sq-AL"/>
        </w:rPr>
        <w:t>vendës</w:t>
      </w:r>
      <w:r w:rsidRPr="00BE1029">
        <w:rPr>
          <w:rFonts w:ascii="Garamond" w:hAnsi="Garamond" w:cs="Times New Roman"/>
          <w:color w:val="000000"/>
          <w:sz w:val="24"/>
          <w:szCs w:val="24"/>
          <w:lang w:val="sq-AL"/>
        </w:rPr>
        <w:t xml:space="preserve">e – veçanërisht pezullimi dhe më pas, shkarkimi i L.D. nga KPA bazuar në veprën e tij penale – mund të pengonte pretendime të tjera të ngjashme në të ardhmen. megjithatë, Gjykata nuk vlerëson se ato procedura korrigjuan ankesën e kërkuesit. </w:t>
      </w:r>
    </w:p>
    <w:p w14:paraId="44A39686" w14:textId="2E30E457" w:rsidR="00A43DB1" w:rsidRPr="00BE1029" w:rsidRDefault="00A43DB1" w:rsidP="00A43DB1">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BE1029">
        <w:rPr>
          <w:rFonts w:ascii="Garamond" w:hAnsi="Garamond" w:cs="Times New Roman"/>
          <w:i/>
          <w:iCs/>
          <w:color w:val="000000"/>
          <w:sz w:val="24"/>
          <w:szCs w:val="24"/>
          <w:lang w:val="sq-AL"/>
        </w:rPr>
        <w:t xml:space="preserve">d) Përfundim </w:t>
      </w:r>
    </w:p>
    <w:p w14:paraId="6E747228" w14:textId="70BCC2D3"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115. Gjykata ka vendosur se ekzistonte një pretendim i argumentueshëm për një shkelje të qartë të rregullit themelor të ligjit </w:t>
      </w:r>
      <w:r w:rsidR="008A55FD" w:rsidRPr="00BE1029">
        <w:rPr>
          <w:rFonts w:ascii="Garamond" w:hAnsi="Garamond" w:cs="Times New Roman"/>
          <w:color w:val="000000"/>
          <w:sz w:val="24"/>
          <w:szCs w:val="24"/>
          <w:lang w:val="sq-AL"/>
        </w:rPr>
        <w:t>vendës</w:t>
      </w:r>
      <w:r w:rsidRPr="00BE1029">
        <w:rPr>
          <w:rFonts w:ascii="Garamond" w:hAnsi="Garamond" w:cs="Times New Roman"/>
          <w:color w:val="000000"/>
          <w:sz w:val="24"/>
          <w:szCs w:val="24"/>
          <w:lang w:val="sq-AL"/>
        </w:rPr>
        <w:t xml:space="preserve">, i cili ka ndikuar në mënyrë të pafavorshme në emërimin e L.D. si gjyqtari i KPA-së. </w:t>
      </w:r>
    </w:p>
    <w:p w14:paraId="044C61FE" w14:textId="550545A2" w:rsidR="00A43DB1" w:rsidRPr="00BE1029" w:rsidRDefault="005C3B50"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116. Për sa më sipër</w:t>
      </w:r>
      <w:r w:rsidR="00A43DB1" w:rsidRPr="00BE1029">
        <w:rPr>
          <w:rFonts w:ascii="Garamond" w:hAnsi="Garamond" w:cs="Times New Roman"/>
          <w:color w:val="000000"/>
          <w:sz w:val="24"/>
          <w:szCs w:val="24"/>
          <w:lang w:val="sq-AL"/>
        </w:rPr>
        <w:t xml:space="preserve"> dhe duke pasur në konsideratë veçanërisht faktin se gjykatat </w:t>
      </w:r>
      <w:r w:rsidR="008A55FD" w:rsidRPr="00BE1029">
        <w:rPr>
          <w:rFonts w:ascii="Garamond" w:hAnsi="Garamond" w:cs="Times New Roman"/>
          <w:color w:val="000000"/>
          <w:sz w:val="24"/>
          <w:szCs w:val="24"/>
          <w:lang w:val="sq-AL"/>
        </w:rPr>
        <w:t>vendës</w:t>
      </w:r>
      <w:r w:rsidR="00A43DB1" w:rsidRPr="00BE1029">
        <w:rPr>
          <w:rFonts w:ascii="Garamond" w:hAnsi="Garamond" w:cs="Times New Roman"/>
          <w:color w:val="000000"/>
          <w:sz w:val="24"/>
          <w:szCs w:val="24"/>
          <w:lang w:val="sq-AL"/>
        </w:rPr>
        <w:t xml:space="preserve">e nuk trajtuan në mënyrën e duhur pyetjet e ngritura nga ankuesi në lidhje me Konventën, Gjykata arrin në përfundimin se është shkelur </w:t>
      </w:r>
      <w:r w:rsidRPr="00BE1029">
        <w:rPr>
          <w:rFonts w:ascii="Garamond" w:hAnsi="Garamond" w:cs="Times New Roman"/>
          <w:color w:val="000000"/>
          <w:sz w:val="24"/>
          <w:szCs w:val="24"/>
          <w:lang w:val="sq-AL"/>
        </w:rPr>
        <w:t xml:space="preserve">neni </w:t>
      </w:r>
      <w:r w:rsidR="00A43DB1" w:rsidRPr="00BE1029">
        <w:rPr>
          <w:rFonts w:ascii="Garamond" w:hAnsi="Garamond" w:cs="Times New Roman"/>
          <w:color w:val="000000"/>
          <w:sz w:val="24"/>
          <w:szCs w:val="24"/>
          <w:lang w:val="sq-AL"/>
        </w:rPr>
        <w:t>6 § 1 i Konventës</w:t>
      </w:r>
      <w:r>
        <w:rPr>
          <w:rFonts w:ascii="Garamond" w:hAnsi="Garamond" w:cs="Times New Roman"/>
          <w:color w:val="000000"/>
          <w:sz w:val="24"/>
          <w:szCs w:val="24"/>
          <w:lang w:val="sq-AL"/>
        </w:rPr>
        <w:t>,</w:t>
      </w:r>
      <w:r w:rsidR="00A43DB1" w:rsidRPr="00BE1029">
        <w:rPr>
          <w:rFonts w:ascii="Garamond" w:hAnsi="Garamond" w:cs="Times New Roman"/>
          <w:color w:val="000000"/>
          <w:sz w:val="24"/>
          <w:szCs w:val="24"/>
          <w:lang w:val="sq-AL"/>
        </w:rPr>
        <w:t xml:space="preserve"> për shkak se L.D. ishte pjesë e trupës gjyqësore të KPA, e cila shqyrtoi çështjen e ankuesit. </w:t>
      </w:r>
    </w:p>
    <w:p w14:paraId="2AAB3A32" w14:textId="464D3703" w:rsidR="00A43DB1" w:rsidRPr="00BE1029" w:rsidRDefault="00A43DB1" w:rsidP="00A43DB1">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BE1029">
        <w:rPr>
          <w:rFonts w:ascii="Garamond" w:hAnsi="Garamond" w:cs="Times New Roman"/>
          <w:b/>
          <w:bCs/>
          <w:color w:val="000000"/>
          <w:sz w:val="24"/>
          <w:szCs w:val="24"/>
          <w:lang w:val="sq-AL"/>
        </w:rPr>
        <w:t>b) Në lidhje me pretendimin për mospërmbushjen e kritereve të tjera statutore të përzgjedhshmërisë nga L.D.</w:t>
      </w:r>
    </w:p>
    <w:p w14:paraId="251A18AE" w14:textId="7373D576"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117. Duke pasur në konsideratë natyrën dhe fushën e veprimit të shkeljes së konstatuar në mbështetje të </w:t>
      </w:r>
      <w:r w:rsidR="008E1193" w:rsidRPr="00BE1029">
        <w:rPr>
          <w:rFonts w:ascii="Garamond" w:hAnsi="Garamond" w:cs="Times New Roman"/>
          <w:color w:val="000000"/>
          <w:sz w:val="24"/>
          <w:szCs w:val="24"/>
          <w:lang w:val="sq-AL"/>
        </w:rPr>
        <w:t xml:space="preserve">NENIT </w:t>
      </w:r>
      <w:r w:rsidRPr="00BE1029">
        <w:rPr>
          <w:rFonts w:ascii="Garamond" w:hAnsi="Garamond" w:cs="Times New Roman"/>
          <w:color w:val="000000"/>
          <w:sz w:val="24"/>
          <w:szCs w:val="24"/>
          <w:lang w:val="sq-AL"/>
        </w:rPr>
        <w:t>6 § 1 të Konventës, në lidhje me të drejtën e ankuesit për një gjykatë të krijuar me ligj (shih paragrafin 116 më sipër), Gjykata vendos të mos</w:t>
      </w:r>
      <w:r w:rsidR="008E1193">
        <w:rPr>
          <w:rFonts w:ascii="Garamond" w:hAnsi="Garamond" w:cs="Times New Roman"/>
          <w:color w:val="000000"/>
          <w:sz w:val="24"/>
          <w:szCs w:val="24"/>
          <w:lang w:val="sq-AL"/>
        </w:rPr>
        <w:t xml:space="preserve"> </w:t>
      </w:r>
      <w:r w:rsidRPr="00BE1029">
        <w:rPr>
          <w:rFonts w:ascii="Garamond" w:hAnsi="Garamond" w:cs="Times New Roman"/>
          <w:color w:val="000000"/>
          <w:sz w:val="24"/>
          <w:szCs w:val="24"/>
          <w:lang w:val="sq-AL"/>
        </w:rPr>
        <w:t xml:space="preserve">shqyrtojë pranueshmërinë dhe meritat e kësaj pjese të ankesës (shih paragrafin 77 më sipër). </w:t>
      </w:r>
    </w:p>
    <w:p w14:paraId="086135D5" w14:textId="43795235"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II. SHKELJE E PRETENDUAR E NENIT 13 TË KONVENTËS </w:t>
      </w:r>
    </w:p>
    <w:p w14:paraId="7BACB8DA" w14:textId="5973BED6" w:rsidR="00A43DB1" w:rsidRPr="00BE1029" w:rsidRDefault="00A43DB1" w:rsidP="00D2414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118. Kërkuesi parashtroi se nuk kishte pasur asnjë mjet efikas përpara një autoriteti </w:t>
      </w:r>
      <w:r w:rsidR="008A55FD" w:rsidRPr="00BE1029">
        <w:rPr>
          <w:rFonts w:ascii="Garamond" w:hAnsi="Garamond" w:cs="Times New Roman"/>
          <w:color w:val="000000"/>
          <w:sz w:val="24"/>
          <w:szCs w:val="24"/>
          <w:lang w:val="sq-AL"/>
        </w:rPr>
        <w:t>vendës</w:t>
      </w:r>
      <w:r w:rsidRPr="00BE1029">
        <w:rPr>
          <w:rFonts w:ascii="Garamond" w:hAnsi="Garamond" w:cs="Times New Roman"/>
          <w:color w:val="000000"/>
          <w:sz w:val="24"/>
          <w:szCs w:val="24"/>
          <w:lang w:val="sq-AL"/>
        </w:rPr>
        <w:t xml:space="preserve"> përpara </w:t>
      </w:r>
      <w:r w:rsidR="00D24149">
        <w:rPr>
          <w:rFonts w:ascii="Garamond" w:hAnsi="Garamond" w:cs="Times New Roman"/>
          <w:color w:val="000000"/>
          <w:sz w:val="24"/>
          <w:szCs w:val="24"/>
          <w:lang w:val="sq-AL"/>
        </w:rPr>
        <w:t>t</w:t>
      </w:r>
      <w:r w:rsidRPr="00BE1029">
        <w:rPr>
          <w:rFonts w:ascii="Garamond" w:hAnsi="Garamond" w:cs="Times New Roman"/>
          <w:color w:val="000000"/>
          <w:sz w:val="24"/>
          <w:szCs w:val="24"/>
          <w:lang w:val="sq-AL"/>
        </w:rPr>
        <w:t>ë cilit të kundërshtonte shkarkimin e tij me gjasa të paligjshëm nga KPA</w:t>
      </w:r>
      <w:r w:rsidR="00D24149">
        <w:rPr>
          <w:rFonts w:ascii="Garamond" w:hAnsi="Garamond" w:cs="Times New Roman"/>
          <w:color w:val="000000"/>
          <w:sz w:val="24"/>
          <w:szCs w:val="24"/>
          <w:lang w:val="sq-AL"/>
        </w:rPr>
        <w:t>-ja</w:t>
      </w:r>
      <w:r w:rsidRPr="00BE1029">
        <w:rPr>
          <w:rFonts w:ascii="Garamond" w:hAnsi="Garamond" w:cs="Times New Roman"/>
          <w:color w:val="000000"/>
          <w:sz w:val="24"/>
          <w:szCs w:val="24"/>
          <w:lang w:val="sq-AL"/>
        </w:rPr>
        <w:t xml:space="preserve">. Në këndvështrimin e tij, në mbështetje të rrethanave, kishte pasur një shkelje të </w:t>
      </w:r>
      <w:r w:rsidR="0066543F" w:rsidRPr="00BE1029">
        <w:rPr>
          <w:rFonts w:ascii="Garamond" w:hAnsi="Garamond" w:cs="Times New Roman"/>
          <w:color w:val="000000"/>
          <w:sz w:val="24"/>
          <w:szCs w:val="24"/>
          <w:lang w:val="sq-AL"/>
        </w:rPr>
        <w:t xml:space="preserve">nenit </w:t>
      </w:r>
      <w:r w:rsidRPr="00BE1029">
        <w:rPr>
          <w:rFonts w:ascii="Garamond" w:hAnsi="Garamond" w:cs="Times New Roman"/>
          <w:color w:val="000000"/>
          <w:sz w:val="24"/>
          <w:szCs w:val="24"/>
          <w:lang w:val="sq-AL"/>
        </w:rPr>
        <w:t xml:space="preserve">13 të Konventës. </w:t>
      </w:r>
    </w:p>
    <w:p w14:paraId="2C3C6E92" w14:textId="671179DE" w:rsidR="00A43DB1" w:rsidRPr="00BE1029" w:rsidRDefault="00A43DB1" w:rsidP="009A765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119. Qeveria iu referua çështjes </w:t>
      </w:r>
      <w:r w:rsidRPr="00BE1029">
        <w:rPr>
          <w:rFonts w:ascii="Garamond" w:hAnsi="Garamond" w:cs="Times New Roman"/>
          <w:i/>
          <w:iCs/>
          <w:color w:val="000000"/>
          <w:sz w:val="24"/>
          <w:szCs w:val="24"/>
          <w:lang w:val="sq-AL"/>
        </w:rPr>
        <w:t>Xhoxhaj</w:t>
      </w:r>
      <w:r w:rsidRPr="00BE1029">
        <w:rPr>
          <w:rFonts w:ascii="Garamond" w:hAnsi="Garamond" w:cs="Times New Roman"/>
          <w:color w:val="000000"/>
          <w:sz w:val="24"/>
          <w:szCs w:val="24"/>
          <w:lang w:val="sq-AL"/>
        </w:rPr>
        <w:t xml:space="preserve"> (cituar më sipër, § 416) dhe parashtroi se KPA</w:t>
      </w:r>
      <w:r w:rsidR="0066543F">
        <w:rPr>
          <w:rFonts w:ascii="Garamond" w:hAnsi="Garamond" w:cs="Times New Roman"/>
          <w:color w:val="000000"/>
          <w:sz w:val="24"/>
          <w:szCs w:val="24"/>
          <w:lang w:val="sq-AL"/>
        </w:rPr>
        <w:t>-ja</w:t>
      </w:r>
      <w:r w:rsidRPr="00BE1029">
        <w:rPr>
          <w:rFonts w:ascii="Garamond" w:hAnsi="Garamond" w:cs="Times New Roman"/>
          <w:color w:val="000000"/>
          <w:sz w:val="24"/>
          <w:szCs w:val="24"/>
          <w:lang w:val="sq-AL"/>
        </w:rPr>
        <w:t xml:space="preserve"> kishte ushtruar juridiksionin e tij të plotë në vlerësimin e të gjith</w:t>
      </w:r>
      <w:r w:rsidR="00EB4CAC">
        <w:rPr>
          <w:rFonts w:ascii="Garamond" w:hAnsi="Garamond" w:cs="Times New Roman"/>
          <w:color w:val="000000"/>
          <w:sz w:val="24"/>
          <w:szCs w:val="24"/>
          <w:lang w:val="sq-AL"/>
        </w:rPr>
        <w:t>a</w:t>
      </w:r>
      <w:r w:rsidRPr="00BE1029">
        <w:rPr>
          <w:rFonts w:ascii="Garamond" w:hAnsi="Garamond" w:cs="Times New Roman"/>
          <w:color w:val="000000"/>
          <w:sz w:val="24"/>
          <w:szCs w:val="24"/>
          <w:lang w:val="sq-AL"/>
        </w:rPr>
        <w:t xml:space="preserve"> argumenteve faktik</w:t>
      </w:r>
      <w:r w:rsidR="00EB4CAC">
        <w:rPr>
          <w:rFonts w:ascii="Garamond" w:hAnsi="Garamond" w:cs="Times New Roman"/>
          <w:color w:val="000000"/>
          <w:sz w:val="24"/>
          <w:szCs w:val="24"/>
          <w:lang w:val="sq-AL"/>
        </w:rPr>
        <w:t>e</w:t>
      </w:r>
      <w:r w:rsidRPr="00BE1029">
        <w:rPr>
          <w:rFonts w:ascii="Garamond" w:hAnsi="Garamond" w:cs="Times New Roman"/>
          <w:color w:val="000000"/>
          <w:sz w:val="24"/>
          <w:szCs w:val="24"/>
          <w:lang w:val="sq-AL"/>
        </w:rPr>
        <w:t xml:space="preserve"> dhe ligjor</w:t>
      </w:r>
      <w:r w:rsidR="00EB4CAC">
        <w:rPr>
          <w:rFonts w:ascii="Garamond" w:hAnsi="Garamond" w:cs="Times New Roman"/>
          <w:color w:val="000000"/>
          <w:sz w:val="24"/>
          <w:szCs w:val="24"/>
          <w:lang w:val="sq-AL"/>
        </w:rPr>
        <w:t>e</w:t>
      </w:r>
      <w:r w:rsidRPr="00BE1029">
        <w:rPr>
          <w:rFonts w:ascii="Garamond" w:hAnsi="Garamond" w:cs="Times New Roman"/>
          <w:color w:val="000000"/>
          <w:sz w:val="24"/>
          <w:szCs w:val="24"/>
          <w:lang w:val="sq-AL"/>
        </w:rPr>
        <w:t xml:space="preserve"> të parashtruar</w:t>
      </w:r>
      <w:r w:rsidR="00EB4CAC">
        <w:rPr>
          <w:rFonts w:ascii="Garamond" w:hAnsi="Garamond" w:cs="Times New Roman"/>
          <w:color w:val="000000"/>
          <w:sz w:val="24"/>
          <w:szCs w:val="24"/>
          <w:lang w:val="sq-AL"/>
        </w:rPr>
        <w:t>a</w:t>
      </w:r>
      <w:r w:rsidRPr="00BE1029">
        <w:rPr>
          <w:rFonts w:ascii="Garamond" w:hAnsi="Garamond" w:cs="Times New Roman"/>
          <w:color w:val="000000"/>
          <w:sz w:val="24"/>
          <w:szCs w:val="24"/>
          <w:lang w:val="sq-AL"/>
        </w:rPr>
        <w:t xml:space="preserve"> nga kërkuesi. Në vijim, ata argumentuan se duke </w:t>
      </w:r>
      <w:r w:rsidR="009A7658">
        <w:rPr>
          <w:rFonts w:ascii="Garamond" w:hAnsi="Garamond" w:cs="Times New Roman"/>
          <w:color w:val="000000"/>
          <w:sz w:val="24"/>
          <w:szCs w:val="24"/>
          <w:lang w:val="sq-AL"/>
        </w:rPr>
        <w:t>u</w:t>
      </w:r>
      <w:r w:rsidRPr="00BE1029">
        <w:rPr>
          <w:rFonts w:ascii="Garamond" w:hAnsi="Garamond" w:cs="Times New Roman"/>
          <w:color w:val="000000"/>
          <w:sz w:val="24"/>
          <w:szCs w:val="24"/>
          <w:lang w:val="sq-AL"/>
        </w:rPr>
        <w:t xml:space="preserve"> shtuar procedurave të rivlerësimit një nivel të tretë të juridiksionit do të kishte komplikuar dhe zgjatur procesin. </w:t>
      </w:r>
    </w:p>
    <w:p w14:paraId="256A95C2" w14:textId="4A6DD29E"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120. Gjykata vlerëson se ankesa e kërkuesit nuk drejtohet kundër mostrajtimit nga ana e autoriteteve të substancës së ankesës së tij</w:t>
      </w:r>
      <w:r w:rsidR="001D14B1">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sipas </w:t>
      </w:r>
      <w:r w:rsidR="001D14B1" w:rsidRPr="00BE1029">
        <w:rPr>
          <w:rFonts w:ascii="Garamond" w:hAnsi="Garamond" w:cs="Times New Roman"/>
          <w:color w:val="000000"/>
          <w:sz w:val="24"/>
          <w:szCs w:val="24"/>
          <w:lang w:val="sq-AL"/>
        </w:rPr>
        <w:t xml:space="preserve">nenit </w:t>
      </w:r>
      <w:r w:rsidRPr="00BE1029">
        <w:rPr>
          <w:rFonts w:ascii="Garamond" w:hAnsi="Garamond" w:cs="Times New Roman"/>
          <w:color w:val="000000"/>
          <w:sz w:val="24"/>
          <w:szCs w:val="24"/>
          <w:lang w:val="sq-AL"/>
        </w:rPr>
        <w:t>6 § 1</w:t>
      </w:r>
      <w:r w:rsidR="001D14B1">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në lidhje me aspektin për një “gjykatë të krijuar me ligj”, por më shumë në drejtim të mungesës së përgjithshme të mundësisë për të paraqitur një apelim kundër vendimit të KPA-së. Në përputhje me rrethanat, ankesa i bie të shqyrtohet në lidhje me ankesën</w:t>
      </w:r>
      <w:r w:rsidR="001D14B1">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sipas </w:t>
      </w:r>
      <w:r w:rsidR="001D14B1" w:rsidRPr="00BE1029">
        <w:rPr>
          <w:rFonts w:ascii="Garamond" w:hAnsi="Garamond" w:cs="Times New Roman"/>
          <w:color w:val="000000"/>
          <w:sz w:val="24"/>
          <w:szCs w:val="24"/>
          <w:lang w:val="sq-AL"/>
        </w:rPr>
        <w:t xml:space="preserve">nenit </w:t>
      </w:r>
      <w:r w:rsidRPr="00BE1029">
        <w:rPr>
          <w:rFonts w:ascii="Garamond" w:hAnsi="Garamond" w:cs="Times New Roman"/>
          <w:color w:val="000000"/>
          <w:sz w:val="24"/>
          <w:szCs w:val="24"/>
          <w:lang w:val="sq-AL"/>
        </w:rPr>
        <w:t xml:space="preserve">8 të Konventës se shkarkimi i ankuesit nga detyra cenonte të drejtën e tij për jetë private (shih paragrafin 127 më poshtë). </w:t>
      </w:r>
    </w:p>
    <w:p w14:paraId="04FFE83B" w14:textId="605F73AA"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121. Në lidhje më këtë, Gjykata përsërit</w:t>
      </w:r>
      <w:r w:rsidR="001D14B1">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se nëse një shkelje e Konventës pretendohet të jetë kryer nga gjykata ose autoriteti më i lartë, zbatimi i </w:t>
      </w:r>
      <w:r w:rsidR="001D14B1" w:rsidRPr="00BE1029">
        <w:rPr>
          <w:rFonts w:ascii="Garamond" w:hAnsi="Garamond" w:cs="Times New Roman"/>
          <w:color w:val="000000"/>
          <w:sz w:val="24"/>
          <w:szCs w:val="24"/>
          <w:lang w:val="sq-AL"/>
        </w:rPr>
        <w:t xml:space="preserve">nenit </w:t>
      </w:r>
      <w:r w:rsidRPr="00BE1029">
        <w:rPr>
          <w:rFonts w:ascii="Garamond" w:hAnsi="Garamond" w:cs="Times New Roman"/>
          <w:color w:val="000000"/>
          <w:sz w:val="24"/>
          <w:szCs w:val="24"/>
          <w:lang w:val="sq-AL"/>
        </w:rPr>
        <w:t xml:space="preserve">13 është subjekt i një kufizimi të nënkuptuar përderisa ai nuk mund të interpretohet se kërkon që të ngrihen organe të posaçme për shqyrtimin e ankesave kundër vendimeve nga gjykatat më të larta (shih </w:t>
      </w:r>
      <w:r w:rsidRPr="00BE1029">
        <w:rPr>
          <w:rFonts w:ascii="Garamond" w:hAnsi="Garamond" w:cs="Times New Roman"/>
          <w:i/>
          <w:iCs/>
          <w:color w:val="000000"/>
          <w:sz w:val="24"/>
          <w:szCs w:val="24"/>
          <w:lang w:val="sq-AL"/>
        </w:rPr>
        <w:t>Stoyanova-Tsakova kundër Bullgarisë</w:t>
      </w:r>
      <w:r w:rsidRPr="00BE1029">
        <w:rPr>
          <w:rFonts w:ascii="Garamond" w:hAnsi="Garamond" w:cs="Times New Roman"/>
          <w:color w:val="000000"/>
          <w:sz w:val="24"/>
          <w:szCs w:val="24"/>
          <w:lang w:val="sq-AL"/>
        </w:rPr>
        <w:t xml:space="preserve">, nr. 17967/03, § 32, 25 </w:t>
      </w:r>
      <w:r w:rsidR="00D24149" w:rsidRPr="00BE1029">
        <w:rPr>
          <w:rFonts w:ascii="Garamond" w:hAnsi="Garamond" w:cs="Times New Roman"/>
          <w:color w:val="000000"/>
          <w:sz w:val="24"/>
          <w:szCs w:val="24"/>
          <w:lang w:val="sq-AL"/>
        </w:rPr>
        <w:t xml:space="preserve">qershor </w:t>
      </w:r>
      <w:r w:rsidRPr="00BE1029">
        <w:rPr>
          <w:rFonts w:ascii="Garamond" w:hAnsi="Garamond" w:cs="Times New Roman"/>
          <w:color w:val="000000"/>
          <w:sz w:val="24"/>
          <w:szCs w:val="24"/>
          <w:lang w:val="sq-AL"/>
        </w:rPr>
        <w:t xml:space="preserve">2009). </w:t>
      </w:r>
    </w:p>
    <w:p w14:paraId="687CCE1D" w14:textId="029869E6"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lastRenderedPageBreak/>
        <w:t>122. Duke u kthyer në çështjen konkrete, Gjykata vlerëson</w:t>
      </w:r>
      <w:r w:rsidR="004620B8">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se KPA</w:t>
      </w:r>
      <w:r w:rsidR="004620B8">
        <w:rPr>
          <w:rFonts w:ascii="Garamond" w:hAnsi="Garamond" w:cs="Times New Roman"/>
          <w:color w:val="000000"/>
          <w:sz w:val="24"/>
          <w:szCs w:val="24"/>
          <w:lang w:val="sq-AL"/>
        </w:rPr>
        <w:t>-ja</w:t>
      </w:r>
      <w:r w:rsidRPr="00BE1029">
        <w:rPr>
          <w:rFonts w:ascii="Garamond" w:hAnsi="Garamond" w:cs="Times New Roman"/>
          <w:color w:val="000000"/>
          <w:sz w:val="24"/>
          <w:szCs w:val="24"/>
          <w:lang w:val="sq-AL"/>
        </w:rPr>
        <w:t xml:space="preserve"> është një gjykatë që përdoret si mjet i fundit në lidhje me procedurat e rivlerësimit. Në këtë mënyrë, kjo ankesë është e haptazi e pambështetur dhe duhet të rrëzohet, në përputhje me </w:t>
      </w:r>
      <w:r w:rsidR="00E50179" w:rsidRPr="00BE1029">
        <w:rPr>
          <w:rFonts w:ascii="Garamond" w:hAnsi="Garamond" w:cs="Times New Roman"/>
          <w:color w:val="000000"/>
          <w:sz w:val="24"/>
          <w:szCs w:val="24"/>
          <w:lang w:val="sq-AL"/>
        </w:rPr>
        <w:t xml:space="preserve">nenin </w:t>
      </w:r>
      <w:r w:rsidRPr="00BE1029">
        <w:rPr>
          <w:rFonts w:ascii="Garamond" w:hAnsi="Garamond" w:cs="Times New Roman"/>
          <w:color w:val="000000"/>
          <w:sz w:val="24"/>
          <w:szCs w:val="24"/>
          <w:lang w:val="sq-AL"/>
        </w:rPr>
        <w:t xml:space="preserve">35 §§ 3 (a) dhe 4 të Konventës. </w:t>
      </w:r>
    </w:p>
    <w:p w14:paraId="5EC8B1D0" w14:textId="36B99AB6"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III. SHKELJE TË TJERA TË PRETENDUARA TË KONVENTËS</w:t>
      </w:r>
    </w:p>
    <w:p w14:paraId="2882664E" w14:textId="13FBD080"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123. Kërkuesi paraqiti një sërë ankesash të tjera në mbështetje të </w:t>
      </w:r>
      <w:r w:rsidR="00B21FF6" w:rsidRPr="00BE1029">
        <w:rPr>
          <w:rFonts w:ascii="Garamond" w:hAnsi="Garamond" w:cs="Times New Roman"/>
          <w:color w:val="000000"/>
          <w:sz w:val="24"/>
          <w:szCs w:val="24"/>
          <w:lang w:val="sq-AL"/>
        </w:rPr>
        <w:t xml:space="preserve">nenit </w:t>
      </w:r>
      <w:r w:rsidRPr="00BE1029">
        <w:rPr>
          <w:rFonts w:ascii="Garamond" w:hAnsi="Garamond" w:cs="Times New Roman"/>
          <w:color w:val="000000"/>
          <w:sz w:val="24"/>
          <w:szCs w:val="24"/>
          <w:lang w:val="sq-AL"/>
        </w:rPr>
        <w:t xml:space="preserve">6 § 1 të Konventës. </w:t>
      </w:r>
    </w:p>
    <w:p w14:paraId="2D9B98B3" w14:textId="1544ABE5"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124. Fillimisht, ai u ankua se KPA</w:t>
      </w:r>
      <w:r w:rsidR="00B21FF6">
        <w:rPr>
          <w:rFonts w:ascii="Garamond" w:hAnsi="Garamond" w:cs="Times New Roman"/>
          <w:color w:val="000000"/>
          <w:sz w:val="24"/>
          <w:szCs w:val="24"/>
          <w:lang w:val="sq-AL"/>
        </w:rPr>
        <w:t>-ja</w:t>
      </w:r>
      <w:r w:rsidRPr="00BE1029">
        <w:rPr>
          <w:rFonts w:ascii="Garamond" w:hAnsi="Garamond" w:cs="Times New Roman"/>
          <w:color w:val="000000"/>
          <w:sz w:val="24"/>
          <w:szCs w:val="24"/>
          <w:lang w:val="sq-AL"/>
        </w:rPr>
        <w:t xml:space="preserve"> nuk kishte qenë një gjykatë e krijuar me ligj</w:t>
      </w:r>
      <w:r w:rsidR="00B521DF">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duke iu referuar një mosrespektim tjetër të kritereve statutore të përzgjedhshmërisë në emërimin e gjyqtarit A.H. Specifikisht, në këndvështrimin e kërkuesit, gjyqtari A.H. nuk kishte vjetërsinë e kërkuar në profesion, nota e tij mesatare e studimeve akademike ishte vetëm tetë nga dhjetë në total, nuk kishte tituj akademikë, nuk kishte pasur ndonjë eksperiencë studimore jashtë Shqipërisë dhe nuk kishte njohuri shumë të mira të gjuhës angleze, siç kërkohej me ligj. </w:t>
      </w:r>
    </w:p>
    <w:p w14:paraId="453DE71D" w14:textId="068330DC"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125. Së dyti, kërkuesi u ankua se gjyqtarët L.D. dhe A.H. nuk kishin paanshmërinë e nevojshme për të shqyrtuar çështjen e kërkuesit</w:t>
      </w:r>
      <w:r w:rsidR="00B521DF">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pasi ai kishte kërkuar që të ndërpriteshin mandatet e tyre dhe kishte paraqitur një padi penale kundër L.D.</w:t>
      </w:r>
    </w:p>
    <w:p w14:paraId="72D82670" w14:textId="4903DF55"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126. Së treti, kërkuesi u ankua edhe se procesi në KPA kishte qenë i padrejtë</w:t>
      </w:r>
      <w:r w:rsidR="00B521DF">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për shkak të mosvënies së kërkuesit në dijeni të një kopje të “analizës financiare”</w:t>
      </w:r>
      <w:r w:rsidR="003410C3">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tek e cila gjykata ishte mbështetur për ta shkarkuar dhe e cila ka çuar në cenimin e parimit për procedura kundërshtuese. </w:t>
      </w:r>
    </w:p>
    <w:p w14:paraId="69478DE5" w14:textId="2C2D1AFB"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127. Së fundmi, duke u mbështetur në të drejtën e tij për respektim të jetës së tij private, sipas </w:t>
      </w:r>
      <w:r w:rsidR="003410C3" w:rsidRPr="00BE1029">
        <w:rPr>
          <w:rFonts w:ascii="Garamond" w:hAnsi="Garamond" w:cs="Times New Roman"/>
          <w:color w:val="000000"/>
          <w:sz w:val="24"/>
          <w:szCs w:val="24"/>
          <w:lang w:val="sq-AL"/>
        </w:rPr>
        <w:t xml:space="preserve">nenit </w:t>
      </w:r>
      <w:r w:rsidRPr="00BE1029">
        <w:rPr>
          <w:rFonts w:ascii="Garamond" w:hAnsi="Garamond" w:cs="Times New Roman"/>
          <w:color w:val="000000"/>
          <w:sz w:val="24"/>
          <w:szCs w:val="24"/>
          <w:lang w:val="sq-AL"/>
        </w:rPr>
        <w:t xml:space="preserve">8 të Konventës, kërkuesi pretendonte se vendimi i KPA-së për ta shkarkuar nga detyra kishte shkaktuar një ndërhyrje në atë të drejtë, gjë e cila nuk ishte as në përputhje me ligjin dhe as proporcionale me qëllimet legjitime të ndjekura. </w:t>
      </w:r>
    </w:p>
    <w:p w14:paraId="791B8A17" w14:textId="50898862"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128. Qeveria i kundërshtoi ankesat e mësipërme dhe argumentoi se nuk kishte pasur shkelje të atyre parashikimeve të Konventës.</w:t>
      </w:r>
      <w:r w:rsidR="00BB6ABE" w:rsidRPr="00BE1029">
        <w:rPr>
          <w:rFonts w:ascii="Garamond" w:hAnsi="Garamond" w:cs="Times New Roman"/>
          <w:color w:val="000000"/>
          <w:sz w:val="24"/>
          <w:szCs w:val="24"/>
          <w:lang w:val="sq-AL"/>
        </w:rPr>
        <w:t xml:space="preserve"> </w:t>
      </w:r>
    </w:p>
    <w:p w14:paraId="308D96E2" w14:textId="471ED8AB"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129. Duke pasur në konsideratë natyrën dhe fushën e veprimit të shkeljes</w:t>
      </w:r>
      <w:r w:rsidR="003410C3">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sipas </w:t>
      </w:r>
      <w:r w:rsidR="003410C3" w:rsidRPr="00BE1029">
        <w:rPr>
          <w:rFonts w:ascii="Garamond" w:hAnsi="Garamond" w:cs="Times New Roman"/>
          <w:color w:val="000000"/>
          <w:sz w:val="24"/>
          <w:szCs w:val="24"/>
          <w:lang w:val="sq-AL"/>
        </w:rPr>
        <w:t xml:space="preserve">nenit </w:t>
      </w:r>
      <w:r w:rsidRPr="00BE1029">
        <w:rPr>
          <w:rFonts w:ascii="Garamond" w:hAnsi="Garamond" w:cs="Times New Roman"/>
          <w:color w:val="000000"/>
          <w:sz w:val="24"/>
          <w:szCs w:val="24"/>
          <w:lang w:val="sq-AL"/>
        </w:rPr>
        <w:t>6 § 1 të Konventës</w:t>
      </w:r>
      <w:r w:rsidR="003410C3">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në lidhje me të drejtën e ankuesit për një gjykatë të krijuar me ligj (shih paragrafin 116 më sipër), Gjykata vendos të vijojë pa shqyrtuar pranueshmërinë dhe meritat e këtyre ankesave. </w:t>
      </w:r>
    </w:p>
    <w:p w14:paraId="77E95680" w14:textId="31F47C2B"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IV. ZBATIMI I NENIT 41 TË KONVENTËS</w:t>
      </w:r>
    </w:p>
    <w:p w14:paraId="5022D55D" w14:textId="08403883"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130. Neni 41 i Konventës parashikon: </w:t>
      </w:r>
    </w:p>
    <w:p w14:paraId="7B3BEEB3" w14:textId="056AE946"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“Kur Gjykata konstaton se ka pasur një shkelje të Konventës ose të protokolleve të saj dhe, nëse e drejta e brendshme e Palës së Lartë Kontraktuese lejon të bëhet vetëm një ndreqje e pjesshme, Gjykata, kur është e nevojshme, i akordon shpërblim të drejtë palës së dëmtuar.”</w:t>
      </w:r>
      <w:r w:rsidR="003410C3">
        <w:rPr>
          <w:rFonts w:ascii="Garamond" w:hAnsi="Garamond" w:cs="Times New Roman"/>
          <w:color w:val="000000"/>
          <w:sz w:val="24"/>
          <w:szCs w:val="24"/>
          <w:lang w:val="sq-AL"/>
        </w:rPr>
        <w:t>.</w:t>
      </w:r>
    </w:p>
    <w:p w14:paraId="7324DF74" w14:textId="6E7AF37C" w:rsidR="00A43DB1" w:rsidRPr="00BE1029" w:rsidRDefault="00A43DB1" w:rsidP="00A43DB1">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BE1029">
        <w:rPr>
          <w:rFonts w:ascii="Garamond" w:hAnsi="Garamond" w:cs="Times New Roman"/>
          <w:b/>
          <w:bCs/>
          <w:color w:val="000000"/>
          <w:sz w:val="24"/>
          <w:szCs w:val="24"/>
          <w:lang w:val="sq-AL"/>
        </w:rPr>
        <w:t xml:space="preserve">A. Dëmshpërblimi </w:t>
      </w:r>
    </w:p>
    <w:p w14:paraId="7731EAB6" w14:textId="7632B67D"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131. Ankuesi i kërkoi Gjykatës t’i akordonte dëmshpërblim monetar në shumën e barabartë me pagën e tij mujore (rreth 2200 euro (EUR))</w:t>
      </w:r>
      <w:r w:rsidR="00785CDE">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duke mbuluar periudhën nga data e shkarkimit të tij nga detyra deri në datën e rikthimit të tij në pozicionin e tij. </w:t>
      </w:r>
    </w:p>
    <w:p w14:paraId="510650EF" w14:textId="128FC78F"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132. Në lidhje me dëmin jopasuror, kërkuesi parashtroi se dëmit ndaj imazhit dhe reputacionit të tij</w:t>
      </w:r>
      <w:r w:rsidR="00785CDE">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si edhe stresit emocional që kishte përjetuar, nuk mund t’i vihej një vlerë monetare. Në përputhje me rrethanat, ai i kërkoi Gjykatës të akordonte shumën simbolike prej EUR 1. </w:t>
      </w:r>
    </w:p>
    <w:p w14:paraId="7A5BD4BC" w14:textId="3EC5C044"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133. Qeveria parashtroi se pretendimet ishin të paarsyeshme. </w:t>
      </w:r>
    </w:p>
    <w:p w14:paraId="2FFD306D" w14:textId="5091A53B"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134. Gjykata vëren se ka konstatuar një shkelje të së drejtës për një “gjykatë të krijuar me ligj”</w:t>
      </w:r>
      <w:r w:rsidR="00093983">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sipas </w:t>
      </w:r>
      <w:r w:rsidR="00093983" w:rsidRPr="00BE1029">
        <w:rPr>
          <w:rFonts w:ascii="Garamond" w:hAnsi="Garamond" w:cs="Times New Roman"/>
          <w:color w:val="000000"/>
          <w:sz w:val="24"/>
          <w:szCs w:val="24"/>
          <w:lang w:val="sq-AL"/>
        </w:rPr>
        <w:t xml:space="preserve">nenit </w:t>
      </w:r>
      <w:r w:rsidRPr="00BE1029">
        <w:rPr>
          <w:rFonts w:ascii="Garamond" w:hAnsi="Garamond" w:cs="Times New Roman"/>
          <w:color w:val="000000"/>
          <w:sz w:val="24"/>
          <w:szCs w:val="24"/>
          <w:lang w:val="sq-AL"/>
        </w:rPr>
        <w:t xml:space="preserve">6 § 1 të Konventës pa shprehur ndonjë opinion për meritat e shkarkimit të tij. Gjykata nuk mund të spekulojë se si do të kishin qenë rezultatet e procedurave të rivlerësimit ndaj ankuesit, në rast se do të ishin respektuar kërkesat e </w:t>
      </w:r>
      <w:r w:rsidR="003B1BCF" w:rsidRPr="00BE1029">
        <w:rPr>
          <w:rFonts w:ascii="Garamond" w:hAnsi="Garamond" w:cs="Times New Roman"/>
          <w:color w:val="000000"/>
          <w:sz w:val="24"/>
          <w:szCs w:val="24"/>
          <w:lang w:val="sq-AL"/>
        </w:rPr>
        <w:t xml:space="preserve">nenit </w:t>
      </w:r>
      <w:r w:rsidRPr="00BE1029">
        <w:rPr>
          <w:rFonts w:ascii="Garamond" w:hAnsi="Garamond" w:cs="Times New Roman"/>
          <w:color w:val="000000"/>
          <w:sz w:val="24"/>
          <w:szCs w:val="24"/>
          <w:lang w:val="sq-AL"/>
        </w:rPr>
        <w:t xml:space="preserve">6 § 1 të Konventës, dhe ajo nuk dallon ndonjë lidhje rastësore midis shkeljes procedurale që ajo konstatoi dhe dëmshpërblimit monetar të pretenduar; për këtë arsye ajo e rrëzon këtë pretendim. </w:t>
      </w:r>
    </w:p>
    <w:p w14:paraId="1F379074" w14:textId="290F6C8E"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135. Në lidhje me dëmin jopasuror, Gjykata vlerëson se konstatimi i një shkeljeje të </w:t>
      </w:r>
      <w:r w:rsidR="002B3A41" w:rsidRPr="00BE1029">
        <w:rPr>
          <w:rFonts w:ascii="Garamond" w:hAnsi="Garamond" w:cs="Times New Roman"/>
          <w:color w:val="000000"/>
          <w:sz w:val="24"/>
          <w:szCs w:val="24"/>
          <w:lang w:val="sq-AL"/>
        </w:rPr>
        <w:t xml:space="preserve">nenit </w:t>
      </w:r>
      <w:r w:rsidRPr="00BE1029">
        <w:rPr>
          <w:rFonts w:ascii="Garamond" w:hAnsi="Garamond" w:cs="Times New Roman"/>
          <w:color w:val="000000"/>
          <w:sz w:val="24"/>
          <w:szCs w:val="24"/>
          <w:lang w:val="sq-AL"/>
        </w:rPr>
        <w:t xml:space="preserve">6 § 1 të Konventës përbën një shpërblim të drejtë për qëllimet e Konventës. </w:t>
      </w:r>
    </w:p>
    <w:p w14:paraId="66C3B1AD" w14:textId="572C952A" w:rsidR="00A43DB1" w:rsidRPr="00BE1029" w:rsidRDefault="00A43DB1" w:rsidP="00A43DB1">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BE1029">
        <w:rPr>
          <w:rFonts w:ascii="Garamond" w:hAnsi="Garamond" w:cs="Times New Roman"/>
          <w:b/>
          <w:bCs/>
          <w:color w:val="000000"/>
          <w:sz w:val="24"/>
          <w:szCs w:val="24"/>
          <w:lang w:val="sq-AL"/>
        </w:rPr>
        <w:lastRenderedPageBreak/>
        <w:t xml:space="preserve">B. Kostot dhe shpenzimet </w:t>
      </w:r>
    </w:p>
    <w:p w14:paraId="763B4755" w14:textId="519E8692"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136. Ankuesi nuk parashtroi ndonjë pretendim për kostot dhe shpërblimet. Për këtë arsye, Gjykata nuk bën asnjë akordim. </w:t>
      </w:r>
    </w:p>
    <w:p w14:paraId="05BE02BD" w14:textId="363AB802"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V. ZBATIMI I NENIT 46 TË KONVENTËS</w:t>
      </w:r>
    </w:p>
    <w:p w14:paraId="56F716DA" w14:textId="156F15A8"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137. Neni 46 i Konventës parashikon: </w:t>
      </w:r>
    </w:p>
    <w:p w14:paraId="5BA4AA25" w14:textId="77777777"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“1. Palët e Larta Kontraktuese marrin përsipër të respektojnë vendimin e formës së prerë të Gjykatës në çdo çështje ku ato janë palë. </w:t>
      </w:r>
    </w:p>
    <w:p w14:paraId="57202FD2" w14:textId="5019C0F3"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2. Vendimi i formës së prerë i Gjykatës i përcillet Komitetit të Ministrave, i cili mbikëqyr ekzekutimin e tij.”</w:t>
      </w:r>
      <w:r w:rsidR="00C0643D">
        <w:rPr>
          <w:rFonts w:ascii="Garamond" w:hAnsi="Garamond" w:cs="Times New Roman"/>
          <w:color w:val="000000"/>
          <w:sz w:val="24"/>
          <w:szCs w:val="24"/>
          <w:lang w:val="sq-AL"/>
        </w:rPr>
        <w:t>.</w:t>
      </w:r>
    </w:p>
    <w:p w14:paraId="4D26B3F1" w14:textId="1AA9F514" w:rsidR="00A43DB1" w:rsidRPr="00BE1029" w:rsidRDefault="00A43DB1" w:rsidP="00A43DB1">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BE1029">
        <w:rPr>
          <w:rFonts w:ascii="Garamond" w:hAnsi="Garamond" w:cs="Times New Roman"/>
          <w:b/>
          <w:bCs/>
          <w:color w:val="000000"/>
          <w:sz w:val="24"/>
          <w:szCs w:val="24"/>
          <w:lang w:val="sq-AL"/>
        </w:rPr>
        <w:t xml:space="preserve">A. Parime të zbatueshme </w:t>
      </w:r>
    </w:p>
    <w:p w14:paraId="7202408B" w14:textId="122B3DE7"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138. Gjykata përsërit</w:t>
      </w:r>
      <w:r w:rsidR="00404488">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se sipas </w:t>
      </w:r>
      <w:r w:rsidR="00404488" w:rsidRPr="00BE1029">
        <w:rPr>
          <w:rFonts w:ascii="Garamond" w:hAnsi="Garamond" w:cs="Times New Roman"/>
          <w:color w:val="000000"/>
          <w:sz w:val="24"/>
          <w:szCs w:val="24"/>
          <w:lang w:val="sq-AL"/>
        </w:rPr>
        <w:t xml:space="preserve">nenit </w:t>
      </w:r>
      <w:r w:rsidRPr="00BE1029">
        <w:rPr>
          <w:rFonts w:ascii="Garamond" w:hAnsi="Garamond" w:cs="Times New Roman"/>
          <w:color w:val="000000"/>
          <w:sz w:val="24"/>
          <w:szCs w:val="24"/>
          <w:lang w:val="sq-AL"/>
        </w:rPr>
        <w:t>46 të Konventës, Palët Kontraktuese kanë marrë përsipër të respektojnë vendimet e formës së prerë të Gjykatës në çdo çështje ku ato janë palë, teksa ekzekutimi mbikëqyret nga Komiteti i Ministrave. Ajo vijon, ndër të tjera, se një vendim në të cilin Gjykata konstaton një shkelje të Konventës ose të Protokolleve të saj vendos detyrimin ndaj Shtetit përgjegjës</w:t>
      </w:r>
      <w:r w:rsidR="00404488">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jo vetëm që të paguajë shumat e akorduara për shpërblim të drejtë, por edhe të zgjedhë, nën mbikëqyrjen e Komitetit të Ministrave, masat e përgjithshme dhe/ose, nëse është me vend, individuale që do të miratohen në urdhrin e ligjor </w:t>
      </w:r>
      <w:r w:rsidR="008A55FD" w:rsidRPr="00BE1029">
        <w:rPr>
          <w:rFonts w:ascii="Garamond" w:hAnsi="Garamond" w:cs="Times New Roman"/>
          <w:color w:val="000000"/>
          <w:sz w:val="24"/>
          <w:szCs w:val="24"/>
          <w:lang w:val="sq-AL"/>
        </w:rPr>
        <w:t>vendës</w:t>
      </w:r>
      <w:r w:rsidRPr="00BE1029">
        <w:rPr>
          <w:rFonts w:ascii="Garamond" w:hAnsi="Garamond" w:cs="Times New Roman"/>
          <w:color w:val="000000"/>
          <w:sz w:val="24"/>
          <w:szCs w:val="24"/>
          <w:lang w:val="sq-AL"/>
        </w:rPr>
        <w:t xml:space="preserve"> për t’i dhënë fund shkeljes së konstatuar nga gjykata dhe për të korrigjuar sa më shumë të jetë e mundur efektet (shih </w:t>
      </w:r>
      <w:r w:rsidRPr="00BE1029">
        <w:rPr>
          <w:rFonts w:ascii="Garamond" w:hAnsi="Garamond" w:cs="Times New Roman"/>
          <w:i/>
          <w:iCs/>
          <w:color w:val="000000"/>
          <w:sz w:val="24"/>
          <w:szCs w:val="24"/>
          <w:lang w:val="sq-AL"/>
        </w:rPr>
        <w:t xml:space="preserve">Scozzari dhe Giunta kundër Italisë </w:t>
      </w:r>
      <w:r w:rsidRPr="00BE1029">
        <w:rPr>
          <w:rFonts w:ascii="Garamond" w:hAnsi="Garamond" w:cs="Times New Roman"/>
          <w:color w:val="000000"/>
          <w:sz w:val="24"/>
          <w:szCs w:val="24"/>
          <w:lang w:val="sq-AL"/>
        </w:rPr>
        <w:t xml:space="preserve">[DHM], nr. 39221/98 dhe 41963/98, § 249, GJEDNJ 2000-VIII, dhe </w:t>
      </w:r>
      <w:r w:rsidRPr="00BE1029">
        <w:rPr>
          <w:rFonts w:ascii="Garamond" w:hAnsi="Garamond" w:cs="Times New Roman"/>
          <w:i/>
          <w:iCs/>
          <w:color w:val="000000"/>
          <w:sz w:val="24"/>
          <w:szCs w:val="24"/>
          <w:lang w:val="sq-AL"/>
        </w:rPr>
        <w:t xml:space="preserve">Stanev kundër Bullgarisë </w:t>
      </w:r>
      <w:r w:rsidRPr="00BE1029">
        <w:rPr>
          <w:rFonts w:ascii="Garamond" w:hAnsi="Garamond" w:cs="Times New Roman"/>
          <w:color w:val="000000"/>
          <w:sz w:val="24"/>
          <w:szCs w:val="24"/>
          <w:lang w:val="sq-AL"/>
        </w:rPr>
        <w:t>[DHM], nr. 36760/06, § 254, GJEDNJ 2012).</w:t>
      </w:r>
      <w:r w:rsidR="00BB6ABE" w:rsidRPr="00BE1029">
        <w:rPr>
          <w:rFonts w:ascii="Garamond" w:hAnsi="Garamond" w:cs="Times New Roman"/>
          <w:color w:val="000000"/>
          <w:sz w:val="24"/>
          <w:szCs w:val="24"/>
          <w:lang w:val="sq-AL"/>
        </w:rPr>
        <w:t xml:space="preserve"> </w:t>
      </w:r>
    </w:p>
    <w:p w14:paraId="5B72FDFE" w14:textId="279FCE5F" w:rsidR="00A43DB1" w:rsidRPr="00BE1029" w:rsidRDefault="00A43DB1" w:rsidP="0040448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139. Në vijim, Gjykata vëren se vendimet e saj kanë natyrë thelbësisht deklarative dhe se, në përgjithësi, kryesisht i takon </w:t>
      </w:r>
      <w:r w:rsidRPr="00F264DE">
        <w:rPr>
          <w:rFonts w:ascii="Garamond" w:hAnsi="Garamond" w:cs="Times New Roman"/>
          <w:color w:val="000000"/>
          <w:sz w:val="24"/>
          <w:szCs w:val="24"/>
          <w:lang w:val="sq-AL"/>
        </w:rPr>
        <w:t>Shtetit</w:t>
      </w:r>
      <w:r w:rsidRPr="00BE1029">
        <w:rPr>
          <w:rFonts w:ascii="Garamond" w:hAnsi="Garamond" w:cs="Times New Roman"/>
          <w:color w:val="000000"/>
          <w:sz w:val="24"/>
          <w:szCs w:val="24"/>
          <w:lang w:val="sq-AL"/>
        </w:rPr>
        <w:t xml:space="preserve"> konkret që të zgjedhë, nën mbikëqyrjen e Komitetit të Ministrave, mjetet që do të përdoren në urdhrin e saj ligjor </w:t>
      </w:r>
      <w:r w:rsidR="008A55FD" w:rsidRPr="00BE1029">
        <w:rPr>
          <w:rFonts w:ascii="Garamond" w:hAnsi="Garamond" w:cs="Times New Roman"/>
          <w:color w:val="000000"/>
          <w:sz w:val="24"/>
          <w:szCs w:val="24"/>
          <w:lang w:val="sq-AL"/>
        </w:rPr>
        <w:t>vendës</w:t>
      </w:r>
      <w:r w:rsidRPr="00BE1029">
        <w:rPr>
          <w:rFonts w:ascii="Garamond" w:hAnsi="Garamond" w:cs="Times New Roman"/>
          <w:color w:val="000000"/>
          <w:sz w:val="24"/>
          <w:szCs w:val="24"/>
          <w:lang w:val="sq-AL"/>
        </w:rPr>
        <w:t xml:space="preserve"> për të shkarkuar detyrimin e saj</w:t>
      </w:r>
      <w:r w:rsidR="00404488">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sipas </w:t>
      </w:r>
      <w:r w:rsidR="00404488" w:rsidRPr="00BE1029">
        <w:rPr>
          <w:rFonts w:ascii="Garamond" w:hAnsi="Garamond" w:cs="Times New Roman"/>
          <w:color w:val="000000"/>
          <w:sz w:val="24"/>
          <w:szCs w:val="24"/>
          <w:lang w:val="sq-AL"/>
        </w:rPr>
        <w:t xml:space="preserve">nenit </w:t>
      </w:r>
      <w:r w:rsidRPr="00BE1029">
        <w:rPr>
          <w:rFonts w:ascii="Garamond" w:hAnsi="Garamond" w:cs="Times New Roman"/>
          <w:color w:val="000000"/>
          <w:sz w:val="24"/>
          <w:szCs w:val="24"/>
          <w:lang w:val="sq-AL"/>
        </w:rPr>
        <w:t xml:space="preserve">46 të Konventës (shih, për shembull, </w:t>
      </w:r>
      <w:r w:rsidRPr="00BE1029">
        <w:rPr>
          <w:rFonts w:ascii="Garamond" w:hAnsi="Garamond" w:cs="Times New Roman"/>
          <w:i/>
          <w:iCs/>
          <w:color w:val="000000"/>
          <w:sz w:val="24"/>
          <w:szCs w:val="24"/>
          <w:lang w:val="sq-AL"/>
        </w:rPr>
        <w:t>Öcalan kundër Turqisë</w:t>
      </w:r>
      <w:r w:rsidRPr="00BE1029">
        <w:rPr>
          <w:rFonts w:ascii="Garamond" w:hAnsi="Garamond" w:cs="Times New Roman"/>
          <w:color w:val="000000"/>
          <w:sz w:val="24"/>
          <w:szCs w:val="24"/>
          <w:lang w:val="sq-AL"/>
        </w:rPr>
        <w:t xml:space="preserve"> [DHM], nr. 46221/99, § 210, GJEDNJ 2005-IV), me kusht që këto mjete të respektojnë konkluzionet dhe frymën e vendimit të Gjykatës (shih, për shembull, </w:t>
      </w:r>
      <w:r w:rsidRPr="00BE1029">
        <w:rPr>
          <w:rFonts w:ascii="Garamond" w:hAnsi="Garamond" w:cs="Times New Roman"/>
          <w:i/>
          <w:iCs/>
          <w:color w:val="000000"/>
          <w:sz w:val="24"/>
          <w:szCs w:val="24"/>
          <w:lang w:val="sq-AL"/>
        </w:rPr>
        <w:t xml:space="preserve">Scozzari dhe Giunta, </w:t>
      </w:r>
      <w:r w:rsidRPr="00BE1029">
        <w:rPr>
          <w:rFonts w:ascii="Garamond" w:hAnsi="Garamond" w:cs="Times New Roman"/>
          <w:color w:val="000000"/>
          <w:sz w:val="24"/>
          <w:szCs w:val="24"/>
          <w:lang w:val="sq-AL"/>
        </w:rPr>
        <w:t>cituar më sipër, § 249, nr. 15172/13, §§ 148</w:t>
      </w:r>
      <w:r w:rsidR="00404488">
        <w:rPr>
          <w:rFonts w:ascii="Garamond" w:hAnsi="Garamond" w:cs="Times New Roman"/>
          <w:sz w:val="24"/>
          <w:szCs w:val="24"/>
          <w:lang w:val="sq-AL"/>
        </w:rPr>
        <w:t>–</w:t>
      </w:r>
      <w:r w:rsidRPr="00BE1029">
        <w:rPr>
          <w:rFonts w:ascii="Garamond" w:hAnsi="Garamond" w:cs="Times New Roman"/>
          <w:color w:val="000000"/>
          <w:sz w:val="24"/>
          <w:szCs w:val="24"/>
          <w:lang w:val="sq-AL"/>
        </w:rPr>
        <w:t xml:space="preserve">49, 29 Maj 2019). Megjithatë, në rrethana të caktuara, Gjykata e ka gjykuar si të dobishme që t’i tregojë Shtetit përgjegjës llojin e masave që mund të merren për t’i dhënë fund situatës – shpesh sistematike – e cila ka çuar në konstatimin e shkeljes (shih, për shembull, </w:t>
      </w:r>
      <w:r w:rsidRPr="00BE1029">
        <w:rPr>
          <w:rFonts w:ascii="Garamond" w:hAnsi="Garamond" w:cs="Times New Roman"/>
          <w:i/>
          <w:iCs/>
          <w:color w:val="000000"/>
          <w:sz w:val="24"/>
          <w:szCs w:val="24"/>
          <w:lang w:val="sq-AL"/>
        </w:rPr>
        <w:t>Ilgar Mammadov</w:t>
      </w:r>
      <w:r w:rsidRPr="00BE1029">
        <w:rPr>
          <w:rFonts w:ascii="Garamond" w:hAnsi="Garamond" w:cs="Times New Roman"/>
          <w:color w:val="000000"/>
          <w:sz w:val="24"/>
          <w:szCs w:val="24"/>
          <w:lang w:val="sq-AL"/>
        </w:rPr>
        <w:t xml:space="preserve">, cituar më sipër, § 153). </w:t>
      </w:r>
    </w:p>
    <w:p w14:paraId="6586EFE2" w14:textId="45952420"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140. Gjykata nuk ka juridiksion të urdhërojë, veçanërisht, rihapjen e procedurave (shih </w:t>
      </w:r>
      <w:r w:rsidRPr="00BE1029">
        <w:rPr>
          <w:rFonts w:ascii="Garamond" w:hAnsi="Garamond" w:cs="Times New Roman"/>
          <w:i/>
          <w:iCs/>
          <w:color w:val="000000"/>
          <w:sz w:val="24"/>
          <w:szCs w:val="24"/>
          <w:lang w:val="sq-AL"/>
        </w:rPr>
        <w:t xml:space="preserve">Verein gegen Tierfabriken Schweiz (VgT) kundër Zvicrës (nr. 2) </w:t>
      </w:r>
      <w:r w:rsidRPr="00BE1029">
        <w:rPr>
          <w:rFonts w:ascii="Garamond" w:hAnsi="Garamond" w:cs="Times New Roman"/>
          <w:color w:val="000000"/>
          <w:sz w:val="24"/>
          <w:szCs w:val="24"/>
          <w:lang w:val="sq-AL"/>
        </w:rPr>
        <w:t xml:space="preserve">[DHM], nr. 32772/02, § 89, GJEDNJ 2009). Megjithatë, ashtu siç pohohet në </w:t>
      </w:r>
      <w:r w:rsidR="003B5EEE" w:rsidRPr="00BE1029">
        <w:rPr>
          <w:rFonts w:ascii="Garamond" w:hAnsi="Garamond" w:cs="Times New Roman"/>
          <w:color w:val="000000"/>
          <w:sz w:val="24"/>
          <w:szCs w:val="24"/>
          <w:lang w:val="sq-AL"/>
        </w:rPr>
        <w:t>rekomandimin nr</w:t>
      </w:r>
      <w:r w:rsidRPr="00BE1029">
        <w:rPr>
          <w:rFonts w:ascii="Garamond" w:hAnsi="Garamond" w:cs="Times New Roman"/>
          <w:color w:val="000000"/>
          <w:sz w:val="24"/>
          <w:szCs w:val="24"/>
          <w:lang w:val="sq-AL"/>
        </w:rPr>
        <w:t xml:space="preserve">. R (2000)2 të Komitetit të Ministrave, praktika e Komitetit të Ministrave në mbikëqyrjen e ekzekutimit të vendimeve të Gjykatës tregon se në rrethana përjashtuese, rishqyrtimi i një çështjeje ose rihapja e procedurave ka provuar të jetë mjeti më efikas, në mos i vetmi, për të arritur </w:t>
      </w:r>
      <w:r w:rsidRPr="00BE1029">
        <w:rPr>
          <w:rFonts w:ascii="Garamond" w:hAnsi="Garamond" w:cs="Times New Roman"/>
          <w:i/>
          <w:iCs/>
          <w:color w:val="000000"/>
          <w:sz w:val="24"/>
          <w:szCs w:val="24"/>
          <w:lang w:val="sq-AL"/>
        </w:rPr>
        <w:t xml:space="preserve">restitutio in integrum </w:t>
      </w:r>
      <w:r w:rsidRPr="00BE1029">
        <w:rPr>
          <w:rFonts w:ascii="Garamond" w:hAnsi="Garamond" w:cs="Times New Roman"/>
          <w:color w:val="000000"/>
          <w:sz w:val="24"/>
          <w:szCs w:val="24"/>
          <w:lang w:val="sq-AL"/>
        </w:rPr>
        <w:t xml:space="preserve">(shih </w:t>
      </w:r>
      <w:r w:rsidRPr="00BE1029">
        <w:rPr>
          <w:rFonts w:ascii="Garamond" w:hAnsi="Garamond" w:cs="Times New Roman"/>
          <w:i/>
          <w:iCs/>
          <w:color w:val="000000"/>
          <w:sz w:val="24"/>
          <w:szCs w:val="24"/>
          <w:lang w:val="sq-AL"/>
        </w:rPr>
        <w:t xml:space="preserve">Moreira Ferreira kundër Portugalisë (nr. 2) </w:t>
      </w:r>
      <w:r w:rsidRPr="00BE1029">
        <w:rPr>
          <w:rFonts w:ascii="Garamond" w:hAnsi="Garamond" w:cs="Times New Roman"/>
          <w:color w:val="000000"/>
          <w:sz w:val="24"/>
          <w:szCs w:val="24"/>
          <w:lang w:val="sq-AL"/>
        </w:rPr>
        <w:t xml:space="preserve">[DHM], nr. 19867/12, § 48, 11 </w:t>
      </w:r>
      <w:r w:rsidR="003B5EEE" w:rsidRPr="00BE1029">
        <w:rPr>
          <w:rFonts w:ascii="Garamond" w:hAnsi="Garamond" w:cs="Times New Roman"/>
          <w:color w:val="000000"/>
          <w:sz w:val="24"/>
          <w:szCs w:val="24"/>
          <w:lang w:val="sq-AL"/>
        </w:rPr>
        <w:t xml:space="preserve">korrik </w:t>
      </w:r>
      <w:r w:rsidRPr="00BE1029">
        <w:rPr>
          <w:rFonts w:ascii="Garamond" w:hAnsi="Garamond" w:cs="Times New Roman"/>
          <w:color w:val="000000"/>
          <w:sz w:val="24"/>
          <w:szCs w:val="24"/>
          <w:lang w:val="sq-AL"/>
        </w:rPr>
        <w:t xml:space="preserve">2017). </w:t>
      </w:r>
    </w:p>
    <w:p w14:paraId="04AD9F8D" w14:textId="5BB1B6C1"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141. Në një sërë çështjesh në të cilat Gjykata ka konstatuar një shkelje të së drejtës për një gjykatë të krijuar me ligj, ajo ka vlerësuar se forma më e përshtatshme e korrigjimit do të ishte rigjykimi ose rihapja e procedurave </w:t>
      </w:r>
      <w:r w:rsidR="008A55FD" w:rsidRPr="00BE1029">
        <w:rPr>
          <w:rFonts w:ascii="Garamond" w:hAnsi="Garamond" w:cs="Times New Roman"/>
          <w:color w:val="000000"/>
          <w:sz w:val="24"/>
          <w:szCs w:val="24"/>
          <w:lang w:val="sq-AL"/>
        </w:rPr>
        <w:t>vendës</w:t>
      </w:r>
      <w:r w:rsidRPr="00BE1029">
        <w:rPr>
          <w:rFonts w:ascii="Garamond" w:hAnsi="Garamond" w:cs="Times New Roman"/>
          <w:color w:val="000000"/>
          <w:sz w:val="24"/>
          <w:szCs w:val="24"/>
          <w:lang w:val="sq-AL"/>
        </w:rPr>
        <w:t xml:space="preserve">e (shih </w:t>
      </w:r>
      <w:r w:rsidRPr="00BE1029">
        <w:rPr>
          <w:rFonts w:ascii="Garamond" w:hAnsi="Garamond" w:cs="Times New Roman"/>
          <w:i/>
          <w:iCs/>
          <w:color w:val="000000"/>
          <w:sz w:val="24"/>
          <w:szCs w:val="24"/>
          <w:lang w:val="sq-AL"/>
        </w:rPr>
        <w:t>Ilatovskiy kundër Rusisë</w:t>
      </w:r>
      <w:r w:rsidRPr="00BE1029">
        <w:rPr>
          <w:rFonts w:ascii="Garamond" w:hAnsi="Garamond" w:cs="Times New Roman"/>
          <w:color w:val="000000"/>
          <w:sz w:val="24"/>
          <w:szCs w:val="24"/>
          <w:lang w:val="sq-AL"/>
        </w:rPr>
        <w:t xml:space="preserve">, nr. 6945/04, § 49, 9 </w:t>
      </w:r>
      <w:r w:rsidR="00926AB1" w:rsidRPr="00BE1029">
        <w:rPr>
          <w:rFonts w:ascii="Garamond" w:hAnsi="Garamond" w:cs="Times New Roman"/>
          <w:color w:val="000000"/>
          <w:sz w:val="24"/>
          <w:szCs w:val="24"/>
          <w:lang w:val="sq-AL"/>
        </w:rPr>
        <w:t xml:space="preserve">korrik </w:t>
      </w:r>
      <w:r w:rsidRPr="00BE1029">
        <w:rPr>
          <w:rFonts w:ascii="Garamond" w:hAnsi="Garamond" w:cs="Times New Roman"/>
          <w:color w:val="000000"/>
          <w:sz w:val="24"/>
          <w:szCs w:val="24"/>
          <w:lang w:val="sq-AL"/>
        </w:rPr>
        <w:t xml:space="preserve">2009; </w:t>
      </w:r>
      <w:r w:rsidRPr="00BE1029">
        <w:rPr>
          <w:rFonts w:ascii="Garamond" w:hAnsi="Garamond" w:cs="Times New Roman"/>
          <w:i/>
          <w:iCs/>
          <w:color w:val="000000"/>
          <w:sz w:val="24"/>
          <w:szCs w:val="24"/>
          <w:lang w:val="sq-AL"/>
        </w:rPr>
        <w:t>Momčilović kundër Serbisë</w:t>
      </w:r>
      <w:r w:rsidRPr="00BE1029">
        <w:rPr>
          <w:rFonts w:ascii="Garamond" w:hAnsi="Garamond" w:cs="Times New Roman"/>
          <w:color w:val="000000"/>
          <w:sz w:val="24"/>
          <w:szCs w:val="24"/>
          <w:lang w:val="sq-AL"/>
        </w:rPr>
        <w:t xml:space="preserve">, nr. 23103/07, § 41, 2 </w:t>
      </w:r>
      <w:r w:rsidR="00926AB1" w:rsidRPr="00BE1029">
        <w:rPr>
          <w:rFonts w:ascii="Garamond" w:hAnsi="Garamond" w:cs="Times New Roman"/>
          <w:color w:val="000000"/>
          <w:sz w:val="24"/>
          <w:szCs w:val="24"/>
          <w:lang w:val="sq-AL"/>
        </w:rPr>
        <w:t xml:space="preserve">prill </w:t>
      </w:r>
      <w:r w:rsidRPr="00BE1029">
        <w:rPr>
          <w:rFonts w:ascii="Garamond" w:hAnsi="Garamond" w:cs="Times New Roman"/>
          <w:color w:val="000000"/>
          <w:sz w:val="24"/>
          <w:szCs w:val="24"/>
          <w:lang w:val="sq-AL"/>
        </w:rPr>
        <w:t xml:space="preserve">2013; </w:t>
      </w:r>
      <w:r w:rsidRPr="00BE1029">
        <w:rPr>
          <w:rFonts w:ascii="Garamond" w:hAnsi="Garamond" w:cs="Times New Roman"/>
          <w:i/>
          <w:iCs/>
          <w:color w:val="000000"/>
          <w:sz w:val="24"/>
          <w:szCs w:val="24"/>
          <w:lang w:val="sq-AL"/>
        </w:rPr>
        <w:t xml:space="preserve">Ezgeta kundër Kroacisë, </w:t>
      </w:r>
      <w:r w:rsidRPr="00BE1029">
        <w:rPr>
          <w:rFonts w:ascii="Garamond" w:hAnsi="Garamond" w:cs="Times New Roman"/>
          <w:color w:val="000000"/>
          <w:sz w:val="24"/>
          <w:szCs w:val="24"/>
          <w:lang w:val="sq-AL"/>
        </w:rPr>
        <w:t xml:space="preserve">nr. 40562/12, § 49, 7 Shtator 2017; </w:t>
      </w:r>
      <w:r w:rsidRPr="00BE1029">
        <w:rPr>
          <w:rFonts w:ascii="Garamond" w:hAnsi="Garamond" w:cs="Times New Roman"/>
          <w:i/>
          <w:iCs/>
          <w:color w:val="000000"/>
          <w:sz w:val="24"/>
          <w:szCs w:val="24"/>
          <w:lang w:val="sq-AL"/>
        </w:rPr>
        <w:t>Gurov kundër Moldavisë</w:t>
      </w:r>
      <w:r w:rsidRPr="00BE1029">
        <w:rPr>
          <w:rFonts w:ascii="Garamond" w:hAnsi="Garamond" w:cs="Times New Roman"/>
          <w:color w:val="000000"/>
          <w:sz w:val="24"/>
          <w:szCs w:val="24"/>
          <w:lang w:val="sq-AL"/>
        </w:rPr>
        <w:t xml:space="preserve">, nr. 36455/02, § 43, 11 </w:t>
      </w:r>
      <w:r w:rsidR="00926AB1" w:rsidRPr="00BE1029">
        <w:rPr>
          <w:rFonts w:ascii="Garamond" w:hAnsi="Garamond" w:cs="Times New Roman"/>
          <w:color w:val="000000"/>
          <w:sz w:val="24"/>
          <w:szCs w:val="24"/>
          <w:lang w:val="sq-AL"/>
        </w:rPr>
        <w:t xml:space="preserve">korrik </w:t>
      </w:r>
      <w:r w:rsidRPr="00BE1029">
        <w:rPr>
          <w:rFonts w:ascii="Garamond" w:hAnsi="Garamond" w:cs="Times New Roman"/>
          <w:color w:val="000000"/>
          <w:sz w:val="24"/>
          <w:szCs w:val="24"/>
          <w:lang w:val="sq-AL"/>
        </w:rPr>
        <w:t xml:space="preserve">2006; dhe </w:t>
      </w:r>
      <w:r w:rsidRPr="00BE1029">
        <w:rPr>
          <w:rFonts w:ascii="Garamond" w:hAnsi="Garamond" w:cs="Times New Roman"/>
          <w:i/>
          <w:iCs/>
          <w:color w:val="000000"/>
          <w:sz w:val="24"/>
          <w:szCs w:val="24"/>
          <w:lang w:val="sq-AL"/>
        </w:rPr>
        <w:t xml:space="preserve">Zeynalov kundër Azerbajxhanit, </w:t>
      </w:r>
      <w:r w:rsidRPr="00BE1029">
        <w:rPr>
          <w:rFonts w:ascii="Garamond" w:hAnsi="Garamond" w:cs="Times New Roman"/>
          <w:color w:val="000000"/>
          <w:sz w:val="24"/>
          <w:szCs w:val="24"/>
          <w:lang w:val="sq-AL"/>
        </w:rPr>
        <w:t xml:space="preserve">nr. 31848/07, § 41, 30 </w:t>
      </w:r>
      <w:r w:rsidR="00926AB1" w:rsidRPr="00BE1029">
        <w:rPr>
          <w:rFonts w:ascii="Garamond" w:hAnsi="Garamond" w:cs="Times New Roman"/>
          <w:color w:val="000000"/>
          <w:sz w:val="24"/>
          <w:szCs w:val="24"/>
          <w:lang w:val="sq-AL"/>
        </w:rPr>
        <w:t xml:space="preserve">maj </w:t>
      </w:r>
      <w:r w:rsidRPr="00BE1029">
        <w:rPr>
          <w:rFonts w:ascii="Garamond" w:hAnsi="Garamond" w:cs="Times New Roman"/>
          <w:color w:val="000000"/>
          <w:sz w:val="24"/>
          <w:szCs w:val="24"/>
          <w:lang w:val="sq-AL"/>
        </w:rPr>
        <w:t xml:space="preserve">2013). </w:t>
      </w:r>
    </w:p>
    <w:p w14:paraId="13CE8DA9" w14:textId="53B7B944"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142. Në çështje të tjera, Gjykata e ka lënë në diskrecionin e autoriteteve </w:t>
      </w:r>
      <w:r w:rsidR="008A55FD" w:rsidRPr="00BE1029">
        <w:rPr>
          <w:rFonts w:ascii="Garamond" w:hAnsi="Garamond" w:cs="Times New Roman"/>
          <w:color w:val="000000"/>
          <w:sz w:val="24"/>
          <w:szCs w:val="24"/>
          <w:lang w:val="sq-AL"/>
        </w:rPr>
        <w:t>vendës</w:t>
      </w:r>
      <w:r w:rsidRPr="00BE1029">
        <w:rPr>
          <w:rFonts w:ascii="Garamond" w:hAnsi="Garamond" w:cs="Times New Roman"/>
          <w:color w:val="000000"/>
          <w:sz w:val="24"/>
          <w:szCs w:val="24"/>
          <w:lang w:val="sq-AL"/>
        </w:rPr>
        <w:t xml:space="preserve">e që të vendosin nëse do t’i rihapin procedurat (shih, për shembull, </w:t>
      </w:r>
      <w:r w:rsidRPr="00BE1029">
        <w:rPr>
          <w:rFonts w:ascii="Garamond" w:hAnsi="Garamond" w:cs="Times New Roman"/>
          <w:i/>
          <w:iCs/>
          <w:color w:val="000000"/>
          <w:sz w:val="24"/>
          <w:szCs w:val="24"/>
          <w:lang w:val="sq-AL"/>
        </w:rPr>
        <w:t>Chim dhe Przywieczerski kundër Polonisë</w:t>
      </w:r>
      <w:r w:rsidRPr="00BE1029">
        <w:rPr>
          <w:rFonts w:ascii="Garamond" w:hAnsi="Garamond" w:cs="Times New Roman"/>
          <w:color w:val="000000"/>
          <w:sz w:val="24"/>
          <w:szCs w:val="24"/>
          <w:lang w:val="sq-AL"/>
        </w:rPr>
        <w:t xml:space="preserve">, nr. 36661/07 dhe 38433/07, § 219, 12 </w:t>
      </w:r>
      <w:r w:rsidR="00926AB1" w:rsidRPr="00BE1029">
        <w:rPr>
          <w:rFonts w:ascii="Garamond" w:hAnsi="Garamond" w:cs="Times New Roman"/>
          <w:color w:val="000000"/>
          <w:sz w:val="24"/>
          <w:szCs w:val="24"/>
          <w:lang w:val="sq-AL"/>
        </w:rPr>
        <w:t xml:space="preserve">prill </w:t>
      </w:r>
      <w:r w:rsidRPr="00BE1029">
        <w:rPr>
          <w:rFonts w:ascii="Garamond" w:hAnsi="Garamond" w:cs="Times New Roman"/>
          <w:color w:val="000000"/>
          <w:sz w:val="24"/>
          <w:szCs w:val="24"/>
          <w:lang w:val="sq-AL"/>
        </w:rPr>
        <w:t xml:space="preserve">2018, dhe </w:t>
      </w:r>
      <w:r w:rsidRPr="00BE1029">
        <w:rPr>
          <w:rFonts w:ascii="Garamond" w:hAnsi="Garamond" w:cs="Times New Roman"/>
          <w:i/>
          <w:iCs/>
          <w:color w:val="000000"/>
          <w:sz w:val="24"/>
          <w:szCs w:val="24"/>
          <w:lang w:val="sq-AL"/>
        </w:rPr>
        <w:t>Dolińska-Ficek dhe Ozimek</w:t>
      </w:r>
      <w:r w:rsidRPr="00BE1029">
        <w:rPr>
          <w:rFonts w:ascii="Garamond" w:hAnsi="Garamond" w:cs="Times New Roman"/>
          <w:color w:val="000000"/>
          <w:sz w:val="24"/>
          <w:szCs w:val="24"/>
          <w:lang w:val="sq-AL"/>
        </w:rPr>
        <w:t>, cituar më sipër, § 368), ose ka miratuar masat e tyre me synimin për të bashkërenduar respektin për të drejtat e individëve</w:t>
      </w:r>
      <w:r w:rsidR="00926AB1">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sipas </w:t>
      </w:r>
      <w:r w:rsidR="00926AB1" w:rsidRPr="00BE1029">
        <w:rPr>
          <w:rFonts w:ascii="Garamond" w:hAnsi="Garamond" w:cs="Times New Roman"/>
          <w:color w:val="000000"/>
          <w:sz w:val="24"/>
          <w:szCs w:val="24"/>
          <w:lang w:val="sq-AL"/>
        </w:rPr>
        <w:t xml:space="preserve">nenit </w:t>
      </w:r>
      <w:r w:rsidRPr="00BE1029">
        <w:rPr>
          <w:rFonts w:ascii="Garamond" w:hAnsi="Garamond" w:cs="Times New Roman"/>
          <w:color w:val="000000"/>
          <w:sz w:val="24"/>
          <w:szCs w:val="24"/>
          <w:lang w:val="sq-AL"/>
        </w:rPr>
        <w:t xml:space="preserve">6 § 1 të Konventës me parimet për sigurinë ligjore, respektin për </w:t>
      </w:r>
      <w:r w:rsidRPr="00BE1029">
        <w:rPr>
          <w:rFonts w:ascii="Garamond" w:hAnsi="Garamond" w:cs="Times New Roman"/>
          <w:i/>
          <w:iCs/>
          <w:color w:val="000000"/>
          <w:sz w:val="24"/>
          <w:szCs w:val="24"/>
          <w:lang w:val="sq-AL"/>
        </w:rPr>
        <w:t xml:space="preserve">res judicata </w:t>
      </w:r>
      <w:r w:rsidRPr="00BE1029">
        <w:rPr>
          <w:rFonts w:ascii="Garamond" w:hAnsi="Garamond" w:cs="Times New Roman"/>
          <w:color w:val="000000"/>
          <w:sz w:val="24"/>
          <w:szCs w:val="24"/>
          <w:lang w:val="sq-AL"/>
        </w:rPr>
        <w:t xml:space="preserve">dhe aspekte të tjera në lidhje me rrethanat konkrete (shih </w:t>
      </w:r>
      <w:r w:rsidRPr="00BE1029">
        <w:rPr>
          <w:rFonts w:ascii="Garamond" w:hAnsi="Garamond" w:cs="Times New Roman"/>
          <w:i/>
          <w:iCs/>
          <w:color w:val="000000"/>
          <w:sz w:val="24"/>
          <w:szCs w:val="24"/>
          <w:lang w:val="sq-AL"/>
        </w:rPr>
        <w:t xml:space="preserve">Advance Pharma sp. Z o.o, </w:t>
      </w:r>
      <w:r w:rsidRPr="00BE1029">
        <w:rPr>
          <w:rFonts w:ascii="Garamond" w:hAnsi="Garamond" w:cs="Times New Roman"/>
          <w:color w:val="000000"/>
          <w:sz w:val="24"/>
          <w:szCs w:val="24"/>
          <w:lang w:val="sq-AL"/>
        </w:rPr>
        <w:t xml:space="preserve">cituar më sipër, §§ 127 dhe 365). </w:t>
      </w:r>
    </w:p>
    <w:p w14:paraId="761D5107" w14:textId="3182C66E" w:rsidR="00A43DB1" w:rsidRPr="00BE1029" w:rsidRDefault="00A43DB1" w:rsidP="00CD763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lastRenderedPageBreak/>
        <w:t xml:space="preserve">143. Së fundmi, pas vendimit të Gjykatës në çështjen </w:t>
      </w:r>
      <w:r w:rsidRPr="00BE1029">
        <w:rPr>
          <w:rFonts w:ascii="Garamond" w:hAnsi="Garamond" w:cs="Times New Roman"/>
          <w:i/>
          <w:iCs/>
          <w:color w:val="000000"/>
          <w:sz w:val="24"/>
          <w:szCs w:val="24"/>
          <w:lang w:val="sq-AL"/>
        </w:rPr>
        <w:t>Guðmundur Andri Ástráðsson</w:t>
      </w:r>
      <w:r w:rsidRPr="00BE1029">
        <w:rPr>
          <w:rFonts w:ascii="Garamond" w:hAnsi="Garamond" w:cs="Times New Roman"/>
          <w:color w:val="000000"/>
          <w:sz w:val="24"/>
          <w:szCs w:val="24"/>
          <w:lang w:val="sq-AL"/>
        </w:rPr>
        <w:t xml:space="preserve"> (cituar më sipër), Gjykata, në mbështetje të </w:t>
      </w:r>
      <w:r w:rsidR="00CD7639" w:rsidRPr="00BE1029">
        <w:rPr>
          <w:rFonts w:ascii="Garamond" w:hAnsi="Garamond" w:cs="Times New Roman"/>
          <w:color w:val="000000"/>
          <w:sz w:val="24"/>
          <w:szCs w:val="24"/>
          <w:lang w:val="sq-AL"/>
        </w:rPr>
        <w:t xml:space="preserve">nenit </w:t>
      </w:r>
      <w:r w:rsidRPr="00BE1029">
        <w:rPr>
          <w:rFonts w:ascii="Garamond" w:hAnsi="Garamond" w:cs="Times New Roman"/>
          <w:color w:val="000000"/>
          <w:sz w:val="24"/>
          <w:szCs w:val="24"/>
          <w:lang w:val="sq-AL"/>
        </w:rPr>
        <w:t xml:space="preserve">37 § 1 (c) të Konventës, vendosi të heqë nga lista e saj e çështjeve dy kërkesa të ngjashme kundër Islandës, me arsyetimin se Qeveria përgjegjëse e kishte njohur shkeljen për të cilën ishte bërë ankesa, dhe se ekzistonte një mundësi reale që procedurat </w:t>
      </w:r>
      <w:r w:rsidR="008A55FD" w:rsidRPr="00BE1029">
        <w:rPr>
          <w:rFonts w:ascii="Garamond" w:hAnsi="Garamond" w:cs="Times New Roman"/>
          <w:color w:val="000000"/>
          <w:sz w:val="24"/>
          <w:szCs w:val="24"/>
          <w:lang w:val="sq-AL"/>
        </w:rPr>
        <w:t>vendës</w:t>
      </w:r>
      <w:r w:rsidRPr="00BE1029">
        <w:rPr>
          <w:rFonts w:ascii="Garamond" w:hAnsi="Garamond" w:cs="Times New Roman"/>
          <w:color w:val="000000"/>
          <w:sz w:val="24"/>
          <w:szCs w:val="24"/>
          <w:lang w:val="sq-AL"/>
        </w:rPr>
        <w:t xml:space="preserve">e do të rihapeshin (shih </w:t>
      </w:r>
      <w:r w:rsidRPr="00BE1029">
        <w:rPr>
          <w:rFonts w:ascii="Garamond" w:hAnsi="Garamond" w:cs="Times New Roman"/>
          <w:i/>
          <w:iCs/>
          <w:color w:val="000000"/>
          <w:sz w:val="24"/>
          <w:szCs w:val="24"/>
          <w:lang w:val="sq-AL"/>
        </w:rPr>
        <w:t xml:space="preserve">Friðjón Björgvin Gunnarsson kundër Islandës </w:t>
      </w:r>
      <w:r w:rsidRPr="00BE1029">
        <w:rPr>
          <w:rFonts w:ascii="Garamond" w:hAnsi="Garamond" w:cs="Times New Roman"/>
          <w:sz w:val="24"/>
          <w:szCs w:val="24"/>
          <w:lang w:val="sq-AL"/>
        </w:rPr>
        <w:t>(vendim), nr. 6696/19, §§ 11</w:t>
      </w:r>
      <w:r w:rsidR="00CD7639">
        <w:rPr>
          <w:rFonts w:ascii="Garamond" w:hAnsi="Garamond" w:cs="Times New Roman"/>
          <w:sz w:val="24"/>
          <w:szCs w:val="24"/>
          <w:lang w:val="sq-AL"/>
        </w:rPr>
        <w:t>–</w:t>
      </w:r>
      <w:r w:rsidRPr="00BE1029">
        <w:rPr>
          <w:rFonts w:ascii="Garamond" w:hAnsi="Garamond" w:cs="Times New Roman"/>
          <w:sz w:val="24"/>
          <w:szCs w:val="24"/>
          <w:lang w:val="sq-AL"/>
        </w:rPr>
        <w:t xml:space="preserve">12, 2 </w:t>
      </w:r>
      <w:r w:rsidR="00CD7639" w:rsidRPr="00BE1029">
        <w:rPr>
          <w:rFonts w:ascii="Garamond" w:hAnsi="Garamond" w:cs="Times New Roman"/>
          <w:sz w:val="24"/>
          <w:szCs w:val="24"/>
          <w:lang w:val="sq-AL"/>
        </w:rPr>
        <w:t xml:space="preserve">qershor </w:t>
      </w:r>
      <w:r w:rsidRPr="00BE1029">
        <w:rPr>
          <w:rFonts w:ascii="Garamond" w:hAnsi="Garamond" w:cs="Times New Roman"/>
          <w:sz w:val="24"/>
          <w:szCs w:val="24"/>
          <w:lang w:val="sq-AL"/>
        </w:rPr>
        <w:t>2022</w:t>
      </w:r>
      <w:r w:rsidRPr="00BE1029">
        <w:rPr>
          <w:rFonts w:ascii="Garamond" w:hAnsi="Garamond" w:cs="Times New Roman"/>
          <w:color w:val="000000"/>
          <w:sz w:val="24"/>
          <w:szCs w:val="24"/>
          <w:lang w:val="sq-AL"/>
        </w:rPr>
        <w:t xml:space="preserve">). </w:t>
      </w:r>
    </w:p>
    <w:p w14:paraId="52510F00" w14:textId="580CDF5A" w:rsidR="00A43DB1" w:rsidRPr="00BE1029" w:rsidRDefault="00A43DB1" w:rsidP="00A43DB1">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BE1029">
        <w:rPr>
          <w:rFonts w:ascii="Garamond" w:hAnsi="Garamond" w:cs="Times New Roman"/>
          <w:b/>
          <w:bCs/>
          <w:color w:val="000000"/>
          <w:sz w:val="24"/>
          <w:szCs w:val="24"/>
          <w:lang w:val="sq-AL"/>
        </w:rPr>
        <w:t>B. Zbatimi i këtyre parimeve në çështjen konkrete</w:t>
      </w:r>
    </w:p>
    <w:p w14:paraId="026F3E27" w14:textId="0EEEA4E6"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144. Në lidhje me masat e përgjithshme, Gjykata vlerëson se L.D. u pezullua nga ushtrimi i funksioneve të tij si gjyqtar i KPA-së, më 24 </w:t>
      </w:r>
      <w:r w:rsidR="005719B1" w:rsidRPr="00BE1029">
        <w:rPr>
          <w:rFonts w:ascii="Garamond" w:hAnsi="Garamond" w:cs="Times New Roman"/>
          <w:color w:val="000000"/>
          <w:sz w:val="24"/>
          <w:szCs w:val="24"/>
          <w:lang w:val="sq-AL"/>
        </w:rPr>
        <w:t xml:space="preserve">korrik </w:t>
      </w:r>
      <w:r w:rsidRPr="00BE1029">
        <w:rPr>
          <w:rFonts w:ascii="Garamond" w:hAnsi="Garamond" w:cs="Times New Roman"/>
          <w:color w:val="000000"/>
          <w:sz w:val="24"/>
          <w:szCs w:val="24"/>
          <w:lang w:val="sq-AL"/>
        </w:rPr>
        <w:t xml:space="preserve">2020, dhe u largua në mënyrë të përhershme nga ajo detyrë më 31 </w:t>
      </w:r>
      <w:r w:rsidR="005719B1" w:rsidRPr="00BE1029">
        <w:rPr>
          <w:rFonts w:ascii="Garamond" w:hAnsi="Garamond" w:cs="Times New Roman"/>
          <w:color w:val="000000"/>
          <w:sz w:val="24"/>
          <w:szCs w:val="24"/>
          <w:lang w:val="sq-AL"/>
        </w:rPr>
        <w:t xml:space="preserve">maj </w:t>
      </w:r>
      <w:r w:rsidRPr="00BE1029">
        <w:rPr>
          <w:rFonts w:ascii="Garamond" w:hAnsi="Garamond" w:cs="Times New Roman"/>
          <w:color w:val="000000"/>
          <w:sz w:val="24"/>
          <w:szCs w:val="24"/>
          <w:lang w:val="sq-AL"/>
        </w:rPr>
        <w:t xml:space="preserve">2021 (shih paragrafin 114 më sipër). Gjithashtu, Gjykata përsërit se konstatimi i një shkelje në të drejtën për një gjykatë të krijuar me ligj në çështjen konkrete, në vetvete, mund të mos merret si shkak për të ushtruar një detyrim sipas Konventës ndaj Shtetit përgjegjës për të rihapur të gjitha çështjet e ngjashme të cilat janë bërë </w:t>
      </w:r>
      <w:r w:rsidRPr="00BE1029">
        <w:rPr>
          <w:rFonts w:ascii="Garamond" w:hAnsi="Garamond" w:cs="Times New Roman"/>
          <w:i/>
          <w:iCs/>
          <w:color w:val="000000"/>
          <w:sz w:val="24"/>
          <w:szCs w:val="24"/>
          <w:lang w:val="sq-AL"/>
        </w:rPr>
        <w:t xml:space="preserve">res judicata </w:t>
      </w:r>
      <w:r w:rsidRPr="00BE1029">
        <w:rPr>
          <w:rFonts w:ascii="Garamond" w:hAnsi="Garamond" w:cs="Times New Roman"/>
          <w:color w:val="000000"/>
          <w:sz w:val="24"/>
          <w:szCs w:val="24"/>
          <w:lang w:val="sq-AL"/>
        </w:rPr>
        <w:t xml:space="preserve">sipas ligjit </w:t>
      </w:r>
      <w:r w:rsidR="008A55FD" w:rsidRPr="00BE1029">
        <w:rPr>
          <w:rFonts w:ascii="Garamond" w:hAnsi="Garamond" w:cs="Times New Roman"/>
          <w:color w:val="000000"/>
          <w:sz w:val="24"/>
          <w:szCs w:val="24"/>
          <w:lang w:val="sq-AL"/>
        </w:rPr>
        <w:t>vendës</w:t>
      </w:r>
      <w:r w:rsidRPr="00BE1029">
        <w:rPr>
          <w:rFonts w:ascii="Garamond" w:hAnsi="Garamond" w:cs="Times New Roman"/>
          <w:color w:val="000000"/>
          <w:sz w:val="24"/>
          <w:szCs w:val="24"/>
          <w:lang w:val="sq-AL"/>
        </w:rPr>
        <w:t xml:space="preserve"> (shih </w:t>
      </w:r>
      <w:r w:rsidRPr="00BE1029">
        <w:rPr>
          <w:rFonts w:ascii="Garamond" w:hAnsi="Garamond" w:cs="Times New Roman"/>
          <w:i/>
          <w:iCs/>
          <w:color w:val="000000"/>
          <w:sz w:val="24"/>
          <w:szCs w:val="24"/>
          <w:lang w:val="sq-AL"/>
        </w:rPr>
        <w:t>Guðmundur Andri Ástráðsson</w:t>
      </w:r>
      <w:r w:rsidRPr="00BE1029">
        <w:rPr>
          <w:rFonts w:ascii="Garamond" w:hAnsi="Garamond" w:cs="Times New Roman"/>
          <w:color w:val="000000"/>
          <w:sz w:val="24"/>
          <w:szCs w:val="24"/>
          <w:lang w:val="sq-AL"/>
        </w:rPr>
        <w:t xml:space="preserve">, cituar më sipër, § 314, dhe paragrafi 88 më sipër). </w:t>
      </w:r>
    </w:p>
    <w:p w14:paraId="00B0043C" w14:textId="3FAE7CDF"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145. Duke u kthyer te masat individuale, Gjykata fillimisht vlerëson se procedurat e rivlerësimit për ankuesin kryesisht kishin të bënin me të drejtat dhe detyrimet e tij si prokuror karriere dhe nuk kishin implikime, të paktën drejtpërdrejtë, për të drejtat dhe detyrimet e ndonjë pale të tretë. Gjithashtu, është e qartë se rezultati i atyre procedurave, të cilat rezultuan në shkarkimin e tij të menjëhershëm nga detyra dhe në detyrimin statutor</w:t>
      </w:r>
      <w:r w:rsidR="000A63AD">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që e ndalonte në mënyrë të përhershme të rikthehej në pozicionin e magjistratit (shih </w:t>
      </w:r>
      <w:r w:rsidRPr="00BE1029">
        <w:rPr>
          <w:rFonts w:ascii="Garamond" w:hAnsi="Garamond" w:cs="Times New Roman"/>
          <w:i/>
          <w:iCs/>
          <w:color w:val="000000"/>
          <w:sz w:val="24"/>
          <w:szCs w:val="24"/>
          <w:lang w:val="sq-AL"/>
        </w:rPr>
        <w:t>Xhoxhaj</w:t>
      </w:r>
      <w:r w:rsidRPr="00BE1029">
        <w:rPr>
          <w:rFonts w:ascii="Garamond" w:hAnsi="Garamond" w:cs="Times New Roman"/>
          <w:color w:val="000000"/>
          <w:sz w:val="24"/>
          <w:szCs w:val="24"/>
          <w:lang w:val="sq-AL"/>
        </w:rPr>
        <w:t xml:space="preserve">, cituar më sipër, § 363), kishin pasoja serioze për karrierën e tij profesionale. </w:t>
      </w:r>
    </w:p>
    <w:p w14:paraId="7B9F2FC3" w14:textId="0F8ED48D"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146. Qeveria deklaroi se sipas ligjit </w:t>
      </w:r>
      <w:r w:rsidR="008A55FD" w:rsidRPr="00BE1029">
        <w:rPr>
          <w:rFonts w:ascii="Garamond" w:hAnsi="Garamond" w:cs="Times New Roman"/>
          <w:color w:val="000000"/>
          <w:sz w:val="24"/>
          <w:szCs w:val="24"/>
          <w:lang w:val="sq-AL"/>
        </w:rPr>
        <w:t>vendës</w:t>
      </w:r>
      <w:r w:rsidRPr="00BE1029">
        <w:rPr>
          <w:rFonts w:ascii="Garamond" w:hAnsi="Garamond" w:cs="Times New Roman"/>
          <w:color w:val="000000"/>
          <w:sz w:val="24"/>
          <w:szCs w:val="24"/>
          <w:lang w:val="sq-AL"/>
        </w:rPr>
        <w:t xml:space="preserve">, nuk ishte plotësisht e qartë nëse do të kishte një rihapje të procesit të rivlerësimit. </w:t>
      </w:r>
    </w:p>
    <w:p w14:paraId="24F844FF" w14:textId="521CA284"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147. Nga ana tjetër, Qeveria parashtroi se në ligjin </w:t>
      </w:r>
      <w:r w:rsidR="008A55FD" w:rsidRPr="00BE1029">
        <w:rPr>
          <w:rFonts w:ascii="Garamond" w:hAnsi="Garamond" w:cs="Times New Roman"/>
          <w:color w:val="000000"/>
          <w:sz w:val="24"/>
          <w:szCs w:val="24"/>
          <w:lang w:val="sq-AL"/>
        </w:rPr>
        <w:t>vendës</w:t>
      </w:r>
      <w:r w:rsidRPr="00BE1029">
        <w:rPr>
          <w:rFonts w:ascii="Garamond" w:hAnsi="Garamond" w:cs="Times New Roman"/>
          <w:color w:val="000000"/>
          <w:sz w:val="24"/>
          <w:szCs w:val="24"/>
          <w:lang w:val="sq-AL"/>
        </w:rPr>
        <w:t xml:space="preserve"> nuk ekzistonte ndonjë parashikim specifik i cili lejonte rihapjen e procesit të rivlerësimit. Qeveria sugjeroi se kjo mund të kishte qenë një zgjedhje e qëllimshme nga ana e legjislativit, pasi procesi i rivlerësimit ishte i kufizuar në aspektin kohor dhe rihapja e tij mund ta komplikonte procesin. Gjithashtu, Qeveria pohoi se </w:t>
      </w:r>
      <w:r w:rsidR="00934B6C" w:rsidRPr="00BE1029">
        <w:rPr>
          <w:rFonts w:ascii="Garamond" w:hAnsi="Garamond" w:cs="Times New Roman"/>
          <w:color w:val="000000"/>
          <w:sz w:val="24"/>
          <w:szCs w:val="24"/>
          <w:lang w:val="sq-AL"/>
        </w:rPr>
        <w:t xml:space="preserve">neni </w:t>
      </w:r>
      <w:r w:rsidRPr="00BE1029">
        <w:rPr>
          <w:rFonts w:ascii="Garamond" w:hAnsi="Garamond" w:cs="Times New Roman"/>
          <w:color w:val="000000"/>
          <w:sz w:val="24"/>
          <w:szCs w:val="24"/>
          <w:lang w:val="sq-AL"/>
        </w:rPr>
        <w:t xml:space="preserve">F § 8 i aneksit të Kushtetutës, i cili parashikonte se personat e rivlerësuar kishin të drejtën të ushtronin ankim në Gjykatë, mund të interpretohej si tregues i qëllimit të legjislativit për të përjashtuar mundësinë e rihapjes së kërkesave për procedurat të cilat ishin përmbyllur me anë të vendimeve të KPA-së. </w:t>
      </w:r>
    </w:p>
    <w:p w14:paraId="637BA65A" w14:textId="0524D867"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148. Nga ana tjetër, Qeveria iu referua detyrimit të Shtetit për të respektuar ligjin ndërkombëtar detyrues. Gjithashtu, Qeveria theksoi se </w:t>
      </w:r>
      <w:r w:rsidR="00FA6FF8" w:rsidRPr="00BE1029">
        <w:rPr>
          <w:rFonts w:ascii="Garamond" w:hAnsi="Garamond" w:cs="Times New Roman"/>
          <w:color w:val="000000"/>
          <w:sz w:val="24"/>
          <w:szCs w:val="24"/>
          <w:lang w:val="sq-AL"/>
        </w:rPr>
        <w:t xml:space="preserve">neni </w:t>
      </w:r>
      <w:r w:rsidRPr="00BE1029">
        <w:rPr>
          <w:rFonts w:ascii="Garamond" w:hAnsi="Garamond" w:cs="Times New Roman"/>
          <w:color w:val="000000"/>
          <w:sz w:val="24"/>
          <w:szCs w:val="24"/>
          <w:lang w:val="sq-AL"/>
        </w:rPr>
        <w:t xml:space="preserve">494(ë) i Kodit të Procedurës Civile dhe </w:t>
      </w:r>
      <w:r w:rsidR="007D0E54" w:rsidRPr="00BE1029">
        <w:rPr>
          <w:rFonts w:ascii="Garamond" w:hAnsi="Garamond" w:cs="Times New Roman"/>
          <w:color w:val="000000"/>
          <w:sz w:val="24"/>
          <w:szCs w:val="24"/>
          <w:lang w:val="sq-AL"/>
        </w:rPr>
        <w:t xml:space="preserve">neni </w:t>
      </w:r>
      <w:r w:rsidRPr="00BE1029">
        <w:rPr>
          <w:rFonts w:ascii="Garamond" w:hAnsi="Garamond" w:cs="Times New Roman"/>
          <w:color w:val="000000"/>
          <w:sz w:val="24"/>
          <w:szCs w:val="24"/>
          <w:lang w:val="sq-AL"/>
        </w:rPr>
        <w:t xml:space="preserve">71/c i </w:t>
      </w:r>
      <w:r w:rsidR="007D0E54" w:rsidRPr="00BE1029">
        <w:rPr>
          <w:rFonts w:ascii="Garamond" w:hAnsi="Garamond" w:cs="Times New Roman"/>
          <w:color w:val="000000"/>
          <w:sz w:val="24"/>
          <w:szCs w:val="24"/>
          <w:lang w:val="sq-AL"/>
        </w:rPr>
        <w:t xml:space="preserve">ligjit </w:t>
      </w:r>
      <w:r w:rsidRPr="00BE1029">
        <w:rPr>
          <w:rFonts w:ascii="Garamond" w:hAnsi="Garamond" w:cs="Times New Roman"/>
          <w:color w:val="000000"/>
          <w:sz w:val="24"/>
          <w:szCs w:val="24"/>
          <w:lang w:val="sq-AL"/>
        </w:rPr>
        <w:t xml:space="preserve">për Gjykatën Kushtetuese (shih paragrafët 49, 56 dhe 57 më sipër) parashikonin rihapjen e procedurave civile dhe kushtetuese, respektivisht, pas konstatimit nga ana e Gjykatës së një shkelje, sipas kushteve të parashikuara në atë nen. Këto parashikime mund të shërbenin potencialisht si baza për rihapjen e procedurave konkrete, dhe në një rast të tillë, sipas këndvështrimit të Qeverisë, KPA do të ishte organi me juridiksionin për t’i marrë në konsideratë ato kërkesa. </w:t>
      </w:r>
    </w:p>
    <w:p w14:paraId="19A9C1FC" w14:textId="5A9B7616" w:rsidR="00A43DB1" w:rsidRPr="00BE1029" w:rsidRDefault="00A43DB1" w:rsidP="00861D6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149. Gjykata mban në konsideratë qëndrimin e Qeverisë, se mund të ketë një rrugë ligjore për ankuesin që të kërkojë rihapjen e procedurave. Në këtë mënyrë, duke pasur parasysh rrethanat e çështjes konkrete, dhe pikën deri ku kjo gjë mund të jetë e mundur sipas ligjit </w:t>
      </w:r>
      <w:r w:rsidR="008A55FD" w:rsidRPr="00BE1029">
        <w:rPr>
          <w:rFonts w:ascii="Garamond" w:hAnsi="Garamond" w:cs="Times New Roman"/>
          <w:color w:val="000000"/>
          <w:sz w:val="24"/>
          <w:szCs w:val="24"/>
          <w:lang w:val="sq-AL"/>
        </w:rPr>
        <w:t>vendës</w:t>
      </w:r>
      <w:r w:rsidRPr="00BE1029">
        <w:rPr>
          <w:rFonts w:ascii="Garamond" w:hAnsi="Garamond" w:cs="Times New Roman"/>
          <w:color w:val="000000"/>
          <w:sz w:val="24"/>
          <w:szCs w:val="24"/>
          <w:lang w:val="sq-AL"/>
        </w:rPr>
        <w:t xml:space="preserve">, forma më e përshtatshme e korrigjimit për shkeljen e </w:t>
      </w:r>
      <w:r w:rsidR="00861D65">
        <w:rPr>
          <w:rFonts w:ascii="Garamond" w:hAnsi="Garamond" w:cs="Times New Roman"/>
          <w:color w:val="000000"/>
          <w:sz w:val="24"/>
          <w:szCs w:val="24"/>
          <w:lang w:val="sq-AL"/>
        </w:rPr>
        <w:t>s</w:t>
      </w:r>
      <w:r w:rsidRPr="00BE1029">
        <w:rPr>
          <w:rFonts w:ascii="Garamond" w:hAnsi="Garamond" w:cs="Times New Roman"/>
          <w:color w:val="000000"/>
          <w:sz w:val="24"/>
          <w:szCs w:val="24"/>
          <w:lang w:val="sq-AL"/>
        </w:rPr>
        <w:t xml:space="preserve">ë drejtës së kërkuesit për një “gjykatë të krijuar me ligj”, sipas </w:t>
      </w:r>
      <w:r w:rsidR="007D0E54" w:rsidRPr="00BE1029">
        <w:rPr>
          <w:rFonts w:ascii="Garamond" w:hAnsi="Garamond" w:cs="Times New Roman"/>
          <w:color w:val="000000"/>
          <w:sz w:val="24"/>
          <w:szCs w:val="24"/>
          <w:lang w:val="sq-AL"/>
        </w:rPr>
        <w:t xml:space="preserve">nenit </w:t>
      </w:r>
      <w:r w:rsidRPr="00BE1029">
        <w:rPr>
          <w:rFonts w:ascii="Garamond" w:hAnsi="Garamond" w:cs="Times New Roman"/>
          <w:color w:val="000000"/>
          <w:sz w:val="24"/>
          <w:szCs w:val="24"/>
          <w:lang w:val="sq-AL"/>
        </w:rPr>
        <w:t xml:space="preserve">6 § 1 të Konventës do të ishte rihapja e procedurave, nëse ankuesi e kërkonte një rihapje të tillë, si edhe rishqyrtimi i çështjes në një mënyrë e cila i përmbahet të gjitha kërkesave të </w:t>
      </w:r>
      <w:r w:rsidR="007D0E54" w:rsidRPr="00BE1029">
        <w:rPr>
          <w:rFonts w:ascii="Garamond" w:hAnsi="Garamond" w:cs="Times New Roman"/>
          <w:color w:val="000000"/>
          <w:sz w:val="24"/>
          <w:szCs w:val="24"/>
          <w:lang w:val="sq-AL"/>
        </w:rPr>
        <w:t xml:space="preserve">nenit </w:t>
      </w:r>
      <w:r w:rsidRPr="00BE1029">
        <w:rPr>
          <w:rFonts w:ascii="Garamond" w:hAnsi="Garamond" w:cs="Times New Roman"/>
          <w:color w:val="000000"/>
          <w:sz w:val="24"/>
          <w:szCs w:val="24"/>
          <w:lang w:val="sq-AL"/>
        </w:rPr>
        <w:t xml:space="preserve">6 § 1 të Konventës. </w:t>
      </w:r>
    </w:p>
    <w:p w14:paraId="20839A9E" w14:textId="23208FC2"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150. Së fundmi, ankuesi kërkoi që Gjykata të prishte vendimin e KPA-së, të datës 27 </w:t>
      </w:r>
      <w:r w:rsidR="007D0E54" w:rsidRPr="00BE1029">
        <w:rPr>
          <w:rFonts w:ascii="Garamond" w:hAnsi="Garamond" w:cs="Times New Roman"/>
          <w:color w:val="000000"/>
          <w:sz w:val="24"/>
          <w:szCs w:val="24"/>
          <w:lang w:val="sq-AL"/>
        </w:rPr>
        <w:t xml:space="preserve">shkurt </w:t>
      </w:r>
      <w:r w:rsidRPr="00BE1029">
        <w:rPr>
          <w:rFonts w:ascii="Garamond" w:hAnsi="Garamond" w:cs="Times New Roman"/>
          <w:color w:val="000000"/>
          <w:sz w:val="24"/>
          <w:szCs w:val="24"/>
          <w:lang w:val="sq-AL"/>
        </w:rPr>
        <w:t xml:space="preserve">2020, dhe i kërkonte Qeverisë që ta rikthente në detyrën e tij të mëparshme menjëherë. Sipas juridiksionit </w:t>
      </w:r>
      <w:r w:rsidRPr="00BE1029">
        <w:rPr>
          <w:rFonts w:ascii="Garamond" w:hAnsi="Garamond" w:cs="Times New Roman"/>
          <w:color w:val="000000"/>
          <w:sz w:val="24"/>
          <w:szCs w:val="24"/>
          <w:lang w:val="sq-AL"/>
        </w:rPr>
        <w:lastRenderedPageBreak/>
        <w:t>të saj (shih paragrafin 139 më sipër) dhe natyrës së shkeljes</w:t>
      </w:r>
      <w:r w:rsidR="007D0E54">
        <w:rPr>
          <w:rFonts w:ascii="Garamond" w:hAnsi="Garamond" w:cs="Times New Roman"/>
          <w:color w:val="000000"/>
          <w:sz w:val="24"/>
          <w:szCs w:val="24"/>
          <w:lang w:val="sq-AL"/>
        </w:rPr>
        <w:t>,</w:t>
      </w:r>
      <w:r w:rsidRPr="00BE1029">
        <w:rPr>
          <w:rFonts w:ascii="Garamond" w:hAnsi="Garamond" w:cs="Times New Roman"/>
          <w:color w:val="000000"/>
          <w:sz w:val="24"/>
          <w:szCs w:val="24"/>
          <w:lang w:val="sq-AL"/>
        </w:rPr>
        <w:t xml:space="preserve"> e cila u konstatua në lidhje me procedurat e rivlerësimit të kërkuesit, Gjykata e refuzon këtë kërkesë. </w:t>
      </w:r>
    </w:p>
    <w:p w14:paraId="73CF7078" w14:textId="77777777"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781A99F6" w14:textId="77777777" w:rsidR="00A43DB1" w:rsidRPr="00BE1029" w:rsidRDefault="00A43DB1" w:rsidP="00B96B01">
      <w:pPr>
        <w:autoSpaceDE w:val="0"/>
        <w:autoSpaceDN w:val="0"/>
        <w:adjustRightInd w:val="0"/>
        <w:spacing w:after="0" w:line="240" w:lineRule="auto"/>
        <w:jc w:val="center"/>
        <w:rPr>
          <w:rFonts w:ascii="Garamond" w:hAnsi="Garamond" w:cs="Times New Roman"/>
          <w:color w:val="000000"/>
          <w:sz w:val="24"/>
          <w:szCs w:val="24"/>
          <w:lang w:val="sq-AL"/>
        </w:rPr>
      </w:pPr>
      <w:r w:rsidRPr="00BE1029">
        <w:rPr>
          <w:rFonts w:ascii="Garamond" w:hAnsi="Garamond" w:cs="Times New Roman"/>
          <w:color w:val="000000"/>
          <w:sz w:val="24"/>
          <w:szCs w:val="24"/>
          <w:lang w:val="sq-AL"/>
        </w:rPr>
        <w:t>PËR KËTO ARSYE, GJYKATA</w:t>
      </w:r>
    </w:p>
    <w:p w14:paraId="2F9161A3" w14:textId="77777777"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775B7A03" w14:textId="38E3C3A1"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i/>
          <w:iCs/>
          <w:color w:val="000000"/>
          <w:sz w:val="24"/>
          <w:szCs w:val="24"/>
          <w:lang w:val="sq-AL"/>
        </w:rPr>
        <w:t xml:space="preserve">1. E deklaron, </w:t>
      </w:r>
      <w:r w:rsidRPr="00BE1029">
        <w:rPr>
          <w:rFonts w:ascii="Garamond" w:hAnsi="Garamond" w:cs="Times New Roman"/>
          <w:color w:val="000000"/>
          <w:sz w:val="24"/>
          <w:szCs w:val="24"/>
          <w:lang w:val="sq-AL"/>
        </w:rPr>
        <w:t xml:space="preserve">unanimisht, ankesën bërë në bazë të </w:t>
      </w:r>
      <w:r w:rsidR="00A27023" w:rsidRPr="00BE1029">
        <w:rPr>
          <w:rFonts w:ascii="Garamond" w:hAnsi="Garamond" w:cs="Times New Roman"/>
          <w:color w:val="000000"/>
          <w:sz w:val="24"/>
          <w:szCs w:val="24"/>
          <w:lang w:val="sq-AL"/>
        </w:rPr>
        <w:t xml:space="preserve">nenit </w:t>
      </w:r>
      <w:r w:rsidRPr="00BE1029">
        <w:rPr>
          <w:rFonts w:ascii="Garamond" w:hAnsi="Garamond" w:cs="Times New Roman"/>
          <w:color w:val="000000"/>
          <w:sz w:val="24"/>
          <w:szCs w:val="24"/>
          <w:lang w:val="sq-AL"/>
        </w:rPr>
        <w:t xml:space="preserve">6 § 1 të Konventës në lidhje me të drejtën e kërkuesit për një “gjykatë të krijuar me ligj” të pranueshme, dhe ankesën në bazë të </w:t>
      </w:r>
      <w:r w:rsidR="00EA5809" w:rsidRPr="00BE1029">
        <w:rPr>
          <w:rFonts w:ascii="Garamond" w:hAnsi="Garamond" w:cs="Times New Roman"/>
          <w:color w:val="000000"/>
          <w:sz w:val="24"/>
          <w:szCs w:val="24"/>
          <w:lang w:val="sq-AL"/>
        </w:rPr>
        <w:t xml:space="preserve">nenit </w:t>
      </w:r>
      <w:r w:rsidRPr="00BE1029">
        <w:rPr>
          <w:rFonts w:ascii="Garamond" w:hAnsi="Garamond" w:cs="Times New Roman"/>
          <w:color w:val="000000"/>
          <w:sz w:val="24"/>
          <w:szCs w:val="24"/>
          <w:lang w:val="sq-AL"/>
        </w:rPr>
        <w:t>13 të Konventës në lidhje me mungesën e një mjeti efektiv ndaj vendimit të KPA</w:t>
      </w:r>
      <w:r w:rsidR="00EA5809">
        <w:rPr>
          <w:rFonts w:ascii="Garamond" w:hAnsi="Garamond" w:cs="Times New Roman"/>
          <w:color w:val="000000"/>
          <w:sz w:val="24"/>
          <w:szCs w:val="24"/>
          <w:lang w:val="sq-AL"/>
        </w:rPr>
        <w:t>-së</w:t>
      </w:r>
      <w:r w:rsidRPr="00BE1029">
        <w:rPr>
          <w:rFonts w:ascii="Garamond" w:hAnsi="Garamond" w:cs="Times New Roman"/>
          <w:color w:val="000000"/>
          <w:sz w:val="24"/>
          <w:szCs w:val="24"/>
          <w:lang w:val="sq-AL"/>
        </w:rPr>
        <w:t xml:space="preserve">, të papranueshme; </w:t>
      </w:r>
    </w:p>
    <w:p w14:paraId="30C42485" w14:textId="764D24D6"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i/>
          <w:iCs/>
          <w:color w:val="000000"/>
          <w:sz w:val="24"/>
          <w:szCs w:val="24"/>
          <w:lang w:val="sq-AL"/>
        </w:rPr>
        <w:t xml:space="preserve">2. Vlerëson, </w:t>
      </w:r>
      <w:r w:rsidRPr="00BE1029">
        <w:rPr>
          <w:rFonts w:ascii="Garamond" w:hAnsi="Garamond" w:cs="Times New Roman"/>
          <w:color w:val="000000"/>
          <w:sz w:val="24"/>
          <w:szCs w:val="24"/>
          <w:lang w:val="sq-AL"/>
        </w:rPr>
        <w:t xml:space="preserve">unanimisht, se është shkelur </w:t>
      </w:r>
      <w:r w:rsidR="002E6A19" w:rsidRPr="00BE1029">
        <w:rPr>
          <w:rFonts w:ascii="Garamond" w:hAnsi="Garamond" w:cs="Times New Roman"/>
          <w:color w:val="000000"/>
          <w:sz w:val="24"/>
          <w:szCs w:val="24"/>
          <w:lang w:val="sq-AL"/>
        </w:rPr>
        <w:t xml:space="preserve">neni </w:t>
      </w:r>
      <w:r w:rsidRPr="00BE1029">
        <w:rPr>
          <w:rFonts w:ascii="Garamond" w:hAnsi="Garamond" w:cs="Times New Roman"/>
          <w:color w:val="000000"/>
          <w:sz w:val="24"/>
          <w:szCs w:val="24"/>
          <w:lang w:val="sq-AL"/>
        </w:rPr>
        <w:t>6 § 1 i Konventës</w:t>
      </w:r>
      <w:r w:rsidR="00BB6ABE" w:rsidRPr="00BE1029">
        <w:rPr>
          <w:rFonts w:ascii="Garamond" w:hAnsi="Garamond" w:cs="Times New Roman"/>
          <w:color w:val="000000"/>
          <w:sz w:val="24"/>
          <w:szCs w:val="24"/>
          <w:lang w:val="sq-AL"/>
        </w:rPr>
        <w:t xml:space="preserve"> </w:t>
      </w:r>
      <w:r w:rsidRPr="00BE1029">
        <w:rPr>
          <w:rFonts w:ascii="Garamond" w:hAnsi="Garamond" w:cs="Times New Roman"/>
          <w:color w:val="000000"/>
          <w:sz w:val="24"/>
          <w:szCs w:val="24"/>
          <w:lang w:val="sq-AL"/>
        </w:rPr>
        <w:t xml:space="preserve">në lidhje me të drejtën e ankuesit për një “gjykatë të krijuar me ligj”; </w:t>
      </w:r>
    </w:p>
    <w:p w14:paraId="44BC04AF" w14:textId="4C8CA851"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i/>
          <w:iCs/>
          <w:color w:val="000000"/>
          <w:sz w:val="24"/>
          <w:szCs w:val="24"/>
          <w:lang w:val="sq-AL"/>
        </w:rPr>
        <w:t xml:space="preserve">3. Vlerëson, </w:t>
      </w:r>
      <w:r w:rsidRPr="00BE1029">
        <w:rPr>
          <w:rFonts w:ascii="Garamond" w:hAnsi="Garamond" w:cs="Times New Roman"/>
          <w:color w:val="000000"/>
          <w:sz w:val="24"/>
          <w:szCs w:val="24"/>
          <w:lang w:val="sq-AL"/>
        </w:rPr>
        <w:t>me gjashtë vota pro dhe një kundër, se nuk është e nevojshme të shqyrtohe</w:t>
      </w:r>
      <w:r w:rsidR="00B96B01" w:rsidRPr="00BE1029">
        <w:rPr>
          <w:rFonts w:ascii="Garamond" w:hAnsi="Garamond" w:cs="Times New Roman"/>
          <w:color w:val="000000"/>
          <w:sz w:val="24"/>
          <w:szCs w:val="24"/>
          <w:lang w:val="sq-AL"/>
        </w:rPr>
        <w:t>n ankesat e tjera sipas nenit 6</w:t>
      </w:r>
      <w:r w:rsidR="00066190" w:rsidRPr="00BE1029">
        <w:rPr>
          <w:rFonts w:ascii="Garamond" w:hAnsi="Garamond" w:cs="Times New Roman"/>
          <w:color w:val="000000"/>
          <w:sz w:val="24"/>
          <w:szCs w:val="24"/>
          <w:lang w:val="sq-AL"/>
        </w:rPr>
        <w:t xml:space="preserve"> </w:t>
      </w:r>
      <w:r w:rsidR="00B96B01" w:rsidRPr="00BE1029">
        <w:rPr>
          <w:rFonts w:ascii="Garamond" w:hAnsi="Garamond" w:cs="Times New Roman"/>
          <w:color w:val="000000"/>
          <w:sz w:val="24"/>
          <w:szCs w:val="24"/>
          <w:lang w:val="sq-AL"/>
        </w:rPr>
        <w:t>§</w:t>
      </w:r>
      <w:r w:rsidR="00066190" w:rsidRPr="00BE1029">
        <w:rPr>
          <w:rFonts w:ascii="Garamond" w:hAnsi="Garamond" w:cs="Times New Roman"/>
          <w:color w:val="000000"/>
          <w:sz w:val="24"/>
          <w:szCs w:val="24"/>
          <w:lang w:val="sq-AL"/>
        </w:rPr>
        <w:t xml:space="preserve"> </w:t>
      </w:r>
      <w:r w:rsidRPr="00BE1029">
        <w:rPr>
          <w:rFonts w:ascii="Garamond" w:hAnsi="Garamond" w:cs="Times New Roman"/>
          <w:color w:val="000000"/>
          <w:sz w:val="24"/>
          <w:szCs w:val="24"/>
          <w:lang w:val="sq-AL"/>
        </w:rPr>
        <w:t xml:space="preserve">1 dhe 8 të Konventës; </w:t>
      </w:r>
    </w:p>
    <w:p w14:paraId="057A98CA" w14:textId="3D1FC007"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i/>
          <w:iCs/>
          <w:color w:val="000000"/>
          <w:sz w:val="24"/>
          <w:szCs w:val="24"/>
          <w:lang w:val="sq-AL"/>
        </w:rPr>
        <w:t>4. Rrëzon</w:t>
      </w:r>
      <w:r w:rsidRPr="00BE1029">
        <w:rPr>
          <w:rFonts w:ascii="Garamond" w:hAnsi="Garamond" w:cs="Times New Roman"/>
          <w:color w:val="000000"/>
          <w:sz w:val="24"/>
          <w:szCs w:val="24"/>
          <w:lang w:val="sq-AL"/>
        </w:rPr>
        <w:t xml:space="preserve">, unanimisht, pretendimin e ankuesit për shpërblim të drejtë për sa i përket shpërblimit monetar; </w:t>
      </w:r>
    </w:p>
    <w:p w14:paraId="138EA887" w14:textId="2E5E6AC0"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i/>
          <w:iCs/>
          <w:color w:val="000000"/>
          <w:sz w:val="24"/>
          <w:szCs w:val="24"/>
          <w:lang w:val="sq-AL"/>
        </w:rPr>
        <w:t>5. Vlerëson</w:t>
      </w:r>
      <w:r w:rsidRPr="00BE1029">
        <w:rPr>
          <w:rFonts w:ascii="Garamond" w:hAnsi="Garamond" w:cs="Times New Roman"/>
          <w:color w:val="000000"/>
          <w:sz w:val="24"/>
          <w:szCs w:val="24"/>
          <w:lang w:val="sq-AL"/>
        </w:rPr>
        <w:t xml:space="preserve">, me gjashtë vota pro dhe një kundër, se konstatimi i shkeljes përbën shpërblim të drejtë të mjaftueshëm për sa i përket shpërblimit jopasuror. </w:t>
      </w:r>
    </w:p>
    <w:p w14:paraId="5D5B6AA9" w14:textId="3D7CDEC7" w:rsidR="00A43DB1" w:rsidRPr="00BE1029" w:rsidRDefault="00A43DB1" w:rsidP="00B82901">
      <w:pPr>
        <w:pStyle w:val="TEKSTIIII"/>
      </w:pPr>
      <w:r w:rsidRPr="00BE1029">
        <w:t xml:space="preserve">Hartuar në gjuhën angleze dhe njoftuar me shkrim më datë 4 </w:t>
      </w:r>
      <w:r w:rsidR="00EA5809" w:rsidRPr="00BE1029">
        <w:t xml:space="preserve">tetor </w:t>
      </w:r>
      <w:r w:rsidRPr="00BE1029">
        <w:t xml:space="preserve">2022, sipas Rregullit 77 §§ 2 dhe 3 të Rregullores së Gjykatës. </w:t>
      </w:r>
    </w:p>
    <w:p w14:paraId="162DA21F" w14:textId="77777777"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6FB13D4D" w14:textId="644C1948" w:rsidR="00A43DB1" w:rsidRPr="00BE1029" w:rsidRDefault="00A43DB1" w:rsidP="00EA5809">
      <w:pPr>
        <w:autoSpaceDE w:val="0"/>
        <w:autoSpaceDN w:val="0"/>
        <w:adjustRightInd w:val="0"/>
        <w:spacing w:after="0" w:line="240" w:lineRule="auto"/>
        <w:ind w:firstLine="284"/>
        <w:jc w:val="right"/>
        <w:rPr>
          <w:rFonts w:ascii="Garamond" w:hAnsi="Garamond" w:cs="Times New Roman"/>
          <w:b/>
          <w:color w:val="000000"/>
          <w:sz w:val="24"/>
          <w:szCs w:val="24"/>
          <w:lang w:val="sq-AL"/>
        </w:rPr>
      </w:pPr>
      <w:r w:rsidRPr="00BE1029">
        <w:rPr>
          <w:rFonts w:ascii="Garamond" w:hAnsi="Garamond" w:cs="Times New Roman"/>
          <w:b/>
          <w:color w:val="000000"/>
          <w:sz w:val="24"/>
          <w:szCs w:val="24"/>
          <w:lang w:val="sq-AL"/>
        </w:rPr>
        <w:t>Georges Ravarani</w:t>
      </w:r>
    </w:p>
    <w:p w14:paraId="7D899C18" w14:textId="5EA16FBC" w:rsidR="00A43DB1" w:rsidRPr="00BE1029" w:rsidRDefault="00EA5809" w:rsidP="00EA5809">
      <w:pPr>
        <w:autoSpaceDE w:val="0"/>
        <w:autoSpaceDN w:val="0"/>
        <w:adjustRightInd w:val="0"/>
        <w:spacing w:after="0" w:line="240" w:lineRule="auto"/>
        <w:ind w:firstLine="284"/>
        <w:jc w:val="right"/>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KRYETAR </w:t>
      </w:r>
    </w:p>
    <w:p w14:paraId="0A506F64" w14:textId="77777777" w:rsidR="00EA5809" w:rsidRDefault="00EA5809" w:rsidP="00EA5809">
      <w:pPr>
        <w:autoSpaceDE w:val="0"/>
        <w:autoSpaceDN w:val="0"/>
        <w:adjustRightInd w:val="0"/>
        <w:spacing w:after="0" w:line="240" w:lineRule="auto"/>
        <w:ind w:firstLine="284"/>
        <w:jc w:val="right"/>
        <w:rPr>
          <w:rFonts w:ascii="Garamond" w:hAnsi="Garamond" w:cs="Times New Roman"/>
          <w:b/>
          <w:color w:val="000000"/>
          <w:sz w:val="24"/>
          <w:szCs w:val="24"/>
          <w:lang w:val="sq-AL"/>
        </w:rPr>
      </w:pPr>
    </w:p>
    <w:p w14:paraId="0BC68883" w14:textId="77777777" w:rsidR="00EA5809" w:rsidRDefault="00EA5809" w:rsidP="00EA5809">
      <w:pPr>
        <w:autoSpaceDE w:val="0"/>
        <w:autoSpaceDN w:val="0"/>
        <w:adjustRightInd w:val="0"/>
        <w:spacing w:after="0" w:line="240" w:lineRule="auto"/>
        <w:ind w:firstLine="284"/>
        <w:jc w:val="right"/>
        <w:rPr>
          <w:rFonts w:ascii="Garamond" w:hAnsi="Garamond" w:cs="Times New Roman"/>
          <w:color w:val="000000"/>
          <w:sz w:val="24"/>
          <w:szCs w:val="24"/>
          <w:lang w:val="sq-AL"/>
        </w:rPr>
      </w:pPr>
      <w:r w:rsidRPr="00BE1029">
        <w:rPr>
          <w:rFonts w:ascii="Garamond" w:hAnsi="Garamond" w:cs="Times New Roman"/>
          <w:b/>
          <w:color w:val="000000"/>
          <w:sz w:val="24"/>
          <w:szCs w:val="24"/>
          <w:lang w:val="sq-AL"/>
        </w:rPr>
        <w:t>Milan Blaško</w:t>
      </w:r>
      <w:r w:rsidRPr="00EA5809">
        <w:rPr>
          <w:rFonts w:ascii="Garamond" w:hAnsi="Garamond" w:cs="Times New Roman"/>
          <w:color w:val="000000"/>
          <w:sz w:val="24"/>
          <w:szCs w:val="24"/>
          <w:lang w:val="sq-AL"/>
        </w:rPr>
        <w:t xml:space="preserve"> </w:t>
      </w:r>
    </w:p>
    <w:p w14:paraId="23363EEE" w14:textId="60E31398" w:rsidR="00A43DB1" w:rsidRPr="00BE1029" w:rsidRDefault="00EA5809" w:rsidP="00EA5809">
      <w:pPr>
        <w:autoSpaceDE w:val="0"/>
        <w:autoSpaceDN w:val="0"/>
        <w:adjustRightInd w:val="0"/>
        <w:spacing w:after="0" w:line="240" w:lineRule="auto"/>
        <w:ind w:firstLine="284"/>
        <w:jc w:val="right"/>
        <w:rPr>
          <w:rFonts w:ascii="Garamond" w:hAnsi="Garamond" w:cs="Times New Roman"/>
          <w:color w:val="000000"/>
          <w:sz w:val="24"/>
          <w:szCs w:val="24"/>
          <w:lang w:val="sq-AL"/>
        </w:rPr>
      </w:pPr>
      <w:r w:rsidRPr="00BE1029">
        <w:rPr>
          <w:rFonts w:ascii="Garamond" w:hAnsi="Garamond" w:cs="Times New Roman"/>
          <w:color w:val="000000"/>
          <w:sz w:val="24"/>
          <w:szCs w:val="24"/>
          <w:lang w:val="sq-AL"/>
        </w:rPr>
        <w:t>SEKRETAR</w:t>
      </w:r>
    </w:p>
    <w:p w14:paraId="0F9961FA" w14:textId="77777777" w:rsidR="00EA5809" w:rsidRDefault="00EA5809"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E68AECA" w14:textId="18F228F3" w:rsidR="00A43DB1" w:rsidRPr="00BE1029" w:rsidRDefault="00A43DB1" w:rsidP="00A43DB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1029">
        <w:rPr>
          <w:rFonts w:ascii="Garamond" w:hAnsi="Garamond" w:cs="Times New Roman"/>
          <w:color w:val="000000"/>
          <w:sz w:val="24"/>
          <w:szCs w:val="24"/>
          <w:lang w:val="sq-AL"/>
        </w:rPr>
        <w:t xml:space="preserve">Në përputhje me </w:t>
      </w:r>
      <w:r w:rsidR="004B29AC" w:rsidRPr="00BE1029">
        <w:rPr>
          <w:rFonts w:ascii="Garamond" w:hAnsi="Garamond" w:cs="Times New Roman"/>
          <w:color w:val="000000"/>
          <w:sz w:val="24"/>
          <w:szCs w:val="24"/>
          <w:lang w:val="sq-AL"/>
        </w:rPr>
        <w:t xml:space="preserve">nenin </w:t>
      </w:r>
      <w:r w:rsidRPr="00BE1029">
        <w:rPr>
          <w:rFonts w:ascii="Garamond" w:hAnsi="Garamond" w:cs="Times New Roman"/>
          <w:color w:val="000000"/>
          <w:sz w:val="24"/>
          <w:szCs w:val="24"/>
          <w:lang w:val="sq-AL"/>
        </w:rPr>
        <w:t xml:space="preserve">45 § 2 të Konventës, dhe Rregullit 74 § 2 të Rregullores së Gjykatës, opinioni i veçuar i Gjyqtarit Serghides i aneksohet këtij vendimi. </w:t>
      </w:r>
    </w:p>
    <w:p w14:paraId="59EC49CB" w14:textId="30015DB6" w:rsidR="00A43DB1" w:rsidRPr="00BE1029" w:rsidRDefault="00A43DB1" w:rsidP="006F2283">
      <w:pPr>
        <w:autoSpaceDE w:val="0"/>
        <w:autoSpaceDN w:val="0"/>
        <w:adjustRightInd w:val="0"/>
        <w:spacing w:after="0" w:line="240" w:lineRule="auto"/>
        <w:ind w:firstLine="284"/>
        <w:jc w:val="right"/>
        <w:rPr>
          <w:rFonts w:ascii="Garamond" w:hAnsi="Garamond" w:cs="Times New Roman"/>
          <w:color w:val="000000"/>
          <w:sz w:val="24"/>
          <w:szCs w:val="24"/>
          <w:lang w:val="sq-AL"/>
        </w:rPr>
      </w:pPr>
      <w:r w:rsidRPr="00BE1029">
        <w:rPr>
          <w:rFonts w:ascii="Garamond" w:hAnsi="Garamond" w:cs="Times New Roman"/>
          <w:color w:val="000000"/>
          <w:sz w:val="24"/>
          <w:szCs w:val="24"/>
          <w:lang w:val="sq-AL"/>
        </w:rPr>
        <w:t>G.R.</w:t>
      </w:r>
    </w:p>
    <w:p w14:paraId="58D7D61F" w14:textId="3F74D7F3" w:rsidR="00A43DB1" w:rsidRPr="00BE1029" w:rsidRDefault="00A43DB1" w:rsidP="006F2283">
      <w:pPr>
        <w:autoSpaceDE w:val="0"/>
        <w:autoSpaceDN w:val="0"/>
        <w:adjustRightInd w:val="0"/>
        <w:spacing w:after="0" w:line="240" w:lineRule="auto"/>
        <w:ind w:firstLine="284"/>
        <w:jc w:val="right"/>
        <w:rPr>
          <w:rFonts w:ascii="Garamond" w:hAnsi="Garamond" w:cs="Times New Roman"/>
          <w:color w:val="000000"/>
          <w:sz w:val="24"/>
          <w:szCs w:val="24"/>
          <w:lang w:val="sq-AL"/>
        </w:rPr>
      </w:pPr>
      <w:r w:rsidRPr="00BE1029">
        <w:rPr>
          <w:rFonts w:ascii="Garamond" w:hAnsi="Garamond" w:cs="Times New Roman"/>
          <w:color w:val="000000"/>
          <w:sz w:val="24"/>
          <w:szCs w:val="24"/>
          <w:lang w:val="sq-AL"/>
        </w:rPr>
        <w:t>M.B.</w:t>
      </w:r>
    </w:p>
    <w:p w14:paraId="7E31AE87" w14:textId="77777777" w:rsidR="00A43DB1" w:rsidRPr="00BE1029" w:rsidRDefault="00A43DB1" w:rsidP="00A43DB1">
      <w:pPr>
        <w:spacing w:after="0" w:line="240" w:lineRule="auto"/>
        <w:ind w:firstLine="284"/>
        <w:jc w:val="both"/>
        <w:rPr>
          <w:rFonts w:ascii="Garamond" w:hAnsi="Garamond"/>
          <w:i/>
          <w:sz w:val="24"/>
          <w:szCs w:val="24"/>
          <w:lang w:val="sq-AL"/>
        </w:rPr>
      </w:pPr>
    </w:p>
    <w:p w14:paraId="3EF88D2D" w14:textId="77777777" w:rsidR="00B82901" w:rsidRPr="00BE1029" w:rsidRDefault="00B82901" w:rsidP="00B82901">
      <w:pPr>
        <w:pStyle w:val="ECHRPara"/>
        <w:spacing w:line="240" w:lineRule="auto"/>
        <w:ind w:firstLine="284"/>
        <w:jc w:val="center"/>
        <w:rPr>
          <w:rFonts w:ascii="Garamond" w:hAnsi="Garamond"/>
        </w:rPr>
      </w:pPr>
      <w:r w:rsidRPr="00BE1029">
        <w:rPr>
          <w:rFonts w:ascii="Garamond" w:hAnsi="Garamond"/>
        </w:rPr>
        <w:t>MENDIMI PJESËRISHT DAKORDËSUES DHE PJESËRISHT KUNDËRSHTUES I GJYQTARIT SERGHIDES</w:t>
      </w:r>
    </w:p>
    <w:p w14:paraId="7E07AFD9" w14:textId="04943C1D" w:rsidR="00B82901" w:rsidRPr="00BE1029" w:rsidRDefault="00B82901" w:rsidP="00914EA4">
      <w:pPr>
        <w:pStyle w:val="ECHRPara"/>
        <w:autoSpaceDE/>
        <w:autoSpaceDN/>
        <w:adjustRightInd/>
        <w:spacing w:after="0" w:line="240" w:lineRule="auto"/>
        <w:ind w:left="284" w:firstLine="0"/>
        <w:jc w:val="left"/>
        <w:rPr>
          <w:rFonts w:ascii="Garamond" w:hAnsi="Garamond"/>
          <w:b/>
          <w:bCs/>
        </w:rPr>
      </w:pPr>
      <w:r w:rsidRPr="00BE1029">
        <w:rPr>
          <w:rFonts w:ascii="Garamond" w:hAnsi="Garamond"/>
          <w:b/>
          <w:bCs/>
        </w:rPr>
        <w:t>I. Hyrje</w:t>
      </w:r>
    </w:p>
    <w:p w14:paraId="07F20F59" w14:textId="4CC11B21" w:rsidR="00B82901" w:rsidRPr="00BE1029" w:rsidRDefault="00B82901" w:rsidP="00B82901">
      <w:pPr>
        <w:pStyle w:val="TEKSTIIII"/>
      </w:pPr>
      <w:r w:rsidRPr="00BE1029">
        <w:t>1. Kjo çështje, kryesisht, ka të bëjë me ankesën e kërkuesit se shkarkimi i tij nga detyra si prokuror nga Kolegji i Posaçëm i Apelimit cenonte të drejtën e tij për një gjykim të drejtë</w:t>
      </w:r>
      <w:r w:rsidR="003364E2">
        <w:t>,</w:t>
      </w:r>
      <w:r w:rsidRPr="00BE1029">
        <w:t xml:space="preserve"> sipas </w:t>
      </w:r>
      <w:r w:rsidR="003364E2" w:rsidRPr="00BE1029">
        <w:t xml:space="preserve">nenit </w:t>
      </w:r>
      <w:r w:rsidRPr="00BE1029">
        <w:t>6 § 1 të Konventës. Kjo për shkakun</w:t>
      </w:r>
      <w:r w:rsidR="0044730F">
        <w:t>,</w:t>
      </w:r>
      <w:r w:rsidRPr="00BE1029">
        <w:t xml:space="preserve"> sepse Kolegji i Posaçëm i Apelimit nuk ishte një “gjykatë e krijuar me ligj”, pasi njëri prej gjyqtarëve i cili u ul në atë Kolegj dhe gjykoi çështjen e tij ishte emëruar në atë pozicion në shkelje të një kriteri statutor për përzgjedhshmërinë. </w:t>
      </w:r>
    </w:p>
    <w:p w14:paraId="6C437204" w14:textId="120B6085" w:rsidR="00B82901" w:rsidRPr="00BE1029" w:rsidRDefault="00B82901" w:rsidP="00B82901">
      <w:pPr>
        <w:pStyle w:val="TEKSTIIII"/>
      </w:pPr>
      <w:r w:rsidRPr="00BE1029">
        <w:t xml:space="preserve">Duhet të theksohet se në çështjen </w:t>
      </w:r>
      <w:r w:rsidRPr="00BE1029">
        <w:rPr>
          <w:i/>
          <w:iCs/>
        </w:rPr>
        <w:t xml:space="preserve">DMD GROUP, a.s.v. kundër Sllovakisë </w:t>
      </w:r>
      <w:r w:rsidRPr="00BE1029">
        <w:t xml:space="preserve">(nr. 19334/03, § 58, 5 </w:t>
      </w:r>
      <w:r w:rsidR="0044730F" w:rsidRPr="00BE1029">
        <w:t xml:space="preserve">tetor </w:t>
      </w:r>
      <w:r w:rsidRPr="00BE1029">
        <w:t xml:space="preserve">2010), Gjykata vlerësonte se “sipas </w:t>
      </w:r>
      <w:r w:rsidR="0044730F" w:rsidRPr="00BE1029">
        <w:t xml:space="preserve">nenit </w:t>
      </w:r>
      <w:r w:rsidRPr="00BE1029">
        <w:t>6 § 1 të Konventës, një gjykatë duhet të krijohet gjithmonë me ligj dhe</w:t>
      </w:r>
      <w:r w:rsidR="0044730F">
        <w:t>,</w:t>
      </w:r>
      <w:r w:rsidRPr="00BE1029">
        <w:t xml:space="preserve"> se “ky përcaktim reflekton parimin e shtetit të së drejtës, i cili është pjesë e qenësishme në sistemin e mbrojtjes parashikuar nga Konventa dhe Protokollet e saj”. </w:t>
      </w:r>
    </w:p>
    <w:p w14:paraId="7279F57E" w14:textId="1BDC4C57" w:rsidR="00B82901" w:rsidRPr="00BE1029" w:rsidRDefault="00B82901" w:rsidP="00B82901">
      <w:pPr>
        <w:pStyle w:val="TEKSTIIII"/>
      </w:pPr>
      <w:r w:rsidRPr="00BE1029">
        <w:t xml:space="preserve">2. Duke deklaruar pozicionin tim në lidhje me parashikimet operative të vendimit, unë jam dakord me pikat 1, 2 dhe 4, dhe me respekt, nuk jam dakord me pikat 3 dhe 5. Më poshtë do të shpjegoj arsyet e mia se përse nuk jam dakord. </w:t>
      </w:r>
    </w:p>
    <w:p w14:paraId="64B60642" w14:textId="61F36AFD" w:rsidR="00B82901" w:rsidRPr="00BE1029" w:rsidRDefault="00316502" w:rsidP="00316502">
      <w:pPr>
        <w:pStyle w:val="TEKSTIIII"/>
        <w:rPr>
          <w:b/>
        </w:rPr>
      </w:pPr>
      <w:r w:rsidRPr="00BE1029">
        <w:rPr>
          <w:b/>
        </w:rPr>
        <w:t xml:space="preserve">II. </w:t>
      </w:r>
      <w:r w:rsidR="00B82901" w:rsidRPr="00BE1029">
        <w:rPr>
          <w:b/>
        </w:rPr>
        <w:t>Pasojat e konstatimit se nuk ekziston një “gjykatë e krijuar me ligj”</w:t>
      </w:r>
    </w:p>
    <w:p w14:paraId="4689EC69" w14:textId="4E9C61CC" w:rsidR="00B82901" w:rsidRPr="00BE1029" w:rsidRDefault="00316502" w:rsidP="00316502">
      <w:pPr>
        <w:pStyle w:val="TEKSTIIII"/>
      </w:pPr>
      <w:r w:rsidRPr="00BE1029">
        <w:lastRenderedPageBreak/>
        <w:t xml:space="preserve">3. </w:t>
      </w:r>
      <w:r w:rsidR="00B82901" w:rsidRPr="00BE1029">
        <w:t>Unë, nuk jam dakord, veçanërisht, me paragrafin 129 të vendimit dhe pikën respektive numër 3 të parashikimeve të tij operative, më konkretisht</w:t>
      </w:r>
      <w:r w:rsidR="00047A08">
        <w:t>,</w:t>
      </w:r>
      <w:r w:rsidR="00B82901" w:rsidRPr="00BE1029">
        <w:t xml:space="preserve"> sepse për shkak të konstatimit se nuk ka një “gjykatë të krijuar me ligj”, nuk është e nevojshme të shqyrtohet pjesa tjetër e ankesave sipas </w:t>
      </w:r>
      <w:r w:rsidR="00047A08" w:rsidRPr="00BE1029">
        <w:t xml:space="preserve">nenit </w:t>
      </w:r>
      <w:r w:rsidR="00B82901" w:rsidRPr="00BE1029">
        <w:t xml:space="preserve">6 § 1 dhe </w:t>
      </w:r>
      <w:r w:rsidR="00047A08" w:rsidRPr="00BE1029">
        <w:t xml:space="preserve">nenit </w:t>
      </w:r>
      <w:r w:rsidR="00B82901" w:rsidRPr="00BE1029">
        <w:t xml:space="preserve">8 të Konventës. Në opinionin tim, pas konstatimit se nuk ekziston një “gjykatë e krijuar me ligj”, “ankesat e tjera” të pretenduara shkëputen menjëherë dhe automatikisht nga objekti dhe ekzistenca </w:t>
      </w:r>
      <w:r w:rsidR="00B82901" w:rsidRPr="00BE1029">
        <w:rPr>
          <w:i/>
          <w:iCs/>
        </w:rPr>
        <w:t>ex tunc</w:t>
      </w:r>
      <w:r w:rsidR="00B82901" w:rsidRPr="00BE1029">
        <w:t xml:space="preserve"> dhe, për këtë arsye, ato do të duhej të ishin kundërshtuar si të papranueshme </w:t>
      </w:r>
      <w:r w:rsidR="00B82901" w:rsidRPr="00BE1029">
        <w:rPr>
          <w:i/>
          <w:iCs/>
        </w:rPr>
        <w:t>ratione materiae</w:t>
      </w:r>
      <w:r w:rsidR="00B82901" w:rsidRPr="00BE1029">
        <w:t xml:space="preserve">, në mbështetje të </w:t>
      </w:r>
      <w:r w:rsidR="006167CC" w:rsidRPr="00BE1029">
        <w:t xml:space="preserve">nenit </w:t>
      </w:r>
      <w:r w:rsidR="00B82901" w:rsidRPr="00BE1029">
        <w:t xml:space="preserve">35 §§ 3 (a) dhe 4 të Konventës. Mungesa e një “gjykate të krijuar me ligj” kishte dy lloje pasojash në lidhje me </w:t>
      </w:r>
      <w:r w:rsidR="00047A08" w:rsidRPr="00BE1029">
        <w:t xml:space="preserve">nenin </w:t>
      </w:r>
      <w:r w:rsidR="00B82901" w:rsidRPr="00BE1029">
        <w:t xml:space="preserve">6, fillimisht duke e bërë të gjithë gjykimin të padrejtë, dhe së dyti, duke i bërë çdo ankesë tjetër sipas këtij parashikimi të papranueshme </w:t>
      </w:r>
      <w:r w:rsidR="00B82901" w:rsidRPr="00BE1029">
        <w:rPr>
          <w:i/>
          <w:iCs/>
        </w:rPr>
        <w:t xml:space="preserve">ratione materiae. </w:t>
      </w:r>
      <w:r w:rsidR="00B82901" w:rsidRPr="00BE1029">
        <w:t xml:space="preserve">Nga ana tjetër, mungesa e garancive të </w:t>
      </w:r>
      <w:r w:rsidR="00047A08" w:rsidRPr="00BE1029">
        <w:t xml:space="preserve">nenit </w:t>
      </w:r>
      <w:r w:rsidR="00B82901" w:rsidRPr="00BE1029">
        <w:t xml:space="preserve">6 mund ta bëjë të gjithë gjykimin të padrejtë, por nuk mund të bëjë ankesat e tjera sipas </w:t>
      </w:r>
      <w:r w:rsidR="00047A08" w:rsidRPr="00BE1029">
        <w:t xml:space="preserve">nenit </w:t>
      </w:r>
      <w:r w:rsidR="00B82901" w:rsidRPr="00BE1029">
        <w:t xml:space="preserve">6 të papranueshme </w:t>
      </w:r>
      <w:r w:rsidR="00B82901" w:rsidRPr="00BE1029">
        <w:rPr>
          <w:i/>
          <w:iCs/>
        </w:rPr>
        <w:t xml:space="preserve">ratione materiae. </w:t>
      </w:r>
    </w:p>
    <w:p w14:paraId="343F5129" w14:textId="27BC5960" w:rsidR="00B82901" w:rsidRPr="00BE1029" w:rsidRDefault="00316502" w:rsidP="00316502">
      <w:pPr>
        <w:pStyle w:val="TEKSTIIII"/>
      </w:pPr>
      <w:r w:rsidRPr="00BE1029">
        <w:t xml:space="preserve">4. </w:t>
      </w:r>
      <w:r w:rsidR="00B82901" w:rsidRPr="00BE1029">
        <w:t xml:space="preserve">Në të vërtetë, qasja e vendimit në çështjen konkrete është e ngjashme me vendimin për çështjen </w:t>
      </w:r>
      <w:r w:rsidR="00B82901" w:rsidRPr="00BE1029">
        <w:rPr>
          <w:i/>
          <w:iCs/>
          <w:shd w:val="clear" w:color="auto" w:fill="FFFFFF"/>
        </w:rPr>
        <w:t xml:space="preserve">Guðmundur Andri Ástráðsson kundër Islandës </w:t>
      </w:r>
      <w:r w:rsidR="00B82901" w:rsidRPr="00BE1029">
        <w:t xml:space="preserve">([DHM], nr. 26374/18, § 295, dhe pika 2 e pjesës operative, 1 </w:t>
      </w:r>
      <w:r w:rsidR="00114426" w:rsidRPr="00BE1029">
        <w:t xml:space="preserve">dhjetor </w:t>
      </w:r>
      <w:r w:rsidR="00B82901" w:rsidRPr="00BE1029">
        <w:t xml:space="preserve">2020), ku, pas konstatimit se nuk kishte pasur një “gjykatë të krijuar me ligj” – një garanci e parashikuar në </w:t>
      </w:r>
      <w:r w:rsidR="00FF0A70" w:rsidRPr="00BE1029">
        <w:t xml:space="preserve">nenin </w:t>
      </w:r>
      <w:r w:rsidR="00B82901" w:rsidRPr="00BE1029">
        <w:t xml:space="preserve">6 – Gjykata vendosi me shumicë se nuk ishte “e nevojshme të shqyrtohej pjesa tjetër e ankimeve sipas </w:t>
      </w:r>
      <w:r w:rsidR="00FF0A70" w:rsidRPr="00BE1029">
        <w:t xml:space="preserve">nenit </w:t>
      </w:r>
      <w:r w:rsidR="00B82901" w:rsidRPr="00BE1029">
        <w:t xml:space="preserve">6 § 1”, që kishte të bënte me ankesat ku pretendohej mungesa e pavarësisë dhe e paanshmërisë së një gjykate. </w:t>
      </w:r>
    </w:p>
    <w:p w14:paraId="7C1963A3" w14:textId="5BBCBFF4" w:rsidR="00B82901" w:rsidRPr="00BE1029" w:rsidRDefault="00D842C8" w:rsidP="008B7CC1">
      <w:pPr>
        <w:pStyle w:val="TEKSTIIII"/>
      </w:pPr>
      <w:r w:rsidRPr="00BE1029">
        <w:t xml:space="preserve">5. </w:t>
      </w:r>
      <w:r w:rsidR="00B82901" w:rsidRPr="00BE1029">
        <w:t xml:space="preserve">Megjithatë, në opinionin tim pjesërisht kundërshtues në çështjen </w:t>
      </w:r>
      <w:r w:rsidR="00B82901" w:rsidRPr="00BE1029">
        <w:rPr>
          <w:i/>
          <w:iCs/>
          <w:shd w:val="clear" w:color="auto" w:fill="FFFFFF"/>
        </w:rPr>
        <w:t>Guðmundur Andri Ástráðsson</w:t>
      </w:r>
      <w:r w:rsidR="00B82901" w:rsidRPr="00BE1029">
        <w:t xml:space="preserve">, unë nuk isha dakord me shumicën se nuk ishte e nevojshme të shqyrtoheshin ankesat e tjera, dhe unë propozova se pas konstatimit se nuk kishte gjykatë të krijuar me ligj, “ankesat e tjera” të pretenduara, më konkretisht ato që kishin të bënin me garancitë e një gjykate të pavarur dhe të paanshme, shkëputeshin menjëherë dhe automatikisht nga objekti dhe ekzistenca </w:t>
      </w:r>
      <w:r w:rsidR="00B82901" w:rsidRPr="00BE1029">
        <w:rPr>
          <w:i/>
          <w:iCs/>
        </w:rPr>
        <w:t>ex tunc</w:t>
      </w:r>
      <w:r w:rsidR="00B82901" w:rsidRPr="00BE1029">
        <w:t xml:space="preserve">, dhe për këtë arsye at do të duhej të ishin rrëzuar si të papranueshme </w:t>
      </w:r>
      <w:r w:rsidR="00B82901" w:rsidRPr="00BE1029">
        <w:rPr>
          <w:i/>
          <w:iCs/>
        </w:rPr>
        <w:t>ratione materiae</w:t>
      </w:r>
      <w:r w:rsidR="0058695F">
        <w:rPr>
          <w:i/>
          <w:iCs/>
        </w:rPr>
        <w:t>,</w:t>
      </w:r>
      <w:r w:rsidR="00B82901" w:rsidRPr="00BE1029">
        <w:t xml:space="preserve"> sipas </w:t>
      </w:r>
      <w:r w:rsidR="0058695F" w:rsidRPr="00BE1029">
        <w:t xml:space="preserve">nenit </w:t>
      </w:r>
      <w:r w:rsidR="00B82901" w:rsidRPr="00BE1029">
        <w:t>35 §§ 3 (a) dhe 4 të Konventës</w:t>
      </w:r>
      <w:r w:rsidR="00B82901" w:rsidRPr="00BE1029">
        <w:rPr>
          <w:rStyle w:val="FootnoteReference"/>
        </w:rPr>
        <w:footnoteReference w:id="2"/>
      </w:r>
      <w:r w:rsidR="00B82901" w:rsidRPr="00BE1029">
        <w:t>. Unë argumentova</w:t>
      </w:r>
      <w:r w:rsidR="00B82901" w:rsidRPr="00BE1029">
        <w:rPr>
          <w:rStyle w:val="FootnoteReference"/>
        </w:rPr>
        <w:footnoteReference w:id="3"/>
      </w:r>
      <w:r w:rsidR="00B82901" w:rsidRPr="00BE1029">
        <w:t xml:space="preserve"> edhe se nëse nuk ekziston një “gjykatë”, siç ishte edhe konstatimi i Gjykatës në atë çështje, për shkak të mungesës se një gjykate të krijuar me ligj, nuk ekziston emri, dhe në këtë mënyrë as objekti, të cilit mund t’i vendosen mbiemrat “i pavarur” dhe “i paanshëm”, duke rezultuar në shkëputjen e këtyre mbiemrave nga objekti dhe ekzistenca. Të gjitha kërkesat e </w:t>
      </w:r>
      <w:r w:rsidR="009F5986">
        <w:t>s</w:t>
      </w:r>
      <w:r w:rsidR="00B82901" w:rsidRPr="00BE1029">
        <w:t xml:space="preserve">ë drejtës për një gjykim të drejtë të parashikuara në </w:t>
      </w:r>
      <w:r w:rsidR="00EF1E50" w:rsidRPr="00BE1029">
        <w:t xml:space="preserve">nenin </w:t>
      </w:r>
      <w:r w:rsidR="00B82901" w:rsidRPr="00BE1029">
        <w:t xml:space="preserve">6 § 1 janë të domosdoshme, dhe pa ato nuk mund të sigurohet ajo e drejtë. Megjithatë, e vetmja kërkesë e pavarur e </w:t>
      </w:r>
      <w:r w:rsidR="00EF1E50" w:rsidRPr="00BE1029">
        <w:t xml:space="preserve">nenit </w:t>
      </w:r>
      <w:r w:rsidR="00B82901" w:rsidRPr="00BE1029">
        <w:t xml:space="preserve">6 § 1 është se ekzistenca e një gjykate të ligjshme. Kjo kërkesë është një element </w:t>
      </w:r>
      <w:r w:rsidR="00B82901" w:rsidRPr="00BE1029">
        <w:rPr>
          <w:i/>
          <w:iCs/>
        </w:rPr>
        <w:t>qendror</w:t>
      </w:r>
      <w:r w:rsidR="00B82901" w:rsidRPr="00BE1029">
        <w:t xml:space="preserve"> për një gjykim të drejtë</w:t>
      </w:r>
      <w:r w:rsidR="00EF1E50">
        <w:t>,</w:t>
      </w:r>
      <w:r w:rsidR="00B82901" w:rsidRPr="00BE1029">
        <w:t xml:space="preserve"> pasi i referohet </w:t>
      </w:r>
      <w:r w:rsidR="00B82901" w:rsidRPr="00BE1029">
        <w:rPr>
          <w:i/>
          <w:iCs/>
        </w:rPr>
        <w:t>vet thelbit</w:t>
      </w:r>
      <w:r w:rsidR="00B82901" w:rsidRPr="00BE1029">
        <w:t xml:space="preserve"> të së drejtës përkatëse. Të gjitha kërkesat e </w:t>
      </w:r>
      <w:r w:rsidR="00EF1E50" w:rsidRPr="00BE1029">
        <w:t xml:space="preserve">nenit </w:t>
      </w:r>
      <w:r w:rsidR="00B82901" w:rsidRPr="00BE1029">
        <w:t xml:space="preserve">6 § 1 presupozojnë përmbushjen e kësaj kërkese qendrore, krijimin e një gjykatë me ligj. Me fjalë të tjera, kërkesat/garancitë për “pavarësi” dhe “paanshmëri” janë cilësi thelbësore dhe të pandara që kanë të bëjnë me vet ekzistencën e një “gjykate të krijuar me ligj”. Është e pamundur që të shqyrtohen cilësitë e një gjykate që nuk ekziston, ashtu siç është e pamundur që të shqyrtohen cilësitë e një personi ose ndërtese inekzistente. Për këtë arsye, çdo shpresë që një gjykatë të jetë e pavarur dhe e paanshme do të varet nga fakti nëse, fillimisht, ajo është një gjykatë e krijuar me ligj. Cilësitë e mëparshme varen nga të dytat dhe nuk mund të lihen në ajër. Fatkeqësisht, Gjykata në çështjen </w:t>
      </w:r>
      <w:r w:rsidR="00B82901" w:rsidRPr="00BE1029">
        <w:rPr>
          <w:i/>
          <w:iCs/>
          <w:shd w:val="clear" w:color="auto" w:fill="FFFFFF"/>
        </w:rPr>
        <w:t>Guðmundur Andri Ástráðsson</w:t>
      </w:r>
      <w:r w:rsidR="00B82901" w:rsidRPr="00BE1029">
        <w:t xml:space="preserve">, duke konstatuar se nuk ishte e nevojshme të shqyrtoheshin ankesat për mungesën e pavarësisë dhe të paanshmërisë, dha përshtypjen se ajo po </w:t>
      </w:r>
      <w:r w:rsidR="008B7CC1">
        <w:t>u</w:t>
      </w:r>
      <w:r w:rsidR="00B82901" w:rsidRPr="00BE1029">
        <w:t xml:space="preserve"> referohej meritave të atyre ankesave, duke sugjeruar në këtë mënyrë se ato mbeteshin të pranueshme. Megjithatë, siç shprehet edhe në këtë opinion, këto ankesa ishin bërë të papranueshme dhe duhej të rrëzoheshin si të tilla. </w:t>
      </w:r>
    </w:p>
    <w:p w14:paraId="75106AEF" w14:textId="23C46989" w:rsidR="00B82901" w:rsidRPr="00BE1029" w:rsidRDefault="00F2653B" w:rsidP="00F816F5">
      <w:pPr>
        <w:pStyle w:val="TEKSTIIII"/>
      </w:pPr>
      <w:r w:rsidRPr="00BE1029">
        <w:t xml:space="preserve">6. </w:t>
      </w:r>
      <w:r w:rsidR="00B82901" w:rsidRPr="00BE1029">
        <w:t xml:space="preserve">Unë pata mundësinë që të shpjegoja dhe të detajoja më tej qasjen që ndoqa në çështjen </w:t>
      </w:r>
      <w:r w:rsidR="00B82901" w:rsidRPr="00BE1029">
        <w:rPr>
          <w:i/>
          <w:iCs/>
          <w:shd w:val="clear" w:color="auto" w:fill="FFFFFF"/>
        </w:rPr>
        <w:t xml:space="preserve">Guðmundur Andri Ástráðsson </w:t>
      </w:r>
      <w:r w:rsidR="00B82901" w:rsidRPr="00BE1029">
        <w:t xml:space="preserve">dhe në çështjen konkrete, në opinionin tim kundërshtues në çështjen </w:t>
      </w:r>
      <w:r w:rsidR="00B82901" w:rsidRPr="00BE1029">
        <w:rPr>
          <w:i/>
          <w:iCs/>
        </w:rPr>
        <w:lastRenderedPageBreak/>
        <w:t xml:space="preserve">Angerjäv dhe Greinoman kundër Estonisë </w:t>
      </w:r>
      <w:r w:rsidR="00B82901" w:rsidRPr="00BE1029">
        <w:t xml:space="preserve">(nr. 16358/18 dhe 34964/18, 4 </w:t>
      </w:r>
      <w:r w:rsidR="00D95D70" w:rsidRPr="00BE1029">
        <w:t xml:space="preserve">tetor </w:t>
      </w:r>
      <w:r w:rsidR="00B82901" w:rsidRPr="00BE1029">
        <w:t xml:space="preserve">2022 </w:t>
      </w:r>
      <w:r w:rsidR="006312F8">
        <w:t>–</w:t>
      </w:r>
      <w:r w:rsidR="00B82901" w:rsidRPr="00BE1029">
        <w:t xml:space="preserve"> një vendim i shpallur në të njëjtën datë me vendimin konkret). Shkurtimisht, unë parashtrova në atë opinion se duhet të ketë një hierarki garancish në </w:t>
      </w:r>
      <w:r w:rsidR="00F5245B" w:rsidRPr="00BE1029">
        <w:t xml:space="preserve">nenin </w:t>
      </w:r>
      <w:r w:rsidR="00B82901" w:rsidRPr="00BE1029">
        <w:t>6 dhe se garancia për një “gjykatë të krijuar me ligj” duhet të vendoset në krye të hierarkisë</w:t>
      </w:r>
      <w:r w:rsidR="00B82901" w:rsidRPr="00BE1029">
        <w:rPr>
          <w:rStyle w:val="FootnoteReference"/>
        </w:rPr>
        <w:footnoteReference w:id="4"/>
      </w:r>
      <w:r w:rsidR="00B82901" w:rsidRPr="00BE1029">
        <w:t xml:space="preserve">. Gjithashtu, unë parashtrova se, duke qenë se garancitë e </w:t>
      </w:r>
      <w:r w:rsidR="00F816F5">
        <w:t>s</w:t>
      </w:r>
      <w:r w:rsidR="00B82901" w:rsidRPr="00BE1029">
        <w:t xml:space="preserve">ë drejtës për një gjykim të drejtë, sipas </w:t>
      </w:r>
      <w:r w:rsidR="00F5245B" w:rsidRPr="00BE1029">
        <w:t xml:space="preserve">nenit </w:t>
      </w:r>
      <w:r w:rsidR="00B82901" w:rsidRPr="00BE1029">
        <w:t>6, janë element</w:t>
      </w:r>
      <w:r w:rsidR="00F5245B">
        <w:t>e</w:t>
      </w:r>
      <w:r w:rsidR="00B82901" w:rsidRPr="00BE1029">
        <w:t xml:space="preserve"> të kësaj të drejte, parimit të efikasitetit, për të përmbushur qëllimin e tij, duhet të ndihmojnë në dhënien e këtyre garancive – në çështjen konkrete garancia për një “gjykatë të krijuar me ligj” – të peshës dhe efektit të tyre të plotë dhe pasojat e tyre përkatëse të plota sipas normës së efikasitetit</w:t>
      </w:r>
      <w:r w:rsidR="00B82901" w:rsidRPr="00BE1029">
        <w:rPr>
          <w:rStyle w:val="FootnoteReference"/>
        </w:rPr>
        <w:footnoteReference w:id="5"/>
      </w:r>
      <w:r w:rsidR="00B82901" w:rsidRPr="00BE1029">
        <w:t xml:space="preserve">. </w:t>
      </w:r>
    </w:p>
    <w:p w14:paraId="11E34372" w14:textId="232682E8" w:rsidR="00B82901" w:rsidRPr="00BE1029" w:rsidRDefault="00F2653B" w:rsidP="00F2653B">
      <w:pPr>
        <w:pStyle w:val="TEKSTIIII"/>
      </w:pPr>
      <w:r w:rsidRPr="00BE1029">
        <w:t xml:space="preserve">7. </w:t>
      </w:r>
      <w:r w:rsidR="00B82901" w:rsidRPr="00BE1029">
        <w:t xml:space="preserve">Një çështje mbetet për t’u shqyrtuar në lidhje me këtë aspekt, më konkretisht ajo e pasojave të mungesës së garancisë së </w:t>
      </w:r>
      <w:r w:rsidR="0077672F" w:rsidRPr="00BE1029">
        <w:t xml:space="preserve">nenit </w:t>
      </w:r>
      <w:r w:rsidR="00B82901" w:rsidRPr="00BE1029">
        <w:t xml:space="preserve">6 për një “gjykatë të krijuar me ligj” për pjesën tjetër të ankesave. Duhet të theksohet se pjesa tjetër e ankesave në çështjen </w:t>
      </w:r>
      <w:r w:rsidR="00B82901" w:rsidRPr="00BE1029">
        <w:rPr>
          <w:i/>
          <w:iCs/>
          <w:shd w:val="clear" w:color="auto" w:fill="FFFFFF"/>
        </w:rPr>
        <w:t>Guðmundur Andri Ástráðsson</w:t>
      </w:r>
      <w:r w:rsidR="00B82901" w:rsidRPr="00BE1029">
        <w:rPr>
          <w:shd w:val="clear" w:color="auto" w:fill="FFFFFF"/>
        </w:rPr>
        <w:t xml:space="preserve"> kishte ankesa që kishin të bënin me </w:t>
      </w:r>
      <w:r w:rsidR="0077672F" w:rsidRPr="00BE1029">
        <w:rPr>
          <w:shd w:val="clear" w:color="auto" w:fill="FFFFFF"/>
        </w:rPr>
        <w:t xml:space="preserve">nenin </w:t>
      </w:r>
      <w:r w:rsidR="00B82901" w:rsidRPr="00BE1029">
        <w:rPr>
          <w:shd w:val="clear" w:color="auto" w:fill="FFFFFF"/>
        </w:rPr>
        <w:t xml:space="preserve">6 – veçanërisht, me mungesën e garancive të pavarësisë së një gjykate dhe të paanshmërisë së gjykatës. Në çështjen konkrete, megjithatë, ankesat e tjera kishin të bënin si me ankesat sipas </w:t>
      </w:r>
      <w:r w:rsidR="0077672F" w:rsidRPr="00BE1029">
        <w:rPr>
          <w:shd w:val="clear" w:color="auto" w:fill="FFFFFF"/>
        </w:rPr>
        <w:t xml:space="preserve">nenit </w:t>
      </w:r>
      <w:r w:rsidR="00B82901" w:rsidRPr="00BE1029">
        <w:rPr>
          <w:shd w:val="clear" w:color="auto" w:fill="FFFFFF"/>
        </w:rPr>
        <w:t xml:space="preserve">6 dhe një ankesë sipas </w:t>
      </w:r>
      <w:r w:rsidR="00DC34E2" w:rsidRPr="00BE1029">
        <w:rPr>
          <w:shd w:val="clear" w:color="auto" w:fill="FFFFFF"/>
        </w:rPr>
        <w:t xml:space="preserve">nenit </w:t>
      </w:r>
      <w:r w:rsidR="00B82901" w:rsidRPr="00BE1029">
        <w:rPr>
          <w:shd w:val="clear" w:color="auto" w:fill="FFFFFF"/>
        </w:rPr>
        <w:t xml:space="preserve">8 të Konventës. Siç theksohet në paragrafin 127 të vendimit, duke u mbështetur në këtë të drejtë për respektimin e jetës private, sipas </w:t>
      </w:r>
      <w:r w:rsidR="00BD05C6" w:rsidRPr="00BE1029">
        <w:rPr>
          <w:shd w:val="clear" w:color="auto" w:fill="FFFFFF"/>
        </w:rPr>
        <w:t xml:space="preserve">nenit </w:t>
      </w:r>
      <w:r w:rsidR="00B82901" w:rsidRPr="00BE1029">
        <w:rPr>
          <w:shd w:val="clear" w:color="auto" w:fill="FFFFFF"/>
        </w:rPr>
        <w:t xml:space="preserve">8 të Konventës, kërkuesi pretendonte se vendimi i Kolegjit të Posaçëm të Apelimit për ta shkarkuar atë nga detyra kishte shkaktuar një ndërhyrje në atë të drejtë, e cila nuk ishte as në përputhje me atë ligj dhe as proporcionale me qëllimet legjitime të ndjekura. Për këtë arsye, pyetja që ngrihet është nëse qasja ime në çështjen </w:t>
      </w:r>
      <w:r w:rsidR="00B82901" w:rsidRPr="00BE1029">
        <w:rPr>
          <w:i/>
          <w:iCs/>
          <w:shd w:val="clear" w:color="auto" w:fill="FFFFFF"/>
        </w:rPr>
        <w:t>Guðmundur Andri Ástráðsson</w:t>
      </w:r>
      <w:r w:rsidR="00B82901" w:rsidRPr="00BE1029">
        <w:rPr>
          <w:shd w:val="clear" w:color="auto" w:fill="FFFFFF"/>
        </w:rPr>
        <w:t xml:space="preserve">, më konkretisht që ankesat e tjera sipas </w:t>
      </w:r>
      <w:r w:rsidR="00B71D58" w:rsidRPr="00BE1029">
        <w:rPr>
          <w:shd w:val="clear" w:color="auto" w:fill="FFFFFF"/>
        </w:rPr>
        <w:t xml:space="preserve">nenit </w:t>
      </w:r>
      <w:r w:rsidR="00B82901" w:rsidRPr="00BE1029">
        <w:rPr>
          <w:shd w:val="clear" w:color="auto" w:fill="FFFFFF"/>
        </w:rPr>
        <w:t xml:space="preserve">6 ishin të papranueshme </w:t>
      </w:r>
      <w:r w:rsidR="00B82901" w:rsidRPr="00BE1029">
        <w:rPr>
          <w:i/>
          <w:iCs/>
          <w:shd w:val="clear" w:color="auto" w:fill="FFFFFF"/>
        </w:rPr>
        <w:t>ratione materiae</w:t>
      </w:r>
      <w:r w:rsidR="00B82901" w:rsidRPr="00BE1029">
        <w:rPr>
          <w:shd w:val="clear" w:color="auto" w:fill="FFFFFF"/>
        </w:rPr>
        <w:t xml:space="preserve">, zbatohet edhe në lidhje me ankesën sipas </w:t>
      </w:r>
      <w:r w:rsidR="00B71D58" w:rsidRPr="00BE1029">
        <w:rPr>
          <w:shd w:val="clear" w:color="auto" w:fill="FFFFFF"/>
        </w:rPr>
        <w:t xml:space="preserve">nenit </w:t>
      </w:r>
      <w:r w:rsidR="00B82901" w:rsidRPr="00BE1029">
        <w:rPr>
          <w:shd w:val="clear" w:color="auto" w:fill="FFFFFF"/>
        </w:rPr>
        <w:t xml:space="preserve">8, e cila është një e drejtë reale. </w:t>
      </w:r>
    </w:p>
    <w:p w14:paraId="569F2030" w14:textId="3C443A6A" w:rsidR="00B82901" w:rsidRPr="00BE1029" w:rsidRDefault="00F2653B" w:rsidP="004D64E1">
      <w:pPr>
        <w:pStyle w:val="TEKSTIIII"/>
      </w:pPr>
      <w:r w:rsidRPr="00BE1029">
        <w:rPr>
          <w:shd w:val="clear" w:color="auto" w:fill="FFFFFF"/>
        </w:rPr>
        <w:t xml:space="preserve">8. </w:t>
      </w:r>
      <w:r w:rsidR="00B82901" w:rsidRPr="00BE1029">
        <w:rPr>
          <w:shd w:val="clear" w:color="auto" w:fill="FFFFFF"/>
        </w:rPr>
        <w:t xml:space="preserve">Duhet të bëhet e qartë se ankesa sipas </w:t>
      </w:r>
      <w:r w:rsidR="00B71D58" w:rsidRPr="00BE1029">
        <w:rPr>
          <w:shd w:val="clear" w:color="auto" w:fill="FFFFFF"/>
        </w:rPr>
        <w:t xml:space="preserve">nenit </w:t>
      </w:r>
      <w:r w:rsidR="00B82901" w:rsidRPr="00BE1029">
        <w:rPr>
          <w:shd w:val="clear" w:color="auto" w:fill="FFFFFF"/>
        </w:rPr>
        <w:t xml:space="preserve">8 nuk mund të shkëputej nga ankesa se nuk ekzistonte një gjykatë e krijuar me ligj sipas </w:t>
      </w:r>
      <w:r w:rsidR="00B71D58" w:rsidRPr="00BE1029">
        <w:rPr>
          <w:shd w:val="clear" w:color="auto" w:fill="FFFFFF"/>
        </w:rPr>
        <w:t xml:space="preserve">nenit </w:t>
      </w:r>
      <w:r w:rsidR="00B82901" w:rsidRPr="00BE1029">
        <w:rPr>
          <w:shd w:val="clear" w:color="auto" w:fill="FFFFFF"/>
        </w:rPr>
        <w:t xml:space="preserve">6. Shkelja e pretenduar e </w:t>
      </w:r>
      <w:r w:rsidR="00B71D58" w:rsidRPr="00BE1029">
        <w:rPr>
          <w:shd w:val="clear" w:color="auto" w:fill="FFFFFF"/>
        </w:rPr>
        <w:t xml:space="preserve">nenit </w:t>
      </w:r>
      <w:r w:rsidR="00B82901" w:rsidRPr="00BE1029">
        <w:rPr>
          <w:shd w:val="clear" w:color="auto" w:fill="FFFFFF"/>
        </w:rPr>
        <w:t xml:space="preserve">8 nuk ekzistonte përpara shkeljes së pretenduar të </w:t>
      </w:r>
      <w:r w:rsidR="00B71D58" w:rsidRPr="00BE1029">
        <w:rPr>
          <w:shd w:val="clear" w:color="auto" w:fill="FFFFFF"/>
        </w:rPr>
        <w:t xml:space="preserve">nenit </w:t>
      </w:r>
      <w:r w:rsidR="00B82901" w:rsidRPr="00BE1029">
        <w:rPr>
          <w:shd w:val="clear" w:color="auto" w:fill="FFFFFF"/>
        </w:rPr>
        <w:t xml:space="preserve">6 (që do të thotë, se Kolegji i Posaçëm i Apelimit nuk ishte një gjykatë e krijuar me ligj), dhe nuk ishte as e pavarur nga ajo ankesë. Përkundrazi, ankesa për shkeljen e </w:t>
      </w:r>
      <w:r w:rsidR="004D64E1">
        <w:rPr>
          <w:shd w:val="clear" w:color="auto" w:fill="FFFFFF"/>
        </w:rPr>
        <w:t>s</w:t>
      </w:r>
      <w:r w:rsidR="00B82901" w:rsidRPr="00BE1029">
        <w:rPr>
          <w:shd w:val="clear" w:color="auto" w:fill="FFFFFF"/>
        </w:rPr>
        <w:t>ë drejtës për jetë private</w:t>
      </w:r>
      <w:r w:rsidR="004D64E1">
        <w:rPr>
          <w:shd w:val="clear" w:color="auto" w:fill="FFFFFF"/>
        </w:rPr>
        <w:t>,</w:t>
      </w:r>
      <w:r w:rsidR="00B82901" w:rsidRPr="00BE1029">
        <w:rPr>
          <w:shd w:val="clear" w:color="auto" w:fill="FFFFFF"/>
        </w:rPr>
        <w:t xml:space="preserve"> sipas </w:t>
      </w:r>
      <w:r w:rsidR="004D64E1" w:rsidRPr="00BE1029">
        <w:rPr>
          <w:shd w:val="clear" w:color="auto" w:fill="FFFFFF"/>
        </w:rPr>
        <w:t xml:space="preserve">nenit </w:t>
      </w:r>
      <w:r w:rsidR="00B82901" w:rsidRPr="00BE1029">
        <w:rPr>
          <w:shd w:val="clear" w:color="auto" w:fill="FFFFFF"/>
        </w:rPr>
        <w:t xml:space="preserve">8 ishte një përfundim i drejtpërdrejtë i shkeljes </w:t>
      </w:r>
      <w:r w:rsidR="004D64E1">
        <w:rPr>
          <w:shd w:val="clear" w:color="auto" w:fill="FFFFFF"/>
        </w:rPr>
        <w:t>s</w:t>
      </w:r>
      <w:r w:rsidR="00B82901" w:rsidRPr="00BE1029">
        <w:rPr>
          <w:shd w:val="clear" w:color="auto" w:fill="FFFFFF"/>
        </w:rPr>
        <w:t xml:space="preserve">ë </w:t>
      </w:r>
      <w:r w:rsidR="004D64E1">
        <w:rPr>
          <w:shd w:val="clear" w:color="auto" w:fill="FFFFFF"/>
        </w:rPr>
        <w:t>t</w:t>
      </w:r>
      <w:r w:rsidR="00B82901" w:rsidRPr="00BE1029">
        <w:rPr>
          <w:shd w:val="clear" w:color="auto" w:fill="FFFFFF"/>
        </w:rPr>
        <w:t xml:space="preserve">ë drejtës për një gjykatë të krijuar me ligj sipas </w:t>
      </w:r>
      <w:r w:rsidR="00F629B2" w:rsidRPr="00BE1029">
        <w:rPr>
          <w:shd w:val="clear" w:color="auto" w:fill="FFFFFF"/>
        </w:rPr>
        <w:t xml:space="preserve">nenit </w:t>
      </w:r>
      <w:r w:rsidR="00B82901" w:rsidRPr="00BE1029">
        <w:rPr>
          <w:shd w:val="clear" w:color="auto" w:fill="FFFFFF"/>
        </w:rPr>
        <w:t xml:space="preserve">6. Nëse shkelja e pretenduar e </w:t>
      </w:r>
      <w:r w:rsidR="00F629B2" w:rsidRPr="00BE1029">
        <w:rPr>
          <w:shd w:val="clear" w:color="auto" w:fill="FFFFFF"/>
        </w:rPr>
        <w:t xml:space="preserve">nenit </w:t>
      </w:r>
      <w:r w:rsidR="00B82901" w:rsidRPr="00BE1029">
        <w:rPr>
          <w:shd w:val="clear" w:color="auto" w:fill="FFFFFF"/>
        </w:rPr>
        <w:t xml:space="preserve">6 do të ekzistonte paraprakisht ose do të kishte qenë e pavarur nga shkelja sipas </w:t>
      </w:r>
      <w:r w:rsidR="00F629B2" w:rsidRPr="00BE1029">
        <w:rPr>
          <w:shd w:val="clear" w:color="auto" w:fill="FFFFFF"/>
        </w:rPr>
        <w:t xml:space="preserve">nenit </w:t>
      </w:r>
      <w:r w:rsidR="00B82901" w:rsidRPr="00BE1029">
        <w:rPr>
          <w:shd w:val="clear" w:color="auto" w:fill="FFFFFF"/>
        </w:rPr>
        <w:t xml:space="preserve">6, çështja do të kishte qenë ndryshe. </w:t>
      </w:r>
    </w:p>
    <w:p w14:paraId="31A2BEFC" w14:textId="3FF250EC" w:rsidR="00B82901" w:rsidRPr="00BE1029" w:rsidRDefault="006077C3" w:rsidP="008E6C83">
      <w:pPr>
        <w:pStyle w:val="TEKSTIIII"/>
      </w:pPr>
      <w:r w:rsidRPr="00BE1029">
        <w:rPr>
          <w:shd w:val="clear" w:color="auto" w:fill="FFFFFF"/>
        </w:rPr>
        <w:t xml:space="preserve">9. </w:t>
      </w:r>
      <w:r w:rsidR="00B82901" w:rsidRPr="00BE1029">
        <w:rPr>
          <w:shd w:val="clear" w:color="auto" w:fill="FFFFFF"/>
        </w:rPr>
        <w:t xml:space="preserve">Kështu, në mendimin tim, ndikimi i mungesës së garancisë për një “gjykatë të krijuar me ligj” në ankesën bërë sipas </w:t>
      </w:r>
      <w:r w:rsidR="00F629B2" w:rsidRPr="00BE1029">
        <w:rPr>
          <w:shd w:val="clear" w:color="auto" w:fill="FFFFFF"/>
        </w:rPr>
        <w:t xml:space="preserve">nenit </w:t>
      </w:r>
      <w:r w:rsidR="00B82901" w:rsidRPr="00BE1029">
        <w:rPr>
          <w:shd w:val="clear" w:color="auto" w:fill="FFFFFF"/>
        </w:rPr>
        <w:t>8 do të ishte e njëjtë si ajo e ankesave të tjera</w:t>
      </w:r>
      <w:r w:rsidR="00F629B2">
        <w:rPr>
          <w:shd w:val="clear" w:color="auto" w:fill="FFFFFF"/>
        </w:rPr>
        <w:t>,</w:t>
      </w:r>
      <w:r w:rsidR="00B82901" w:rsidRPr="00BE1029">
        <w:rPr>
          <w:shd w:val="clear" w:color="auto" w:fill="FFFFFF"/>
        </w:rPr>
        <w:t xml:space="preserve"> sipas </w:t>
      </w:r>
      <w:r w:rsidR="00F629B2" w:rsidRPr="00BE1029">
        <w:rPr>
          <w:shd w:val="clear" w:color="auto" w:fill="FFFFFF"/>
        </w:rPr>
        <w:t xml:space="preserve">nenit </w:t>
      </w:r>
      <w:r w:rsidR="00B82901" w:rsidRPr="00BE1029">
        <w:rPr>
          <w:shd w:val="clear" w:color="auto" w:fill="FFFFFF"/>
        </w:rPr>
        <w:t xml:space="preserve">6, duke i bërë të gjitha ato ankesa të papranueshme </w:t>
      </w:r>
      <w:r w:rsidR="00B82901" w:rsidRPr="00BE1029">
        <w:rPr>
          <w:i/>
          <w:iCs/>
          <w:shd w:val="clear" w:color="auto" w:fill="FFFFFF"/>
        </w:rPr>
        <w:t>ratione materiae</w:t>
      </w:r>
      <w:r w:rsidR="00B82901" w:rsidRPr="00BE1029">
        <w:rPr>
          <w:shd w:val="clear" w:color="auto" w:fill="FFFFFF"/>
        </w:rPr>
        <w:t xml:space="preserve"> dhe duke sjellë rrëzimin e tyre</w:t>
      </w:r>
      <w:r w:rsidR="008E6C83">
        <w:rPr>
          <w:shd w:val="clear" w:color="auto" w:fill="FFFFFF"/>
        </w:rPr>
        <w:t>,</w:t>
      </w:r>
      <w:r w:rsidR="00B82901" w:rsidRPr="00BE1029">
        <w:rPr>
          <w:shd w:val="clear" w:color="auto" w:fill="FFFFFF"/>
        </w:rPr>
        <w:t xml:space="preserve"> dhe duke qenë se të gjitha ato ankesa të tjera janë automatikisht të papranueshme, si rezultat i konstatimit se nuk ekzistonte një gjykatë e krijuar me ligj, në opinionin tim nuk është korrekte, apo të paktën e saktë, të thuhet, ashtu siç shprehet vendimi, se nuk është e nevojshme që të shqyrtohen ato ankesa. Kjo papranueshmëri e dukshme dhe automatike duhej të ishte njohur menjëherë dhe të ishte deklaruar nga Gjykata si e tillë, dhe Gjykata nuk duhej të thoshte thjesht se nuk ishte e nevojshme të shqyrtoheshin ankesat e tjera. </w:t>
      </w:r>
    </w:p>
    <w:p w14:paraId="5E503BDD" w14:textId="6A7453A4" w:rsidR="00B82901" w:rsidRPr="00BE1029" w:rsidRDefault="006077C3" w:rsidP="006077C3">
      <w:pPr>
        <w:pStyle w:val="TEKSTIIII"/>
        <w:rPr>
          <w:b/>
        </w:rPr>
      </w:pPr>
      <w:r w:rsidRPr="00BE1029">
        <w:rPr>
          <w:b/>
          <w:shd w:val="clear" w:color="auto" w:fill="FFFFFF"/>
        </w:rPr>
        <w:t xml:space="preserve">III. </w:t>
      </w:r>
      <w:r w:rsidR="00B82901" w:rsidRPr="00BE1029">
        <w:rPr>
          <w:b/>
          <w:shd w:val="clear" w:color="auto" w:fill="FFFFFF"/>
        </w:rPr>
        <w:t>Konstatimi i shkeljes në vetvete nuk është shpërblim i drejtë i përshtatshëm</w:t>
      </w:r>
    </w:p>
    <w:p w14:paraId="1CA8F6B6" w14:textId="6A9B588D" w:rsidR="00B82901" w:rsidRPr="00BE1029" w:rsidRDefault="006077C3" w:rsidP="00AE4B8B">
      <w:pPr>
        <w:pStyle w:val="TEKSTIIII"/>
      </w:pPr>
      <w:r w:rsidRPr="00BE1029">
        <w:rPr>
          <w:shd w:val="clear" w:color="auto" w:fill="FFFFFF"/>
        </w:rPr>
        <w:t xml:space="preserve">10. </w:t>
      </w:r>
      <w:r w:rsidR="00B82901" w:rsidRPr="00BE1029">
        <w:rPr>
          <w:shd w:val="clear" w:color="auto" w:fill="FFFFFF"/>
        </w:rPr>
        <w:t>Me respekt, unë nuk bie dakord me paragrafin 135 të vendimit dhe pikën korres</w:t>
      </w:r>
      <w:r w:rsidR="005B7F06" w:rsidRPr="00BE1029">
        <w:rPr>
          <w:shd w:val="clear" w:color="auto" w:fill="FFFFFF"/>
        </w:rPr>
        <w:t>p</w:t>
      </w:r>
      <w:r w:rsidR="00B82901" w:rsidRPr="00BE1029">
        <w:rPr>
          <w:shd w:val="clear" w:color="auto" w:fill="FFFFFF"/>
        </w:rPr>
        <w:t>onduese 5 të parashikimeve të tij operative, më konkretisht</w:t>
      </w:r>
      <w:r w:rsidR="004D2239">
        <w:rPr>
          <w:shd w:val="clear" w:color="auto" w:fill="FFFFFF"/>
        </w:rPr>
        <w:t>,</w:t>
      </w:r>
      <w:r w:rsidR="00B82901" w:rsidRPr="00BE1029">
        <w:rPr>
          <w:shd w:val="clear" w:color="auto" w:fill="FFFFFF"/>
        </w:rPr>
        <w:t xml:space="preserve"> se konstatimi i shkeljes ndaj </w:t>
      </w:r>
      <w:r w:rsidR="004D2239" w:rsidRPr="00BE1029">
        <w:rPr>
          <w:shd w:val="clear" w:color="auto" w:fill="FFFFFF"/>
        </w:rPr>
        <w:t xml:space="preserve">nenit </w:t>
      </w:r>
      <w:r w:rsidR="00B82901" w:rsidRPr="00BE1029">
        <w:rPr>
          <w:shd w:val="clear" w:color="auto" w:fill="FFFFFF"/>
        </w:rPr>
        <w:t xml:space="preserve">6 § 1 të Konventës përbënte shpërblim të drejtë të përshtatshëm apo të mjaftueshëm për qëllimet e Konventës, veçanërisht për sa kishte të bënte me shpërblimin jopasuror. Siç kam parashtruar edhe në opinione të tjera, </w:t>
      </w:r>
      <w:r w:rsidR="004D2239" w:rsidRPr="00BE1029">
        <w:rPr>
          <w:shd w:val="clear" w:color="auto" w:fill="FFFFFF"/>
        </w:rPr>
        <w:t xml:space="preserve">neni </w:t>
      </w:r>
      <w:r w:rsidR="00B82901" w:rsidRPr="00BE1029">
        <w:rPr>
          <w:shd w:val="clear" w:color="auto" w:fill="FFFFFF"/>
        </w:rPr>
        <w:t xml:space="preserve">41 i Konventës, në formulimin e tij, nuk mund të interpretohet me kuptimin se </w:t>
      </w:r>
      <w:r w:rsidR="00B82901" w:rsidRPr="00BE1029">
        <w:rPr>
          <w:shd w:val="clear" w:color="auto" w:fill="FFFFFF"/>
        </w:rPr>
        <w:lastRenderedPageBreak/>
        <w:t>konstatimi i shkeljes së parashikimit të Konventës në vetvete mund të përbënte mjaftueshëm “shpërblim të drejtë për palën e dëmtuar”. Kjo për arsyen se i pari është një parakusht për të dytin dhe ata nuk mund të konsiderohen si nene të njëjt</w:t>
      </w:r>
      <w:r w:rsidR="00FF6FD5">
        <w:rPr>
          <w:shd w:val="clear" w:color="auto" w:fill="FFFFFF"/>
        </w:rPr>
        <w:t>a</w:t>
      </w:r>
      <w:r w:rsidR="00B82901" w:rsidRPr="00BE1029">
        <w:rPr>
          <w:shd w:val="clear" w:color="auto" w:fill="FFFFFF"/>
        </w:rPr>
        <w:t xml:space="preserve"> (shih paragrafët 5</w:t>
      </w:r>
      <w:r w:rsidR="00AE4B8B">
        <w:t>–</w:t>
      </w:r>
      <w:r w:rsidR="00B82901" w:rsidRPr="00BE1029">
        <w:rPr>
          <w:shd w:val="clear" w:color="auto" w:fill="FFFFFF"/>
        </w:rPr>
        <w:t xml:space="preserve">9 të opinioneve të mia kundërshtuese me Gjyqtarin Felici në çështjen </w:t>
      </w:r>
      <w:r w:rsidR="00B82901" w:rsidRPr="00BE1029">
        <w:rPr>
          <w:i/>
          <w:iCs/>
          <w:shd w:val="clear" w:color="auto" w:fill="FFFFFF"/>
        </w:rPr>
        <w:t xml:space="preserve">Gręzęda kundër Polonisë </w:t>
      </w:r>
      <w:r w:rsidR="00B82901" w:rsidRPr="00BE1029">
        <w:rPr>
          <w:shd w:val="clear" w:color="auto" w:fill="FFFFFF"/>
        </w:rPr>
        <w:t xml:space="preserve">[DHM], nr. 43572/18, 15 </w:t>
      </w:r>
      <w:r w:rsidR="00D34816" w:rsidRPr="00BE1029">
        <w:rPr>
          <w:shd w:val="clear" w:color="auto" w:fill="FFFFFF"/>
        </w:rPr>
        <w:t xml:space="preserve">mars </w:t>
      </w:r>
      <w:r w:rsidR="00B82901" w:rsidRPr="00BE1029">
        <w:rPr>
          <w:shd w:val="clear" w:color="auto" w:fill="FFFFFF"/>
        </w:rPr>
        <w:t xml:space="preserve">2022; paragrafi 2 i opinionit tim pjesërisht kundërshtues në çështjen </w:t>
      </w:r>
      <w:r w:rsidR="00B82901" w:rsidRPr="00BE1029">
        <w:rPr>
          <w:i/>
          <w:iCs/>
          <w:shd w:val="clear" w:color="auto" w:fill="FFFFFF"/>
        </w:rPr>
        <w:t>Assemblée chrétienne des Témoins de Jéhovah d’Anderlecht dhe të Tjerët kundër Belgjikës</w:t>
      </w:r>
      <w:r w:rsidR="00B82901" w:rsidRPr="00BE1029">
        <w:rPr>
          <w:shd w:val="clear" w:color="auto" w:fill="FFFFFF"/>
        </w:rPr>
        <w:t xml:space="preserve">, nr. 20165/20, 5 </w:t>
      </w:r>
      <w:r w:rsidR="00D34816" w:rsidRPr="00BE1029">
        <w:rPr>
          <w:shd w:val="clear" w:color="auto" w:fill="FFFFFF"/>
        </w:rPr>
        <w:t xml:space="preserve">prill </w:t>
      </w:r>
      <w:r w:rsidR="00B82901" w:rsidRPr="00BE1029">
        <w:rPr>
          <w:shd w:val="clear" w:color="auto" w:fill="FFFFFF"/>
        </w:rPr>
        <w:t xml:space="preserve">2022; dhe paragrafi 9 i opinionit tim pjesërisht kundërshtues në çështjen </w:t>
      </w:r>
      <w:r w:rsidR="00B82901" w:rsidRPr="00BE1029">
        <w:rPr>
          <w:i/>
          <w:iCs/>
          <w:shd w:val="clear" w:color="auto" w:fill="FFFFFF"/>
        </w:rPr>
        <w:t>Abdi Ibrahim kundër Norvegjisë</w:t>
      </w:r>
      <w:r w:rsidR="00B82901" w:rsidRPr="00BE1029">
        <w:rPr>
          <w:shd w:val="clear" w:color="auto" w:fill="FFFFFF"/>
        </w:rPr>
        <w:t xml:space="preserve"> [DHM], nr. 15379/16, 10 </w:t>
      </w:r>
      <w:r w:rsidR="00D34816" w:rsidRPr="00BE1029">
        <w:rPr>
          <w:shd w:val="clear" w:color="auto" w:fill="FFFFFF"/>
        </w:rPr>
        <w:t xml:space="preserve">dhjetor </w:t>
      </w:r>
      <w:r w:rsidR="00B82901" w:rsidRPr="00BE1029">
        <w:rPr>
          <w:shd w:val="clear" w:color="auto" w:fill="FFFFFF"/>
        </w:rPr>
        <w:t xml:space="preserve">2021). </w:t>
      </w:r>
    </w:p>
    <w:p w14:paraId="190D6622" w14:textId="7C182A75" w:rsidR="00B82901" w:rsidRPr="00BE1029" w:rsidRDefault="00B82901" w:rsidP="00D34816">
      <w:pPr>
        <w:pStyle w:val="ECHRPara"/>
        <w:spacing w:after="0" w:line="240" w:lineRule="auto"/>
        <w:ind w:firstLine="284"/>
        <w:rPr>
          <w:rFonts w:ascii="Garamond" w:hAnsi="Garamond"/>
          <w:shd w:val="clear" w:color="auto" w:fill="FFFFFF"/>
        </w:rPr>
      </w:pPr>
      <w:r w:rsidRPr="00BE1029">
        <w:rPr>
          <w:rFonts w:ascii="Garamond" w:hAnsi="Garamond"/>
          <w:shd w:val="clear" w:color="auto" w:fill="FFFFFF"/>
        </w:rPr>
        <w:t>Mosakordimi për ankuesin i një shume për dëmin jopasuror</w:t>
      </w:r>
      <w:r w:rsidR="00D34816">
        <w:rPr>
          <w:rFonts w:ascii="Garamond" w:hAnsi="Garamond"/>
          <w:shd w:val="clear" w:color="auto" w:fill="FFFFFF"/>
        </w:rPr>
        <w:t>,</w:t>
      </w:r>
      <w:r w:rsidRPr="00BE1029">
        <w:rPr>
          <w:rFonts w:ascii="Garamond" w:hAnsi="Garamond"/>
          <w:shd w:val="clear" w:color="auto" w:fill="FFFFFF"/>
        </w:rPr>
        <w:t xml:space="preserve"> në lidhje me shkeljen e të drejtave të tij, sipas mendimit tim, e bën mbrojtjen e të drejtave të tij zhgënjyese dhe fiktive (shih, me të njëjtin efekt, opinionet referuar më sipër). Kjo është në kundërshtim me praktikën gjyqësore</w:t>
      </w:r>
      <w:r w:rsidR="00D34816">
        <w:rPr>
          <w:rFonts w:ascii="Garamond" w:hAnsi="Garamond"/>
          <w:shd w:val="clear" w:color="auto" w:fill="FFFFFF"/>
        </w:rPr>
        <w:t>,</w:t>
      </w:r>
      <w:r w:rsidRPr="00BE1029">
        <w:rPr>
          <w:rFonts w:ascii="Garamond" w:hAnsi="Garamond"/>
          <w:shd w:val="clear" w:color="auto" w:fill="FFFFFF"/>
        </w:rPr>
        <w:t xml:space="preserve"> duke bërë që mbrojtja e të drejtave të njeriut duhej të is</w:t>
      </w:r>
      <w:r w:rsidR="00D34816">
        <w:rPr>
          <w:rFonts w:ascii="Garamond" w:hAnsi="Garamond"/>
          <w:shd w:val="clear" w:color="auto" w:fill="FFFFFF"/>
        </w:rPr>
        <w:t>hte praktike dhe efikase dhe jo</w:t>
      </w:r>
      <w:r w:rsidRPr="00BE1029">
        <w:rPr>
          <w:rFonts w:ascii="Garamond" w:hAnsi="Garamond"/>
          <w:shd w:val="clear" w:color="auto" w:fill="FFFFFF"/>
        </w:rPr>
        <w:t>teorike dhe zhgënjyese, siç edhe kërkohej nga parimi i efikasitetit</w:t>
      </w:r>
      <w:r w:rsidR="00D34816">
        <w:rPr>
          <w:rFonts w:ascii="Garamond" w:hAnsi="Garamond"/>
          <w:shd w:val="clear" w:color="auto" w:fill="FFFFFF"/>
        </w:rPr>
        <w:t>,</w:t>
      </w:r>
      <w:r w:rsidRPr="00BE1029">
        <w:rPr>
          <w:rFonts w:ascii="Garamond" w:hAnsi="Garamond"/>
          <w:shd w:val="clear" w:color="auto" w:fill="FFFFFF"/>
        </w:rPr>
        <w:t xml:space="preserve"> i cili është pjes</w:t>
      </w:r>
      <w:r w:rsidR="00D34816">
        <w:rPr>
          <w:rFonts w:ascii="Garamond" w:hAnsi="Garamond"/>
          <w:shd w:val="clear" w:color="auto" w:fill="FFFFFF"/>
        </w:rPr>
        <w:t>ë</w:t>
      </w:r>
      <w:r w:rsidRPr="00BE1029">
        <w:rPr>
          <w:rFonts w:ascii="Garamond" w:hAnsi="Garamond"/>
          <w:shd w:val="clear" w:color="auto" w:fill="FFFFFF"/>
        </w:rPr>
        <w:t xml:space="preserve"> thelbësore e Konventës (shih </w:t>
      </w:r>
      <w:r w:rsidRPr="00BE1029">
        <w:rPr>
          <w:rFonts w:ascii="Garamond" w:hAnsi="Garamond"/>
          <w:i/>
          <w:iCs/>
          <w:shd w:val="clear" w:color="auto" w:fill="FFFFFF"/>
        </w:rPr>
        <w:t xml:space="preserve">Artico kundër Italisë, </w:t>
      </w:r>
      <w:r w:rsidRPr="00BE1029">
        <w:rPr>
          <w:rFonts w:ascii="Garamond" w:hAnsi="Garamond"/>
          <w:shd w:val="clear" w:color="auto" w:fill="FFFFFF"/>
        </w:rPr>
        <w:t xml:space="preserve">13 </w:t>
      </w:r>
      <w:r w:rsidR="00866E96" w:rsidRPr="00BE1029">
        <w:rPr>
          <w:rFonts w:ascii="Garamond" w:hAnsi="Garamond"/>
          <w:shd w:val="clear" w:color="auto" w:fill="FFFFFF"/>
        </w:rPr>
        <w:t xml:space="preserve">maj </w:t>
      </w:r>
      <w:r w:rsidRPr="00BE1029">
        <w:rPr>
          <w:rFonts w:ascii="Garamond" w:hAnsi="Garamond"/>
          <w:shd w:val="clear" w:color="auto" w:fill="FFFFFF"/>
        </w:rPr>
        <w:t>1980, §§ 33 dhe 47</w:t>
      </w:r>
      <w:r w:rsidR="00F34435" w:rsidRPr="00BE1029">
        <w:rPr>
          <w:rFonts w:ascii="Garamond" w:hAnsi="Garamond"/>
          <w:shd w:val="clear" w:color="auto" w:fill="FFFFFF"/>
        </w:rPr>
        <w:t>–</w:t>
      </w:r>
      <w:r w:rsidRPr="00BE1029">
        <w:rPr>
          <w:rFonts w:ascii="Garamond" w:hAnsi="Garamond"/>
          <w:shd w:val="clear" w:color="auto" w:fill="FFFFFF"/>
        </w:rPr>
        <w:t xml:space="preserve">48, </w:t>
      </w:r>
      <w:r w:rsidR="00F34435" w:rsidRPr="00BE1029">
        <w:rPr>
          <w:rFonts w:ascii="Garamond" w:hAnsi="Garamond"/>
          <w:shd w:val="clear" w:color="auto" w:fill="FFFFFF"/>
        </w:rPr>
        <w:t xml:space="preserve">seritë </w:t>
      </w:r>
      <w:r w:rsidRPr="00BE1029">
        <w:rPr>
          <w:rFonts w:ascii="Garamond" w:hAnsi="Garamond"/>
          <w:shd w:val="clear" w:color="auto" w:fill="FFFFFF"/>
        </w:rPr>
        <w:t>A</w:t>
      </w:r>
      <w:r w:rsidR="00866E96">
        <w:rPr>
          <w:rFonts w:ascii="Garamond" w:hAnsi="Garamond"/>
          <w:shd w:val="clear" w:color="auto" w:fill="FFFFFF"/>
        </w:rPr>
        <w:t>,</w:t>
      </w:r>
      <w:r w:rsidRPr="00BE1029">
        <w:rPr>
          <w:rFonts w:ascii="Garamond" w:hAnsi="Garamond"/>
          <w:shd w:val="clear" w:color="auto" w:fill="FFFFFF"/>
        </w:rPr>
        <w:t xml:space="preserve"> nr. 37). </w:t>
      </w:r>
    </w:p>
    <w:p w14:paraId="3213DACD" w14:textId="6C6CCA88" w:rsidR="00B82901" w:rsidRPr="00BE1029" w:rsidRDefault="006077C3" w:rsidP="006077C3">
      <w:pPr>
        <w:pStyle w:val="TEKSTIIII"/>
      </w:pPr>
      <w:r w:rsidRPr="00BE1029">
        <w:rPr>
          <w:shd w:val="clear" w:color="auto" w:fill="FFFFFF"/>
        </w:rPr>
        <w:t xml:space="preserve">11. </w:t>
      </w:r>
      <w:r w:rsidR="00B82901" w:rsidRPr="00BE1029">
        <w:rPr>
          <w:shd w:val="clear" w:color="auto" w:fill="FFFFFF"/>
        </w:rPr>
        <w:t>Nëse kërkuesi nuk do të kishte kërkuar t’i akordohej shuma simbolike prej 1 euro</w:t>
      </w:r>
      <w:r w:rsidR="00763DBB">
        <w:rPr>
          <w:shd w:val="clear" w:color="auto" w:fill="FFFFFF"/>
        </w:rPr>
        <w:t>sh</w:t>
      </w:r>
      <w:r w:rsidR="00B82901" w:rsidRPr="00BE1029">
        <w:rPr>
          <w:shd w:val="clear" w:color="auto" w:fill="FFFFFF"/>
        </w:rPr>
        <w:t xml:space="preserve"> për dëmin jopasuror (shih paragrafin 132 të vendimit), dhe nëse unë nuk do të isha në minorancë, unë do t’i kisha akorduar ankuesit një shumë të rëndësishme për dëmin jopasuror. Megjithatë, duke qenë se çështja ka të bëjë me dëmin jopasuror dhe sipas rregullit </w:t>
      </w:r>
      <w:r w:rsidR="00B82901" w:rsidRPr="00BE1029">
        <w:rPr>
          <w:i/>
          <w:iCs/>
          <w:shd w:val="clear" w:color="auto" w:fill="FFFFFF"/>
        </w:rPr>
        <w:t xml:space="preserve">non ultra petita </w:t>
      </w:r>
      <w:r w:rsidR="00B82901" w:rsidRPr="00BE1029">
        <w:rPr>
          <w:shd w:val="clear" w:color="auto" w:fill="FFFFFF"/>
        </w:rPr>
        <w:t xml:space="preserve">(jo përtej kërkesës), përfundimisht, unë do t’i kisha akorduar atë çfarë ai kërkoi, dhe nuk do të kisha zbatuar as kriterin e pranueshmërisë në </w:t>
      </w:r>
      <w:r w:rsidR="009B4913" w:rsidRPr="00BE1029">
        <w:rPr>
          <w:shd w:val="clear" w:color="auto" w:fill="FFFFFF"/>
        </w:rPr>
        <w:t xml:space="preserve">nenin </w:t>
      </w:r>
      <w:r w:rsidR="00B82901" w:rsidRPr="00BE1029">
        <w:rPr>
          <w:shd w:val="clear" w:color="auto" w:fill="FFFFFF"/>
        </w:rPr>
        <w:t xml:space="preserve">35 § 3 (b) (asnjë disavantazh i rëndësishëm), dhe as rregullin </w:t>
      </w:r>
      <w:r w:rsidR="00B82901" w:rsidRPr="00BE1029">
        <w:rPr>
          <w:i/>
          <w:iCs/>
          <w:shd w:val="clear" w:color="auto" w:fill="FFFFFF"/>
        </w:rPr>
        <w:t>de minimis non curat praetor</w:t>
      </w:r>
      <w:r w:rsidR="00B82901" w:rsidRPr="00BE1029">
        <w:rPr>
          <w:shd w:val="clear" w:color="auto" w:fill="FFFFFF"/>
        </w:rPr>
        <w:t xml:space="preserve"> (gjykata nuk merret me vogëlsira). </w:t>
      </w:r>
    </w:p>
    <w:p w14:paraId="11FB78E9" w14:textId="1096E941" w:rsidR="00B82901" w:rsidRPr="00BE1029" w:rsidRDefault="006077C3" w:rsidP="00865CB4">
      <w:pPr>
        <w:pStyle w:val="TEKSTIIII"/>
        <w:rPr>
          <w:b/>
          <w:bCs/>
        </w:rPr>
      </w:pPr>
      <w:r w:rsidRPr="00BE1029">
        <w:rPr>
          <w:b/>
          <w:bCs/>
          <w:shd w:val="clear" w:color="auto" w:fill="FFFFFF"/>
        </w:rPr>
        <w:t xml:space="preserve">IV. </w:t>
      </w:r>
      <w:r w:rsidR="00B82901" w:rsidRPr="00BE1029">
        <w:rPr>
          <w:b/>
          <w:bCs/>
          <w:shd w:val="clear" w:color="auto" w:fill="FFFFFF"/>
        </w:rPr>
        <w:t>Përfundim</w:t>
      </w:r>
    </w:p>
    <w:p w14:paraId="59D86092" w14:textId="17B33BAC" w:rsidR="00B82901" w:rsidRPr="00BE1029" w:rsidRDefault="006077C3" w:rsidP="006077C3">
      <w:pPr>
        <w:pStyle w:val="TEKSTIIII"/>
      </w:pPr>
      <w:r w:rsidRPr="00BE1029">
        <w:rPr>
          <w:shd w:val="clear" w:color="auto" w:fill="FFFFFF"/>
        </w:rPr>
        <w:t xml:space="preserve">12. </w:t>
      </w:r>
      <w:r w:rsidR="00B82901" w:rsidRPr="00BE1029">
        <w:rPr>
          <w:shd w:val="clear" w:color="auto" w:fill="FFFFFF"/>
        </w:rPr>
        <w:t xml:space="preserve">Sa më sipër, unë arrij në përfundimin, në lidhje me pikat mbi të cilat </w:t>
      </w:r>
      <w:r w:rsidR="0019494C" w:rsidRPr="00BE1029">
        <w:rPr>
          <w:shd w:val="clear" w:color="auto" w:fill="FFFFFF"/>
        </w:rPr>
        <w:t xml:space="preserve">unë ndryshoja nga shumica, se: </w:t>
      </w:r>
      <w:r w:rsidR="00B82901" w:rsidRPr="00BE1029">
        <w:rPr>
          <w:shd w:val="clear" w:color="auto" w:fill="FFFFFF"/>
        </w:rPr>
        <w:t xml:space="preserve">a) duke konstatuar se nuk ekziston një “gjykatë e krijuar me ligj”, ankesat e tjera ishin automatikisht të papranueshme </w:t>
      </w:r>
      <w:r w:rsidR="00B82901" w:rsidRPr="00BE1029">
        <w:rPr>
          <w:i/>
          <w:iCs/>
          <w:shd w:val="clear" w:color="auto" w:fill="FFFFFF"/>
        </w:rPr>
        <w:t>ratione materiae</w:t>
      </w:r>
      <w:r w:rsidR="00097554">
        <w:rPr>
          <w:shd w:val="clear" w:color="auto" w:fill="FFFFFF"/>
        </w:rPr>
        <w:t xml:space="preserve"> </w:t>
      </w:r>
      <w:r w:rsidR="00B82901" w:rsidRPr="00BE1029">
        <w:rPr>
          <w:shd w:val="clear" w:color="auto" w:fill="FFFFFF"/>
        </w:rPr>
        <w:t>dhe</w:t>
      </w:r>
      <w:r w:rsidR="00097554">
        <w:rPr>
          <w:shd w:val="clear" w:color="auto" w:fill="FFFFFF"/>
        </w:rPr>
        <w:t>,</w:t>
      </w:r>
      <w:r w:rsidR="00B82901" w:rsidRPr="00BE1029">
        <w:rPr>
          <w:shd w:val="clear" w:color="auto" w:fill="FFFFFF"/>
        </w:rPr>
        <w:t xml:space="preserve"> për këtë arsye, Gjykata duhej të kishte nxjerrë një përfundim për këtë aspekt dhe të m</w:t>
      </w:r>
      <w:r w:rsidR="0019494C" w:rsidRPr="00BE1029">
        <w:rPr>
          <w:shd w:val="clear" w:color="auto" w:fill="FFFFFF"/>
        </w:rPr>
        <w:t xml:space="preserve">os i linte të pavendosura; dhe </w:t>
      </w:r>
      <w:r w:rsidR="00B82901" w:rsidRPr="00BE1029">
        <w:rPr>
          <w:shd w:val="clear" w:color="auto" w:fill="FFFFFF"/>
        </w:rPr>
        <w:t xml:space="preserve">b) se ankuesit duhej t’i ishte akorduar shuma simbolike e kërkuar prej tij për dëmin jopasuror. </w:t>
      </w:r>
    </w:p>
    <w:p w14:paraId="47CE9535" w14:textId="77777777" w:rsidR="00B82901" w:rsidRPr="00BE1029" w:rsidRDefault="00B82901" w:rsidP="00A43DB1">
      <w:pPr>
        <w:spacing w:after="0" w:line="240" w:lineRule="auto"/>
        <w:ind w:firstLine="284"/>
        <w:jc w:val="both"/>
        <w:rPr>
          <w:rFonts w:ascii="Garamond" w:hAnsi="Garamond"/>
          <w:i/>
          <w:sz w:val="24"/>
          <w:szCs w:val="24"/>
          <w:lang w:val="sq-AL"/>
        </w:rPr>
      </w:pPr>
    </w:p>
    <w:sectPr w:rsidR="00B82901" w:rsidRPr="00BE10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8A1953" w14:textId="77777777" w:rsidR="00F17296" w:rsidRDefault="00F17296" w:rsidP="00B82901">
      <w:pPr>
        <w:spacing w:after="0" w:line="240" w:lineRule="auto"/>
      </w:pPr>
      <w:r>
        <w:separator/>
      </w:r>
    </w:p>
  </w:endnote>
  <w:endnote w:type="continuationSeparator" w:id="0">
    <w:p w14:paraId="654B37B4" w14:textId="77777777" w:rsidR="00F17296" w:rsidRDefault="00F17296" w:rsidP="00B82901">
      <w:pPr>
        <w:spacing w:after="0" w:line="240" w:lineRule="auto"/>
      </w:pPr>
      <w:r>
        <w:continuationSeparator/>
      </w:r>
    </w:p>
  </w:endnote>
  <w:endnote w:type="continuationNotice" w:id="1">
    <w:p w14:paraId="7FD26230" w14:textId="77777777" w:rsidR="00404951" w:rsidRDefault="004049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MS Sans Serif">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F043EA" w14:textId="77777777" w:rsidR="00F17296" w:rsidRDefault="00F17296" w:rsidP="00B82901">
      <w:pPr>
        <w:spacing w:after="0" w:line="240" w:lineRule="auto"/>
      </w:pPr>
      <w:r>
        <w:separator/>
      </w:r>
    </w:p>
  </w:footnote>
  <w:footnote w:type="continuationSeparator" w:id="0">
    <w:p w14:paraId="5E74E539" w14:textId="77777777" w:rsidR="00F17296" w:rsidRDefault="00F17296" w:rsidP="00B82901">
      <w:pPr>
        <w:spacing w:after="0" w:line="240" w:lineRule="auto"/>
      </w:pPr>
      <w:r>
        <w:continuationSeparator/>
      </w:r>
    </w:p>
  </w:footnote>
  <w:footnote w:type="continuationNotice" w:id="1">
    <w:p w14:paraId="75213948" w14:textId="77777777" w:rsidR="00404951" w:rsidRDefault="00404951">
      <w:pPr>
        <w:spacing w:after="0" w:line="240" w:lineRule="auto"/>
      </w:pPr>
    </w:p>
  </w:footnote>
  <w:footnote w:id="2">
    <w:p w14:paraId="5CFDB40D" w14:textId="77777777" w:rsidR="00F17296" w:rsidRPr="00A27023" w:rsidRDefault="00F17296" w:rsidP="00F2653B">
      <w:pPr>
        <w:pStyle w:val="FootnoteText"/>
        <w:spacing w:after="0" w:line="240" w:lineRule="auto"/>
        <w:rPr>
          <w:rFonts w:ascii="Garamond" w:hAnsi="Garamond"/>
          <w:lang w:val="sq-AL"/>
        </w:rPr>
      </w:pPr>
      <w:r w:rsidRPr="00A27023">
        <w:rPr>
          <w:rStyle w:val="FootnoteReference"/>
          <w:rFonts w:ascii="Garamond" w:hAnsi="Garamond"/>
          <w:lang w:val="sq-AL"/>
        </w:rPr>
        <w:footnoteRef/>
      </w:r>
      <w:r w:rsidRPr="00A27023">
        <w:rPr>
          <w:rFonts w:ascii="Garamond" w:hAnsi="Garamond"/>
          <w:lang w:val="sq-AL"/>
        </w:rPr>
        <w:t xml:space="preserve"> Shih paragrafin 4 të opinionit.</w:t>
      </w:r>
    </w:p>
  </w:footnote>
  <w:footnote w:id="3">
    <w:p w14:paraId="0BF14FF6" w14:textId="77777777" w:rsidR="00F17296" w:rsidRPr="00A27023" w:rsidRDefault="00F17296" w:rsidP="00F2653B">
      <w:pPr>
        <w:pStyle w:val="FootnoteText"/>
        <w:spacing w:after="0" w:line="240" w:lineRule="auto"/>
        <w:rPr>
          <w:rFonts w:ascii="Garamond" w:hAnsi="Garamond"/>
          <w:lang w:val="sq-AL"/>
        </w:rPr>
      </w:pPr>
      <w:r w:rsidRPr="00A27023">
        <w:rPr>
          <w:rStyle w:val="FootnoteReference"/>
          <w:rFonts w:ascii="Garamond" w:hAnsi="Garamond"/>
          <w:lang w:val="sq-AL"/>
        </w:rPr>
        <w:footnoteRef/>
      </w:r>
      <w:r w:rsidRPr="00A27023">
        <w:rPr>
          <w:rFonts w:ascii="Garamond" w:hAnsi="Garamond"/>
          <w:lang w:val="sq-AL"/>
        </w:rPr>
        <w:t xml:space="preserve"> Po aty, në paragrafin 5.</w:t>
      </w:r>
    </w:p>
  </w:footnote>
  <w:footnote w:id="4">
    <w:p w14:paraId="43953FCC" w14:textId="77777777" w:rsidR="00F17296" w:rsidRPr="00A27023" w:rsidRDefault="00F17296" w:rsidP="00F2653B">
      <w:pPr>
        <w:pStyle w:val="FootnoteText"/>
        <w:spacing w:after="0" w:line="240" w:lineRule="auto"/>
        <w:rPr>
          <w:rFonts w:ascii="Garamond" w:hAnsi="Garamond"/>
          <w:lang w:val="sq-AL"/>
        </w:rPr>
      </w:pPr>
      <w:r w:rsidRPr="00A27023">
        <w:rPr>
          <w:rStyle w:val="FootnoteReference"/>
          <w:rFonts w:ascii="Garamond" w:hAnsi="Garamond"/>
          <w:lang w:val="sq-AL"/>
        </w:rPr>
        <w:footnoteRef/>
      </w:r>
      <w:r w:rsidRPr="00A27023">
        <w:rPr>
          <w:rFonts w:ascii="Garamond" w:hAnsi="Garamond"/>
          <w:lang w:val="sq-AL"/>
        </w:rPr>
        <w:t xml:space="preserve"> Shih paragrafin 28 të atij opinioni.</w:t>
      </w:r>
    </w:p>
  </w:footnote>
  <w:footnote w:id="5">
    <w:p w14:paraId="4FBD4E20" w14:textId="37DD981F" w:rsidR="00F17296" w:rsidRPr="00A27023" w:rsidRDefault="00F17296" w:rsidP="006C2150">
      <w:pPr>
        <w:pStyle w:val="FootnoteText"/>
        <w:spacing w:after="0" w:line="240" w:lineRule="auto"/>
        <w:rPr>
          <w:lang w:val="sq-AL"/>
        </w:rPr>
      </w:pPr>
      <w:r w:rsidRPr="00A27023">
        <w:rPr>
          <w:rStyle w:val="FootnoteReference"/>
          <w:rFonts w:ascii="Garamond" w:hAnsi="Garamond"/>
          <w:lang w:val="sq-AL"/>
        </w:rPr>
        <w:footnoteRef/>
      </w:r>
      <w:r w:rsidRPr="00A27023">
        <w:rPr>
          <w:rFonts w:ascii="Garamond" w:hAnsi="Garamond"/>
          <w:lang w:val="sq-AL"/>
        </w:rPr>
        <w:t xml:space="preserve"> Shih paragrafët 30</w:t>
      </w:r>
      <w:r w:rsidR="00865CB4" w:rsidRPr="00A27023">
        <w:rPr>
          <w:rFonts w:ascii="Garamond" w:hAnsi="Garamond"/>
          <w:lang w:val="sq-AL"/>
        </w:rPr>
        <w:t>–</w:t>
      </w:r>
      <w:r w:rsidRPr="004D2239">
        <w:rPr>
          <w:rFonts w:ascii="Garamond" w:hAnsi="Garamond"/>
          <w:lang w:val="sq-AL"/>
        </w:rPr>
        <w:t>31 të at</w:t>
      </w:r>
      <w:r w:rsidR="006C2150" w:rsidRPr="004D2239">
        <w:rPr>
          <w:rFonts w:ascii="Garamond" w:hAnsi="Garamond"/>
          <w:lang w:val="sq-AL"/>
        </w:rPr>
        <w:t>i</w:t>
      </w:r>
      <w:r w:rsidRPr="004D2239">
        <w:rPr>
          <w:rFonts w:ascii="Garamond" w:hAnsi="Garamond"/>
          <w:lang w:val="sq-AL"/>
        </w:rPr>
        <w:t>j</w:t>
      </w:r>
      <w:r w:rsidRPr="00A27023">
        <w:rPr>
          <w:rFonts w:ascii="Garamond" w:hAnsi="Garamond"/>
          <w:lang w:val="sq-AL"/>
        </w:rPr>
        <w:t xml:space="preserve"> opinioni.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09A40C7"/>
    <w:multiLevelType w:val="hybridMultilevel"/>
    <w:tmpl w:val="7A5A5F14"/>
    <w:lvl w:ilvl="0" w:tplc="C01EEBAA">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0" w15:restartNumberingAfterBreak="0">
    <w:nsid w:val="03870908"/>
    <w:multiLevelType w:val="hybridMultilevel"/>
    <w:tmpl w:val="88827310"/>
    <w:lvl w:ilvl="0" w:tplc="D37CF812">
      <w:start w:val="1"/>
      <w:numFmt w:val="decimal"/>
      <w:lvlText w:val="%1."/>
      <w:lvlJc w:val="left"/>
      <w:pPr>
        <w:ind w:left="720" w:hanging="36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C641157"/>
    <w:multiLevelType w:val="multilevel"/>
    <w:tmpl w:val="9B34AC6C"/>
    <w:lvl w:ilvl="0">
      <w:start w:val="1"/>
      <w:numFmt w:val="decimal"/>
      <w:pStyle w:val="Heading1"/>
      <w:lvlText w:val="%1."/>
      <w:lvlJc w:val="left"/>
      <w:pPr>
        <w:tabs>
          <w:tab w:val="num" w:pos="964"/>
        </w:tabs>
        <w:ind w:left="964" w:hanging="397"/>
      </w:pPr>
      <w:rPr>
        <w:rFonts w:hint="default"/>
      </w:rPr>
    </w:lvl>
    <w:lvl w:ilvl="1">
      <w:start w:val="1"/>
      <w:numFmt w:val="lowerLetter"/>
      <w:pStyle w:val="Heading2"/>
      <w:lvlText w:val="%2."/>
      <w:lvlJc w:val="left"/>
      <w:pPr>
        <w:tabs>
          <w:tab w:val="num" w:pos="1361"/>
        </w:tabs>
        <w:ind w:left="1361" w:hanging="397"/>
      </w:pPr>
      <w:rPr>
        <w:rFonts w:hint="default"/>
      </w:rPr>
    </w:lvl>
    <w:lvl w:ilvl="2">
      <w:start w:val="1"/>
      <w:numFmt w:val="lowerRoman"/>
      <w:pStyle w:val="Heading3"/>
      <w:lvlText w:val="%3."/>
      <w:lvlJc w:val="left"/>
      <w:pPr>
        <w:tabs>
          <w:tab w:val="num" w:pos="1758"/>
        </w:tabs>
        <w:ind w:left="1758" w:hanging="397"/>
      </w:pPr>
      <w:rPr>
        <w:rFonts w:hint="default"/>
      </w:rPr>
    </w:lvl>
    <w:lvl w:ilvl="3">
      <w:start w:val="1"/>
      <w:numFmt w:val="decimal"/>
      <w:pStyle w:val="Heading4"/>
      <w:lvlText w:val="(%4)"/>
      <w:lvlJc w:val="left"/>
      <w:pPr>
        <w:tabs>
          <w:tab w:val="num" w:pos="1703"/>
        </w:tabs>
        <w:ind w:left="1703" w:hanging="284"/>
      </w:pPr>
      <w:rPr>
        <w:rFonts w:hint="default"/>
      </w:rPr>
    </w:lvl>
    <w:lvl w:ilvl="4">
      <w:start w:val="1"/>
      <w:numFmt w:val="lowerLetter"/>
      <w:pStyle w:val="Heading5"/>
      <w:lvlText w:val="(%5)"/>
      <w:lvlJc w:val="left"/>
      <w:pPr>
        <w:tabs>
          <w:tab w:val="num" w:pos="1987"/>
        </w:tabs>
        <w:ind w:left="1987" w:hanging="284"/>
      </w:pPr>
      <w:rPr>
        <w:rFonts w:hint="default"/>
      </w:rPr>
    </w:lvl>
    <w:lvl w:ilvl="5">
      <w:start w:val="1"/>
      <w:numFmt w:val="lowerRoman"/>
      <w:pStyle w:val="Heading6"/>
      <w:lvlText w:val="(%6)"/>
      <w:lvlJc w:val="left"/>
      <w:pPr>
        <w:tabs>
          <w:tab w:val="num" w:pos="2271"/>
        </w:tabs>
        <w:ind w:left="2271" w:hanging="284"/>
      </w:pPr>
      <w:rPr>
        <w:rFonts w:hint="default"/>
      </w:rPr>
    </w:lvl>
    <w:lvl w:ilvl="6">
      <w:start w:val="1"/>
      <w:numFmt w:val="decimal"/>
      <w:pStyle w:val="Heading7"/>
      <w:lvlText w:val="%7."/>
      <w:lvlJc w:val="left"/>
      <w:pPr>
        <w:tabs>
          <w:tab w:val="num" w:pos="2555"/>
        </w:tabs>
        <w:ind w:left="2555" w:hanging="284"/>
      </w:pPr>
      <w:rPr>
        <w:rFonts w:hint="default"/>
      </w:rPr>
    </w:lvl>
    <w:lvl w:ilvl="7">
      <w:start w:val="1"/>
      <w:numFmt w:val="lowerLetter"/>
      <w:pStyle w:val="Heading8"/>
      <w:lvlText w:val="%8."/>
      <w:lvlJc w:val="left"/>
      <w:pPr>
        <w:tabs>
          <w:tab w:val="num" w:pos="2839"/>
        </w:tabs>
        <w:ind w:left="2839" w:hanging="284"/>
      </w:pPr>
      <w:rPr>
        <w:rFonts w:hint="default"/>
      </w:rPr>
    </w:lvl>
    <w:lvl w:ilvl="8">
      <w:start w:val="1"/>
      <w:numFmt w:val="lowerRoman"/>
      <w:pStyle w:val="Heading9"/>
      <w:lvlText w:val="%9."/>
      <w:lvlJc w:val="left"/>
      <w:pPr>
        <w:tabs>
          <w:tab w:val="num" w:pos="3123"/>
        </w:tabs>
        <w:ind w:left="3123" w:hanging="284"/>
      </w:pPr>
      <w:rPr>
        <w:rFonts w:hint="default"/>
      </w:rPr>
    </w:lvl>
  </w:abstractNum>
  <w:abstractNum w:abstractNumId="12" w15:restartNumberingAfterBreak="0">
    <w:nsid w:val="0F850221"/>
    <w:multiLevelType w:val="hybridMultilevel"/>
    <w:tmpl w:val="0B44724E"/>
    <w:lvl w:ilvl="0" w:tplc="B2864664">
      <w:start w:val="1"/>
      <w:numFmt w:val="upp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7B24845"/>
    <w:multiLevelType w:val="hybridMultilevel"/>
    <w:tmpl w:val="587280C6"/>
    <w:lvl w:ilvl="0" w:tplc="E964234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4" w15:restartNumberingAfterBreak="0">
    <w:nsid w:val="1A195902"/>
    <w:multiLevelType w:val="hybridMultilevel"/>
    <w:tmpl w:val="8BE40B0A"/>
    <w:lvl w:ilvl="0" w:tplc="68A62C3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1F955D9D"/>
    <w:multiLevelType w:val="hybridMultilevel"/>
    <w:tmpl w:val="C0AAE72E"/>
    <w:lvl w:ilvl="0" w:tplc="2BBAEBC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22FE1E15"/>
    <w:multiLevelType w:val="hybridMultilevel"/>
    <w:tmpl w:val="9842989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93F7D8E"/>
    <w:multiLevelType w:val="hybridMultilevel"/>
    <w:tmpl w:val="4BA0900E"/>
    <w:lvl w:ilvl="0" w:tplc="B1521FB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2ADD27BB"/>
    <w:multiLevelType w:val="hybridMultilevel"/>
    <w:tmpl w:val="65EA28D0"/>
    <w:lvl w:ilvl="0" w:tplc="3A9E33CA">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2E24FE2"/>
    <w:multiLevelType w:val="hybridMultilevel"/>
    <w:tmpl w:val="E6CCB21C"/>
    <w:lvl w:ilvl="0" w:tplc="0AACA7C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42240AC"/>
    <w:multiLevelType w:val="hybridMultilevel"/>
    <w:tmpl w:val="42B43DEC"/>
    <w:lvl w:ilvl="0" w:tplc="79A8843A">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15:restartNumberingAfterBreak="0">
    <w:nsid w:val="3AB74F3E"/>
    <w:multiLevelType w:val="hybridMultilevel"/>
    <w:tmpl w:val="1474FD60"/>
    <w:lvl w:ilvl="0" w:tplc="E538221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4" w15:restartNumberingAfterBreak="0">
    <w:nsid w:val="3B2A6AF4"/>
    <w:multiLevelType w:val="hybridMultilevel"/>
    <w:tmpl w:val="7E6C5EAA"/>
    <w:lvl w:ilvl="0" w:tplc="6A0EFFB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5"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B036C97"/>
    <w:multiLevelType w:val="hybridMultilevel"/>
    <w:tmpl w:val="BD1C7856"/>
    <w:lvl w:ilvl="0" w:tplc="B006537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0CA2C6B"/>
    <w:multiLevelType w:val="hybridMultilevel"/>
    <w:tmpl w:val="06AC6F8E"/>
    <w:lvl w:ilvl="0" w:tplc="DE60A930">
      <w:start w:val="1"/>
      <w:numFmt w:val="upp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8" w15:restartNumberingAfterBreak="0">
    <w:nsid w:val="55670798"/>
    <w:multiLevelType w:val="hybridMultilevel"/>
    <w:tmpl w:val="1AC2F5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7286BA0"/>
    <w:multiLevelType w:val="hybridMultilevel"/>
    <w:tmpl w:val="2960BD84"/>
    <w:lvl w:ilvl="0" w:tplc="247A9DA8">
      <w:start w:val="1"/>
      <w:numFmt w:val="upp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A1E7611"/>
    <w:multiLevelType w:val="hybridMultilevel"/>
    <w:tmpl w:val="DF7633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D084516"/>
    <w:multiLevelType w:val="hybridMultilevel"/>
    <w:tmpl w:val="A5A8BDF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DF845D2"/>
    <w:multiLevelType w:val="hybridMultilevel"/>
    <w:tmpl w:val="7E24956C"/>
    <w:lvl w:ilvl="0" w:tplc="8EDCF592">
      <w:start w:val="1"/>
      <w:numFmt w:val="low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3" w15:restartNumberingAfterBreak="0">
    <w:nsid w:val="60695848"/>
    <w:multiLevelType w:val="hybridMultilevel"/>
    <w:tmpl w:val="86E8E66C"/>
    <w:lvl w:ilvl="0" w:tplc="D2E2CD0A">
      <w:start w:val="1"/>
      <w:numFmt w:val="upp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4" w15:restartNumberingAfterBreak="0">
    <w:nsid w:val="60DF210B"/>
    <w:multiLevelType w:val="hybridMultilevel"/>
    <w:tmpl w:val="4692C032"/>
    <w:lvl w:ilvl="0" w:tplc="320A0348">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5" w15:restartNumberingAfterBreak="0">
    <w:nsid w:val="65B4685A"/>
    <w:multiLevelType w:val="hybridMultilevel"/>
    <w:tmpl w:val="292022B0"/>
    <w:lvl w:ilvl="0" w:tplc="7BDC46C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37" w15:restartNumberingAfterBreak="0">
    <w:nsid w:val="6C070C63"/>
    <w:multiLevelType w:val="hybridMultilevel"/>
    <w:tmpl w:val="504261B8"/>
    <w:lvl w:ilvl="0" w:tplc="D76A957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E1C01A4"/>
    <w:multiLevelType w:val="hybridMultilevel"/>
    <w:tmpl w:val="1A20C510"/>
    <w:lvl w:ilvl="0" w:tplc="722C957E">
      <w:start w:val="1"/>
      <w:numFmt w:val="lowerLetter"/>
      <w:lvlText w:val="(%1)"/>
      <w:lvlJc w:val="left"/>
      <w:pPr>
        <w:ind w:left="644" w:hanging="360"/>
      </w:pPr>
      <w:rPr>
        <w:rFonts w:hint="default"/>
        <w:b/>
        <w:bCs/>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9" w15:restartNumberingAfterBreak="0">
    <w:nsid w:val="70082F24"/>
    <w:multiLevelType w:val="hybridMultilevel"/>
    <w:tmpl w:val="9B64B8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1EC35C5"/>
    <w:multiLevelType w:val="hybridMultilevel"/>
    <w:tmpl w:val="8F8A4C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4105AB6"/>
    <w:multiLevelType w:val="hybridMultilevel"/>
    <w:tmpl w:val="AE7EB8C8"/>
    <w:lvl w:ilvl="0" w:tplc="87EA86D8">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5300E86"/>
    <w:multiLevelType w:val="hybridMultilevel"/>
    <w:tmpl w:val="B210A9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73501058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19062816">
    <w:abstractNumId w:val="6"/>
  </w:num>
  <w:num w:numId="3" w16cid:durableId="1895196616">
    <w:abstractNumId w:val="36"/>
  </w:num>
  <w:num w:numId="4" w16cid:durableId="1131245270">
    <w:abstractNumId w:val="25"/>
  </w:num>
  <w:num w:numId="5" w16cid:durableId="431627192">
    <w:abstractNumId w:val="16"/>
  </w:num>
  <w:num w:numId="6" w16cid:durableId="1910994115">
    <w:abstractNumId w:val="15"/>
  </w:num>
  <w:num w:numId="7" w16cid:durableId="831990116">
    <w:abstractNumId w:val="7"/>
  </w:num>
  <w:num w:numId="8" w16cid:durableId="560101270">
    <w:abstractNumId w:val="5"/>
  </w:num>
  <w:num w:numId="9" w16cid:durableId="1764494710">
    <w:abstractNumId w:val="4"/>
  </w:num>
  <w:num w:numId="10" w16cid:durableId="1073160270">
    <w:abstractNumId w:val="8"/>
  </w:num>
  <w:num w:numId="11" w16cid:durableId="1757827777">
    <w:abstractNumId w:val="3"/>
  </w:num>
  <w:num w:numId="12" w16cid:durableId="980966430">
    <w:abstractNumId w:val="2"/>
  </w:num>
  <w:num w:numId="13" w16cid:durableId="1328704076">
    <w:abstractNumId w:val="1"/>
  </w:num>
  <w:num w:numId="14" w16cid:durableId="477108371">
    <w:abstractNumId w:val="0"/>
  </w:num>
  <w:num w:numId="15" w16cid:durableId="1405880071">
    <w:abstractNumId w:val="43"/>
  </w:num>
  <w:num w:numId="16" w16cid:durableId="1351878987">
    <w:abstractNumId w:val="20"/>
  </w:num>
  <w:num w:numId="17" w16cid:durableId="37121526">
    <w:abstractNumId w:val="21"/>
  </w:num>
  <w:num w:numId="18" w16cid:durableId="47342768">
    <w:abstractNumId w:val="41"/>
  </w:num>
  <w:num w:numId="19" w16cid:durableId="1781221000">
    <w:abstractNumId w:val="10"/>
  </w:num>
  <w:num w:numId="20" w16cid:durableId="2125806894">
    <w:abstractNumId w:val="30"/>
  </w:num>
  <w:num w:numId="21" w16cid:durableId="378866359">
    <w:abstractNumId w:val="29"/>
  </w:num>
  <w:num w:numId="22" w16cid:durableId="1864054562">
    <w:abstractNumId w:val="14"/>
  </w:num>
  <w:num w:numId="23" w16cid:durableId="1264538451">
    <w:abstractNumId w:val="12"/>
  </w:num>
  <w:num w:numId="24" w16cid:durableId="1129396698">
    <w:abstractNumId w:val="19"/>
  </w:num>
  <w:num w:numId="25" w16cid:durableId="1491168120">
    <w:abstractNumId w:val="17"/>
  </w:num>
  <w:num w:numId="26" w16cid:durableId="1287352094">
    <w:abstractNumId w:val="22"/>
  </w:num>
  <w:num w:numId="27" w16cid:durableId="1063990357">
    <w:abstractNumId w:val="39"/>
  </w:num>
  <w:num w:numId="28" w16cid:durableId="698701877">
    <w:abstractNumId w:val="35"/>
  </w:num>
  <w:num w:numId="29" w16cid:durableId="1128162852">
    <w:abstractNumId w:val="28"/>
  </w:num>
  <w:num w:numId="30" w16cid:durableId="2065521615">
    <w:abstractNumId w:val="31"/>
  </w:num>
  <w:num w:numId="31" w16cid:durableId="1949657340">
    <w:abstractNumId w:val="26"/>
  </w:num>
  <w:num w:numId="32" w16cid:durableId="1851799376">
    <w:abstractNumId w:val="27"/>
  </w:num>
  <w:num w:numId="33" w16cid:durableId="809591784">
    <w:abstractNumId w:val="40"/>
  </w:num>
  <w:num w:numId="34" w16cid:durableId="177275564">
    <w:abstractNumId w:val="24"/>
  </w:num>
  <w:num w:numId="35" w16cid:durableId="794105210">
    <w:abstractNumId w:val="13"/>
  </w:num>
  <w:num w:numId="36" w16cid:durableId="311715192">
    <w:abstractNumId w:val="38"/>
  </w:num>
  <w:num w:numId="37" w16cid:durableId="824976180">
    <w:abstractNumId w:val="9"/>
  </w:num>
  <w:num w:numId="38" w16cid:durableId="176775021">
    <w:abstractNumId w:val="32"/>
  </w:num>
  <w:num w:numId="39" w16cid:durableId="65418987">
    <w:abstractNumId w:val="34"/>
  </w:num>
  <w:num w:numId="40" w16cid:durableId="900990571">
    <w:abstractNumId w:val="18"/>
  </w:num>
  <w:num w:numId="41" w16cid:durableId="1069961398">
    <w:abstractNumId w:val="33"/>
  </w:num>
  <w:num w:numId="42" w16cid:durableId="149247855">
    <w:abstractNumId w:val="23"/>
  </w:num>
  <w:num w:numId="43" w16cid:durableId="1026709359">
    <w:abstractNumId w:val="37"/>
  </w:num>
  <w:num w:numId="44" w16cid:durableId="256131988">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20C98"/>
    <w:rsid w:val="00013A5F"/>
    <w:rsid w:val="00020E03"/>
    <w:rsid w:val="000351F7"/>
    <w:rsid w:val="000404A9"/>
    <w:rsid w:val="000457A2"/>
    <w:rsid w:val="000463B7"/>
    <w:rsid w:val="00047A08"/>
    <w:rsid w:val="00066190"/>
    <w:rsid w:val="000717B0"/>
    <w:rsid w:val="0009171B"/>
    <w:rsid w:val="00093983"/>
    <w:rsid w:val="00097554"/>
    <w:rsid w:val="000A63AD"/>
    <w:rsid w:val="000A79D0"/>
    <w:rsid w:val="000B4F59"/>
    <w:rsid w:val="000C4087"/>
    <w:rsid w:val="00114426"/>
    <w:rsid w:val="00120F70"/>
    <w:rsid w:val="00151F95"/>
    <w:rsid w:val="001653F3"/>
    <w:rsid w:val="00174D6E"/>
    <w:rsid w:val="00187F22"/>
    <w:rsid w:val="0019494C"/>
    <w:rsid w:val="001B2BA0"/>
    <w:rsid w:val="001B5AC8"/>
    <w:rsid w:val="001C65C2"/>
    <w:rsid w:val="001D14B1"/>
    <w:rsid w:val="002177C1"/>
    <w:rsid w:val="002501EA"/>
    <w:rsid w:val="002830B3"/>
    <w:rsid w:val="002A430C"/>
    <w:rsid w:val="002B182B"/>
    <w:rsid w:val="002B3A41"/>
    <w:rsid w:val="002E6A19"/>
    <w:rsid w:val="002F7185"/>
    <w:rsid w:val="00307DA6"/>
    <w:rsid w:val="00316502"/>
    <w:rsid w:val="003364E2"/>
    <w:rsid w:val="003410C3"/>
    <w:rsid w:val="00360A95"/>
    <w:rsid w:val="00377D94"/>
    <w:rsid w:val="0038204E"/>
    <w:rsid w:val="00384962"/>
    <w:rsid w:val="0039122E"/>
    <w:rsid w:val="00395588"/>
    <w:rsid w:val="003B0AF9"/>
    <w:rsid w:val="003B1BCF"/>
    <w:rsid w:val="003B5EEE"/>
    <w:rsid w:val="003C3C99"/>
    <w:rsid w:val="003F28C4"/>
    <w:rsid w:val="00404488"/>
    <w:rsid w:val="00404951"/>
    <w:rsid w:val="00420FA8"/>
    <w:rsid w:val="004257FB"/>
    <w:rsid w:val="004437E5"/>
    <w:rsid w:val="0044730F"/>
    <w:rsid w:val="00453AE5"/>
    <w:rsid w:val="004548C5"/>
    <w:rsid w:val="004620B8"/>
    <w:rsid w:val="00463A08"/>
    <w:rsid w:val="00483C4A"/>
    <w:rsid w:val="0049470D"/>
    <w:rsid w:val="004B29AC"/>
    <w:rsid w:val="004C25A2"/>
    <w:rsid w:val="004C35B2"/>
    <w:rsid w:val="004D2239"/>
    <w:rsid w:val="004D64E1"/>
    <w:rsid w:val="004F0590"/>
    <w:rsid w:val="0052448D"/>
    <w:rsid w:val="00552315"/>
    <w:rsid w:val="005709E2"/>
    <w:rsid w:val="005719B1"/>
    <w:rsid w:val="00571B80"/>
    <w:rsid w:val="00575308"/>
    <w:rsid w:val="0058661B"/>
    <w:rsid w:val="0058695F"/>
    <w:rsid w:val="005B7F06"/>
    <w:rsid w:val="005C3B50"/>
    <w:rsid w:val="005E4C26"/>
    <w:rsid w:val="005F1EE6"/>
    <w:rsid w:val="005F4B22"/>
    <w:rsid w:val="005F5040"/>
    <w:rsid w:val="005F7E50"/>
    <w:rsid w:val="006077C3"/>
    <w:rsid w:val="006167CC"/>
    <w:rsid w:val="00624A83"/>
    <w:rsid w:val="006312F8"/>
    <w:rsid w:val="00633FF2"/>
    <w:rsid w:val="0066543F"/>
    <w:rsid w:val="00671A09"/>
    <w:rsid w:val="00673C95"/>
    <w:rsid w:val="00686949"/>
    <w:rsid w:val="006B3435"/>
    <w:rsid w:val="006C2150"/>
    <w:rsid w:val="006D24DC"/>
    <w:rsid w:val="006F2283"/>
    <w:rsid w:val="00726412"/>
    <w:rsid w:val="00750A17"/>
    <w:rsid w:val="0075617E"/>
    <w:rsid w:val="00763DBB"/>
    <w:rsid w:val="00763F11"/>
    <w:rsid w:val="00772337"/>
    <w:rsid w:val="0077672F"/>
    <w:rsid w:val="00785CDE"/>
    <w:rsid w:val="007C0063"/>
    <w:rsid w:val="007C2F60"/>
    <w:rsid w:val="007D0E54"/>
    <w:rsid w:val="007E137F"/>
    <w:rsid w:val="007E3B9F"/>
    <w:rsid w:val="007F21F6"/>
    <w:rsid w:val="008239AC"/>
    <w:rsid w:val="00843B55"/>
    <w:rsid w:val="00861D65"/>
    <w:rsid w:val="00865CB4"/>
    <w:rsid w:val="00866E96"/>
    <w:rsid w:val="00876D5E"/>
    <w:rsid w:val="008810F4"/>
    <w:rsid w:val="00894EC0"/>
    <w:rsid w:val="008A53CF"/>
    <w:rsid w:val="008A55FD"/>
    <w:rsid w:val="008B6639"/>
    <w:rsid w:val="008B7CC1"/>
    <w:rsid w:val="008C38CD"/>
    <w:rsid w:val="008D0645"/>
    <w:rsid w:val="008E1193"/>
    <w:rsid w:val="008E6C83"/>
    <w:rsid w:val="0090244F"/>
    <w:rsid w:val="00905323"/>
    <w:rsid w:val="00914EA4"/>
    <w:rsid w:val="00926AB1"/>
    <w:rsid w:val="00932E06"/>
    <w:rsid w:val="00934B6C"/>
    <w:rsid w:val="0094596F"/>
    <w:rsid w:val="00946DAA"/>
    <w:rsid w:val="00970AEF"/>
    <w:rsid w:val="00995C38"/>
    <w:rsid w:val="009A013C"/>
    <w:rsid w:val="009A7658"/>
    <w:rsid w:val="009B4913"/>
    <w:rsid w:val="009D24C8"/>
    <w:rsid w:val="009D7573"/>
    <w:rsid w:val="009F5986"/>
    <w:rsid w:val="00A20C98"/>
    <w:rsid w:val="00A27023"/>
    <w:rsid w:val="00A43DB1"/>
    <w:rsid w:val="00A50580"/>
    <w:rsid w:val="00A60C26"/>
    <w:rsid w:val="00A61C54"/>
    <w:rsid w:val="00A71B24"/>
    <w:rsid w:val="00A91558"/>
    <w:rsid w:val="00AB7291"/>
    <w:rsid w:val="00AD4D73"/>
    <w:rsid w:val="00AD71F9"/>
    <w:rsid w:val="00AE4B8B"/>
    <w:rsid w:val="00B0279A"/>
    <w:rsid w:val="00B21FF6"/>
    <w:rsid w:val="00B37E46"/>
    <w:rsid w:val="00B521DF"/>
    <w:rsid w:val="00B57054"/>
    <w:rsid w:val="00B656DF"/>
    <w:rsid w:val="00B71CFC"/>
    <w:rsid w:val="00B71D58"/>
    <w:rsid w:val="00B74C8A"/>
    <w:rsid w:val="00B82901"/>
    <w:rsid w:val="00B8372D"/>
    <w:rsid w:val="00B96B01"/>
    <w:rsid w:val="00BA4063"/>
    <w:rsid w:val="00BB4ECC"/>
    <w:rsid w:val="00BB6ABE"/>
    <w:rsid w:val="00BB794A"/>
    <w:rsid w:val="00BD05C6"/>
    <w:rsid w:val="00BD7DCB"/>
    <w:rsid w:val="00BE1029"/>
    <w:rsid w:val="00BE51D8"/>
    <w:rsid w:val="00BE6A2D"/>
    <w:rsid w:val="00BF3BED"/>
    <w:rsid w:val="00C0643D"/>
    <w:rsid w:val="00C11451"/>
    <w:rsid w:val="00C21182"/>
    <w:rsid w:val="00C61273"/>
    <w:rsid w:val="00C93221"/>
    <w:rsid w:val="00CB4F4F"/>
    <w:rsid w:val="00CB70B3"/>
    <w:rsid w:val="00CC0179"/>
    <w:rsid w:val="00CD7639"/>
    <w:rsid w:val="00CF30BE"/>
    <w:rsid w:val="00D06860"/>
    <w:rsid w:val="00D24149"/>
    <w:rsid w:val="00D34816"/>
    <w:rsid w:val="00D47B2B"/>
    <w:rsid w:val="00D552A2"/>
    <w:rsid w:val="00D8097B"/>
    <w:rsid w:val="00D842C8"/>
    <w:rsid w:val="00D86230"/>
    <w:rsid w:val="00D95D70"/>
    <w:rsid w:val="00DA53AB"/>
    <w:rsid w:val="00DB2B7A"/>
    <w:rsid w:val="00DC34E2"/>
    <w:rsid w:val="00DD4088"/>
    <w:rsid w:val="00DF7282"/>
    <w:rsid w:val="00E20086"/>
    <w:rsid w:val="00E50179"/>
    <w:rsid w:val="00E568AE"/>
    <w:rsid w:val="00E82A05"/>
    <w:rsid w:val="00E94D53"/>
    <w:rsid w:val="00EA5809"/>
    <w:rsid w:val="00EB4CAC"/>
    <w:rsid w:val="00ED307F"/>
    <w:rsid w:val="00EF1E50"/>
    <w:rsid w:val="00EF3722"/>
    <w:rsid w:val="00EF42C3"/>
    <w:rsid w:val="00F0099A"/>
    <w:rsid w:val="00F12D47"/>
    <w:rsid w:val="00F17296"/>
    <w:rsid w:val="00F264DE"/>
    <w:rsid w:val="00F2653B"/>
    <w:rsid w:val="00F34435"/>
    <w:rsid w:val="00F34DF4"/>
    <w:rsid w:val="00F42506"/>
    <w:rsid w:val="00F45B78"/>
    <w:rsid w:val="00F5245B"/>
    <w:rsid w:val="00F629B2"/>
    <w:rsid w:val="00F6765D"/>
    <w:rsid w:val="00F816F5"/>
    <w:rsid w:val="00F83E31"/>
    <w:rsid w:val="00FA6FF8"/>
    <w:rsid w:val="00FB4F29"/>
    <w:rsid w:val="00FB6A55"/>
    <w:rsid w:val="00FC7CCE"/>
    <w:rsid w:val="00FD6043"/>
    <w:rsid w:val="00FE09B1"/>
    <w:rsid w:val="00FF0A70"/>
    <w:rsid w:val="00FF24E2"/>
    <w:rsid w:val="00FF6FD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5B0B5"/>
  <w15:docId w15:val="{1347353B-B9FE-481E-8ED8-B640805EF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82901"/>
    <w:pPr>
      <w:keepNext/>
      <w:numPr>
        <w:numId w:val="1"/>
      </w:numPr>
      <w:spacing w:before="240" w:after="60" w:line="276" w:lineRule="auto"/>
      <w:ind w:left="0" w:firstLine="0"/>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9"/>
    <w:semiHidden/>
    <w:rsid w:val="00B82901"/>
    <w:pPr>
      <w:keepNext/>
      <w:numPr>
        <w:ilvl w:val="1"/>
        <w:numId w:val="1"/>
      </w:numPr>
      <w:spacing w:before="240" w:after="60" w:line="276" w:lineRule="auto"/>
      <w:ind w:left="0" w:firstLine="0"/>
      <w:outlineLvl w:val="1"/>
    </w:pPr>
    <w:rPr>
      <w:rFonts w:ascii="Calibri Light" w:eastAsia="Times New Roman" w:hAnsi="Calibri Light" w:cs="Times New Roman"/>
      <w:b/>
      <w:bCs/>
      <w:i/>
      <w:iCs/>
      <w:sz w:val="28"/>
      <w:szCs w:val="28"/>
    </w:rPr>
  </w:style>
  <w:style w:type="paragraph" w:styleId="Heading3">
    <w:name w:val="heading 3"/>
    <w:basedOn w:val="Normal"/>
    <w:next w:val="Normal"/>
    <w:link w:val="Heading3Char"/>
    <w:uiPriority w:val="99"/>
    <w:semiHidden/>
    <w:rsid w:val="00B82901"/>
    <w:pPr>
      <w:keepNext/>
      <w:numPr>
        <w:ilvl w:val="2"/>
        <w:numId w:val="1"/>
      </w:numPr>
      <w:spacing w:before="240" w:after="60" w:line="276" w:lineRule="auto"/>
      <w:ind w:left="720" w:hanging="432"/>
      <w:outlineLvl w:val="2"/>
    </w:pPr>
    <w:rPr>
      <w:rFonts w:ascii="Calibri Light" w:eastAsia="Times New Roman" w:hAnsi="Calibri Light" w:cs="Times New Roman"/>
      <w:b/>
      <w:bCs/>
      <w:sz w:val="26"/>
      <w:szCs w:val="26"/>
    </w:rPr>
  </w:style>
  <w:style w:type="paragraph" w:styleId="Heading4">
    <w:name w:val="heading 4"/>
    <w:basedOn w:val="Normal"/>
    <w:next w:val="Normal"/>
    <w:link w:val="Heading4Char"/>
    <w:uiPriority w:val="99"/>
    <w:semiHidden/>
    <w:rsid w:val="00B82901"/>
    <w:pPr>
      <w:keepNext/>
      <w:numPr>
        <w:ilvl w:val="3"/>
        <w:numId w:val="1"/>
      </w:numPr>
      <w:spacing w:before="240" w:after="60" w:line="276" w:lineRule="auto"/>
      <w:ind w:left="864" w:hanging="144"/>
      <w:outlineLvl w:val="3"/>
    </w:pPr>
    <w:rPr>
      <w:rFonts w:ascii="Calibri" w:eastAsia="Times New Roman" w:hAnsi="Calibri" w:cs="Times New Roman"/>
      <w:b/>
      <w:bCs/>
      <w:sz w:val="28"/>
      <w:szCs w:val="28"/>
    </w:rPr>
  </w:style>
  <w:style w:type="paragraph" w:styleId="Heading5">
    <w:name w:val="heading 5"/>
    <w:basedOn w:val="Normal"/>
    <w:next w:val="Normal"/>
    <w:link w:val="Heading5Char"/>
    <w:uiPriority w:val="99"/>
    <w:semiHidden/>
    <w:qFormat/>
    <w:rsid w:val="00B82901"/>
    <w:pPr>
      <w:numPr>
        <w:ilvl w:val="4"/>
        <w:numId w:val="1"/>
      </w:numPr>
      <w:spacing w:before="240" w:after="60" w:line="276" w:lineRule="auto"/>
      <w:ind w:left="1008" w:hanging="432"/>
      <w:outlineLvl w:val="4"/>
    </w:pPr>
    <w:rPr>
      <w:rFonts w:ascii="Calibri" w:eastAsia="Times New Roman" w:hAnsi="Calibri" w:cs="Times New Roman"/>
      <w:b/>
      <w:bCs/>
      <w:i/>
      <w:iCs/>
      <w:sz w:val="26"/>
      <w:szCs w:val="26"/>
    </w:rPr>
  </w:style>
  <w:style w:type="paragraph" w:styleId="Heading6">
    <w:name w:val="heading 6"/>
    <w:basedOn w:val="Normal"/>
    <w:next w:val="Normal"/>
    <w:link w:val="Heading6Char"/>
    <w:uiPriority w:val="99"/>
    <w:semiHidden/>
    <w:rsid w:val="00B82901"/>
    <w:pPr>
      <w:numPr>
        <w:ilvl w:val="5"/>
        <w:numId w:val="1"/>
      </w:numPr>
      <w:spacing w:before="240" w:after="60" w:line="276" w:lineRule="auto"/>
      <w:ind w:left="1152" w:hanging="432"/>
      <w:outlineLvl w:val="5"/>
    </w:pPr>
    <w:rPr>
      <w:rFonts w:ascii="Calibri" w:eastAsia="Times New Roman" w:hAnsi="Calibri" w:cs="Times New Roman"/>
      <w:b/>
      <w:bCs/>
    </w:rPr>
  </w:style>
  <w:style w:type="paragraph" w:styleId="Heading7">
    <w:name w:val="heading 7"/>
    <w:basedOn w:val="Normal"/>
    <w:next w:val="Normal"/>
    <w:link w:val="Heading7Char"/>
    <w:uiPriority w:val="99"/>
    <w:semiHidden/>
    <w:qFormat/>
    <w:rsid w:val="00B82901"/>
    <w:pPr>
      <w:numPr>
        <w:ilvl w:val="6"/>
        <w:numId w:val="1"/>
      </w:numPr>
      <w:spacing w:before="240" w:after="60" w:line="276" w:lineRule="auto"/>
      <w:ind w:left="1296" w:hanging="288"/>
      <w:outlineLvl w:val="6"/>
    </w:pPr>
    <w:rPr>
      <w:rFonts w:ascii="Calibri" w:eastAsia="Times New Roman" w:hAnsi="Calibri" w:cs="Times New Roman"/>
      <w:sz w:val="24"/>
      <w:szCs w:val="24"/>
    </w:rPr>
  </w:style>
  <w:style w:type="paragraph" w:styleId="Heading8">
    <w:name w:val="heading 8"/>
    <w:basedOn w:val="Normal"/>
    <w:next w:val="Normal"/>
    <w:link w:val="Heading8Char"/>
    <w:uiPriority w:val="99"/>
    <w:semiHidden/>
    <w:qFormat/>
    <w:rsid w:val="00B82901"/>
    <w:pPr>
      <w:numPr>
        <w:ilvl w:val="7"/>
        <w:numId w:val="1"/>
      </w:numPr>
      <w:spacing w:before="240" w:after="60" w:line="276" w:lineRule="auto"/>
      <w:ind w:left="1440" w:hanging="432"/>
      <w:outlineLvl w:val="7"/>
    </w:pPr>
    <w:rPr>
      <w:rFonts w:ascii="Calibri" w:eastAsia="Times New Roman" w:hAnsi="Calibri" w:cs="Times New Roman"/>
      <w:i/>
      <w:iCs/>
      <w:sz w:val="24"/>
      <w:szCs w:val="24"/>
    </w:rPr>
  </w:style>
  <w:style w:type="paragraph" w:styleId="Heading9">
    <w:name w:val="heading 9"/>
    <w:basedOn w:val="Normal"/>
    <w:next w:val="Normal"/>
    <w:link w:val="Heading9Char"/>
    <w:uiPriority w:val="99"/>
    <w:semiHidden/>
    <w:qFormat/>
    <w:rsid w:val="00B82901"/>
    <w:pPr>
      <w:numPr>
        <w:ilvl w:val="8"/>
        <w:numId w:val="1"/>
      </w:numPr>
      <w:spacing w:before="240" w:after="60" w:line="276" w:lineRule="auto"/>
      <w:ind w:left="1584" w:hanging="144"/>
      <w:outlineLvl w:val="8"/>
    </w:pPr>
    <w:rPr>
      <w:rFonts w:ascii="Calibri Light" w:eastAsia="Times New Roman" w:hAnsi="Calibri Light"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HRDecisionBody">
    <w:name w:val="ECHR_Decision_Body"/>
    <w:aliases w:val="Ju_Judges"/>
    <w:basedOn w:val="Normal"/>
    <w:uiPriority w:val="11"/>
    <w:qFormat/>
    <w:rsid w:val="00A43DB1"/>
    <w:pPr>
      <w:tabs>
        <w:tab w:val="left" w:pos="560"/>
        <w:tab w:val="left" w:pos="1120"/>
      </w:tabs>
      <w:autoSpaceDE w:val="0"/>
      <w:autoSpaceDN w:val="0"/>
      <w:adjustRightInd w:val="0"/>
      <w:spacing w:after="200" w:line="330" w:lineRule="atLeast"/>
    </w:pPr>
    <w:rPr>
      <w:rFonts w:ascii="Times New Roman" w:hAnsi="Times New Roman" w:cs="Times New Roman"/>
      <w:color w:val="000000"/>
      <w:sz w:val="24"/>
      <w:szCs w:val="24"/>
      <w:lang w:val="sq-AL"/>
    </w:rPr>
  </w:style>
  <w:style w:type="paragraph" w:customStyle="1" w:styleId="ECHRPara">
    <w:name w:val="ECHR_Para"/>
    <w:aliases w:val="Ju_Para"/>
    <w:basedOn w:val="Normal"/>
    <w:link w:val="ECHRParaChar"/>
    <w:uiPriority w:val="12"/>
    <w:qFormat/>
    <w:rsid w:val="00A43DB1"/>
    <w:pPr>
      <w:autoSpaceDE w:val="0"/>
      <w:autoSpaceDN w:val="0"/>
      <w:adjustRightInd w:val="0"/>
      <w:spacing w:after="200" w:line="330" w:lineRule="atLeast"/>
      <w:ind w:firstLine="280"/>
      <w:jc w:val="both"/>
    </w:pPr>
    <w:rPr>
      <w:rFonts w:ascii="Times New Roman" w:hAnsi="Times New Roman" w:cs="Times New Roman"/>
      <w:color w:val="000000"/>
      <w:sz w:val="24"/>
      <w:szCs w:val="24"/>
      <w:lang w:val="sq-AL"/>
    </w:rPr>
  </w:style>
  <w:style w:type="character" w:customStyle="1" w:styleId="Heading1Char">
    <w:name w:val="Heading 1 Char"/>
    <w:basedOn w:val="DefaultParagraphFont"/>
    <w:link w:val="Heading1"/>
    <w:uiPriority w:val="9"/>
    <w:rsid w:val="00B82901"/>
    <w:rPr>
      <w:rFonts w:ascii="Calibri Light" w:eastAsia="Times New Roman" w:hAnsi="Calibri Light" w:cs="Times New Roman"/>
      <w:b/>
      <w:bCs/>
      <w:kern w:val="32"/>
      <w:sz w:val="32"/>
      <w:szCs w:val="32"/>
    </w:rPr>
  </w:style>
  <w:style w:type="character" w:customStyle="1" w:styleId="Heading2Char">
    <w:name w:val="Heading 2 Char"/>
    <w:basedOn w:val="DefaultParagraphFont"/>
    <w:link w:val="Heading2"/>
    <w:uiPriority w:val="99"/>
    <w:semiHidden/>
    <w:rsid w:val="00B82901"/>
    <w:rPr>
      <w:rFonts w:ascii="Calibri Light" w:eastAsia="Times New Roman" w:hAnsi="Calibri Light" w:cs="Times New Roman"/>
      <w:b/>
      <w:bCs/>
      <w:i/>
      <w:iCs/>
      <w:sz w:val="28"/>
      <w:szCs w:val="28"/>
    </w:rPr>
  </w:style>
  <w:style w:type="character" w:customStyle="1" w:styleId="Heading3Char">
    <w:name w:val="Heading 3 Char"/>
    <w:basedOn w:val="DefaultParagraphFont"/>
    <w:link w:val="Heading3"/>
    <w:uiPriority w:val="99"/>
    <w:semiHidden/>
    <w:rsid w:val="00B82901"/>
    <w:rPr>
      <w:rFonts w:ascii="Calibri Light" w:eastAsia="Times New Roman" w:hAnsi="Calibri Light" w:cs="Times New Roman"/>
      <w:b/>
      <w:bCs/>
      <w:sz w:val="26"/>
      <w:szCs w:val="26"/>
    </w:rPr>
  </w:style>
  <w:style w:type="character" w:customStyle="1" w:styleId="Heading4Char">
    <w:name w:val="Heading 4 Char"/>
    <w:basedOn w:val="DefaultParagraphFont"/>
    <w:link w:val="Heading4"/>
    <w:uiPriority w:val="99"/>
    <w:semiHidden/>
    <w:rsid w:val="00B82901"/>
    <w:rPr>
      <w:rFonts w:ascii="Calibri" w:eastAsia="Times New Roman" w:hAnsi="Calibri" w:cs="Times New Roman"/>
      <w:b/>
      <w:bCs/>
      <w:sz w:val="28"/>
      <w:szCs w:val="28"/>
    </w:rPr>
  </w:style>
  <w:style w:type="character" w:customStyle="1" w:styleId="Heading5Char">
    <w:name w:val="Heading 5 Char"/>
    <w:basedOn w:val="DefaultParagraphFont"/>
    <w:link w:val="Heading5"/>
    <w:uiPriority w:val="99"/>
    <w:semiHidden/>
    <w:rsid w:val="00B82901"/>
    <w:rPr>
      <w:rFonts w:ascii="Calibri" w:eastAsia="Times New Roman" w:hAnsi="Calibri" w:cs="Times New Roman"/>
      <w:b/>
      <w:bCs/>
      <w:i/>
      <w:iCs/>
      <w:sz w:val="26"/>
      <w:szCs w:val="26"/>
    </w:rPr>
  </w:style>
  <w:style w:type="character" w:customStyle="1" w:styleId="Heading6Char">
    <w:name w:val="Heading 6 Char"/>
    <w:basedOn w:val="DefaultParagraphFont"/>
    <w:link w:val="Heading6"/>
    <w:uiPriority w:val="99"/>
    <w:semiHidden/>
    <w:rsid w:val="00B82901"/>
    <w:rPr>
      <w:rFonts w:ascii="Calibri" w:eastAsia="Times New Roman" w:hAnsi="Calibri" w:cs="Times New Roman"/>
      <w:b/>
      <w:bCs/>
    </w:rPr>
  </w:style>
  <w:style w:type="character" w:customStyle="1" w:styleId="Heading7Char">
    <w:name w:val="Heading 7 Char"/>
    <w:basedOn w:val="DefaultParagraphFont"/>
    <w:link w:val="Heading7"/>
    <w:uiPriority w:val="99"/>
    <w:semiHidden/>
    <w:rsid w:val="00B82901"/>
    <w:rPr>
      <w:rFonts w:ascii="Calibri" w:eastAsia="Times New Roman" w:hAnsi="Calibri" w:cs="Times New Roman"/>
      <w:sz w:val="24"/>
      <w:szCs w:val="24"/>
    </w:rPr>
  </w:style>
  <w:style w:type="character" w:customStyle="1" w:styleId="Heading8Char">
    <w:name w:val="Heading 8 Char"/>
    <w:basedOn w:val="DefaultParagraphFont"/>
    <w:link w:val="Heading8"/>
    <w:uiPriority w:val="99"/>
    <w:semiHidden/>
    <w:rsid w:val="00B82901"/>
    <w:rPr>
      <w:rFonts w:ascii="Calibri" w:eastAsia="Times New Roman" w:hAnsi="Calibri" w:cs="Times New Roman"/>
      <w:i/>
      <w:iCs/>
      <w:sz w:val="24"/>
      <w:szCs w:val="24"/>
    </w:rPr>
  </w:style>
  <w:style w:type="character" w:customStyle="1" w:styleId="Heading9Char">
    <w:name w:val="Heading 9 Char"/>
    <w:basedOn w:val="DefaultParagraphFont"/>
    <w:link w:val="Heading9"/>
    <w:uiPriority w:val="99"/>
    <w:semiHidden/>
    <w:rsid w:val="00B82901"/>
    <w:rPr>
      <w:rFonts w:ascii="Calibri Light" w:eastAsia="Times New Roman" w:hAnsi="Calibri Light" w:cs="Times New Roman"/>
    </w:rPr>
  </w:style>
  <w:style w:type="paragraph" w:styleId="Header">
    <w:name w:val="header"/>
    <w:basedOn w:val="Normal"/>
    <w:link w:val="HeaderChar"/>
    <w:uiPriority w:val="57"/>
    <w:unhideWhenUsed/>
    <w:rsid w:val="00B82901"/>
    <w:pPr>
      <w:tabs>
        <w:tab w:val="center" w:pos="4513"/>
        <w:tab w:val="right" w:pos="9026"/>
      </w:tabs>
      <w:spacing w:after="0" w:line="240" w:lineRule="auto"/>
    </w:pPr>
    <w:rPr>
      <w:rFonts w:ascii="Calibri" w:eastAsia="Times New Roman" w:hAnsi="Calibri" w:cs="Times New Roman"/>
      <w:sz w:val="20"/>
      <w:szCs w:val="20"/>
      <w:lang w:val="en-GB" w:eastAsia="en-GB"/>
    </w:rPr>
  </w:style>
  <w:style w:type="character" w:customStyle="1" w:styleId="HeaderChar">
    <w:name w:val="Header Char"/>
    <w:basedOn w:val="DefaultParagraphFont"/>
    <w:link w:val="Header"/>
    <w:uiPriority w:val="57"/>
    <w:rsid w:val="00B82901"/>
    <w:rPr>
      <w:rFonts w:ascii="Calibri" w:eastAsia="Times New Roman" w:hAnsi="Calibri" w:cs="Times New Roman"/>
      <w:sz w:val="20"/>
      <w:szCs w:val="20"/>
      <w:lang w:val="en-GB" w:eastAsia="en-GB"/>
    </w:rPr>
  </w:style>
  <w:style w:type="paragraph" w:styleId="Footer">
    <w:name w:val="footer"/>
    <w:basedOn w:val="Normal"/>
    <w:link w:val="FooterChar"/>
    <w:uiPriority w:val="57"/>
    <w:unhideWhenUsed/>
    <w:rsid w:val="00B82901"/>
    <w:pPr>
      <w:tabs>
        <w:tab w:val="center" w:pos="4513"/>
        <w:tab w:val="right" w:pos="9026"/>
      </w:tabs>
      <w:spacing w:after="0" w:line="240" w:lineRule="auto"/>
    </w:pPr>
    <w:rPr>
      <w:rFonts w:ascii="Calibri" w:eastAsia="Times New Roman" w:hAnsi="Calibri" w:cs="Times New Roman"/>
      <w:sz w:val="20"/>
      <w:szCs w:val="20"/>
      <w:lang w:val="en-GB" w:eastAsia="en-GB"/>
    </w:rPr>
  </w:style>
  <w:style w:type="character" w:customStyle="1" w:styleId="FooterChar">
    <w:name w:val="Footer Char"/>
    <w:basedOn w:val="DefaultParagraphFont"/>
    <w:link w:val="Footer"/>
    <w:uiPriority w:val="57"/>
    <w:rsid w:val="00B82901"/>
    <w:rPr>
      <w:rFonts w:ascii="Calibri" w:eastAsia="Times New Roman" w:hAnsi="Calibri" w:cs="Times New Roman"/>
      <w:sz w:val="20"/>
      <w:szCs w:val="20"/>
      <w:lang w:val="en-GB" w:eastAsia="en-GB"/>
    </w:rPr>
  </w:style>
  <w:style w:type="character" w:styleId="Hyperlink">
    <w:name w:val="Hyperlink"/>
    <w:uiPriority w:val="99"/>
    <w:unhideWhenUsed/>
    <w:rsid w:val="00B82901"/>
    <w:rPr>
      <w:color w:val="0000FF"/>
      <w:u w:val="single"/>
    </w:rPr>
  </w:style>
  <w:style w:type="paragraph" w:styleId="ListParagraph">
    <w:name w:val="List Paragraph"/>
    <w:basedOn w:val="Normal"/>
    <w:uiPriority w:val="34"/>
    <w:qFormat/>
    <w:rsid w:val="00B82901"/>
    <w:pPr>
      <w:spacing w:after="200" w:line="276" w:lineRule="auto"/>
      <w:ind w:left="720"/>
      <w:contextualSpacing/>
    </w:pPr>
    <w:rPr>
      <w:rFonts w:ascii="Calibri" w:eastAsia="Times New Roman" w:hAnsi="Calibri" w:cs="Times New Roman"/>
    </w:rPr>
  </w:style>
  <w:style w:type="paragraph" w:styleId="BalloonText">
    <w:name w:val="Balloon Text"/>
    <w:basedOn w:val="Normal"/>
    <w:link w:val="BalloonTextChar"/>
    <w:uiPriority w:val="99"/>
    <w:semiHidden/>
    <w:unhideWhenUsed/>
    <w:rsid w:val="00B82901"/>
    <w:pPr>
      <w:spacing w:after="0" w:line="240" w:lineRule="auto"/>
    </w:pPr>
    <w:rPr>
      <w:rFonts w:ascii="Tahoma" w:eastAsia="Times New Roman" w:hAnsi="Tahoma" w:cs="Times New Roman"/>
      <w:sz w:val="16"/>
      <w:szCs w:val="16"/>
      <w:lang w:val="x-none" w:eastAsia="x-none"/>
    </w:rPr>
  </w:style>
  <w:style w:type="character" w:customStyle="1" w:styleId="BalloonTextChar">
    <w:name w:val="Balloon Text Char"/>
    <w:basedOn w:val="DefaultParagraphFont"/>
    <w:link w:val="BalloonText"/>
    <w:uiPriority w:val="99"/>
    <w:semiHidden/>
    <w:rsid w:val="00B82901"/>
    <w:rPr>
      <w:rFonts w:ascii="Tahoma" w:eastAsia="Times New Roman" w:hAnsi="Tahoma" w:cs="Times New Roman"/>
      <w:sz w:val="16"/>
      <w:szCs w:val="16"/>
      <w:lang w:val="x-none" w:eastAsia="x-none"/>
    </w:rPr>
  </w:style>
  <w:style w:type="paragraph" w:styleId="NoSpacing">
    <w:name w:val="No Spacing"/>
    <w:link w:val="NoSpacingChar"/>
    <w:uiPriority w:val="1"/>
    <w:qFormat/>
    <w:rsid w:val="00B82901"/>
    <w:pPr>
      <w:spacing w:after="0" w:line="240" w:lineRule="auto"/>
    </w:pPr>
    <w:rPr>
      <w:rFonts w:ascii="Calibri" w:eastAsia="Times New Roman" w:hAnsi="Calibri" w:cs="Times New Roman"/>
    </w:rPr>
  </w:style>
  <w:style w:type="paragraph" w:customStyle="1" w:styleId="Default">
    <w:name w:val="Default"/>
    <w:rsid w:val="00B8290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FootnoteText">
    <w:name w:val="footnote text"/>
    <w:basedOn w:val="Normal"/>
    <w:link w:val="FootnoteTextChar"/>
    <w:uiPriority w:val="99"/>
    <w:semiHidden/>
    <w:unhideWhenUsed/>
    <w:rsid w:val="00B82901"/>
    <w:pPr>
      <w:spacing w:after="200" w:line="276" w:lineRule="auto"/>
    </w:pPr>
    <w:rPr>
      <w:rFonts w:ascii="Calibri" w:eastAsia="Times New Roman" w:hAnsi="Calibri" w:cs="Times New Roman"/>
      <w:sz w:val="20"/>
      <w:szCs w:val="20"/>
    </w:rPr>
  </w:style>
  <w:style w:type="character" w:customStyle="1" w:styleId="FootnoteTextChar">
    <w:name w:val="Footnote Text Char"/>
    <w:basedOn w:val="DefaultParagraphFont"/>
    <w:link w:val="FootnoteText"/>
    <w:uiPriority w:val="99"/>
    <w:semiHidden/>
    <w:rsid w:val="00B82901"/>
    <w:rPr>
      <w:rFonts w:ascii="Calibri" w:eastAsia="Times New Roman" w:hAnsi="Calibri" w:cs="Times New Roman"/>
      <w:sz w:val="20"/>
      <w:szCs w:val="20"/>
    </w:rPr>
  </w:style>
  <w:style w:type="character" w:styleId="FootnoteReference">
    <w:name w:val="footnote reference"/>
    <w:uiPriority w:val="99"/>
    <w:semiHidden/>
    <w:unhideWhenUsed/>
    <w:rsid w:val="00B82901"/>
    <w:rPr>
      <w:vertAlign w:val="superscript"/>
    </w:rPr>
  </w:style>
  <w:style w:type="table" w:styleId="TableGrid">
    <w:name w:val="Table Grid"/>
    <w:basedOn w:val="TableNormal"/>
    <w:uiPriority w:val="59"/>
    <w:rsid w:val="00B82901"/>
    <w:pPr>
      <w:spacing w:after="0" w:line="240" w:lineRule="auto"/>
    </w:pPr>
    <w:rPr>
      <w:rFonts w:ascii="Calibri" w:eastAsia="Times New Roman" w:hAnsi="Calibri" w:cs="Times New Roman"/>
      <w:sz w:val="20"/>
      <w:szCs w:val="20"/>
      <w:lang w:val="sq-AL" w:eastAsia="sq-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BookTitle">
    <w:name w:val="Book Title"/>
    <w:uiPriority w:val="99"/>
    <w:qFormat/>
    <w:rsid w:val="00B82901"/>
    <w:rPr>
      <w:i/>
      <w:iCs/>
      <w:smallCaps/>
      <w:spacing w:val="5"/>
    </w:rPr>
  </w:style>
  <w:style w:type="paragraph" w:customStyle="1" w:styleId="ECHRHeader">
    <w:name w:val="ECHR_Header"/>
    <w:aliases w:val="Ju_Header"/>
    <w:basedOn w:val="Header"/>
    <w:uiPriority w:val="4"/>
    <w:qFormat/>
    <w:rsid w:val="00B82901"/>
    <w:pPr>
      <w:tabs>
        <w:tab w:val="clear" w:pos="4513"/>
        <w:tab w:val="clear" w:pos="9026"/>
        <w:tab w:val="center" w:pos="3686"/>
        <w:tab w:val="right" w:pos="7371"/>
      </w:tabs>
    </w:pPr>
    <w:rPr>
      <w:rFonts w:ascii="Times New Roman" w:hAnsi="Times New Roman"/>
      <w:sz w:val="18"/>
      <w:lang w:eastAsia="x-none"/>
    </w:rPr>
  </w:style>
  <w:style w:type="paragraph" w:customStyle="1" w:styleId="DecHTitle">
    <w:name w:val="Dec_H_Title"/>
    <w:basedOn w:val="ECHRTitleCentre1"/>
    <w:uiPriority w:val="7"/>
    <w:semiHidden/>
    <w:qFormat/>
    <w:rsid w:val="00B82901"/>
  </w:style>
  <w:style w:type="character" w:styleId="Strong">
    <w:name w:val="Strong"/>
    <w:uiPriority w:val="99"/>
    <w:qFormat/>
    <w:rsid w:val="00B82901"/>
    <w:rPr>
      <w:b/>
      <w:bCs/>
    </w:rPr>
  </w:style>
  <w:style w:type="character" w:customStyle="1" w:styleId="NoSpacingChar">
    <w:name w:val="No Spacing Char"/>
    <w:link w:val="NoSpacing"/>
    <w:uiPriority w:val="1"/>
    <w:rsid w:val="00B82901"/>
    <w:rPr>
      <w:rFonts w:ascii="Calibri" w:eastAsia="Times New Roman" w:hAnsi="Calibri" w:cs="Times New Roman"/>
    </w:rPr>
  </w:style>
  <w:style w:type="paragraph" w:customStyle="1" w:styleId="ECHRParaQuote">
    <w:name w:val="ECHR_Para_Quote"/>
    <w:aliases w:val="Ju_Quot"/>
    <w:basedOn w:val="Normal"/>
    <w:uiPriority w:val="14"/>
    <w:qFormat/>
    <w:rsid w:val="00B82901"/>
    <w:pPr>
      <w:spacing w:before="120" w:after="120" w:line="240" w:lineRule="auto"/>
      <w:ind w:left="425" w:firstLine="142"/>
      <w:jc w:val="both"/>
    </w:pPr>
    <w:rPr>
      <w:rFonts w:ascii="Times New Roman" w:eastAsia="MS Mincho" w:hAnsi="Times New Roman" w:cs="Times New Roman"/>
      <w:sz w:val="20"/>
      <w:lang w:val="en-GB"/>
    </w:rPr>
  </w:style>
  <w:style w:type="paragraph" w:customStyle="1" w:styleId="DecList">
    <w:name w:val="Dec_List"/>
    <w:basedOn w:val="Normal"/>
    <w:uiPriority w:val="9"/>
    <w:semiHidden/>
    <w:qFormat/>
    <w:rsid w:val="00B82901"/>
    <w:pPr>
      <w:spacing w:before="240" w:after="0" w:line="240" w:lineRule="auto"/>
      <w:ind w:left="284"/>
      <w:jc w:val="both"/>
    </w:pPr>
    <w:rPr>
      <w:rFonts w:ascii="Times New Roman" w:eastAsia="MS Mincho" w:hAnsi="Times New Roman" w:cs="Times New Roman"/>
      <w:sz w:val="24"/>
      <w:lang w:val="en-GB"/>
    </w:rPr>
  </w:style>
  <w:style w:type="paragraph" w:customStyle="1" w:styleId="DummyStyle">
    <w:name w:val="Dummy_Style"/>
    <w:basedOn w:val="Normal"/>
    <w:semiHidden/>
    <w:qFormat/>
    <w:rsid w:val="00B82901"/>
    <w:pPr>
      <w:spacing w:after="0" w:line="240" w:lineRule="auto"/>
      <w:jc w:val="both"/>
    </w:pPr>
    <w:rPr>
      <w:rFonts w:ascii="Times New Roman" w:eastAsia="MS Mincho" w:hAnsi="Times New Roman" w:cs="Times New Roman"/>
      <w:color w:val="00B050"/>
      <w:sz w:val="24"/>
      <w:lang w:val="en-GB"/>
    </w:rPr>
  </w:style>
  <w:style w:type="paragraph" w:customStyle="1" w:styleId="JuAppQuestion">
    <w:name w:val="Ju_App_Question"/>
    <w:basedOn w:val="Normal"/>
    <w:uiPriority w:val="5"/>
    <w:semiHidden/>
    <w:qFormat/>
    <w:rsid w:val="00B82901"/>
    <w:pPr>
      <w:numPr>
        <w:numId w:val="15"/>
      </w:numPr>
      <w:spacing w:after="0" w:line="240" w:lineRule="auto"/>
    </w:pPr>
    <w:rPr>
      <w:rFonts w:ascii="Times New Roman" w:eastAsia="MS Mincho" w:hAnsi="Times New Roman" w:cs="Times New Roman"/>
      <w:b/>
      <w:sz w:val="24"/>
      <w:lang w:val="en-GB"/>
    </w:rPr>
  </w:style>
  <w:style w:type="paragraph" w:customStyle="1" w:styleId="JuCourt">
    <w:name w:val="Ju_Court"/>
    <w:basedOn w:val="Normal"/>
    <w:next w:val="Normal"/>
    <w:uiPriority w:val="16"/>
    <w:qFormat/>
    <w:rsid w:val="00B82901"/>
    <w:pPr>
      <w:tabs>
        <w:tab w:val="left" w:pos="907"/>
        <w:tab w:val="left" w:pos="1701"/>
        <w:tab w:val="right" w:pos="7371"/>
      </w:tabs>
      <w:spacing w:before="240" w:after="0" w:line="240" w:lineRule="auto"/>
      <w:ind w:left="397" w:hanging="397"/>
    </w:pPr>
    <w:rPr>
      <w:rFonts w:ascii="Times New Roman" w:eastAsia="MS Mincho" w:hAnsi="Times New Roman" w:cs="Times New Roman"/>
      <w:sz w:val="24"/>
      <w:lang w:val="en-GB" w:bidi="en-US"/>
    </w:rPr>
  </w:style>
  <w:style w:type="paragraph" w:customStyle="1" w:styleId="ECHRTitleCentre3">
    <w:name w:val="ECHR_Title_Centre_3"/>
    <w:aliases w:val="Ju_H_Article"/>
    <w:basedOn w:val="Normal"/>
    <w:next w:val="ECHRParaQuote"/>
    <w:uiPriority w:val="27"/>
    <w:qFormat/>
    <w:rsid w:val="00B82901"/>
    <w:pPr>
      <w:keepNext/>
      <w:keepLines/>
      <w:spacing w:before="240" w:after="120" w:line="240" w:lineRule="auto"/>
      <w:jc w:val="center"/>
      <w:outlineLvl w:val="3"/>
    </w:pPr>
    <w:rPr>
      <w:rFonts w:ascii="Times New Roman" w:eastAsia="MS Mincho" w:hAnsi="Times New Roman" w:cs="Times New Roman"/>
      <w:b/>
      <w:sz w:val="20"/>
      <w:lang w:val="en-GB" w:bidi="en-US"/>
    </w:rPr>
  </w:style>
  <w:style w:type="paragraph" w:customStyle="1" w:styleId="ECHRTitleCentre1">
    <w:name w:val="ECHR_Title_Centre_1"/>
    <w:aliases w:val="Opi_H_Head"/>
    <w:basedOn w:val="Normal"/>
    <w:next w:val="OpiPara"/>
    <w:uiPriority w:val="39"/>
    <w:qFormat/>
    <w:rsid w:val="00B82901"/>
    <w:pPr>
      <w:keepNext/>
      <w:keepLines/>
      <w:spacing w:after="240" w:line="240" w:lineRule="auto"/>
      <w:jc w:val="center"/>
      <w:outlineLvl w:val="0"/>
    </w:pPr>
    <w:rPr>
      <w:rFonts w:ascii="Times New Roman" w:eastAsia="MS Mincho" w:hAnsi="Times New Roman" w:cs="Times New Roman"/>
      <w:sz w:val="28"/>
      <w:lang w:val="en-GB"/>
    </w:rPr>
  </w:style>
  <w:style w:type="paragraph" w:customStyle="1" w:styleId="JuHeaderLandscape">
    <w:name w:val="Ju_Header_Landscape"/>
    <w:basedOn w:val="ECHRHeader"/>
    <w:uiPriority w:val="4"/>
    <w:qFormat/>
    <w:rsid w:val="00B82901"/>
    <w:pPr>
      <w:tabs>
        <w:tab w:val="clear" w:pos="3686"/>
        <w:tab w:val="clear" w:pos="7371"/>
        <w:tab w:val="center" w:pos="6146"/>
        <w:tab w:val="right" w:pos="12293"/>
      </w:tabs>
    </w:pPr>
  </w:style>
  <w:style w:type="paragraph" w:customStyle="1" w:styleId="ECHRTitle1">
    <w:name w:val="ECHR_Title_1"/>
    <w:aliases w:val="Ju_H_Head"/>
    <w:basedOn w:val="Normal"/>
    <w:next w:val="ECHRPara"/>
    <w:uiPriority w:val="18"/>
    <w:qFormat/>
    <w:rsid w:val="00B82901"/>
    <w:pPr>
      <w:keepNext/>
      <w:keepLines/>
      <w:spacing w:before="720" w:after="240" w:line="240" w:lineRule="auto"/>
      <w:jc w:val="both"/>
      <w:outlineLvl w:val="0"/>
    </w:pPr>
    <w:rPr>
      <w:rFonts w:ascii="Times New Roman" w:eastAsia="MS Mincho" w:hAnsi="Times New Roman" w:cs="Times New Roman"/>
      <w:sz w:val="28"/>
      <w:lang w:val="en-GB"/>
    </w:rPr>
  </w:style>
  <w:style w:type="paragraph" w:customStyle="1" w:styleId="JuInitialled">
    <w:name w:val="Ju_Initialled"/>
    <w:basedOn w:val="Normal"/>
    <w:uiPriority w:val="31"/>
    <w:qFormat/>
    <w:rsid w:val="00B82901"/>
    <w:pPr>
      <w:tabs>
        <w:tab w:val="center" w:pos="6407"/>
      </w:tabs>
      <w:spacing w:before="720" w:after="0" w:line="240" w:lineRule="auto"/>
      <w:jc w:val="right"/>
    </w:pPr>
    <w:rPr>
      <w:rFonts w:ascii="Times New Roman" w:eastAsia="MS Mincho" w:hAnsi="Times New Roman" w:cs="Times New Roman"/>
      <w:sz w:val="24"/>
      <w:lang w:val="en-GB"/>
    </w:rPr>
  </w:style>
  <w:style w:type="paragraph" w:customStyle="1" w:styleId="JuSigned">
    <w:name w:val="Ju_Signed"/>
    <w:basedOn w:val="Normal"/>
    <w:next w:val="JuParaLast"/>
    <w:uiPriority w:val="32"/>
    <w:qFormat/>
    <w:rsid w:val="00B82901"/>
    <w:pPr>
      <w:tabs>
        <w:tab w:val="center" w:pos="851"/>
        <w:tab w:val="center" w:pos="6407"/>
      </w:tabs>
      <w:spacing w:before="720" w:after="0" w:line="240" w:lineRule="auto"/>
    </w:pPr>
    <w:rPr>
      <w:rFonts w:ascii="Times New Roman" w:eastAsia="MS Mincho" w:hAnsi="Times New Roman" w:cs="Times New Roman"/>
      <w:sz w:val="24"/>
      <w:lang w:val="en-GB"/>
    </w:rPr>
  </w:style>
  <w:style w:type="paragraph" w:styleId="Title">
    <w:name w:val="Title"/>
    <w:basedOn w:val="Normal"/>
    <w:next w:val="Normal"/>
    <w:link w:val="TitleChar"/>
    <w:uiPriority w:val="99"/>
    <w:qFormat/>
    <w:rsid w:val="00B82901"/>
    <w:pPr>
      <w:pBdr>
        <w:bottom w:val="single" w:sz="4" w:space="1" w:color="auto"/>
      </w:pBdr>
      <w:spacing w:after="0" w:line="240" w:lineRule="auto"/>
      <w:contextualSpacing/>
      <w:jc w:val="both"/>
    </w:pPr>
    <w:rPr>
      <w:rFonts w:ascii="Times New Roman" w:eastAsia="MS Gothic" w:hAnsi="Times New Roman" w:cs="Times New Roman"/>
      <w:spacing w:val="5"/>
      <w:sz w:val="52"/>
      <w:szCs w:val="52"/>
      <w:lang w:val="x-none" w:eastAsia="x-none" w:bidi="en-US"/>
    </w:rPr>
  </w:style>
  <w:style w:type="character" w:customStyle="1" w:styleId="TitleChar">
    <w:name w:val="Title Char"/>
    <w:basedOn w:val="DefaultParagraphFont"/>
    <w:link w:val="Title"/>
    <w:uiPriority w:val="99"/>
    <w:rsid w:val="00B82901"/>
    <w:rPr>
      <w:rFonts w:ascii="Times New Roman" w:eastAsia="MS Gothic" w:hAnsi="Times New Roman" w:cs="Times New Roman"/>
      <w:spacing w:val="5"/>
      <w:sz w:val="52"/>
      <w:szCs w:val="52"/>
      <w:lang w:val="x-none" w:eastAsia="x-none" w:bidi="en-US"/>
    </w:rPr>
  </w:style>
  <w:style w:type="character" w:customStyle="1" w:styleId="JuITMark">
    <w:name w:val="Ju_ITMark"/>
    <w:uiPriority w:val="38"/>
    <w:qFormat/>
    <w:rsid w:val="00B82901"/>
    <w:rPr>
      <w:vanish w:val="0"/>
      <w:color w:val="auto"/>
      <w:sz w:val="14"/>
      <w:bdr w:val="none" w:sz="0" w:space="0" w:color="auto"/>
      <w:shd w:val="clear" w:color="auto" w:fill="BEE5FF"/>
    </w:rPr>
  </w:style>
  <w:style w:type="paragraph" w:customStyle="1" w:styleId="JuLista">
    <w:name w:val="Ju_List_a"/>
    <w:basedOn w:val="JuList"/>
    <w:uiPriority w:val="28"/>
    <w:qFormat/>
    <w:rsid w:val="00B82901"/>
    <w:pPr>
      <w:ind w:left="346" w:firstLine="0"/>
    </w:pPr>
  </w:style>
  <w:style w:type="paragraph" w:customStyle="1" w:styleId="JuListi">
    <w:name w:val="Ju_List_i"/>
    <w:basedOn w:val="Normal"/>
    <w:next w:val="JuLista"/>
    <w:uiPriority w:val="28"/>
    <w:qFormat/>
    <w:rsid w:val="00B82901"/>
    <w:pPr>
      <w:spacing w:after="0" w:line="240" w:lineRule="auto"/>
      <w:ind w:left="794"/>
      <w:jc w:val="both"/>
    </w:pPr>
    <w:rPr>
      <w:rFonts w:ascii="Times New Roman" w:eastAsia="MS Mincho" w:hAnsi="Times New Roman" w:cs="Times New Roman"/>
      <w:sz w:val="24"/>
      <w:lang w:val="en-GB"/>
    </w:rPr>
  </w:style>
  <w:style w:type="character" w:customStyle="1" w:styleId="JUNAMES">
    <w:name w:val="JU_NAMES"/>
    <w:uiPriority w:val="17"/>
    <w:qFormat/>
    <w:rsid w:val="00B82901"/>
    <w:rPr>
      <w:caps w:val="0"/>
      <w:smallCaps/>
    </w:rPr>
  </w:style>
  <w:style w:type="paragraph" w:customStyle="1" w:styleId="JuParaSub">
    <w:name w:val="Ju_Para_Sub"/>
    <w:basedOn w:val="ECHRPara"/>
    <w:uiPriority w:val="13"/>
    <w:qFormat/>
    <w:rsid w:val="00B82901"/>
    <w:pPr>
      <w:autoSpaceDE/>
      <w:autoSpaceDN/>
      <w:adjustRightInd/>
      <w:spacing w:after="0" w:line="240" w:lineRule="auto"/>
      <w:ind w:left="284" w:firstLine="284"/>
    </w:pPr>
    <w:rPr>
      <w:rFonts w:eastAsia="MS Mincho"/>
      <w:color w:val="auto"/>
      <w:szCs w:val="20"/>
      <w:lang w:val="en-GB" w:eastAsia="x-none"/>
    </w:rPr>
  </w:style>
  <w:style w:type="paragraph" w:customStyle="1" w:styleId="ECHRHeading1">
    <w:name w:val="ECHR_Heading_1"/>
    <w:aliases w:val="Ju_H_I_Roman"/>
    <w:basedOn w:val="Heading1"/>
    <w:next w:val="ECHRPara"/>
    <w:uiPriority w:val="19"/>
    <w:qFormat/>
    <w:rsid w:val="00B82901"/>
  </w:style>
  <w:style w:type="paragraph" w:customStyle="1" w:styleId="ECHRHeading2">
    <w:name w:val="ECHR_Heading_2"/>
    <w:aliases w:val="Ju_H_A"/>
    <w:basedOn w:val="Heading2"/>
    <w:next w:val="ECHRPara"/>
    <w:uiPriority w:val="20"/>
    <w:qFormat/>
    <w:rsid w:val="00B82901"/>
  </w:style>
  <w:style w:type="paragraph" w:customStyle="1" w:styleId="ECHRHeading3">
    <w:name w:val="ECHR_Heading_3"/>
    <w:aliases w:val="Ju_H_1."/>
    <w:basedOn w:val="Heading3"/>
    <w:next w:val="ECHRPara"/>
    <w:uiPriority w:val="21"/>
    <w:qFormat/>
    <w:rsid w:val="00B82901"/>
  </w:style>
  <w:style w:type="paragraph" w:customStyle="1" w:styleId="ECHRHeading4">
    <w:name w:val="ECHR_Heading_4"/>
    <w:aliases w:val="Ju_H_a"/>
    <w:basedOn w:val="Heading4"/>
    <w:next w:val="ECHRPara"/>
    <w:uiPriority w:val="22"/>
    <w:qFormat/>
    <w:rsid w:val="00B82901"/>
  </w:style>
  <w:style w:type="paragraph" w:customStyle="1" w:styleId="ECHRHeading5">
    <w:name w:val="ECHR_Heading_5"/>
    <w:aliases w:val="Ju_H_i"/>
    <w:basedOn w:val="Heading5"/>
    <w:next w:val="ECHRPara"/>
    <w:uiPriority w:val="23"/>
    <w:qFormat/>
    <w:rsid w:val="00B82901"/>
  </w:style>
  <w:style w:type="paragraph" w:customStyle="1" w:styleId="ECHRHeading6">
    <w:name w:val="ECHR_Heading_6"/>
    <w:aliases w:val="Ju_H_alpha"/>
    <w:basedOn w:val="Heading6"/>
    <w:next w:val="ECHRPara"/>
    <w:uiPriority w:val="24"/>
    <w:qFormat/>
    <w:rsid w:val="00B82901"/>
  </w:style>
  <w:style w:type="paragraph" w:customStyle="1" w:styleId="ECHRHeading7">
    <w:name w:val="ECHR_Heading_7"/>
    <w:aliases w:val="Ju_H_–"/>
    <w:basedOn w:val="Heading7"/>
    <w:next w:val="ECHRPara"/>
    <w:uiPriority w:val="25"/>
    <w:qFormat/>
    <w:rsid w:val="00B82901"/>
  </w:style>
  <w:style w:type="paragraph" w:customStyle="1" w:styleId="JuParaLast">
    <w:name w:val="Ju_Para_Last"/>
    <w:basedOn w:val="Normal"/>
    <w:next w:val="ECHRPara"/>
    <w:uiPriority w:val="30"/>
    <w:qFormat/>
    <w:rsid w:val="00B82901"/>
    <w:pPr>
      <w:keepNext/>
      <w:keepLines/>
      <w:spacing w:before="240" w:after="0" w:line="240" w:lineRule="auto"/>
      <w:ind w:firstLine="284"/>
      <w:jc w:val="both"/>
    </w:pPr>
    <w:rPr>
      <w:rFonts w:ascii="Times New Roman" w:eastAsia="MS Mincho" w:hAnsi="Times New Roman" w:cs="Times New Roman"/>
      <w:sz w:val="24"/>
      <w:lang w:val="en-GB"/>
    </w:rPr>
  </w:style>
  <w:style w:type="paragraph" w:customStyle="1" w:styleId="JuList">
    <w:name w:val="Ju_List"/>
    <w:basedOn w:val="Normal"/>
    <w:uiPriority w:val="28"/>
    <w:qFormat/>
    <w:rsid w:val="00B82901"/>
    <w:pPr>
      <w:spacing w:after="0" w:line="240" w:lineRule="auto"/>
      <w:ind w:left="340" w:hanging="340"/>
      <w:jc w:val="both"/>
    </w:pPr>
    <w:rPr>
      <w:rFonts w:ascii="Times New Roman" w:eastAsia="MS Mincho" w:hAnsi="Times New Roman" w:cs="Times New Roman"/>
      <w:sz w:val="24"/>
      <w:lang w:val="en-GB"/>
    </w:rPr>
  </w:style>
  <w:style w:type="paragraph" w:customStyle="1" w:styleId="JuQuotSub">
    <w:name w:val="Ju_Quot_Sub"/>
    <w:basedOn w:val="ECHRParaQuote"/>
    <w:uiPriority w:val="15"/>
    <w:qFormat/>
    <w:rsid w:val="00B82901"/>
    <w:pPr>
      <w:ind w:left="567"/>
    </w:pPr>
  </w:style>
  <w:style w:type="paragraph" w:customStyle="1" w:styleId="JuTitle">
    <w:name w:val="Ju_Title"/>
    <w:basedOn w:val="Normal"/>
    <w:next w:val="ECHRPara"/>
    <w:uiPriority w:val="3"/>
    <w:semiHidden/>
    <w:qFormat/>
    <w:rsid w:val="00B82901"/>
    <w:pPr>
      <w:spacing w:before="720" w:after="240" w:line="240" w:lineRule="auto"/>
      <w:jc w:val="center"/>
      <w:outlineLvl w:val="0"/>
    </w:pPr>
    <w:rPr>
      <w:rFonts w:ascii="Times New Roman" w:eastAsia="MS Mincho" w:hAnsi="Times New Roman" w:cs="Times New Roman"/>
      <w:b/>
      <w:caps/>
      <w:sz w:val="24"/>
      <w:lang w:val="en-GB"/>
    </w:rPr>
  </w:style>
  <w:style w:type="character" w:styleId="SubtleEmphasis">
    <w:name w:val="Subtle Emphasis"/>
    <w:uiPriority w:val="99"/>
    <w:qFormat/>
    <w:rsid w:val="00B82901"/>
    <w:rPr>
      <w:i/>
      <w:iCs/>
    </w:rPr>
  </w:style>
  <w:style w:type="paragraph" w:customStyle="1" w:styleId="OpiH1">
    <w:name w:val="Opi_H_1"/>
    <w:basedOn w:val="ECHRHeading2"/>
    <w:uiPriority w:val="42"/>
    <w:qFormat/>
    <w:rsid w:val="00B82901"/>
    <w:pPr>
      <w:keepLines/>
      <w:numPr>
        <w:ilvl w:val="0"/>
        <w:numId w:val="0"/>
      </w:numPr>
      <w:tabs>
        <w:tab w:val="left" w:pos="584"/>
      </w:tabs>
      <w:spacing w:before="360" w:after="240" w:line="240" w:lineRule="auto"/>
      <w:ind w:left="635" w:hanging="357"/>
      <w:jc w:val="both"/>
      <w:outlineLvl w:val="2"/>
    </w:pPr>
    <w:rPr>
      <w:rFonts w:ascii="Times New Roman" w:eastAsia="MS Gothic" w:hAnsi="Times New Roman"/>
      <w:i w:val="0"/>
      <w:iCs w:val="0"/>
      <w:sz w:val="24"/>
      <w:szCs w:val="26"/>
      <w:lang w:val="en-GB" w:eastAsia="x-none"/>
    </w:rPr>
  </w:style>
  <w:style w:type="table" w:customStyle="1" w:styleId="ECHRTable">
    <w:name w:val="ECHR_Table"/>
    <w:basedOn w:val="TableNormal"/>
    <w:rsid w:val="00B82901"/>
    <w:pPr>
      <w:spacing w:after="0" w:line="240" w:lineRule="auto"/>
    </w:pPr>
    <w:rPr>
      <w:rFonts w:ascii="Times New Roman" w:eastAsia="Times New Roman" w:hAnsi="Times New Roman" w:cs="Times New Roman"/>
      <w:sz w:val="20"/>
      <w:szCs w:val="20"/>
      <w:lang w:val="en-GB" w:eastAsia="sq-AL"/>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TableBoxHeader">
    <w:name w:val="ECHR_Table_Box_Header"/>
    <w:basedOn w:val="TableNormal"/>
    <w:rsid w:val="00B82901"/>
    <w:pPr>
      <w:spacing w:after="0" w:line="240" w:lineRule="auto"/>
    </w:pPr>
    <w:rPr>
      <w:rFonts w:ascii="Verdana" w:eastAsia="Times New Roman" w:hAnsi="Verdana" w:cs="Times New Roman"/>
      <w:sz w:val="20"/>
      <w:szCs w:val="20"/>
      <w:lang w:val="en-GB" w:eastAsia="sq-AL"/>
    </w:rPr>
    <w:tblPr>
      <w:tblCellMar>
        <w:top w:w="57" w:type="dxa"/>
        <w:left w:w="57" w:type="dxa"/>
        <w:bottom w:w="57" w:type="dxa"/>
        <w:right w:w="57" w:type="dxa"/>
      </w:tblCellMar>
    </w:tblPr>
    <w:tcPr>
      <w:shd w:val="clear" w:color="auto" w:fill="F8F8F8"/>
    </w:tcPr>
    <w:tblStylePr w:type="firstCol">
      <w:rPr>
        <w:b/>
        <w:color w:val="5F5F5F"/>
      </w:rPr>
    </w:tblStylePr>
  </w:style>
  <w:style w:type="paragraph" w:customStyle="1" w:styleId="OpiHa">
    <w:name w:val="Opi_H_a"/>
    <w:basedOn w:val="ECHRHeading3"/>
    <w:uiPriority w:val="43"/>
    <w:qFormat/>
    <w:rsid w:val="00B82901"/>
    <w:pPr>
      <w:keepLines/>
      <w:numPr>
        <w:ilvl w:val="0"/>
        <w:numId w:val="0"/>
      </w:numPr>
      <w:tabs>
        <w:tab w:val="left" w:pos="731"/>
      </w:tabs>
      <w:spacing w:after="120" w:line="240" w:lineRule="auto"/>
      <w:ind w:left="833" w:hanging="357"/>
      <w:jc w:val="both"/>
      <w:outlineLvl w:val="3"/>
    </w:pPr>
    <w:rPr>
      <w:rFonts w:ascii="Times New Roman" w:eastAsia="MS Gothic" w:hAnsi="Times New Roman"/>
      <w:sz w:val="20"/>
      <w:szCs w:val="20"/>
      <w:lang w:val="en-GB" w:eastAsia="x-none"/>
    </w:rPr>
  </w:style>
  <w:style w:type="paragraph" w:customStyle="1" w:styleId="OpiHA0">
    <w:name w:val="Opi_H_A"/>
    <w:basedOn w:val="ECHRHeading1"/>
    <w:next w:val="OpiPara"/>
    <w:uiPriority w:val="41"/>
    <w:qFormat/>
    <w:rsid w:val="00B82901"/>
    <w:pPr>
      <w:keepLines/>
      <w:numPr>
        <w:numId w:val="0"/>
      </w:numPr>
      <w:spacing w:before="360" w:after="240" w:line="240" w:lineRule="auto"/>
      <w:ind w:left="357" w:hanging="357"/>
      <w:jc w:val="both"/>
      <w:outlineLvl w:val="1"/>
    </w:pPr>
    <w:rPr>
      <w:rFonts w:ascii="Times New Roman" w:eastAsia="MS Gothic" w:hAnsi="Times New Roman"/>
      <w:kern w:val="0"/>
      <w:sz w:val="24"/>
      <w:szCs w:val="28"/>
      <w:lang w:val="en-GB" w:eastAsia="x-none"/>
    </w:rPr>
  </w:style>
  <w:style w:type="paragraph" w:customStyle="1" w:styleId="OpiHi">
    <w:name w:val="Opi_H_i"/>
    <w:basedOn w:val="ECHRHeading4"/>
    <w:uiPriority w:val="44"/>
    <w:qFormat/>
    <w:rsid w:val="00B82901"/>
    <w:pPr>
      <w:keepLines/>
      <w:numPr>
        <w:ilvl w:val="0"/>
        <w:numId w:val="0"/>
      </w:numPr>
      <w:tabs>
        <w:tab w:val="left" w:pos="975"/>
      </w:tabs>
      <w:spacing w:after="120" w:line="240" w:lineRule="auto"/>
      <w:ind w:left="1037" w:hanging="357"/>
      <w:jc w:val="both"/>
      <w:outlineLvl w:val="4"/>
    </w:pPr>
    <w:rPr>
      <w:rFonts w:ascii="Times New Roman" w:eastAsia="MS Gothic" w:hAnsi="Times New Roman"/>
      <w:b w:val="0"/>
      <w:i/>
      <w:iCs/>
      <w:sz w:val="20"/>
      <w:szCs w:val="20"/>
      <w:lang w:val="en-GB" w:eastAsia="x-none"/>
    </w:rPr>
  </w:style>
  <w:style w:type="character" w:styleId="Emphasis">
    <w:name w:val="Emphasis"/>
    <w:uiPriority w:val="99"/>
    <w:qFormat/>
    <w:rsid w:val="00B82901"/>
    <w:rPr>
      <w:b/>
      <w:bCs/>
      <w:i/>
      <w:iCs/>
      <w:spacing w:val="10"/>
      <w:bdr w:val="none" w:sz="0" w:space="0" w:color="auto"/>
      <w:shd w:val="clear" w:color="auto" w:fill="auto"/>
    </w:rPr>
  </w:style>
  <w:style w:type="character" w:styleId="IntenseEmphasis">
    <w:name w:val="Intense Emphasis"/>
    <w:uiPriority w:val="99"/>
    <w:qFormat/>
    <w:rsid w:val="00B82901"/>
    <w:rPr>
      <w:b/>
      <w:bCs/>
    </w:rPr>
  </w:style>
  <w:style w:type="paragraph" w:styleId="IntenseQuote">
    <w:name w:val="Intense Quote"/>
    <w:basedOn w:val="Normal"/>
    <w:next w:val="Normal"/>
    <w:link w:val="IntenseQuoteChar"/>
    <w:uiPriority w:val="99"/>
    <w:qFormat/>
    <w:rsid w:val="00B82901"/>
    <w:pPr>
      <w:pBdr>
        <w:bottom w:val="single" w:sz="4" w:space="1" w:color="auto"/>
      </w:pBdr>
      <w:spacing w:before="200" w:after="280" w:line="240" w:lineRule="auto"/>
      <w:ind w:left="1008" w:right="1152"/>
      <w:jc w:val="both"/>
    </w:pPr>
    <w:rPr>
      <w:rFonts w:ascii="Times New Roman" w:eastAsia="MS Mincho" w:hAnsi="Times New Roman" w:cs="Times New Roman"/>
      <w:b/>
      <w:bCs/>
      <w:i/>
      <w:iCs/>
      <w:sz w:val="20"/>
      <w:szCs w:val="20"/>
      <w:lang w:val="x-none" w:eastAsia="x-none" w:bidi="en-US"/>
    </w:rPr>
  </w:style>
  <w:style w:type="character" w:customStyle="1" w:styleId="IntenseQuoteChar">
    <w:name w:val="Intense Quote Char"/>
    <w:basedOn w:val="DefaultParagraphFont"/>
    <w:link w:val="IntenseQuote"/>
    <w:uiPriority w:val="99"/>
    <w:rsid w:val="00B82901"/>
    <w:rPr>
      <w:rFonts w:ascii="Times New Roman" w:eastAsia="MS Mincho" w:hAnsi="Times New Roman" w:cs="Times New Roman"/>
      <w:b/>
      <w:bCs/>
      <w:i/>
      <w:iCs/>
      <w:sz w:val="20"/>
      <w:szCs w:val="20"/>
      <w:lang w:val="x-none" w:eastAsia="x-none" w:bidi="en-US"/>
    </w:rPr>
  </w:style>
  <w:style w:type="character" w:styleId="IntenseReference">
    <w:name w:val="Intense Reference"/>
    <w:uiPriority w:val="99"/>
    <w:qFormat/>
    <w:rsid w:val="00B82901"/>
    <w:rPr>
      <w:smallCaps/>
      <w:spacing w:val="5"/>
      <w:u w:val="single"/>
    </w:rPr>
  </w:style>
  <w:style w:type="table" w:customStyle="1" w:styleId="LtrTableAddress">
    <w:name w:val="Ltr_Table_Address"/>
    <w:basedOn w:val="TableNormal"/>
    <w:uiPriority w:val="99"/>
    <w:rsid w:val="00B82901"/>
    <w:pPr>
      <w:spacing w:after="0" w:line="240" w:lineRule="auto"/>
    </w:pPr>
    <w:rPr>
      <w:rFonts w:ascii="Times New Roman" w:eastAsia="Times New Roman" w:hAnsi="Times New Roman" w:cs="Times New Roman"/>
      <w:sz w:val="20"/>
      <w:szCs w:val="20"/>
      <w:lang w:val="sq-AL" w:eastAsia="sq-AL"/>
    </w:rPr>
    <w:tblPr>
      <w:tblInd w:w="5103" w:type="dxa"/>
    </w:tblPr>
  </w:style>
  <w:style w:type="paragraph" w:styleId="Quote">
    <w:name w:val="Quote"/>
    <w:basedOn w:val="Normal"/>
    <w:next w:val="Normal"/>
    <w:link w:val="QuoteChar"/>
    <w:uiPriority w:val="99"/>
    <w:qFormat/>
    <w:rsid w:val="00B82901"/>
    <w:pPr>
      <w:spacing w:before="200" w:after="0" w:line="240" w:lineRule="auto"/>
      <w:ind w:left="360" w:right="360"/>
      <w:jc w:val="both"/>
    </w:pPr>
    <w:rPr>
      <w:rFonts w:ascii="Times New Roman" w:eastAsia="MS Mincho" w:hAnsi="Times New Roman" w:cs="Times New Roman"/>
      <w:i/>
      <w:iCs/>
      <w:sz w:val="20"/>
      <w:szCs w:val="20"/>
      <w:lang w:val="x-none" w:eastAsia="x-none" w:bidi="en-US"/>
    </w:rPr>
  </w:style>
  <w:style w:type="character" w:customStyle="1" w:styleId="QuoteChar">
    <w:name w:val="Quote Char"/>
    <w:basedOn w:val="DefaultParagraphFont"/>
    <w:link w:val="Quote"/>
    <w:uiPriority w:val="99"/>
    <w:rsid w:val="00B82901"/>
    <w:rPr>
      <w:rFonts w:ascii="Times New Roman" w:eastAsia="MS Mincho" w:hAnsi="Times New Roman" w:cs="Times New Roman"/>
      <w:i/>
      <w:iCs/>
      <w:sz w:val="20"/>
      <w:szCs w:val="20"/>
      <w:lang w:val="x-none" w:eastAsia="x-none" w:bidi="en-US"/>
    </w:rPr>
  </w:style>
  <w:style w:type="character" w:styleId="SubtleReference">
    <w:name w:val="Subtle Reference"/>
    <w:uiPriority w:val="99"/>
    <w:qFormat/>
    <w:rsid w:val="00B82901"/>
    <w:rPr>
      <w:smallCaps/>
    </w:rPr>
  </w:style>
  <w:style w:type="paragraph" w:styleId="TOC1">
    <w:name w:val="toc 1"/>
    <w:basedOn w:val="Normal"/>
    <w:next w:val="Normal"/>
    <w:autoRedefine/>
    <w:uiPriority w:val="99"/>
    <w:semiHidden/>
    <w:rsid w:val="00B82901"/>
    <w:pPr>
      <w:keepNext/>
      <w:tabs>
        <w:tab w:val="right" w:leader="dot" w:pos="7371"/>
      </w:tabs>
      <w:spacing w:before="160" w:after="60" w:line="240" w:lineRule="exact"/>
      <w:ind w:left="340" w:right="567" w:hanging="340"/>
      <w:jc w:val="both"/>
    </w:pPr>
    <w:rPr>
      <w:rFonts w:ascii="Times New Roman" w:eastAsia="MS Mincho" w:hAnsi="Times New Roman" w:cs="Times New Roman"/>
      <w:b/>
      <w:lang w:val="en-GB"/>
    </w:rPr>
  </w:style>
  <w:style w:type="paragraph" w:styleId="TOC2">
    <w:name w:val="toc 2"/>
    <w:basedOn w:val="Normal"/>
    <w:next w:val="Normal"/>
    <w:autoRedefine/>
    <w:uiPriority w:val="99"/>
    <w:semiHidden/>
    <w:rsid w:val="00B82901"/>
    <w:pPr>
      <w:keepNext/>
      <w:tabs>
        <w:tab w:val="right" w:leader="dot" w:pos="7371"/>
      </w:tabs>
      <w:spacing w:after="60" w:line="240" w:lineRule="exact"/>
      <w:ind w:left="680" w:right="567" w:hanging="340"/>
      <w:jc w:val="both"/>
    </w:pPr>
    <w:rPr>
      <w:rFonts w:ascii="Times New Roman" w:eastAsia="MS Mincho" w:hAnsi="Times New Roman" w:cs="Times New Roman"/>
      <w:lang w:val="en-GB"/>
    </w:rPr>
  </w:style>
  <w:style w:type="paragraph" w:styleId="TOC3">
    <w:name w:val="toc 3"/>
    <w:basedOn w:val="Normal"/>
    <w:next w:val="Normal"/>
    <w:autoRedefine/>
    <w:uiPriority w:val="99"/>
    <w:semiHidden/>
    <w:rsid w:val="00B82901"/>
    <w:pPr>
      <w:keepNext/>
      <w:tabs>
        <w:tab w:val="right" w:leader="dot" w:pos="7371"/>
      </w:tabs>
      <w:spacing w:after="60" w:line="240" w:lineRule="exact"/>
      <w:ind w:left="1020" w:right="567" w:hanging="340"/>
      <w:jc w:val="both"/>
    </w:pPr>
    <w:rPr>
      <w:rFonts w:ascii="Times New Roman" w:eastAsia="MS Mincho" w:hAnsi="Times New Roman" w:cs="Times New Roman"/>
      <w:sz w:val="20"/>
      <w:lang w:val="en-GB"/>
    </w:rPr>
  </w:style>
  <w:style w:type="paragraph" w:styleId="TOC4">
    <w:name w:val="toc 4"/>
    <w:basedOn w:val="Normal"/>
    <w:next w:val="Normal"/>
    <w:autoRedefine/>
    <w:uiPriority w:val="99"/>
    <w:semiHidden/>
    <w:rsid w:val="00B82901"/>
    <w:pPr>
      <w:tabs>
        <w:tab w:val="right" w:leader="dot" w:pos="7371"/>
      </w:tabs>
      <w:spacing w:after="60" w:line="240" w:lineRule="exact"/>
      <w:ind w:left="1361" w:right="567" w:hanging="340"/>
      <w:jc w:val="both"/>
    </w:pPr>
    <w:rPr>
      <w:rFonts w:ascii="Times New Roman" w:eastAsia="MS Mincho" w:hAnsi="Times New Roman" w:cs="Times New Roman"/>
      <w:sz w:val="20"/>
      <w:lang w:val="en-GB"/>
    </w:rPr>
  </w:style>
  <w:style w:type="paragraph" w:styleId="TOC5">
    <w:name w:val="toc 5"/>
    <w:basedOn w:val="Normal"/>
    <w:next w:val="Normal"/>
    <w:autoRedefine/>
    <w:uiPriority w:val="99"/>
    <w:semiHidden/>
    <w:rsid w:val="00B82901"/>
    <w:pPr>
      <w:tabs>
        <w:tab w:val="right" w:leader="dot" w:pos="7371"/>
      </w:tabs>
      <w:spacing w:after="60" w:line="240" w:lineRule="exact"/>
      <w:ind w:left="1701" w:right="567" w:hanging="340"/>
      <w:jc w:val="both"/>
    </w:pPr>
    <w:rPr>
      <w:rFonts w:ascii="Times New Roman" w:eastAsia="MS Mincho" w:hAnsi="Times New Roman" w:cs="Times New Roman"/>
      <w:sz w:val="20"/>
      <w:lang w:val="en-GB"/>
    </w:rPr>
  </w:style>
  <w:style w:type="paragraph" w:styleId="TOCHeading">
    <w:name w:val="TOC Heading"/>
    <w:basedOn w:val="Normal"/>
    <w:next w:val="Normal"/>
    <w:uiPriority w:val="99"/>
    <w:semiHidden/>
    <w:qFormat/>
    <w:rsid w:val="00B82901"/>
    <w:pPr>
      <w:keepNext/>
      <w:spacing w:before="240" w:after="60" w:line="276" w:lineRule="auto"/>
    </w:pPr>
    <w:rPr>
      <w:rFonts w:ascii="Calibri Light" w:eastAsia="Times New Roman" w:hAnsi="Calibri Light" w:cs="Times New Roman"/>
      <w:kern w:val="32"/>
      <w:sz w:val="32"/>
      <w:szCs w:val="32"/>
    </w:rPr>
  </w:style>
  <w:style w:type="table" w:customStyle="1" w:styleId="UGTable">
    <w:name w:val="UG_Table"/>
    <w:basedOn w:val="TableNormal"/>
    <w:uiPriority w:val="99"/>
    <w:rsid w:val="00B82901"/>
    <w:pPr>
      <w:spacing w:after="0" w:line="240" w:lineRule="auto"/>
    </w:pPr>
    <w:rPr>
      <w:rFonts w:ascii="Times New Roman" w:eastAsia="MS Mincho" w:hAnsi="Times New Roman" w:cs="Times New Roman"/>
      <w:sz w:val="20"/>
      <w:szCs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B82901"/>
    <w:pPr>
      <w:spacing w:after="0" w:line="240" w:lineRule="auto"/>
    </w:pPr>
    <w:rPr>
      <w:rFonts w:ascii="Times New Roman" w:eastAsia="MS Mincho" w:hAnsi="Times New Roman" w:cs="Times New Roman"/>
      <w:sz w:val="20"/>
      <w:szCs w:val="20"/>
      <w:lang w:val="en-GB" w:eastAsia="en-GB"/>
    </w:rPr>
    <w:tblPr>
      <w:tblInd w:w="113"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B82901"/>
    <w:pPr>
      <w:spacing w:after="0" w:line="240" w:lineRule="auto"/>
    </w:pPr>
    <w:rPr>
      <w:rFonts w:ascii="Times New Roman" w:eastAsia="Times New Roman" w:hAnsi="Times New Roman" w:cs="Times New Roman"/>
      <w:color w:val="000000"/>
      <w:sz w:val="18"/>
      <w:szCs w:val="20"/>
      <w:lang w:val="sq-AL" w:eastAsia="sq-AL"/>
    </w:rPr>
    <w:tblPr>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Pr>
    <w:tblStylePr w:type="firstRow">
      <w:pPr>
        <w:wordWrap/>
        <w:spacing w:beforeLines="0" w:beforeAutospacing="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ECHRTableFax">
    <w:name w:val="ECHR_Table_Fax"/>
    <w:basedOn w:val="TableNormal"/>
    <w:uiPriority w:val="99"/>
    <w:rsid w:val="00B82901"/>
    <w:pPr>
      <w:spacing w:after="0" w:line="240" w:lineRule="auto"/>
    </w:pPr>
    <w:rPr>
      <w:rFonts w:ascii="Times New Roman" w:eastAsia="Times New Roman" w:hAnsi="Times New Roman" w:cs="Times New Roman"/>
      <w:color w:val="000000"/>
      <w:sz w:val="20"/>
      <w:szCs w:val="20"/>
      <w:lang w:val="sq-AL" w:eastAsia="sq-AL"/>
    </w:rPr>
    <w:tblPr>
      <w:tblInd w:w="-680" w:type="dxa"/>
      <w:tblBorders>
        <w:insideH w:val="single" w:sz="4" w:space="0" w:color="C6C6C6"/>
        <w:insideV w:val="single" w:sz="4" w:space="0" w:color="C6C6C6"/>
      </w:tblBorders>
      <w:tblCellMar>
        <w:top w:w="142" w:type="dxa"/>
        <w:bottom w:w="142" w:type="dxa"/>
      </w:tblCellMar>
    </w:tblPr>
    <w:trPr>
      <w:cantSplit/>
    </w:trPr>
  </w:style>
  <w:style w:type="table" w:customStyle="1" w:styleId="ECHRTableMemo">
    <w:name w:val="ECHR_Table_Memo"/>
    <w:basedOn w:val="TableNormal"/>
    <w:uiPriority w:val="99"/>
    <w:rsid w:val="00B82901"/>
    <w:pPr>
      <w:spacing w:after="0" w:line="240" w:lineRule="auto"/>
    </w:pPr>
    <w:rPr>
      <w:rFonts w:ascii="Times New Roman" w:eastAsia="Times New Roman" w:hAnsi="Times New Roman" w:cs="Times New Roman"/>
      <w:sz w:val="20"/>
      <w:szCs w:val="20"/>
      <w:lang w:val="sq-AL" w:eastAsia="sq-AL"/>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DNTable">
    <w:name w:val="ECHR_DN_Table"/>
    <w:aliases w:val="DN_Table"/>
    <w:basedOn w:val="TableNormal"/>
    <w:uiPriority w:val="99"/>
    <w:rsid w:val="00B82901"/>
    <w:pPr>
      <w:spacing w:after="0" w:line="240" w:lineRule="auto"/>
    </w:pPr>
    <w:rPr>
      <w:rFonts w:ascii="Times New Roman" w:eastAsia="Times New Roman" w:hAnsi="Times New Roman" w:cs="Times New Roman"/>
      <w:sz w:val="20"/>
      <w:szCs w:val="20"/>
      <w:lang w:val="sq-AL" w:eastAsia="sq-AL"/>
    </w:rPr>
    <w:tblPr>
      <w:jc w:val="center"/>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bottom w:w="57" w:type="dxa"/>
      </w:tblCellMar>
    </w:tblPr>
    <w:trPr>
      <w:jc w:val="center"/>
    </w:trPr>
    <w:tcPr>
      <w:vAlign w:val="center"/>
    </w:tcPr>
    <w:tblStylePr w:type="firstRow">
      <w:pPr>
        <w:wordWrap/>
        <w:spacing w:beforeLines="0"/>
        <w:ind w:leftChars="0" w:left="0"/>
      </w:pPr>
      <w:rPr>
        <w:rFonts w:ascii="Times New Roman" w:hAnsi="Times New Roman"/>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paragraph" w:styleId="TOAHeading">
    <w:name w:val="toa heading"/>
    <w:basedOn w:val="Normal"/>
    <w:next w:val="Normal"/>
    <w:uiPriority w:val="99"/>
    <w:semiHidden/>
    <w:rsid w:val="00B82901"/>
    <w:pPr>
      <w:keepNext/>
      <w:keepLines/>
      <w:spacing w:before="240" w:after="0" w:line="240" w:lineRule="auto"/>
      <w:contextualSpacing/>
      <w:jc w:val="center"/>
    </w:pPr>
    <w:rPr>
      <w:rFonts w:ascii="Times New Roman" w:eastAsia="MS Gothic" w:hAnsi="Times New Roman" w:cs="Times New Roman"/>
      <w:b/>
      <w:bCs/>
      <w:color w:val="474747"/>
      <w:sz w:val="28"/>
      <w:szCs w:val="24"/>
      <w:lang w:val="en-GB"/>
    </w:rPr>
  </w:style>
  <w:style w:type="paragraph" w:styleId="Subtitle">
    <w:name w:val="Subtitle"/>
    <w:basedOn w:val="Normal"/>
    <w:next w:val="Normal"/>
    <w:link w:val="SubtitleChar"/>
    <w:uiPriority w:val="99"/>
    <w:qFormat/>
    <w:rsid w:val="00B82901"/>
    <w:pPr>
      <w:spacing w:after="600" w:line="240" w:lineRule="auto"/>
      <w:jc w:val="both"/>
    </w:pPr>
    <w:rPr>
      <w:rFonts w:ascii="Times New Roman" w:eastAsia="MS Gothic" w:hAnsi="Times New Roman" w:cs="Times New Roman"/>
      <w:i/>
      <w:iCs/>
      <w:spacing w:val="13"/>
      <w:sz w:val="24"/>
      <w:szCs w:val="24"/>
      <w:lang w:val="x-none" w:eastAsia="x-none" w:bidi="en-US"/>
    </w:rPr>
  </w:style>
  <w:style w:type="character" w:customStyle="1" w:styleId="SubtitleChar">
    <w:name w:val="Subtitle Char"/>
    <w:basedOn w:val="DefaultParagraphFont"/>
    <w:link w:val="Subtitle"/>
    <w:uiPriority w:val="99"/>
    <w:rsid w:val="00B82901"/>
    <w:rPr>
      <w:rFonts w:ascii="Times New Roman" w:eastAsia="MS Gothic" w:hAnsi="Times New Roman" w:cs="Times New Roman"/>
      <w:i/>
      <w:iCs/>
      <w:spacing w:val="13"/>
      <w:sz w:val="24"/>
      <w:szCs w:val="24"/>
      <w:lang w:val="x-none" w:eastAsia="x-none" w:bidi="en-US"/>
    </w:rPr>
  </w:style>
  <w:style w:type="numbering" w:styleId="111111">
    <w:name w:val="Outline List 2"/>
    <w:basedOn w:val="NoList"/>
    <w:uiPriority w:val="99"/>
    <w:semiHidden/>
    <w:unhideWhenUsed/>
    <w:rsid w:val="00B82901"/>
    <w:pPr>
      <w:numPr>
        <w:numId w:val="4"/>
      </w:numPr>
    </w:pPr>
  </w:style>
  <w:style w:type="numbering" w:styleId="1ai">
    <w:name w:val="Outline List 1"/>
    <w:basedOn w:val="NoList"/>
    <w:uiPriority w:val="99"/>
    <w:semiHidden/>
    <w:unhideWhenUsed/>
    <w:rsid w:val="00B82901"/>
    <w:pPr>
      <w:numPr>
        <w:numId w:val="5"/>
      </w:numPr>
    </w:pPr>
  </w:style>
  <w:style w:type="table" w:customStyle="1" w:styleId="ECHRTableSimpleBox">
    <w:name w:val="ECHR_Table_Simple_Box"/>
    <w:basedOn w:val="TableNormal"/>
    <w:uiPriority w:val="99"/>
    <w:rsid w:val="00B82901"/>
    <w:pPr>
      <w:spacing w:after="0" w:line="240" w:lineRule="auto"/>
    </w:pPr>
    <w:rPr>
      <w:rFonts w:ascii="Times New Roman" w:eastAsia="Times New Roman" w:hAnsi="Times New Roman" w:cs="Times New Roman"/>
      <w:sz w:val="20"/>
      <w:szCs w:val="20"/>
      <w:lang w:val="sq-AL" w:eastAsia="sq-AL"/>
    </w:rPr>
    <w:tblPr>
      <w:tblBorders>
        <w:top w:val="single" w:sz="4" w:space="0" w:color="9F9F9F"/>
        <w:left w:val="single" w:sz="4" w:space="0" w:color="9F9F9F"/>
        <w:bottom w:val="single" w:sz="4" w:space="0" w:color="9F9F9F"/>
        <w:right w:val="single" w:sz="4" w:space="0" w:color="9F9F9F"/>
      </w:tblBorders>
      <w:tblCellMar>
        <w:top w:w="113" w:type="dxa"/>
        <w:bottom w:w="113" w:type="dxa"/>
      </w:tblCellMar>
    </w:tblPr>
  </w:style>
  <w:style w:type="table" w:customStyle="1" w:styleId="ECHRTableNoLines">
    <w:name w:val="ECHR_Table_No_Lines"/>
    <w:basedOn w:val="TableNormal"/>
    <w:uiPriority w:val="99"/>
    <w:rsid w:val="00B82901"/>
    <w:pPr>
      <w:spacing w:after="0" w:line="240" w:lineRule="auto"/>
    </w:pPr>
    <w:rPr>
      <w:rFonts w:ascii="Times New Roman" w:eastAsia="Times New Roman" w:hAnsi="Times New Roman" w:cs="Times New Roman"/>
      <w:sz w:val="20"/>
      <w:szCs w:val="20"/>
      <w:lang w:val="sq-AL" w:eastAsia="sq-AL"/>
    </w:rPr>
    <w:tblPr>
      <w:tblCellMar>
        <w:top w:w="85" w:type="dxa"/>
        <w:left w:w="142" w:type="dxa"/>
        <w:bottom w:w="28" w:type="dxa"/>
        <w:right w:w="142" w:type="dxa"/>
      </w:tblCellMar>
    </w:tblPr>
    <w:tblStylePr w:type="firstRow">
      <w:rPr>
        <w:rFonts w:ascii="Times New Roman" w:hAnsi="Times New Roman"/>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numbering" w:styleId="ArticleSection">
    <w:name w:val="Outline List 3"/>
    <w:basedOn w:val="NoList"/>
    <w:uiPriority w:val="99"/>
    <w:semiHidden/>
    <w:unhideWhenUsed/>
    <w:rsid w:val="00B82901"/>
    <w:pPr>
      <w:numPr>
        <w:numId w:val="6"/>
      </w:numPr>
    </w:pPr>
  </w:style>
  <w:style w:type="table" w:customStyle="1" w:styleId="ECHRTableForInternalUse">
    <w:name w:val="ECHR_Table_For_Internal_Use"/>
    <w:basedOn w:val="TableNormal"/>
    <w:uiPriority w:val="99"/>
    <w:rsid w:val="00B82901"/>
    <w:pPr>
      <w:spacing w:after="0" w:line="240" w:lineRule="auto"/>
    </w:pPr>
    <w:rPr>
      <w:rFonts w:ascii="Times New Roman" w:eastAsia="Times New Roman" w:hAnsi="Times New Roman" w:cs="Times New Roman"/>
      <w:color w:val="636363"/>
      <w:sz w:val="18"/>
      <w:szCs w:val="20"/>
      <w:lang w:val="sq-AL" w:eastAsia="sq-AL"/>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ListTable">
    <w:name w:val="ECHR_List_Table"/>
    <w:basedOn w:val="TableNormal"/>
    <w:uiPriority w:val="99"/>
    <w:rsid w:val="00B82901"/>
    <w:pPr>
      <w:spacing w:after="0" w:line="240" w:lineRule="auto"/>
    </w:pPr>
    <w:rPr>
      <w:rFonts w:ascii="Times New Roman" w:eastAsia="Times New Roman" w:hAnsi="Times New Roman" w:cs="Times New Roman"/>
      <w:sz w:val="20"/>
      <w:szCs w:val="20"/>
      <w:lang w:val="sq-AL" w:eastAsia="sq-AL"/>
    </w:rPr>
    <w:tblPr>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paragraph" w:styleId="Bibliography">
    <w:name w:val="Bibliography"/>
    <w:basedOn w:val="Normal"/>
    <w:next w:val="Normal"/>
    <w:uiPriority w:val="99"/>
    <w:semiHidden/>
    <w:rsid w:val="00B82901"/>
    <w:pPr>
      <w:spacing w:after="0" w:line="240" w:lineRule="auto"/>
      <w:jc w:val="both"/>
    </w:pPr>
    <w:rPr>
      <w:rFonts w:ascii="Times New Roman" w:eastAsia="MS Mincho" w:hAnsi="Times New Roman" w:cs="Times New Roman"/>
      <w:sz w:val="24"/>
      <w:lang w:val="en-GB"/>
    </w:rPr>
  </w:style>
  <w:style w:type="paragraph" w:styleId="BlockText">
    <w:name w:val="Block Text"/>
    <w:basedOn w:val="Normal"/>
    <w:uiPriority w:val="99"/>
    <w:semiHidden/>
    <w:rsid w:val="00B82901"/>
    <w:pPr>
      <w:pBdr>
        <w:top w:val="single" w:sz="2" w:space="10" w:color="0072BC" w:shadow="1" w:frame="1"/>
        <w:left w:val="single" w:sz="2" w:space="10" w:color="0072BC" w:shadow="1" w:frame="1"/>
        <w:bottom w:val="single" w:sz="2" w:space="10" w:color="0072BC" w:shadow="1" w:frame="1"/>
        <w:right w:val="single" w:sz="2" w:space="10" w:color="0072BC" w:shadow="1" w:frame="1"/>
      </w:pBdr>
      <w:spacing w:after="0" w:line="240" w:lineRule="auto"/>
      <w:ind w:left="1152" w:right="1152"/>
      <w:jc w:val="both"/>
    </w:pPr>
    <w:rPr>
      <w:rFonts w:ascii="Times New Roman" w:eastAsia="MS Mincho" w:hAnsi="Times New Roman" w:cs="Times New Roman"/>
      <w:i/>
      <w:iCs/>
      <w:color w:val="0072BC"/>
      <w:sz w:val="24"/>
      <w:lang w:val="en-GB"/>
    </w:rPr>
  </w:style>
  <w:style w:type="table" w:customStyle="1" w:styleId="ECHRHeaderTable">
    <w:name w:val="ECHR_Header_Table"/>
    <w:basedOn w:val="TableNormal"/>
    <w:uiPriority w:val="99"/>
    <w:rsid w:val="00B82901"/>
    <w:pPr>
      <w:spacing w:after="0" w:line="240" w:lineRule="auto"/>
    </w:pPr>
    <w:rPr>
      <w:rFonts w:ascii="Times New Roman" w:eastAsia="Times New Roman" w:hAnsi="Times New Roman" w:cs="Times New Roman"/>
      <w:sz w:val="20"/>
      <w:szCs w:val="20"/>
      <w:lang w:val="sq-AL" w:eastAsia="sq-AL"/>
    </w:rPr>
    <w:tblPr>
      <w:tblInd w:w="-680" w:type="dxa"/>
      <w:tblBorders>
        <w:bottom w:val="single" w:sz="6" w:space="0" w:color="949494"/>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B82901"/>
    <w:pPr>
      <w:spacing w:after="120" w:line="240" w:lineRule="auto"/>
      <w:jc w:val="both"/>
    </w:pPr>
    <w:rPr>
      <w:rFonts w:ascii="Times New Roman" w:eastAsia="MS Mincho" w:hAnsi="Times New Roman" w:cs="Times New Roman"/>
      <w:sz w:val="24"/>
      <w:szCs w:val="20"/>
      <w:lang w:val="x-none" w:eastAsia="x-none"/>
    </w:rPr>
  </w:style>
  <w:style w:type="character" w:customStyle="1" w:styleId="BodyTextChar">
    <w:name w:val="Body Text Char"/>
    <w:basedOn w:val="DefaultParagraphFont"/>
    <w:link w:val="BodyText"/>
    <w:uiPriority w:val="99"/>
    <w:semiHidden/>
    <w:rsid w:val="00B82901"/>
    <w:rPr>
      <w:rFonts w:ascii="Times New Roman" w:eastAsia="MS Mincho" w:hAnsi="Times New Roman" w:cs="Times New Roman"/>
      <w:sz w:val="24"/>
      <w:szCs w:val="20"/>
      <w:lang w:val="x-none" w:eastAsia="x-none"/>
    </w:rPr>
  </w:style>
  <w:style w:type="table" w:customStyle="1" w:styleId="ECHRTableOddBanded">
    <w:name w:val="ECHR_Table_Odd_Banded"/>
    <w:basedOn w:val="TableNormal"/>
    <w:uiPriority w:val="99"/>
    <w:rsid w:val="00B82901"/>
    <w:pPr>
      <w:spacing w:after="0" w:line="240" w:lineRule="auto"/>
    </w:pPr>
    <w:rPr>
      <w:rFonts w:ascii="Times New Roman" w:eastAsia="Times New Roman" w:hAnsi="Times New Roman" w:cs="Times New Roman"/>
      <w:sz w:val="20"/>
      <w:szCs w:val="20"/>
      <w:lang w:val="sq-AL" w:eastAsia="sq-AL"/>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paragraph" w:styleId="BodyText2">
    <w:name w:val="Body Text 2"/>
    <w:basedOn w:val="Normal"/>
    <w:link w:val="BodyText2Char"/>
    <w:uiPriority w:val="99"/>
    <w:semiHidden/>
    <w:rsid w:val="00B82901"/>
    <w:pPr>
      <w:spacing w:after="120" w:line="480" w:lineRule="auto"/>
      <w:jc w:val="both"/>
    </w:pPr>
    <w:rPr>
      <w:rFonts w:ascii="Times New Roman" w:eastAsia="MS Mincho" w:hAnsi="Times New Roman" w:cs="Times New Roman"/>
      <w:sz w:val="24"/>
      <w:szCs w:val="20"/>
      <w:lang w:val="x-none" w:eastAsia="x-none"/>
    </w:rPr>
  </w:style>
  <w:style w:type="character" w:customStyle="1" w:styleId="BodyText2Char">
    <w:name w:val="Body Text 2 Char"/>
    <w:basedOn w:val="DefaultParagraphFont"/>
    <w:link w:val="BodyText2"/>
    <w:uiPriority w:val="99"/>
    <w:semiHidden/>
    <w:rsid w:val="00B82901"/>
    <w:rPr>
      <w:rFonts w:ascii="Times New Roman" w:eastAsia="MS Mincho" w:hAnsi="Times New Roman" w:cs="Times New Roman"/>
      <w:sz w:val="24"/>
      <w:szCs w:val="20"/>
      <w:lang w:val="x-none" w:eastAsia="x-none"/>
    </w:rPr>
  </w:style>
  <w:style w:type="table" w:customStyle="1" w:styleId="ECHRHeaderTableReduced">
    <w:name w:val="ECHR_Header_Table_Reduced"/>
    <w:basedOn w:val="TableNormal"/>
    <w:uiPriority w:val="99"/>
    <w:rsid w:val="00B82901"/>
    <w:pPr>
      <w:spacing w:after="0" w:line="240" w:lineRule="auto"/>
    </w:pPr>
    <w:rPr>
      <w:rFonts w:ascii="Times New Roman" w:eastAsia="Times New Roman" w:hAnsi="Times New Roman" w:cs="Times New Roman"/>
      <w:sz w:val="20"/>
      <w:szCs w:val="20"/>
      <w:lang w:val="sq-AL" w:eastAsia="sq-AL"/>
    </w:rPr>
    <w:tblPr>
      <w:tblInd w:w="-680" w:type="dxa"/>
      <w:tblCellMar>
        <w:left w:w="0" w:type="dxa"/>
        <w:right w:w="0" w:type="dxa"/>
      </w:tblCellMar>
    </w:tblPr>
    <w:tcPr>
      <w:vAlign w:val="bottom"/>
    </w:tcPr>
    <w:tblStylePr w:type="firstRow">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B82901"/>
    <w:pPr>
      <w:spacing w:after="0" w:line="240" w:lineRule="auto"/>
      <w:ind w:firstLine="284"/>
      <w:jc w:val="both"/>
    </w:pPr>
    <w:rPr>
      <w:rFonts w:ascii="Times New Roman" w:eastAsia="MS Mincho" w:hAnsi="Times New Roman" w:cs="Times New Roman"/>
      <w:b/>
      <w:sz w:val="24"/>
      <w:lang w:val="en-GB"/>
    </w:rPr>
  </w:style>
  <w:style w:type="character" w:styleId="PageNumber">
    <w:name w:val="page number"/>
    <w:uiPriority w:val="99"/>
    <w:semiHidden/>
    <w:rsid w:val="00B82901"/>
    <w:rPr>
      <w:sz w:val="18"/>
    </w:rPr>
  </w:style>
  <w:style w:type="paragraph" w:styleId="ListBullet">
    <w:name w:val="List Bullet"/>
    <w:basedOn w:val="Normal"/>
    <w:uiPriority w:val="99"/>
    <w:semiHidden/>
    <w:rsid w:val="00B82901"/>
    <w:pPr>
      <w:numPr>
        <w:numId w:val="3"/>
      </w:numPr>
      <w:spacing w:after="0" w:line="240" w:lineRule="auto"/>
      <w:jc w:val="both"/>
    </w:pPr>
    <w:rPr>
      <w:rFonts w:ascii="Times New Roman" w:eastAsia="MS Mincho" w:hAnsi="Times New Roman" w:cs="Times New Roman"/>
      <w:sz w:val="24"/>
      <w:lang w:val="en-GB"/>
    </w:rPr>
  </w:style>
  <w:style w:type="paragraph" w:styleId="ListBullet3">
    <w:name w:val="List Bullet 3"/>
    <w:basedOn w:val="Normal"/>
    <w:uiPriority w:val="99"/>
    <w:semiHidden/>
    <w:rsid w:val="00B82901"/>
    <w:pPr>
      <w:numPr>
        <w:numId w:val="2"/>
      </w:numPr>
      <w:spacing w:after="0" w:line="240" w:lineRule="auto"/>
      <w:contextualSpacing/>
      <w:jc w:val="both"/>
    </w:pPr>
    <w:rPr>
      <w:rFonts w:ascii="Times New Roman" w:eastAsia="MS Mincho" w:hAnsi="Times New Roman" w:cs="Times New Roman"/>
      <w:sz w:val="24"/>
      <w:lang w:val="en-GB"/>
    </w:rPr>
  </w:style>
  <w:style w:type="paragraph" w:styleId="BodyText3">
    <w:name w:val="Body Text 3"/>
    <w:basedOn w:val="Normal"/>
    <w:link w:val="BodyText3Char"/>
    <w:uiPriority w:val="99"/>
    <w:semiHidden/>
    <w:rsid w:val="00B82901"/>
    <w:pPr>
      <w:spacing w:after="120" w:line="240" w:lineRule="auto"/>
      <w:jc w:val="both"/>
    </w:pPr>
    <w:rPr>
      <w:rFonts w:ascii="Times New Roman" w:eastAsia="MS Mincho" w:hAnsi="Times New Roman" w:cs="Times New Roman"/>
      <w:sz w:val="16"/>
      <w:szCs w:val="16"/>
      <w:lang w:val="x-none" w:eastAsia="x-none"/>
    </w:rPr>
  </w:style>
  <w:style w:type="character" w:customStyle="1" w:styleId="BodyText3Char">
    <w:name w:val="Body Text 3 Char"/>
    <w:basedOn w:val="DefaultParagraphFont"/>
    <w:link w:val="BodyText3"/>
    <w:uiPriority w:val="99"/>
    <w:semiHidden/>
    <w:rsid w:val="00B82901"/>
    <w:rPr>
      <w:rFonts w:ascii="Times New Roman" w:eastAsia="MS Mincho" w:hAnsi="Times New Roman" w:cs="Times New Roman"/>
      <w:sz w:val="16"/>
      <w:szCs w:val="16"/>
      <w:lang w:val="x-none" w:eastAsia="x-none"/>
    </w:rPr>
  </w:style>
  <w:style w:type="paragraph" w:styleId="BodyTextFirstIndent">
    <w:name w:val="Body Text First Indent"/>
    <w:basedOn w:val="BodyText"/>
    <w:link w:val="BodyTextFirstIndentChar"/>
    <w:uiPriority w:val="99"/>
    <w:semiHidden/>
    <w:rsid w:val="00B82901"/>
    <w:pPr>
      <w:spacing w:after="0"/>
      <w:ind w:firstLine="360"/>
    </w:pPr>
  </w:style>
  <w:style w:type="character" w:customStyle="1" w:styleId="BodyTextFirstIndentChar">
    <w:name w:val="Body Text First Indent Char"/>
    <w:basedOn w:val="BodyTextChar"/>
    <w:link w:val="BodyTextFirstIndent"/>
    <w:uiPriority w:val="99"/>
    <w:semiHidden/>
    <w:rsid w:val="00B82901"/>
    <w:rPr>
      <w:rFonts w:ascii="Times New Roman" w:eastAsia="MS Mincho" w:hAnsi="Times New Roman" w:cs="Times New Roman"/>
      <w:sz w:val="24"/>
      <w:szCs w:val="20"/>
      <w:lang w:val="x-none" w:eastAsia="x-none"/>
    </w:rPr>
  </w:style>
  <w:style w:type="paragraph" w:styleId="BodyTextIndent">
    <w:name w:val="Body Text Indent"/>
    <w:basedOn w:val="Normal"/>
    <w:link w:val="BodyTextIndentChar"/>
    <w:uiPriority w:val="99"/>
    <w:semiHidden/>
    <w:rsid w:val="00B82901"/>
    <w:pPr>
      <w:spacing w:after="120" w:line="240" w:lineRule="auto"/>
      <w:ind w:left="283"/>
      <w:jc w:val="both"/>
    </w:pPr>
    <w:rPr>
      <w:rFonts w:ascii="Times New Roman" w:eastAsia="MS Mincho" w:hAnsi="Times New Roman" w:cs="Times New Roman"/>
      <w:sz w:val="24"/>
      <w:szCs w:val="20"/>
      <w:lang w:val="x-none" w:eastAsia="x-none"/>
    </w:rPr>
  </w:style>
  <w:style w:type="character" w:customStyle="1" w:styleId="BodyTextIndentChar">
    <w:name w:val="Body Text Indent Char"/>
    <w:basedOn w:val="DefaultParagraphFont"/>
    <w:link w:val="BodyTextIndent"/>
    <w:uiPriority w:val="99"/>
    <w:semiHidden/>
    <w:rsid w:val="00B82901"/>
    <w:rPr>
      <w:rFonts w:ascii="Times New Roman" w:eastAsia="MS Mincho" w:hAnsi="Times New Roman" w:cs="Times New Roman"/>
      <w:sz w:val="24"/>
      <w:szCs w:val="20"/>
      <w:lang w:val="x-none" w:eastAsia="x-none"/>
    </w:rPr>
  </w:style>
  <w:style w:type="paragraph" w:styleId="BodyTextFirstIndent2">
    <w:name w:val="Body Text First Indent 2"/>
    <w:basedOn w:val="BodyTextIndent"/>
    <w:link w:val="BodyTextFirstIndent2Char"/>
    <w:uiPriority w:val="99"/>
    <w:semiHidden/>
    <w:rsid w:val="00B82901"/>
    <w:pPr>
      <w:spacing w:after="0"/>
      <w:ind w:left="360" w:firstLine="360"/>
    </w:pPr>
  </w:style>
  <w:style w:type="character" w:customStyle="1" w:styleId="BodyTextFirstIndent2Char">
    <w:name w:val="Body Text First Indent 2 Char"/>
    <w:basedOn w:val="BodyTextIndentChar"/>
    <w:link w:val="BodyTextFirstIndent2"/>
    <w:uiPriority w:val="99"/>
    <w:semiHidden/>
    <w:rsid w:val="00B82901"/>
    <w:rPr>
      <w:rFonts w:ascii="Times New Roman" w:eastAsia="MS Mincho" w:hAnsi="Times New Roman" w:cs="Times New Roman"/>
      <w:sz w:val="24"/>
      <w:szCs w:val="20"/>
      <w:lang w:val="x-none" w:eastAsia="x-none"/>
    </w:rPr>
  </w:style>
  <w:style w:type="paragraph" w:styleId="BodyTextIndent2">
    <w:name w:val="Body Text Indent 2"/>
    <w:basedOn w:val="Normal"/>
    <w:link w:val="BodyTextIndent2Char"/>
    <w:uiPriority w:val="99"/>
    <w:semiHidden/>
    <w:rsid w:val="00B82901"/>
    <w:pPr>
      <w:spacing w:after="120" w:line="480" w:lineRule="auto"/>
      <w:ind w:left="283"/>
      <w:jc w:val="both"/>
    </w:pPr>
    <w:rPr>
      <w:rFonts w:ascii="Times New Roman" w:eastAsia="MS Mincho" w:hAnsi="Times New Roman" w:cs="Times New Roman"/>
      <w:sz w:val="24"/>
      <w:szCs w:val="20"/>
      <w:lang w:val="x-none" w:eastAsia="x-none"/>
    </w:rPr>
  </w:style>
  <w:style w:type="character" w:customStyle="1" w:styleId="BodyTextIndent2Char">
    <w:name w:val="Body Text Indent 2 Char"/>
    <w:basedOn w:val="DefaultParagraphFont"/>
    <w:link w:val="BodyTextIndent2"/>
    <w:uiPriority w:val="99"/>
    <w:semiHidden/>
    <w:rsid w:val="00B82901"/>
    <w:rPr>
      <w:rFonts w:ascii="Times New Roman" w:eastAsia="MS Mincho" w:hAnsi="Times New Roman" w:cs="Times New Roman"/>
      <w:sz w:val="24"/>
      <w:szCs w:val="20"/>
      <w:lang w:val="x-none" w:eastAsia="x-none"/>
    </w:rPr>
  </w:style>
  <w:style w:type="paragraph" w:styleId="BodyTextIndent3">
    <w:name w:val="Body Text Indent 3"/>
    <w:basedOn w:val="Normal"/>
    <w:link w:val="BodyTextIndent3Char"/>
    <w:uiPriority w:val="99"/>
    <w:semiHidden/>
    <w:rsid w:val="00B82901"/>
    <w:pPr>
      <w:spacing w:after="120" w:line="240" w:lineRule="auto"/>
      <w:ind w:left="283"/>
      <w:jc w:val="both"/>
    </w:pPr>
    <w:rPr>
      <w:rFonts w:ascii="Times New Roman" w:eastAsia="MS Mincho" w:hAnsi="Times New Roman" w:cs="Times New Roman"/>
      <w:sz w:val="16"/>
      <w:szCs w:val="16"/>
      <w:lang w:val="x-none" w:eastAsia="x-none"/>
    </w:rPr>
  </w:style>
  <w:style w:type="character" w:customStyle="1" w:styleId="BodyTextIndent3Char">
    <w:name w:val="Body Text Indent 3 Char"/>
    <w:basedOn w:val="DefaultParagraphFont"/>
    <w:link w:val="BodyTextIndent3"/>
    <w:uiPriority w:val="99"/>
    <w:semiHidden/>
    <w:rsid w:val="00B82901"/>
    <w:rPr>
      <w:rFonts w:ascii="Times New Roman" w:eastAsia="MS Mincho" w:hAnsi="Times New Roman" w:cs="Times New Roman"/>
      <w:sz w:val="16"/>
      <w:szCs w:val="16"/>
      <w:lang w:val="x-none" w:eastAsia="x-none"/>
    </w:rPr>
  </w:style>
  <w:style w:type="paragraph" w:styleId="Caption">
    <w:name w:val="caption"/>
    <w:basedOn w:val="Normal"/>
    <w:next w:val="Normal"/>
    <w:uiPriority w:val="99"/>
    <w:semiHidden/>
    <w:qFormat/>
    <w:rsid w:val="00B82901"/>
    <w:pPr>
      <w:spacing w:after="200" w:line="240" w:lineRule="auto"/>
      <w:jc w:val="both"/>
    </w:pPr>
    <w:rPr>
      <w:rFonts w:ascii="Times New Roman" w:eastAsia="MS Mincho" w:hAnsi="Times New Roman" w:cs="Times New Roman"/>
      <w:b/>
      <w:bCs/>
      <w:color w:val="0072BC"/>
      <w:sz w:val="18"/>
      <w:szCs w:val="18"/>
      <w:lang w:val="en-GB"/>
    </w:rPr>
  </w:style>
  <w:style w:type="paragraph" w:styleId="Closing">
    <w:name w:val="Closing"/>
    <w:basedOn w:val="Normal"/>
    <w:link w:val="ClosingChar"/>
    <w:uiPriority w:val="99"/>
    <w:semiHidden/>
    <w:rsid w:val="00B82901"/>
    <w:pPr>
      <w:spacing w:after="0" w:line="240" w:lineRule="auto"/>
      <w:ind w:left="4252"/>
      <w:jc w:val="both"/>
    </w:pPr>
    <w:rPr>
      <w:rFonts w:ascii="Times New Roman" w:eastAsia="MS Mincho" w:hAnsi="Times New Roman" w:cs="Times New Roman"/>
      <w:sz w:val="24"/>
      <w:szCs w:val="20"/>
      <w:lang w:val="x-none" w:eastAsia="x-none"/>
    </w:rPr>
  </w:style>
  <w:style w:type="character" w:customStyle="1" w:styleId="ClosingChar">
    <w:name w:val="Closing Char"/>
    <w:basedOn w:val="DefaultParagraphFont"/>
    <w:link w:val="Closing"/>
    <w:uiPriority w:val="99"/>
    <w:semiHidden/>
    <w:rsid w:val="00B82901"/>
    <w:rPr>
      <w:rFonts w:ascii="Times New Roman" w:eastAsia="MS Mincho" w:hAnsi="Times New Roman" w:cs="Times New Roman"/>
      <w:sz w:val="24"/>
      <w:szCs w:val="20"/>
      <w:lang w:val="x-none" w:eastAsia="x-none"/>
    </w:rPr>
  </w:style>
  <w:style w:type="table" w:styleId="ColorfulGrid">
    <w:name w:val="Colorful Grid"/>
    <w:basedOn w:val="TableNormal"/>
    <w:uiPriority w:val="73"/>
    <w:rsid w:val="00B82901"/>
    <w:pPr>
      <w:spacing w:after="0" w:line="240" w:lineRule="auto"/>
    </w:pPr>
    <w:rPr>
      <w:rFonts w:ascii="Times New Roman" w:eastAsia="Times New Roman" w:hAnsi="Times New Roman" w:cs="Times New Roman"/>
      <w:color w:val="000000"/>
      <w:sz w:val="20"/>
      <w:szCs w:val="20"/>
      <w:lang w:val="sq-AL" w:eastAsia="sq-AL"/>
    </w:rPr>
    <w:tblPr>
      <w:tblStyleRowBandSize w:val="1"/>
      <w:tblStyleColBandSize w:val="1"/>
      <w:tblBorders>
        <w:insideH w:val="single" w:sz="4" w:space="0" w:color="0072BC"/>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0072BC"/>
      </w:rPr>
      <w:tblPr/>
      <w:tcPr>
        <w:shd w:val="clear" w:color="auto" w:fill="000000"/>
      </w:tcPr>
    </w:tblStylePr>
    <w:tblStylePr w:type="lastCol">
      <w:rPr>
        <w:color w:val="0072BC"/>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B82901"/>
    <w:pPr>
      <w:spacing w:after="0" w:line="240" w:lineRule="auto"/>
    </w:pPr>
    <w:rPr>
      <w:rFonts w:ascii="Times New Roman" w:eastAsia="Times New Roman" w:hAnsi="Times New Roman" w:cs="Times New Roman"/>
      <w:color w:val="000000"/>
      <w:sz w:val="20"/>
      <w:szCs w:val="20"/>
      <w:lang w:val="sq-AL" w:eastAsia="sq-AL"/>
    </w:rPr>
    <w:tblPr>
      <w:tblStyleRowBandSize w:val="1"/>
      <w:tblStyleColBandSize w:val="1"/>
      <w:tblBorders>
        <w:insideH w:val="single" w:sz="4" w:space="0" w:color="0072BC"/>
      </w:tblBorders>
    </w:tblPr>
    <w:tcPr>
      <w:shd w:val="clear" w:color="auto" w:fill="BEE5FF"/>
    </w:tcPr>
    <w:tblStylePr w:type="firstRow">
      <w:rPr>
        <w:b/>
        <w:bCs/>
      </w:rPr>
      <w:tblPr/>
      <w:tcPr>
        <w:shd w:val="clear" w:color="auto" w:fill="7ECBFF"/>
      </w:tcPr>
    </w:tblStylePr>
    <w:tblStylePr w:type="lastRow">
      <w:rPr>
        <w:b/>
        <w:bCs/>
        <w:color w:val="000000"/>
      </w:rPr>
      <w:tblPr/>
      <w:tcPr>
        <w:shd w:val="clear" w:color="auto" w:fill="7ECBFF"/>
      </w:tcPr>
    </w:tblStylePr>
    <w:tblStylePr w:type="firstCol">
      <w:rPr>
        <w:color w:val="0072BC"/>
      </w:rPr>
      <w:tblPr/>
      <w:tcPr>
        <w:shd w:val="clear" w:color="auto" w:fill="00548C"/>
      </w:tcPr>
    </w:tblStylePr>
    <w:tblStylePr w:type="lastCol">
      <w:rPr>
        <w:color w:val="0072BC"/>
      </w:rPr>
      <w:tblPr/>
      <w:tcPr>
        <w:shd w:val="clear" w:color="auto" w:fill="00548C"/>
      </w:tcPr>
    </w:tblStylePr>
    <w:tblStylePr w:type="band1Vert">
      <w:tblPr/>
      <w:tcPr>
        <w:shd w:val="clear" w:color="auto" w:fill="5EBFFF"/>
      </w:tcPr>
    </w:tblStylePr>
    <w:tblStylePr w:type="band1Horz">
      <w:tblPr/>
      <w:tcPr>
        <w:shd w:val="clear" w:color="auto" w:fill="5EBFFF"/>
      </w:tcPr>
    </w:tblStylePr>
  </w:style>
  <w:style w:type="table" w:styleId="ColorfulGrid-Accent2">
    <w:name w:val="Colorful Grid Accent 2"/>
    <w:basedOn w:val="TableNormal"/>
    <w:uiPriority w:val="73"/>
    <w:rsid w:val="00B82901"/>
    <w:pPr>
      <w:spacing w:after="0" w:line="240" w:lineRule="auto"/>
    </w:pPr>
    <w:rPr>
      <w:rFonts w:ascii="Times New Roman" w:eastAsia="Times New Roman" w:hAnsi="Times New Roman" w:cs="Times New Roman"/>
      <w:color w:val="000000"/>
      <w:sz w:val="20"/>
      <w:szCs w:val="20"/>
      <w:lang w:val="sq-AL" w:eastAsia="sq-AL"/>
    </w:rPr>
    <w:tblPr>
      <w:tblStyleRowBandSize w:val="1"/>
      <w:tblStyleColBandSize w:val="1"/>
      <w:tblBorders>
        <w:insideH w:val="single" w:sz="4" w:space="0" w:color="0072BC"/>
      </w:tblBorders>
    </w:tblPr>
    <w:tcPr>
      <w:shd w:val="clear" w:color="auto" w:fill="FFBFBF"/>
    </w:tcPr>
    <w:tblStylePr w:type="firstRow">
      <w:rPr>
        <w:b/>
        <w:bCs/>
      </w:rPr>
      <w:tblPr/>
      <w:tcPr>
        <w:shd w:val="clear" w:color="auto" w:fill="FF7F7F"/>
      </w:tcPr>
    </w:tblStylePr>
    <w:tblStylePr w:type="lastRow">
      <w:rPr>
        <w:b/>
        <w:bCs/>
        <w:color w:val="000000"/>
      </w:rPr>
      <w:tblPr/>
      <w:tcPr>
        <w:shd w:val="clear" w:color="auto" w:fill="FF7F7F"/>
      </w:tcPr>
    </w:tblStylePr>
    <w:tblStylePr w:type="firstCol">
      <w:rPr>
        <w:color w:val="0072BC"/>
      </w:rPr>
      <w:tblPr/>
      <w:tcPr>
        <w:shd w:val="clear" w:color="auto" w:fill="8F0000"/>
      </w:tcPr>
    </w:tblStylePr>
    <w:tblStylePr w:type="lastCol">
      <w:rPr>
        <w:color w:val="0072BC"/>
      </w:rPr>
      <w:tblPr/>
      <w:tcPr>
        <w:shd w:val="clear" w:color="auto" w:fill="8F0000"/>
      </w:tcPr>
    </w:tblStylePr>
    <w:tblStylePr w:type="band1Vert">
      <w:tblPr/>
      <w:tcPr>
        <w:shd w:val="clear" w:color="auto" w:fill="FF6060"/>
      </w:tcPr>
    </w:tblStylePr>
    <w:tblStylePr w:type="band1Horz">
      <w:tblPr/>
      <w:tcPr>
        <w:shd w:val="clear" w:color="auto" w:fill="FF6060"/>
      </w:tcPr>
    </w:tblStylePr>
  </w:style>
  <w:style w:type="table" w:styleId="ColorfulGrid-Accent3">
    <w:name w:val="Colorful Grid Accent 3"/>
    <w:basedOn w:val="TableNormal"/>
    <w:uiPriority w:val="73"/>
    <w:rsid w:val="00B82901"/>
    <w:pPr>
      <w:spacing w:after="0" w:line="240" w:lineRule="auto"/>
    </w:pPr>
    <w:rPr>
      <w:rFonts w:ascii="Times New Roman" w:eastAsia="Times New Roman" w:hAnsi="Times New Roman" w:cs="Times New Roman"/>
      <w:color w:val="000000"/>
      <w:sz w:val="20"/>
      <w:szCs w:val="20"/>
      <w:lang w:val="sq-AL" w:eastAsia="sq-AL"/>
    </w:rPr>
    <w:tblPr>
      <w:tblStyleRowBandSize w:val="1"/>
      <w:tblStyleColBandSize w:val="1"/>
      <w:tblBorders>
        <w:insideH w:val="single" w:sz="4" w:space="0" w:color="0072BC"/>
      </w:tblBorders>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styleId="ColorfulGrid-Accent4">
    <w:name w:val="Colorful Grid Accent 4"/>
    <w:basedOn w:val="TableNormal"/>
    <w:uiPriority w:val="73"/>
    <w:rsid w:val="00B82901"/>
    <w:pPr>
      <w:spacing w:after="0" w:line="240" w:lineRule="auto"/>
    </w:pPr>
    <w:rPr>
      <w:rFonts w:ascii="Times New Roman" w:eastAsia="Times New Roman" w:hAnsi="Times New Roman" w:cs="Times New Roman"/>
      <w:color w:val="000000"/>
      <w:sz w:val="20"/>
      <w:szCs w:val="20"/>
      <w:lang w:val="sq-AL" w:eastAsia="sq-AL"/>
    </w:rPr>
    <w:tblPr>
      <w:tblStyleRowBandSize w:val="1"/>
      <w:tblStyleColBandSize w:val="1"/>
      <w:tblBorders>
        <w:insideH w:val="single" w:sz="4" w:space="0" w:color="0072BC"/>
      </w:tblBorders>
    </w:tblPr>
    <w:tcPr>
      <w:shd w:val="clear" w:color="auto" w:fill="EAEAEA"/>
    </w:tcPr>
    <w:tblStylePr w:type="firstRow">
      <w:rPr>
        <w:b/>
        <w:bCs/>
      </w:rPr>
      <w:tblPr/>
      <w:tcPr>
        <w:shd w:val="clear" w:color="auto" w:fill="D5D5D5"/>
      </w:tcPr>
    </w:tblStylePr>
    <w:tblStylePr w:type="lastRow">
      <w:rPr>
        <w:b/>
        <w:bCs/>
        <w:color w:val="000000"/>
      </w:rPr>
      <w:tblPr/>
      <w:tcPr>
        <w:shd w:val="clear" w:color="auto" w:fill="D5D5D5"/>
      </w:tcPr>
    </w:tblStylePr>
    <w:tblStylePr w:type="firstCol">
      <w:rPr>
        <w:color w:val="0072BC"/>
      </w:rPr>
      <w:tblPr/>
      <w:tcPr>
        <w:shd w:val="clear" w:color="auto" w:fill="707070"/>
      </w:tcPr>
    </w:tblStylePr>
    <w:tblStylePr w:type="lastCol">
      <w:rPr>
        <w:color w:val="0072BC"/>
      </w:rPr>
      <w:tblPr/>
      <w:tcPr>
        <w:shd w:val="clear" w:color="auto" w:fill="707070"/>
      </w:tcPr>
    </w:tblStylePr>
    <w:tblStylePr w:type="band1Vert">
      <w:tblPr/>
      <w:tcPr>
        <w:shd w:val="clear" w:color="auto" w:fill="CACACA"/>
      </w:tcPr>
    </w:tblStylePr>
    <w:tblStylePr w:type="band1Horz">
      <w:tblPr/>
      <w:tcPr>
        <w:shd w:val="clear" w:color="auto" w:fill="CACACA"/>
      </w:tcPr>
    </w:tblStylePr>
  </w:style>
  <w:style w:type="table" w:styleId="ColorfulGrid-Accent5">
    <w:name w:val="Colorful Grid Accent 5"/>
    <w:basedOn w:val="TableNormal"/>
    <w:uiPriority w:val="73"/>
    <w:rsid w:val="00B82901"/>
    <w:pPr>
      <w:spacing w:after="0" w:line="240" w:lineRule="auto"/>
    </w:pPr>
    <w:rPr>
      <w:rFonts w:ascii="Times New Roman" w:eastAsia="Times New Roman" w:hAnsi="Times New Roman" w:cs="Times New Roman"/>
      <w:color w:val="000000"/>
      <w:sz w:val="20"/>
      <w:szCs w:val="20"/>
      <w:lang w:val="sq-AL" w:eastAsia="sq-AL"/>
    </w:rPr>
    <w:tblPr>
      <w:tblStyleRowBandSize w:val="1"/>
      <w:tblStyleColBandSize w:val="1"/>
      <w:tblBorders>
        <w:insideH w:val="single" w:sz="4" w:space="0" w:color="0072BC"/>
      </w:tblBorders>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styleId="ColorfulGrid-Accent6">
    <w:name w:val="Colorful Grid Accent 6"/>
    <w:basedOn w:val="TableNormal"/>
    <w:uiPriority w:val="73"/>
    <w:rsid w:val="00B82901"/>
    <w:pPr>
      <w:spacing w:after="0" w:line="240" w:lineRule="auto"/>
    </w:pPr>
    <w:rPr>
      <w:rFonts w:ascii="Times New Roman" w:eastAsia="Times New Roman" w:hAnsi="Times New Roman" w:cs="Times New Roman"/>
      <w:color w:val="000000"/>
      <w:sz w:val="20"/>
      <w:szCs w:val="20"/>
      <w:lang w:val="sq-AL" w:eastAsia="sq-AL"/>
    </w:rPr>
    <w:tblPr>
      <w:tblStyleRowBandSize w:val="1"/>
      <w:tblStyleColBandSize w:val="1"/>
      <w:tblBorders>
        <w:insideH w:val="single" w:sz="4" w:space="0" w:color="0072BC"/>
      </w:tblBorders>
    </w:tblPr>
    <w:tcPr>
      <w:shd w:val="clear" w:color="auto" w:fill="DBDBDB"/>
    </w:tcPr>
    <w:tblStylePr w:type="firstRow">
      <w:rPr>
        <w:b/>
        <w:bCs/>
      </w:rPr>
      <w:tblPr/>
      <w:tcPr>
        <w:shd w:val="clear" w:color="auto" w:fill="B7B7B7"/>
      </w:tcPr>
    </w:tblStylePr>
    <w:tblStylePr w:type="lastRow">
      <w:rPr>
        <w:b/>
        <w:bCs/>
        <w:color w:val="000000"/>
      </w:rPr>
      <w:tblPr/>
      <w:tcPr>
        <w:shd w:val="clear" w:color="auto" w:fill="B7B7B7"/>
      </w:tcPr>
    </w:tblStylePr>
    <w:tblStylePr w:type="firstCol">
      <w:rPr>
        <w:color w:val="0072BC"/>
      </w:rPr>
      <w:tblPr/>
      <w:tcPr>
        <w:shd w:val="clear" w:color="auto" w:fill="393939"/>
      </w:tcPr>
    </w:tblStylePr>
    <w:tblStylePr w:type="lastCol">
      <w:rPr>
        <w:color w:val="0072BC"/>
      </w:rPr>
      <w:tblPr/>
      <w:tcPr>
        <w:shd w:val="clear" w:color="auto" w:fill="393939"/>
      </w:tcPr>
    </w:tblStylePr>
    <w:tblStylePr w:type="band1Vert">
      <w:tblPr/>
      <w:tcPr>
        <w:shd w:val="clear" w:color="auto" w:fill="A6A6A6"/>
      </w:tcPr>
    </w:tblStylePr>
    <w:tblStylePr w:type="band1Horz">
      <w:tblPr/>
      <w:tcPr>
        <w:shd w:val="clear" w:color="auto" w:fill="A6A6A6"/>
      </w:tcPr>
    </w:tblStylePr>
  </w:style>
  <w:style w:type="table" w:styleId="ColorfulList">
    <w:name w:val="Colorful List"/>
    <w:basedOn w:val="TableNormal"/>
    <w:uiPriority w:val="72"/>
    <w:rsid w:val="00B82901"/>
    <w:pPr>
      <w:spacing w:after="0" w:line="240" w:lineRule="auto"/>
    </w:pPr>
    <w:rPr>
      <w:rFonts w:ascii="Times New Roman" w:eastAsia="Times New Roman" w:hAnsi="Times New Roman" w:cs="Times New Roman"/>
      <w:color w:val="000000"/>
      <w:sz w:val="20"/>
      <w:szCs w:val="20"/>
      <w:lang w:val="sq-AL" w:eastAsia="sq-AL"/>
    </w:rPr>
    <w:tblPr>
      <w:tblStyleRowBandSize w:val="1"/>
      <w:tblStyleColBandSize w:val="1"/>
    </w:tblPr>
    <w:tcPr>
      <w:shd w:val="clear" w:color="auto" w:fill="E6E6E6"/>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B82901"/>
    <w:pPr>
      <w:spacing w:after="0" w:line="240" w:lineRule="auto"/>
    </w:pPr>
    <w:rPr>
      <w:rFonts w:ascii="Times New Roman" w:eastAsia="Times New Roman" w:hAnsi="Times New Roman" w:cs="Times New Roman"/>
      <w:color w:val="000000"/>
      <w:sz w:val="20"/>
      <w:szCs w:val="20"/>
      <w:lang w:val="sq-AL" w:eastAsia="sq-AL"/>
    </w:rPr>
    <w:tblPr>
      <w:tblStyleRowBandSize w:val="1"/>
      <w:tblStyleColBandSize w:val="1"/>
    </w:tblPr>
    <w:tcPr>
      <w:shd w:val="clear" w:color="auto" w:fill="DFF2F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cPr>
    </w:tblStylePr>
    <w:tblStylePr w:type="band1Horz">
      <w:tblPr/>
      <w:tcPr>
        <w:shd w:val="clear" w:color="auto" w:fill="BEE5FF"/>
      </w:tcPr>
    </w:tblStylePr>
  </w:style>
  <w:style w:type="table" w:styleId="ColorfulList-Accent2">
    <w:name w:val="Colorful List Accent 2"/>
    <w:basedOn w:val="TableNormal"/>
    <w:uiPriority w:val="72"/>
    <w:rsid w:val="00B82901"/>
    <w:pPr>
      <w:spacing w:after="0" w:line="240" w:lineRule="auto"/>
    </w:pPr>
    <w:rPr>
      <w:rFonts w:ascii="Times New Roman" w:eastAsia="Times New Roman" w:hAnsi="Times New Roman" w:cs="Times New Roman"/>
      <w:color w:val="000000"/>
      <w:sz w:val="20"/>
      <w:szCs w:val="20"/>
      <w:lang w:val="sq-AL" w:eastAsia="sq-AL"/>
    </w:rPr>
    <w:tblPr>
      <w:tblStyleRowBandSize w:val="1"/>
      <w:tblStyleColBandSize w:val="1"/>
    </w:tblPr>
    <w:tcPr>
      <w:shd w:val="clear" w:color="auto" w:fill="FFDFD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cPr>
    </w:tblStylePr>
    <w:tblStylePr w:type="band1Horz">
      <w:tblPr/>
      <w:tcPr>
        <w:shd w:val="clear" w:color="auto" w:fill="FFBFBF"/>
      </w:tcPr>
    </w:tblStylePr>
  </w:style>
  <w:style w:type="table" w:styleId="ColorfulList-Accent3">
    <w:name w:val="Colorful List Accent 3"/>
    <w:basedOn w:val="TableNormal"/>
    <w:uiPriority w:val="72"/>
    <w:rsid w:val="00B82901"/>
    <w:pPr>
      <w:spacing w:after="0" w:line="240" w:lineRule="auto"/>
    </w:pPr>
    <w:rPr>
      <w:rFonts w:ascii="Times New Roman" w:eastAsia="Times New Roman" w:hAnsi="Times New Roman" w:cs="Times New Roman"/>
      <w:color w:val="000000"/>
      <w:sz w:val="20"/>
      <w:szCs w:val="20"/>
      <w:lang w:val="sq-AL" w:eastAsia="sq-AL"/>
    </w:rPr>
    <w:tblPr>
      <w:tblStyleRowBandSize w:val="1"/>
      <w:tblStyleColBandSize w:val="1"/>
    </w:tblPr>
    <w:tcPr>
      <w:shd w:val="clear" w:color="auto" w:fill="EFEFEF"/>
    </w:tcPr>
    <w:tblStylePr w:type="firstRow">
      <w:rPr>
        <w:b/>
        <w:bCs/>
        <w:color w:val="0072BC"/>
      </w:rPr>
      <w:tblPr/>
      <w:tcPr>
        <w:tcBorders>
          <w:bottom w:val="single" w:sz="12" w:space="0" w:color="0072BC"/>
        </w:tcBorders>
        <w:shd w:val="clear" w:color="auto" w:fill="787878"/>
      </w:tcPr>
    </w:tblStylePr>
    <w:tblStylePr w:type="lastRow">
      <w:rPr>
        <w:b/>
        <w:bCs/>
        <w:color w:val="787878"/>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styleId="ColorfulList-Accent4">
    <w:name w:val="Colorful List Accent 4"/>
    <w:basedOn w:val="TableNormal"/>
    <w:uiPriority w:val="72"/>
    <w:rsid w:val="00B82901"/>
    <w:pPr>
      <w:spacing w:after="0" w:line="240" w:lineRule="auto"/>
    </w:pPr>
    <w:rPr>
      <w:rFonts w:ascii="Times New Roman" w:eastAsia="Times New Roman" w:hAnsi="Times New Roman" w:cs="Times New Roman"/>
      <w:color w:val="000000"/>
      <w:sz w:val="20"/>
      <w:szCs w:val="20"/>
      <w:lang w:val="sq-AL" w:eastAsia="sq-AL"/>
    </w:rPr>
    <w:tblPr>
      <w:tblStyleRowBandSize w:val="1"/>
      <w:tblStyleColBandSize w:val="1"/>
    </w:tblPr>
    <w:tcPr>
      <w:shd w:val="clear" w:color="auto" w:fill="F4F4F4"/>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cPr>
    </w:tblStylePr>
    <w:tblStylePr w:type="band1Horz">
      <w:tblPr/>
      <w:tcPr>
        <w:shd w:val="clear" w:color="auto" w:fill="EAEAEA"/>
      </w:tcPr>
    </w:tblStylePr>
  </w:style>
  <w:style w:type="table" w:styleId="ColorfulList-Accent5">
    <w:name w:val="Colorful List Accent 5"/>
    <w:basedOn w:val="TableNormal"/>
    <w:uiPriority w:val="72"/>
    <w:rsid w:val="00B82901"/>
    <w:pPr>
      <w:spacing w:after="0" w:line="240" w:lineRule="auto"/>
    </w:pPr>
    <w:rPr>
      <w:rFonts w:ascii="Times New Roman" w:eastAsia="Times New Roman" w:hAnsi="Times New Roman" w:cs="Times New Roman"/>
      <w:color w:val="000000"/>
      <w:sz w:val="20"/>
      <w:szCs w:val="20"/>
      <w:lang w:val="sq-AL" w:eastAsia="sq-AL"/>
    </w:rPr>
    <w:tblPr>
      <w:tblStyleRowBandSize w:val="1"/>
      <w:tblStyleColBandSize w:val="1"/>
    </w:tblPr>
    <w:tcPr>
      <w:shd w:val="clear" w:color="auto" w:fill="EFEFEF"/>
    </w:tcPr>
    <w:tblStylePr w:type="firstRow">
      <w:rPr>
        <w:b/>
        <w:bCs/>
        <w:color w:val="0072BC"/>
      </w:rPr>
      <w:tblPr/>
      <w:tcPr>
        <w:tcBorders>
          <w:bottom w:val="single" w:sz="12" w:space="0" w:color="0072BC"/>
        </w:tcBorders>
        <w:shd w:val="clear" w:color="auto" w:fill="3D3D3D"/>
      </w:tcPr>
    </w:tblStylePr>
    <w:tblStylePr w:type="lastRow">
      <w:rPr>
        <w:b/>
        <w:bCs/>
        <w:color w:val="3D3D3D"/>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styleId="ColorfulList-Accent6">
    <w:name w:val="Colorful List Accent 6"/>
    <w:basedOn w:val="TableNormal"/>
    <w:uiPriority w:val="72"/>
    <w:rsid w:val="00B82901"/>
    <w:pPr>
      <w:spacing w:after="0" w:line="240" w:lineRule="auto"/>
    </w:pPr>
    <w:rPr>
      <w:rFonts w:ascii="Times New Roman" w:eastAsia="Times New Roman" w:hAnsi="Times New Roman" w:cs="Times New Roman"/>
      <w:color w:val="000000"/>
      <w:sz w:val="20"/>
      <w:szCs w:val="20"/>
      <w:lang w:val="sq-AL" w:eastAsia="sq-AL"/>
    </w:rPr>
    <w:tblPr>
      <w:tblStyleRowBandSize w:val="1"/>
      <w:tblStyleColBandSize w:val="1"/>
    </w:tblPr>
    <w:tcPr>
      <w:shd w:val="clear" w:color="auto" w:fill="EDEDED"/>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cPr>
    </w:tblStylePr>
    <w:tblStylePr w:type="band1Horz">
      <w:tblPr/>
      <w:tcPr>
        <w:shd w:val="clear" w:color="auto" w:fill="DBDBDB"/>
      </w:tcPr>
    </w:tblStylePr>
  </w:style>
  <w:style w:type="table" w:styleId="ColorfulShading">
    <w:name w:val="Colorful Shading"/>
    <w:basedOn w:val="TableNormal"/>
    <w:uiPriority w:val="71"/>
    <w:rsid w:val="00B82901"/>
    <w:pPr>
      <w:spacing w:after="0" w:line="240" w:lineRule="auto"/>
    </w:pPr>
    <w:rPr>
      <w:rFonts w:ascii="Times New Roman" w:eastAsia="Times New Roman" w:hAnsi="Times New Roman" w:cs="Times New Roman"/>
      <w:color w:val="000000"/>
      <w:sz w:val="20"/>
      <w:szCs w:val="20"/>
      <w:lang w:val="sq-AL" w:eastAsia="sq-AL"/>
    </w:rPr>
    <w:tblPr>
      <w:tblStyleRowBandSize w:val="1"/>
      <w:tblStyleColBandSize w:val="1"/>
      <w:tblBorders>
        <w:top w:val="single" w:sz="24" w:space="0" w:color="C00000"/>
        <w:left w:val="single" w:sz="4" w:space="0" w:color="000000"/>
        <w:bottom w:val="single" w:sz="4" w:space="0" w:color="000000"/>
        <w:right w:val="single" w:sz="4" w:space="0" w:color="000000"/>
        <w:insideH w:val="single" w:sz="4" w:space="0" w:color="0072BC"/>
        <w:insideV w:val="single" w:sz="4" w:space="0" w:color="0072BC"/>
      </w:tblBorders>
    </w:tblPr>
    <w:tcPr>
      <w:shd w:val="clear" w:color="auto" w:fill="E6E6E6"/>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0000"/>
      </w:tcPr>
    </w:tblStylePr>
    <w:tblStylePr w:type="firstCol">
      <w:rPr>
        <w:color w:val="0072BC"/>
      </w:rPr>
      <w:tblPr/>
      <w:tcPr>
        <w:tcBorders>
          <w:top w:val="nil"/>
          <w:left w:val="nil"/>
          <w:bottom w:val="nil"/>
          <w:right w:val="nil"/>
          <w:insideH w:val="single" w:sz="4" w:space="0" w:color="000000"/>
          <w:insideV w:val="nil"/>
        </w:tcBorders>
        <w:shd w:val="clear" w:color="auto" w:fill="000000"/>
      </w:tcPr>
    </w:tblStylePr>
    <w:tblStylePr w:type="lastCol">
      <w:rPr>
        <w:color w:val="0072BC"/>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B82901"/>
    <w:pPr>
      <w:spacing w:after="0" w:line="240" w:lineRule="auto"/>
    </w:pPr>
    <w:rPr>
      <w:rFonts w:ascii="Times New Roman" w:eastAsia="Times New Roman" w:hAnsi="Times New Roman" w:cs="Times New Roman"/>
      <w:color w:val="000000"/>
      <w:sz w:val="20"/>
      <w:szCs w:val="20"/>
      <w:lang w:val="sq-AL" w:eastAsia="sq-AL"/>
    </w:rPr>
    <w:tblPr>
      <w:tblStyleRowBandSize w:val="1"/>
      <w:tblStyleColBandSize w:val="1"/>
      <w:tblBorders>
        <w:top w:val="single" w:sz="24" w:space="0" w:color="C00000"/>
        <w:left w:val="single" w:sz="4" w:space="0" w:color="0072BC"/>
        <w:bottom w:val="single" w:sz="4" w:space="0" w:color="0072BC"/>
        <w:right w:val="single" w:sz="4" w:space="0" w:color="0072BC"/>
        <w:insideH w:val="single" w:sz="4" w:space="0" w:color="0072BC"/>
        <w:insideV w:val="single" w:sz="4" w:space="0" w:color="0072BC"/>
      </w:tblBorders>
    </w:tblPr>
    <w:tcPr>
      <w:shd w:val="clear" w:color="auto" w:fill="DFF2F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4470"/>
      </w:tcPr>
    </w:tblStylePr>
    <w:tblStylePr w:type="firstCol">
      <w:rPr>
        <w:color w:val="0072BC"/>
      </w:rPr>
      <w:tblPr/>
      <w:tcPr>
        <w:tcBorders>
          <w:top w:val="nil"/>
          <w:left w:val="nil"/>
          <w:bottom w:val="nil"/>
          <w:right w:val="nil"/>
          <w:insideH w:val="single" w:sz="4" w:space="0" w:color="004470"/>
          <w:insideV w:val="nil"/>
        </w:tcBorders>
        <w:shd w:val="clear" w:color="auto" w:fill="004470"/>
      </w:tcPr>
    </w:tblStylePr>
    <w:tblStylePr w:type="lastCol">
      <w:rPr>
        <w:color w:val="0072BC"/>
      </w:rPr>
      <w:tblPr/>
      <w:tcPr>
        <w:tcBorders>
          <w:top w:val="nil"/>
          <w:left w:val="nil"/>
          <w:bottom w:val="nil"/>
          <w:right w:val="nil"/>
          <w:insideH w:val="nil"/>
          <w:insideV w:val="nil"/>
        </w:tcBorders>
        <w:shd w:val="clear" w:color="auto" w:fill="004470"/>
      </w:tcPr>
    </w:tblStylePr>
    <w:tblStylePr w:type="band1Vert">
      <w:tblPr/>
      <w:tcPr>
        <w:shd w:val="clear" w:color="auto" w:fill="7ECBFF"/>
      </w:tcPr>
    </w:tblStylePr>
    <w:tblStylePr w:type="band1Horz">
      <w:tblPr/>
      <w:tcPr>
        <w:shd w:val="clear" w:color="auto" w:fill="5EBFF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B82901"/>
    <w:pPr>
      <w:spacing w:after="0" w:line="240" w:lineRule="auto"/>
    </w:pPr>
    <w:rPr>
      <w:rFonts w:ascii="Times New Roman" w:eastAsia="Times New Roman" w:hAnsi="Times New Roman" w:cs="Times New Roman"/>
      <w:color w:val="000000"/>
      <w:sz w:val="20"/>
      <w:szCs w:val="20"/>
      <w:lang w:val="sq-AL" w:eastAsia="sq-AL"/>
    </w:rPr>
    <w:tblPr>
      <w:tblStyleRowBandSize w:val="1"/>
      <w:tblStyleColBandSize w:val="1"/>
      <w:tblBorders>
        <w:top w:val="single" w:sz="24" w:space="0" w:color="C00000"/>
        <w:left w:val="single" w:sz="4" w:space="0" w:color="C00000"/>
        <w:bottom w:val="single" w:sz="4" w:space="0" w:color="C00000"/>
        <w:right w:val="single" w:sz="4" w:space="0" w:color="C00000"/>
        <w:insideH w:val="single" w:sz="4" w:space="0" w:color="0072BC"/>
        <w:insideV w:val="single" w:sz="4" w:space="0" w:color="0072BC"/>
      </w:tblBorders>
    </w:tblPr>
    <w:tcPr>
      <w:shd w:val="clear" w:color="auto" w:fill="FFDFD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730000"/>
      </w:tcPr>
    </w:tblStylePr>
    <w:tblStylePr w:type="firstCol">
      <w:rPr>
        <w:color w:val="0072BC"/>
      </w:rPr>
      <w:tblPr/>
      <w:tcPr>
        <w:tcBorders>
          <w:top w:val="nil"/>
          <w:left w:val="nil"/>
          <w:bottom w:val="nil"/>
          <w:right w:val="nil"/>
          <w:insideH w:val="single" w:sz="4" w:space="0" w:color="730000"/>
          <w:insideV w:val="nil"/>
        </w:tcBorders>
        <w:shd w:val="clear" w:color="auto" w:fill="730000"/>
      </w:tcPr>
    </w:tblStylePr>
    <w:tblStylePr w:type="lastCol">
      <w:rPr>
        <w:color w:val="0072BC"/>
      </w:rPr>
      <w:tblPr/>
      <w:tcPr>
        <w:tcBorders>
          <w:top w:val="nil"/>
          <w:left w:val="nil"/>
          <w:bottom w:val="nil"/>
          <w:right w:val="nil"/>
          <w:insideH w:val="nil"/>
          <w:insideV w:val="nil"/>
        </w:tcBorders>
        <w:shd w:val="clear" w:color="auto" w:fill="730000"/>
      </w:tcPr>
    </w:tblStylePr>
    <w:tblStylePr w:type="band1Vert">
      <w:tblPr/>
      <w:tcPr>
        <w:shd w:val="clear" w:color="auto" w:fill="FF7F7F"/>
      </w:tcPr>
    </w:tblStylePr>
    <w:tblStylePr w:type="band1Horz">
      <w:tblPr/>
      <w:tcPr>
        <w:shd w:val="clear" w:color="auto" w:fill="FF6060"/>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B82901"/>
    <w:pPr>
      <w:spacing w:after="0" w:line="240" w:lineRule="auto"/>
    </w:pPr>
    <w:rPr>
      <w:rFonts w:ascii="Times New Roman" w:eastAsia="Times New Roman" w:hAnsi="Times New Roman" w:cs="Times New Roman"/>
      <w:color w:val="000000"/>
      <w:sz w:val="20"/>
      <w:szCs w:val="20"/>
      <w:lang w:val="sq-AL" w:eastAsia="sq-AL"/>
    </w:rPr>
    <w:tblPr>
      <w:tblStyleRowBandSize w:val="1"/>
      <w:tblStyleColBandSize w:val="1"/>
      <w:tblBorders>
        <w:top w:val="single" w:sz="24" w:space="0" w:color="969696"/>
        <w:left w:val="single" w:sz="4" w:space="0" w:color="5F5F5F"/>
        <w:bottom w:val="single" w:sz="4" w:space="0" w:color="5F5F5F"/>
        <w:right w:val="single" w:sz="4" w:space="0" w:color="5F5F5F"/>
        <w:insideH w:val="single" w:sz="4" w:space="0" w:color="0072BC"/>
        <w:insideV w:val="single" w:sz="4" w:space="0" w:color="0072BC"/>
      </w:tblBorders>
    </w:tblPr>
    <w:tcPr>
      <w:shd w:val="clear" w:color="auto" w:fill="EFEFEF"/>
    </w:tcPr>
    <w:tblStylePr w:type="firstRow">
      <w:rPr>
        <w:b/>
        <w:bCs/>
      </w:rPr>
      <w:tblPr/>
      <w:tcPr>
        <w:tcBorders>
          <w:top w:val="nil"/>
          <w:left w:val="nil"/>
          <w:bottom w:val="single" w:sz="24" w:space="0" w:color="969696"/>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style>
  <w:style w:type="table" w:styleId="ColorfulShading-Accent4">
    <w:name w:val="Colorful Shading Accent 4"/>
    <w:basedOn w:val="TableNormal"/>
    <w:uiPriority w:val="71"/>
    <w:rsid w:val="00B82901"/>
    <w:pPr>
      <w:spacing w:after="0" w:line="240" w:lineRule="auto"/>
    </w:pPr>
    <w:rPr>
      <w:rFonts w:ascii="Times New Roman" w:eastAsia="Times New Roman" w:hAnsi="Times New Roman" w:cs="Times New Roman"/>
      <w:color w:val="000000"/>
      <w:sz w:val="20"/>
      <w:szCs w:val="20"/>
      <w:lang w:val="sq-AL" w:eastAsia="sq-AL"/>
    </w:rPr>
    <w:tblPr>
      <w:tblStyleRowBandSize w:val="1"/>
      <w:tblStyleColBandSize w:val="1"/>
      <w:tblBorders>
        <w:top w:val="single" w:sz="24" w:space="0" w:color="5F5F5F"/>
        <w:left w:val="single" w:sz="4" w:space="0" w:color="969696"/>
        <w:bottom w:val="single" w:sz="4" w:space="0" w:color="969696"/>
        <w:right w:val="single" w:sz="4" w:space="0" w:color="969696"/>
        <w:insideH w:val="single" w:sz="4" w:space="0" w:color="0072BC"/>
        <w:insideV w:val="single" w:sz="4" w:space="0" w:color="0072BC"/>
      </w:tblBorders>
    </w:tblPr>
    <w:tcPr>
      <w:shd w:val="clear" w:color="auto" w:fill="F4F4F4"/>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5A5A5A"/>
      </w:tcPr>
    </w:tblStylePr>
    <w:tblStylePr w:type="firstCol">
      <w:rPr>
        <w:color w:val="0072BC"/>
      </w:rPr>
      <w:tblPr/>
      <w:tcPr>
        <w:tcBorders>
          <w:top w:val="nil"/>
          <w:left w:val="nil"/>
          <w:bottom w:val="nil"/>
          <w:right w:val="nil"/>
          <w:insideH w:val="single" w:sz="4" w:space="0" w:color="5A5A5A"/>
          <w:insideV w:val="nil"/>
        </w:tcBorders>
        <w:shd w:val="clear" w:color="auto" w:fill="5A5A5A"/>
      </w:tcPr>
    </w:tblStylePr>
    <w:tblStylePr w:type="lastCol">
      <w:rPr>
        <w:color w:val="0072BC"/>
      </w:rPr>
      <w:tblPr/>
      <w:tcPr>
        <w:tcBorders>
          <w:top w:val="nil"/>
          <w:left w:val="nil"/>
          <w:bottom w:val="nil"/>
          <w:right w:val="nil"/>
          <w:insideH w:val="nil"/>
          <w:insideV w:val="nil"/>
        </w:tcBorders>
        <w:shd w:val="clear" w:color="auto" w:fill="5A5A5A"/>
      </w:tcPr>
    </w:tblStylePr>
    <w:tblStylePr w:type="band1Vert">
      <w:tblPr/>
      <w:tcPr>
        <w:shd w:val="clear" w:color="auto" w:fill="D5D5D5"/>
      </w:tcPr>
    </w:tblStylePr>
    <w:tblStylePr w:type="band1Horz">
      <w:tblPr/>
      <w:tcPr>
        <w:shd w:val="clear" w:color="auto" w:fill="CACACA"/>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B82901"/>
    <w:pPr>
      <w:spacing w:after="0" w:line="240" w:lineRule="auto"/>
    </w:pPr>
    <w:rPr>
      <w:rFonts w:ascii="Times New Roman" w:eastAsia="Times New Roman" w:hAnsi="Times New Roman" w:cs="Times New Roman"/>
      <w:color w:val="000000"/>
      <w:sz w:val="20"/>
      <w:szCs w:val="20"/>
      <w:lang w:val="sq-AL" w:eastAsia="sq-AL"/>
    </w:rPr>
    <w:tblPr>
      <w:tblStyleRowBandSize w:val="1"/>
      <w:tblStyleColBandSize w:val="1"/>
      <w:tblBorders>
        <w:top w:val="single" w:sz="24" w:space="0" w:color="4D4D4D"/>
        <w:left w:val="single" w:sz="4" w:space="0" w:color="5F5F5F"/>
        <w:bottom w:val="single" w:sz="4" w:space="0" w:color="5F5F5F"/>
        <w:right w:val="single" w:sz="4" w:space="0" w:color="5F5F5F"/>
        <w:insideH w:val="single" w:sz="4" w:space="0" w:color="0072BC"/>
        <w:insideV w:val="single" w:sz="4" w:space="0" w:color="0072BC"/>
      </w:tblBorders>
    </w:tblPr>
    <w:tcPr>
      <w:shd w:val="clear" w:color="auto" w:fill="EFEFEF"/>
    </w:tcPr>
    <w:tblStylePr w:type="firstRow">
      <w:rPr>
        <w:b/>
        <w:bCs/>
      </w:rPr>
      <w:tblPr/>
      <w:tcPr>
        <w:tcBorders>
          <w:top w:val="nil"/>
          <w:left w:val="nil"/>
          <w:bottom w:val="single" w:sz="24" w:space="0" w:color="4D4D4D"/>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B82901"/>
    <w:pPr>
      <w:spacing w:after="0" w:line="240" w:lineRule="auto"/>
    </w:pPr>
    <w:rPr>
      <w:rFonts w:ascii="Times New Roman" w:eastAsia="Times New Roman" w:hAnsi="Times New Roman" w:cs="Times New Roman"/>
      <w:color w:val="000000"/>
      <w:sz w:val="20"/>
      <w:szCs w:val="20"/>
      <w:lang w:val="sq-AL" w:eastAsia="sq-AL"/>
    </w:rPr>
    <w:tblPr>
      <w:tblStyleRowBandSize w:val="1"/>
      <w:tblStyleColBandSize w:val="1"/>
      <w:tblBorders>
        <w:top w:val="single" w:sz="24" w:space="0" w:color="5F5F5F"/>
        <w:left w:val="single" w:sz="4" w:space="0" w:color="4D4D4D"/>
        <w:bottom w:val="single" w:sz="4" w:space="0" w:color="4D4D4D"/>
        <w:right w:val="single" w:sz="4" w:space="0" w:color="4D4D4D"/>
        <w:insideH w:val="single" w:sz="4" w:space="0" w:color="0072BC"/>
        <w:insideV w:val="single" w:sz="4" w:space="0" w:color="0072BC"/>
      </w:tblBorders>
    </w:tblPr>
    <w:tcPr>
      <w:shd w:val="clear" w:color="auto" w:fill="EDEDED"/>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2E2E2E"/>
      </w:tcPr>
    </w:tblStylePr>
    <w:tblStylePr w:type="firstCol">
      <w:rPr>
        <w:color w:val="0072BC"/>
      </w:rPr>
      <w:tblPr/>
      <w:tcPr>
        <w:tcBorders>
          <w:top w:val="nil"/>
          <w:left w:val="nil"/>
          <w:bottom w:val="nil"/>
          <w:right w:val="nil"/>
          <w:insideH w:val="single" w:sz="4" w:space="0" w:color="2E2E2E"/>
          <w:insideV w:val="nil"/>
        </w:tcBorders>
        <w:shd w:val="clear" w:color="auto" w:fill="2E2E2E"/>
      </w:tcPr>
    </w:tblStylePr>
    <w:tblStylePr w:type="lastCol">
      <w:rPr>
        <w:color w:val="0072BC"/>
      </w:rPr>
      <w:tblPr/>
      <w:tcPr>
        <w:tcBorders>
          <w:top w:val="nil"/>
          <w:left w:val="nil"/>
          <w:bottom w:val="nil"/>
          <w:right w:val="nil"/>
          <w:insideH w:val="nil"/>
          <w:insideV w:val="nil"/>
        </w:tcBorders>
        <w:shd w:val="clear" w:color="auto" w:fill="2E2E2E"/>
      </w:tcPr>
    </w:tblStylePr>
    <w:tblStylePr w:type="band1Vert">
      <w:tblPr/>
      <w:tcPr>
        <w:shd w:val="clear" w:color="auto" w:fill="B7B7B7"/>
      </w:tcPr>
    </w:tblStylePr>
    <w:tblStylePr w:type="band1Horz">
      <w:tblPr/>
      <w:tcPr>
        <w:shd w:val="clear" w:color="auto" w:fill="A6A6A6"/>
      </w:tcPr>
    </w:tblStylePr>
    <w:tblStylePr w:type="neCell">
      <w:rPr>
        <w:color w:val="000000"/>
      </w:rPr>
    </w:tblStylePr>
    <w:tblStylePr w:type="nwCell">
      <w:rPr>
        <w:color w:val="000000"/>
      </w:rPr>
    </w:tblStylePr>
  </w:style>
  <w:style w:type="character" w:styleId="CommentReference">
    <w:name w:val="annotation reference"/>
    <w:uiPriority w:val="99"/>
    <w:semiHidden/>
    <w:rsid w:val="00B82901"/>
    <w:rPr>
      <w:sz w:val="16"/>
      <w:szCs w:val="16"/>
    </w:rPr>
  </w:style>
  <w:style w:type="paragraph" w:styleId="CommentText">
    <w:name w:val="annotation text"/>
    <w:basedOn w:val="Normal"/>
    <w:link w:val="CommentTextChar"/>
    <w:uiPriority w:val="99"/>
    <w:semiHidden/>
    <w:rsid w:val="00B82901"/>
    <w:pPr>
      <w:spacing w:after="0" w:line="240" w:lineRule="auto"/>
      <w:jc w:val="both"/>
    </w:pPr>
    <w:rPr>
      <w:rFonts w:ascii="Times New Roman" w:eastAsia="MS Mincho" w:hAnsi="Times New Roman" w:cs="Times New Roman"/>
      <w:sz w:val="20"/>
      <w:szCs w:val="20"/>
      <w:lang w:val="x-none" w:eastAsia="x-none"/>
    </w:rPr>
  </w:style>
  <w:style w:type="character" w:customStyle="1" w:styleId="CommentTextChar">
    <w:name w:val="Comment Text Char"/>
    <w:basedOn w:val="DefaultParagraphFont"/>
    <w:link w:val="CommentText"/>
    <w:uiPriority w:val="99"/>
    <w:semiHidden/>
    <w:rsid w:val="00B82901"/>
    <w:rPr>
      <w:rFonts w:ascii="Times New Roman" w:eastAsia="MS Mincho" w:hAnsi="Times New Roman" w:cs="Times New Roman"/>
      <w:sz w:val="20"/>
      <w:szCs w:val="20"/>
      <w:lang w:val="x-none" w:eastAsia="x-none"/>
    </w:rPr>
  </w:style>
  <w:style w:type="paragraph" w:styleId="CommentSubject">
    <w:name w:val="annotation subject"/>
    <w:basedOn w:val="CommentText"/>
    <w:next w:val="CommentText"/>
    <w:link w:val="CommentSubjectChar"/>
    <w:uiPriority w:val="99"/>
    <w:semiHidden/>
    <w:rsid w:val="00B82901"/>
    <w:rPr>
      <w:b/>
      <w:bCs/>
    </w:rPr>
  </w:style>
  <w:style w:type="character" w:customStyle="1" w:styleId="CommentSubjectChar">
    <w:name w:val="Comment Subject Char"/>
    <w:basedOn w:val="CommentTextChar"/>
    <w:link w:val="CommentSubject"/>
    <w:uiPriority w:val="99"/>
    <w:semiHidden/>
    <w:rsid w:val="00B82901"/>
    <w:rPr>
      <w:rFonts w:ascii="Times New Roman" w:eastAsia="MS Mincho" w:hAnsi="Times New Roman" w:cs="Times New Roman"/>
      <w:b/>
      <w:bCs/>
      <w:sz w:val="20"/>
      <w:szCs w:val="20"/>
      <w:lang w:val="x-none" w:eastAsia="x-none"/>
    </w:rPr>
  </w:style>
  <w:style w:type="table" w:styleId="DarkList">
    <w:name w:val="Dark List"/>
    <w:basedOn w:val="TableNormal"/>
    <w:uiPriority w:val="70"/>
    <w:rsid w:val="00B82901"/>
    <w:pPr>
      <w:spacing w:after="0" w:line="240" w:lineRule="auto"/>
    </w:pPr>
    <w:rPr>
      <w:rFonts w:ascii="Times New Roman" w:eastAsia="Times New Roman" w:hAnsi="Times New Roman" w:cs="Times New Roman"/>
      <w:color w:val="0072BC"/>
      <w:sz w:val="20"/>
      <w:szCs w:val="20"/>
      <w:lang w:val="sq-AL" w:eastAsia="sq-AL"/>
    </w:rPr>
    <w:tblPr>
      <w:tblStyleRowBandSize w:val="1"/>
      <w:tblStyleColBandSize w:val="1"/>
    </w:tblPr>
    <w:tcPr>
      <w:shd w:val="clear" w:color="auto" w:fill="0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0000"/>
      </w:tcPr>
    </w:tblStylePr>
    <w:tblStylePr w:type="firstCol">
      <w:tblPr/>
      <w:tcPr>
        <w:tcBorders>
          <w:top w:val="nil"/>
          <w:left w:val="nil"/>
          <w:bottom w:val="nil"/>
          <w:right w:val="single" w:sz="18" w:space="0" w:color="0072BC"/>
          <w:insideH w:val="nil"/>
          <w:insideV w:val="nil"/>
        </w:tcBorders>
        <w:shd w:val="clear" w:color="auto" w:fill="000000"/>
      </w:tcPr>
    </w:tblStylePr>
    <w:tblStylePr w:type="lastCol">
      <w:tblPr/>
      <w:tcPr>
        <w:tcBorders>
          <w:top w:val="nil"/>
          <w:left w:val="single" w:sz="18" w:space="0" w:color="0072BC"/>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B82901"/>
    <w:pPr>
      <w:spacing w:after="0" w:line="240" w:lineRule="auto"/>
    </w:pPr>
    <w:rPr>
      <w:rFonts w:ascii="Times New Roman" w:eastAsia="Times New Roman" w:hAnsi="Times New Roman" w:cs="Times New Roman"/>
      <w:color w:val="0072BC"/>
      <w:sz w:val="20"/>
      <w:szCs w:val="20"/>
      <w:lang w:val="sq-AL" w:eastAsia="sq-AL"/>
    </w:rPr>
    <w:tblPr>
      <w:tblStyleRowBandSize w:val="1"/>
      <w:tblStyleColBandSize w:val="1"/>
    </w:tblPr>
    <w:tcPr>
      <w:shd w:val="clear" w:color="auto" w:fill="0072BC"/>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385D"/>
      </w:tcPr>
    </w:tblStylePr>
    <w:tblStylePr w:type="firstCol">
      <w:tblPr/>
      <w:tcPr>
        <w:tcBorders>
          <w:top w:val="nil"/>
          <w:left w:val="nil"/>
          <w:bottom w:val="nil"/>
          <w:right w:val="single" w:sz="18" w:space="0" w:color="0072BC"/>
          <w:insideH w:val="nil"/>
          <w:insideV w:val="nil"/>
        </w:tcBorders>
        <w:shd w:val="clear" w:color="auto" w:fill="00548C"/>
      </w:tcPr>
    </w:tblStylePr>
    <w:tblStylePr w:type="lastCol">
      <w:tblPr/>
      <w:tcPr>
        <w:tcBorders>
          <w:top w:val="nil"/>
          <w:left w:val="single" w:sz="18" w:space="0" w:color="0072BC"/>
          <w:bottom w:val="nil"/>
          <w:right w:val="nil"/>
          <w:insideH w:val="nil"/>
          <w:insideV w:val="nil"/>
        </w:tcBorders>
        <w:shd w:val="clear" w:color="auto" w:fill="00548C"/>
      </w:tcPr>
    </w:tblStylePr>
    <w:tblStylePr w:type="band1Vert">
      <w:tblPr/>
      <w:tcPr>
        <w:tcBorders>
          <w:top w:val="nil"/>
          <w:left w:val="nil"/>
          <w:bottom w:val="nil"/>
          <w:right w:val="nil"/>
          <w:insideH w:val="nil"/>
          <w:insideV w:val="nil"/>
        </w:tcBorders>
        <w:shd w:val="clear" w:color="auto" w:fill="00548C"/>
      </w:tcPr>
    </w:tblStylePr>
    <w:tblStylePr w:type="band1Horz">
      <w:tblPr/>
      <w:tcPr>
        <w:tcBorders>
          <w:top w:val="nil"/>
          <w:left w:val="nil"/>
          <w:bottom w:val="nil"/>
          <w:right w:val="nil"/>
          <w:insideH w:val="nil"/>
          <w:insideV w:val="nil"/>
        </w:tcBorders>
        <w:shd w:val="clear" w:color="auto" w:fill="00548C"/>
      </w:tcPr>
    </w:tblStylePr>
  </w:style>
  <w:style w:type="table" w:styleId="DarkList-Accent2">
    <w:name w:val="Dark List Accent 2"/>
    <w:basedOn w:val="TableNormal"/>
    <w:uiPriority w:val="70"/>
    <w:rsid w:val="00B82901"/>
    <w:pPr>
      <w:spacing w:after="0" w:line="240" w:lineRule="auto"/>
    </w:pPr>
    <w:rPr>
      <w:rFonts w:ascii="Times New Roman" w:eastAsia="Times New Roman" w:hAnsi="Times New Roman" w:cs="Times New Roman"/>
      <w:color w:val="0072BC"/>
      <w:sz w:val="20"/>
      <w:szCs w:val="20"/>
      <w:lang w:val="sq-AL" w:eastAsia="sq-AL"/>
    </w:rPr>
    <w:tblPr>
      <w:tblStyleRowBandSize w:val="1"/>
      <w:tblStyleColBandSize w:val="1"/>
    </w:tblPr>
    <w:tcPr>
      <w:shd w:val="clear" w:color="auto" w:fill="C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5F0000"/>
      </w:tcPr>
    </w:tblStylePr>
    <w:tblStylePr w:type="firstCol">
      <w:tblPr/>
      <w:tcPr>
        <w:tcBorders>
          <w:top w:val="nil"/>
          <w:left w:val="nil"/>
          <w:bottom w:val="nil"/>
          <w:right w:val="single" w:sz="18" w:space="0" w:color="0072BC"/>
          <w:insideH w:val="nil"/>
          <w:insideV w:val="nil"/>
        </w:tcBorders>
        <w:shd w:val="clear" w:color="auto" w:fill="8F0000"/>
      </w:tcPr>
    </w:tblStylePr>
    <w:tblStylePr w:type="lastCol">
      <w:tblPr/>
      <w:tcPr>
        <w:tcBorders>
          <w:top w:val="nil"/>
          <w:left w:val="single" w:sz="18" w:space="0" w:color="0072BC"/>
          <w:bottom w:val="nil"/>
          <w:right w:val="nil"/>
          <w:insideH w:val="nil"/>
          <w:insideV w:val="nil"/>
        </w:tcBorders>
        <w:shd w:val="clear" w:color="auto" w:fill="8F0000"/>
      </w:tcPr>
    </w:tblStylePr>
    <w:tblStylePr w:type="band1Vert">
      <w:tblPr/>
      <w:tcPr>
        <w:tcBorders>
          <w:top w:val="nil"/>
          <w:left w:val="nil"/>
          <w:bottom w:val="nil"/>
          <w:right w:val="nil"/>
          <w:insideH w:val="nil"/>
          <w:insideV w:val="nil"/>
        </w:tcBorders>
        <w:shd w:val="clear" w:color="auto" w:fill="8F0000"/>
      </w:tcPr>
    </w:tblStylePr>
    <w:tblStylePr w:type="band1Horz">
      <w:tblPr/>
      <w:tcPr>
        <w:tcBorders>
          <w:top w:val="nil"/>
          <w:left w:val="nil"/>
          <w:bottom w:val="nil"/>
          <w:right w:val="nil"/>
          <w:insideH w:val="nil"/>
          <w:insideV w:val="nil"/>
        </w:tcBorders>
        <w:shd w:val="clear" w:color="auto" w:fill="8F0000"/>
      </w:tcPr>
    </w:tblStylePr>
  </w:style>
  <w:style w:type="table" w:styleId="DarkList-Accent3">
    <w:name w:val="Dark List Accent 3"/>
    <w:basedOn w:val="TableNormal"/>
    <w:uiPriority w:val="70"/>
    <w:rsid w:val="00B82901"/>
    <w:pPr>
      <w:spacing w:after="0" w:line="240" w:lineRule="auto"/>
    </w:pPr>
    <w:rPr>
      <w:rFonts w:ascii="Times New Roman" w:eastAsia="Times New Roman" w:hAnsi="Times New Roman" w:cs="Times New Roman"/>
      <w:color w:val="0072BC"/>
      <w:sz w:val="20"/>
      <w:szCs w:val="20"/>
      <w:lang w:val="sq-AL" w:eastAsia="sq-AL"/>
    </w:rPr>
    <w:tblPr>
      <w:tblStyleRowBandSize w:val="1"/>
      <w:tblStyleColBandSize w:val="1"/>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styleId="DarkList-Accent4">
    <w:name w:val="Dark List Accent 4"/>
    <w:basedOn w:val="TableNormal"/>
    <w:uiPriority w:val="70"/>
    <w:rsid w:val="00B82901"/>
    <w:pPr>
      <w:spacing w:after="0" w:line="240" w:lineRule="auto"/>
    </w:pPr>
    <w:rPr>
      <w:rFonts w:ascii="Times New Roman" w:eastAsia="Times New Roman" w:hAnsi="Times New Roman" w:cs="Times New Roman"/>
      <w:color w:val="0072BC"/>
      <w:sz w:val="20"/>
      <w:szCs w:val="20"/>
      <w:lang w:val="sq-AL" w:eastAsia="sq-AL"/>
    </w:rPr>
    <w:tblPr>
      <w:tblStyleRowBandSize w:val="1"/>
      <w:tblStyleColBandSize w:val="1"/>
    </w:tblPr>
    <w:tcPr>
      <w:shd w:val="clear" w:color="auto" w:fill="969696"/>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4A4A4A"/>
      </w:tcPr>
    </w:tblStylePr>
    <w:tblStylePr w:type="firstCol">
      <w:tblPr/>
      <w:tcPr>
        <w:tcBorders>
          <w:top w:val="nil"/>
          <w:left w:val="nil"/>
          <w:bottom w:val="nil"/>
          <w:right w:val="single" w:sz="18" w:space="0" w:color="0072BC"/>
          <w:insideH w:val="nil"/>
          <w:insideV w:val="nil"/>
        </w:tcBorders>
        <w:shd w:val="clear" w:color="auto" w:fill="707070"/>
      </w:tcPr>
    </w:tblStylePr>
    <w:tblStylePr w:type="lastCol">
      <w:tblPr/>
      <w:tcPr>
        <w:tcBorders>
          <w:top w:val="nil"/>
          <w:left w:val="single" w:sz="18" w:space="0" w:color="0072BC"/>
          <w:bottom w:val="nil"/>
          <w:right w:val="nil"/>
          <w:insideH w:val="nil"/>
          <w:insideV w:val="nil"/>
        </w:tcBorders>
        <w:shd w:val="clear" w:color="auto" w:fill="707070"/>
      </w:tcPr>
    </w:tblStylePr>
    <w:tblStylePr w:type="band1Vert">
      <w:tblPr/>
      <w:tcPr>
        <w:tcBorders>
          <w:top w:val="nil"/>
          <w:left w:val="nil"/>
          <w:bottom w:val="nil"/>
          <w:right w:val="nil"/>
          <w:insideH w:val="nil"/>
          <w:insideV w:val="nil"/>
        </w:tcBorders>
        <w:shd w:val="clear" w:color="auto" w:fill="707070"/>
      </w:tcPr>
    </w:tblStylePr>
    <w:tblStylePr w:type="band1Horz">
      <w:tblPr/>
      <w:tcPr>
        <w:tcBorders>
          <w:top w:val="nil"/>
          <w:left w:val="nil"/>
          <w:bottom w:val="nil"/>
          <w:right w:val="nil"/>
          <w:insideH w:val="nil"/>
          <w:insideV w:val="nil"/>
        </w:tcBorders>
        <w:shd w:val="clear" w:color="auto" w:fill="707070"/>
      </w:tcPr>
    </w:tblStylePr>
  </w:style>
  <w:style w:type="table" w:styleId="DarkList-Accent5">
    <w:name w:val="Dark List Accent 5"/>
    <w:basedOn w:val="TableNormal"/>
    <w:uiPriority w:val="70"/>
    <w:rsid w:val="00B82901"/>
    <w:pPr>
      <w:spacing w:after="0" w:line="240" w:lineRule="auto"/>
    </w:pPr>
    <w:rPr>
      <w:rFonts w:ascii="Times New Roman" w:eastAsia="Times New Roman" w:hAnsi="Times New Roman" w:cs="Times New Roman"/>
      <w:color w:val="0072BC"/>
      <w:sz w:val="20"/>
      <w:szCs w:val="20"/>
      <w:lang w:val="sq-AL" w:eastAsia="sq-AL"/>
    </w:rPr>
    <w:tblPr>
      <w:tblStyleRowBandSize w:val="1"/>
      <w:tblStyleColBandSize w:val="1"/>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styleId="DarkList-Accent6">
    <w:name w:val="Dark List Accent 6"/>
    <w:basedOn w:val="TableNormal"/>
    <w:uiPriority w:val="70"/>
    <w:rsid w:val="00B82901"/>
    <w:pPr>
      <w:spacing w:after="0" w:line="240" w:lineRule="auto"/>
    </w:pPr>
    <w:rPr>
      <w:rFonts w:ascii="Times New Roman" w:eastAsia="Times New Roman" w:hAnsi="Times New Roman" w:cs="Times New Roman"/>
      <w:color w:val="0072BC"/>
      <w:sz w:val="20"/>
      <w:szCs w:val="20"/>
      <w:lang w:val="sq-AL" w:eastAsia="sq-AL"/>
    </w:rPr>
    <w:tblPr>
      <w:tblStyleRowBandSize w:val="1"/>
      <w:tblStyleColBandSize w:val="1"/>
    </w:tblPr>
    <w:tcPr>
      <w:shd w:val="clear" w:color="auto" w:fill="4D4D4D"/>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62626"/>
      </w:tcPr>
    </w:tblStylePr>
    <w:tblStylePr w:type="firstCol">
      <w:tblPr/>
      <w:tcPr>
        <w:tcBorders>
          <w:top w:val="nil"/>
          <w:left w:val="nil"/>
          <w:bottom w:val="nil"/>
          <w:right w:val="single" w:sz="18" w:space="0" w:color="0072BC"/>
          <w:insideH w:val="nil"/>
          <w:insideV w:val="nil"/>
        </w:tcBorders>
        <w:shd w:val="clear" w:color="auto" w:fill="393939"/>
      </w:tcPr>
    </w:tblStylePr>
    <w:tblStylePr w:type="lastCol">
      <w:tblPr/>
      <w:tcPr>
        <w:tcBorders>
          <w:top w:val="nil"/>
          <w:left w:val="single" w:sz="18" w:space="0" w:color="0072BC"/>
          <w:bottom w:val="nil"/>
          <w:right w:val="nil"/>
          <w:insideH w:val="nil"/>
          <w:insideV w:val="nil"/>
        </w:tcBorders>
        <w:shd w:val="clear" w:color="auto" w:fill="393939"/>
      </w:tcPr>
    </w:tblStylePr>
    <w:tblStylePr w:type="band1Vert">
      <w:tblPr/>
      <w:tcPr>
        <w:tcBorders>
          <w:top w:val="nil"/>
          <w:left w:val="nil"/>
          <w:bottom w:val="nil"/>
          <w:right w:val="nil"/>
          <w:insideH w:val="nil"/>
          <w:insideV w:val="nil"/>
        </w:tcBorders>
        <w:shd w:val="clear" w:color="auto" w:fill="393939"/>
      </w:tcPr>
    </w:tblStylePr>
    <w:tblStylePr w:type="band1Horz">
      <w:tblPr/>
      <w:tcPr>
        <w:tcBorders>
          <w:top w:val="nil"/>
          <w:left w:val="nil"/>
          <w:bottom w:val="nil"/>
          <w:right w:val="nil"/>
          <w:insideH w:val="nil"/>
          <w:insideV w:val="nil"/>
        </w:tcBorders>
        <w:shd w:val="clear" w:color="auto" w:fill="393939"/>
      </w:tcPr>
    </w:tblStylePr>
  </w:style>
  <w:style w:type="paragraph" w:styleId="Date">
    <w:name w:val="Date"/>
    <w:basedOn w:val="Normal"/>
    <w:next w:val="Normal"/>
    <w:link w:val="DateChar"/>
    <w:uiPriority w:val="99"/>
    <w:semiHidden/>
    <w:rsid w:val="00B82901"/>
    <w:pPr>
      <w:spacing w:after="0" w:line="240" w:lineRule="auto"/>
      <w:jc w:val="both"/>
    </w:pPr>
    <w:rPr>
      <w:rFonts w:ascii="Times New Roman" w:eastAsia="MS Mincho" w:hAnsi="Times New Roman" w:cs="Times New Roman"/>
      <w:sz w:val="24"/>
      <w:szCs w:val="20"/>
      <w:lang w:val="x-none" w:eastAsia="x-none"/>
    </w:rPr>
  </w:style>
  <w:style w:type="character" w:customStyle="1" w:styleId="DateChar">
    <w:name w:val="Date Char"/>
    <w:basedOn w:val="DefaultParagraphFont"/>
    <w:link w:val="Date"/>
    <w:uiPriority w:val="99"/>
    <w:semiHidden/>
    <w:rsid w:val="00B82901"/>
    <w:rPr>
      <w:rFonts w:ascii="Times New Roman" w:eastAsia="MS Mincho" w:hAnsi="Times New Roman" w:cs="Times New Roman"/>
      <w:sz w:val="24"/>
      <w:szCs w:val="20"/>
      <w:lang w:val="x-none" w:eastAsia="x-none"/>
    </w:rPr>
  </w:style>
  <w:style w:type="paragraph" w:styleId="DocumentMap">
    <w:name w:val="Document Map"/>
    <w:basedOn w:val="Normal"/>
    <w:link w:val="DocumentMapChar"/>
    <w:uiPriority w:val="99"/>
    <w:semiHidden/>
    <w:rsid w:val="00B82901"/>
    <w:pPr>
      <w:spacing w:after="0" w:line="240" w:lineRule="auto"/>
      <w:jc w:val="both"/>
    </w:pPr>
    <w:rPr>
      <w:rFonts w:ascii="Tahoma" w:eastAsia="MS Mincho" w:hAnsi="Tahoma" w:cs="Times New Roman"/>
      <w:sz w:val="16"/>
      <w:szCs w:val="16"/>
      <w:lang w:val="x-none" w:eastAsia="x-none"/>
    </w:rPr>
  </w:style>
  <w:style w:type="character" w:customStyle="1" w:styleId="DocumentMapChar">
    <w:name w:val="Document Map Char"/>
    <w:basedOn w:val="DefaultParagraphFont"/>
    <w:link w:val="DocumentMap"/>
    <w:uiPriority w:val="99"/>
    <w:semiHidden/>
    <w:rsid w:val="00B82901"/>
    <w:rPr>
      <w:rFonts w:ascii="Tahoma" w:eastAsia="MS Mincho" w:hAnsi="Tahoma" w:cs="Times New Roman"/>
      <w:sz w:val="16"/>
      <w:szCs w:val="16"/>
      <w:lang w:val="x-none" w:eastAsia="x-none"/>
    </w:rPr>
  </w:style>
  <w:style w:type="paragraph" w:styleId="E-mailSignature">
    <w:name w:val="E-mail Signature"/>
    <w:basedOn w:val="Normal"/>
    <w:link w:val="E-mailSignatureChar"/>
    <w:uiPriority w:val="99"/>
    <w:semiHidden/>
    <w:rsid w:val="00B82901"/>
    <w:pPr>
      <w:spacing w:after="0" w:line="240" w:lineRule="auto"/>
      <w:jc w:val="both"/>
    </w:pPr>
    <w:rPr>
      <w:rFonts w:ascii="Times New Roman" w:eastAsia="MS Mincho" w:hAnsi="Times New Roman" w:cs="Times New Roman"/>
      <w:sz w:val="24"/>
      <w:szCs w:val="20"/>
      <w:lang w:val="x-none" w:eastAsia="x-none"/>
    </w:rPr>
  </w:style>
  <w:style w:type="character" w:customStyle="1" w:styleId="E-mailSignatureChar">
    <w:name w:val="E-mail Signature Char"/>
    <w:basedOn w:val="DefaultParagraphFont"/>
    <w:link w:val="E-mailSignature"/>
    <w:uiPriority w:val="99"/>
    <w:semiHidden/>
    <w:rsid w:val="00B82901"/>
    <w:rPr>
      <w:rFonts w:ascii="Times New Roman" w:eastAsia="MS Mincho" w:hAnsi="Times New Roman" w:cs="Times New Roman"/>
      <w:sz w:val="24"/>
      <w:szCs w:val="20"/>
      <w:lang w:val="x-none" w:eastAsia="x-none"/>
    </w:rPr>
  </w:style>
  <w:style w:type="character" w:styleId="EndnoteReference">
    <w:name w:val="endnote reference"/>
    <w:uiPriority w:val="99"/>
    <w:semiHidden/>
    <w:rsid w:val="00B82901"/>
    <w:rPr>
      <w:vertAlign w:val="superscript"/>
    </w:rPr>
  </w:style>
  <w:style w:type="paragraph" w:styleId="EndnoteText">
    <w:name w:val="endnote text"/>
    <w:basedOn w:val="Normal"/>
    <w:link w:val="EndnoteTextChar"/>
    <w:uiPriority w:val="99"/>
    <w:semiHidden/>
    <w:rsid w:val="00B82901"/>
    <w:pPr>
      <w:spacing w:after="0" w:line="240" w:lineRule="auto"/>
      <w:jc w:val="both"/>
    </w:pPr>
    <w:rPr>
      <w:rFonts w:ascii="Times New Roman" w:eastAsia="MS Mincho" w:hAnsi="Times New Roman" w:cs="Times New Roman"/>
      <w:sz w:val="20"/>
      <w:szCs w:val="20"/>
      <w:lang w:val="en-GB" w:eastAsia="x-none"/>
    </w:rPr>
  </w:style>
  <w:style w:type="character" w:customStyle="1" w:styleId="EndnoteTextChar">
    <w:name w:val="Endnote Text Char"/>
    <w:basedOn w:val="DefaultParagraphFont"/>
    <w:link w:val="EndnoteText"/>
    <w:uiPriority w:val="99"/>
    <w:semiHidden/>
    <w:rsid w:val="00B82901"/>
    <w:rPr>
      <w:rFonts w:ascii="Times New Roman" w:eastAsia="MS Mincho" w:hAnsi="Times New Roman" w:cs="Times New Roman"/>
      <w:sz w:val="20"/>
      <w:szCs w:val="20"/>
      <w:lang w:val="en-GB" w:eastAsia="x-none"/>
    </w:rPr>
  </w:style>
  <w:style w:type="paragraph" w:styleId="EnvelopeAddress">
    <w:name w:val="envelope address"/>
    <w:basedOn w:val="Normal"/>
    <w:uiPriority w:val="99"/>
    <w:semiHidden/>
    <w:rsid w:val="00B82901"/>
    <w:pPr>
      <w:framePr w:w="7938" w:h="1985" w:hRule="exact" w:hSpace="141" w:wrap="auto" w:hAnchor="page" w:xAlign="center" w:yAlign="bottom"/>
      <w:spacing w:after="0" w:line="240" w:lineRule="auto"/>
      <w:ind w:left="2835"/>
      <w:jc w:val="both"/>
    </w:pPr>
    <w:rPr>
      <w:rFonts w:ascii="Times New Roman" w:eastAsia="MS Gothic" w:hAnsi="Times New Roman" w:cs="Times New Roman"/>
      <w:sz w:val="24"/>
      <w:szCs w:val="24"/>
      <w:lang w:val="en-GB"/>
    </w:rPr>
  </w:style>
  <w:style w:type="paragraph" w:styleId="EnvelopeReturn">
    <w:name w:val="envelope return"/>
    <w:basedOn w:val="Normal"/>
    <w:uiPriority w:val="99"/>
    <w:semiHidden/>
    <w:rsid w:val="00B82901"/>
    <w:pPr>
      <w:spacing w:after="0" w:line="240" w:lineRule="auto"/>
      <w:jc w:val="both"/>
    </w:pPr>
    <w:rPr>
      <w:rFonts w:ascii="Times New Roman" w:eastAsia="MS Gothic" w:hAnsi="Times New Roman" w:cs="Times New Roman"/>
      <w:sz w:val="20"/>
      <w:szCs w:val="20"/>
      <w:lang w:val="en-GB"/>
    </w:rPr>
  </w:style>
  <w:style w:type="character" w:styleId="FollowedHyperlink">
    <w:name w:val="FollowedHyperlink"/>
    <w:uiPriority w:val="99"/>
    <w:semiHidden/>
    <w:rsid w:val="00B82901"/>
    <w:rPr>
      <w:color w:val="7030A0"/>
      <w:u w:val="single"/>
    </w:rPr>
  </w:style>
  <w:style w:type="character" w:styleId="HTMLAcronym">
    <w:name w:val="HTML Acronym"/>
    <w:basedOn w:val="DefaultParagraphFont"/>
    <w:uiPriority w:val="99"/>
    <w:semiHidden/>
    <w:rsid w:val="00B82901"/>
  </w:style>
  <w:style w:type="paragraph" w:styleId="HTMLAddress">
    <w:name w:val="HTML Address"/>
    <w:basedOn w:val="Normal"/>
    <w:link w:val="HTMLAddressChar"/>
    <w:uiPriority w:val="99"/>
    <w:semiHidden/>
    <w:rsid w:val="00B82901"/>
    <w:pPr>
      <w:spacing w:after="0" w:line="240" w:lineRule="auto"/>
      <w:jc w:val="both"/>
    </w:pPr>
    <w:rPr>
      <w:rFonts w:ascii="Times New Roman" w:eastAsia="MS Mincho" w:hAnsi="Times New Roman" w:cs="Times New Roman"/>
      <w:i/>
      <w:iCs/>
      <w:sz w:val="24"/>
      <w:szCs w:val="20"/>
      <w:lang w:val="x-none" w:eastAsia="x-none"/>
    </w:rPr>
  </w:style>
  <w:style w:type="character" w:customStyle="1" w:styleId="HTMLAddressChar">
    <w:name w:val="HTML Address Char"/>
    <w:basedOn w:val="DefaultParagraphFont"/>
    <w:link w:val="HTMLAddress"/>
    <w:uiPriority w:val="99"/>
    <w:semiHidden/>
    <w:rsid w:val="00B82901"/>
    <w:rPr>
      <w:rFonts w:ascii="Times New Roman" w:eastAsia="MS Mincho" w:hAnsi="Times New Roman" w:cs="Times New Roman"/>
      <w:i/>
      <w:iCs/>
      <w:sz w:val="24"/>
      <w:szCs w:val="20"/>
      <w:lang w:val="x-none" w:eastAsia="x-none"/>
    </w:rPr>
  </w:style>
  <w:style w:type="character" w:styleId="HTMLCite">
    <w:name w:val="HTML Cite"/>
    <w:uiPriority w:val="99"/>
    <w:semiHidden/>
    <w:rsid w:val="00B82901"/>
    <w:rPr>
      <w:i/>
      <w:iCs/>
    </w:rPr>
  </w:style>
  <w:style w:type="character" w:styleId="HTMLCode">
    <w:name w:val="HTML Code"/>
    <w:uiPriority w:val="99"/>
    <w:semiHidden/>
    <w:rsid w:val="00B82901"/>
    <w:rPr>
      <w:rFonts w:ascii="Consolas" w:hAnsi="Consolas" w:cs="Consolas"/>
      <w:sz w:val="20"/>
      <w:szCs w:val="20"/>
    </w:rPr>
  </w:style>
  <w:style w:type="character" w:styleId="HTMLDefinition">
    <w:name w:val="HTML Definition"/>
    <w:uiPriority w:val="99"/>
    <w:semiHidden/>
    <w:rsid w:val="00B82901"/>
    <w:rPr>
      <w:i/>
      <w:iCs/>
    </w:rPr>
  </w:style>
  <w:style w:type="character" w:styleId="HTMLKeyboard">
    <w:name w:val="HTML Keyboard"/>
    <w:uiPriority w:val="99"/>
    <w:semiHidden/>
    <w:rsid w:val="00B82901"/>
    <w:rPr>
      <w:rFonts w:ascii="Consolas" w:hAnsi="Consolas" w:cs="Consolas"/>
      <w:sz w:val="20"/>
      <w:szCs w:val="20"/>
    </w:rPr>
  </w:style>
  <w:style w:type="paragraph" w:styleId="HTMLPreformatted">
    <w:name w:val="HTML Preformatted"/>
    <w:basedOn w:val="Normal"/>
    <w:link w:val="HTMLPreformattedChar"/>
    <w:uiPriority w:val="99"/>
    <w:semiHidden/>
    <w:rsid w:val="00B82901"/>
    <w:pPr>
      <w:spacing w:after="0" w:line="240" w:lineRule="auto"/>
      <w:jc w:val="both"/>
    </w:pPr>
    <w:rPr>
      <w:rFonts w:ascii="Consolas" w:eastAsia="MS Mincho" w:hAnsi="Consolas" w:cs="Times New Roman"/>
      <w:sz w:val="20"/>
      <w:szCs w:val="20"/>
      <w:lang w:val="x-none" w:eastAsia="x-none"/>
    </w:rPr>
  </w:style>
  <w:style w:type="character" w:customStyle="1" w:styleId="HTMLPreformattedChar">
    <w:name w:val="HTML Preformatted Char"/>
    <w:basedOn w:val="DefaultParagraphFont"/>
    <w:link w:val="HTMLPreformatted"/>
    <w:uiPriority w:val="99"/>
    <w:semiHidden/>
    <w:rsid w:val="00B82901"/>
    <w:rPr>
      <w:rFonts w:ascii="Consolas" w:eastAsia="MS Mincho" w:hAnsi="Consolas" w:cs="Times New Roman"/>
      <w:sz w:val="20"/>
      <w:szCs w:val="20"/>
      <w:lang w:val="x-none" w:eastAsia="x-none"/>
    </w:rPr>
  </w:style>
  <w:style w:type="character" w:styleId="HTMLSample">
    <w:name w:val="HTML Sample"/>
    <w:uiPriority w:val="99"/>
    <w:semiHidden/>
    <w:rsid w:val="00B82901"/>
    <w:rPr>
      <w:rFonts w:ascii="Consolas" w:hAnsi="Consolas" w:cs="Consolas"/>
      <w:sz w:val="24"/>
      <w:szCs w:val="24"/>
    </w:rPr>
  </w:style>
  <w:style w:type="character" w:styleId="HTMLTypewriter">
    <w:name w:val="HTML Typewriter"/>
    <w:uiPriority w:val="99"/>
    <w:semiHidden/>
    <w:rsid w:val="00B82901"/>
    <w:rPr>
      <w:rFonts w:ascii="Consolas" w:hAnsi="Consolas" w:cs="Consolas"/>
      <w:sz w:val="20"/>
      <w:szCs w:val="20"/>
    </w:rPr>
  </w:style>
  <w:style w:type="character" w:styleId="HTMLVariable">
    <w:name w:val="HTML Variable"/>
    <w:uiPriority w:val="99"/>
    <w:semiHidden/>
    <w:rsid w:val="00B82901"/>
    <w:rPr>
      <w:i/>
      <w:iCs/>
    </w:rPr>
  </w:style>
  <w:style w:type="paragraph" w:styleId="Index1">
    <w:name w:val="index 1"/>
    <w:basedOn w:val="Normal"/>
    <w:next w:val="Normal"/>
    <w:autoRedefine/>
    <w:uiPriority w:val="99"/>
    <w:semiHidden/>
    <w:rsid w:val="00B82901"/>
    <w:pPr>
      <w:spacing w:after="0" w:line="240" w:lineRule="auto"/>
      <w:ind w:left="240" w:hanging="240"/>
      <w:jc w:val="both"/>
    </w:pPr>
    <w:rPr>
      <w:rFonts w:ascii="Times New Roman" w:eastAsia="MS Mincho" w:hAnsi="Times New Roman" w:cs="Times New Roman"/>
      <w:sz w:val="24"/>
      <w:lang w:val="en-GB"/>
    </w:rPr>
  </w:style>
  <w:style w:type="paragraph" w:styleId="Index2">
    <w:name w:val="index 2"/>
    <w:basedOn w:val="Normal"/>
    <w:next w:val="Normal"/>
    <w:autoRedefine/>
    <w:uiPriority w:val="99"/>
    <w:semiHidden/>
    <w:rsid w:val="00B82901"/>
    <w:pPr>
      <w:spacing w:after="0" w:line="240" w:lineRule="auto"/>
      <w:ind w:left="480" w:hanging="240"/>
      <w:jc w:val="both"/>
    </w:pPr>
    <w:rPr>
      <w:rFonts w:ascii="Times New Roman" w:eastAsia="MS Mincho" w:hAnsi="Times New Roman" w:cs="Times New Roman"/>
      <w:sz w:val="24"/>
      <w:lang w:val="en-GB"/>
    </w:rPr>
  </w:style>
  <w:style w:type="paragraph" w:styleId="Index3">
    <w:name w:val="index 3"/>
    <w:basedOn w:val="Normal"/>
    <w:next w:val="Normal"/>
    <w:autoRedefine/>
    <w:uiPriority w:val="99"/>
    <w:semiHidden/>
    <w:rsid w:val="00B82901"/>
    <w:pPr>
      <w:spacing w:after="0" w:line="240" w:lineRule="auto"/>
      <w:ind w:left="720" w:hanging="240"/>
      <w:jc w:val="both"/>
    </w:pPr>
    <w:rPr>
      <w:rFonts w:ascii="Times New Roman" w:eastAsia="MS Mincho" w:hAnsi="Times New Roman" w:cs="Times New Roman"/>
      <w:sz w:val="24"/>
      <w:lang w:val="en-GB"/>
    </w:rPr>
  </w:style>
  <w:style w:type="paragraph" w:styleId="Index4">
    <w:name w:val="index 4"/>
    <w:basedOn w:val="Normal"/>
    <w:next w:val="Normal"/>
    <w:autoRedefine/>
    <w:uiPriority w:val="99"/>
    <w:semiHidden/>
    <w:rsid w:val="00B82901"/>
    <w:pPr>
      <w:spacing w:after="0" w:line="240" w:lineRule="auto"/>
      <w:ind w:left="960" w:hanging="240"/>
      <w:jc w:val="both"/>
    </w:pPr>
    <w:rPr>
      <w:rFonts w:ascii="Times New Roman" w:eastAsia="MS Mincho" w:hAnsi="Times New Roman" w:cs="Times New Roman"/>
      <w:sz w:val="24"/>
      <w:lang w:val="en-GB"/>
    </w:rPr>
  </w:style>
  <w:style w:type="paragraph" w:styleId="Index5">
    <w:name w:val="index 5"/>
    <w:basedOn w:val="Normal"/>
    <w:next w:val="Normal"/>
    <w:autoRedefine/>
    <w:uiPriority w:val="99"/>
    <w:semiHidden/>
    <w:rsid w:val="00B82901"/>
    <w:pPr>
      <w:spacing w:after="0" w:line="240" w:lineRule="auto"/>
      <w:ind w:left="1200" w:hanging="240"/>
      <w:jc w:val="both"/>
    </w:pPr>
    <w:rPr>
      <w:rFonts w:ascii="Times New Roman" w:eastAsia="MS Mincho" w:hAnsi="Times New Roman" w:cs="Times New Roman"/>
      <w:sz w:val="24"/>
      <w:lang w:val="en-GB"/>
    </w:rPr>
  </w:style>
  <w:style w:type="paragraph" w:styleId="Index6">
    <w:name w:val="index 6"/>
    <w:basedOn w:val="Normal"/>
    <w:next w:val="Normal"/>
    <w:autoRedefine/>
    <w:uiPriority w:val="99"/>
    <w:semiHidden/>
    <w:rsid w:val="00B82901"/>
    <w:pPr>
      <w:spacing w:after="0" w:line="240" w:lineRule="auto"/>
      <w:ind w:left="1440" w:hanging="240"/>
      <w:jc w:val="both"/>
    </w:pPr>
    <w:rPr>
      <w:rFonts w:ascii="Times New Roman" w:eastAsia="MS Mincho" w:hAnsi="Times New Roman" w:cs="Times New Roman"/>
      <w:sz w:val="24"/>
      <w:lang w:val="en-GB"/>
    </w:rPr>
  </w:style>
  <w:style w:type="paragraph" w:styleId="Index7">
    <w:name w:val="index 7"/>
    <w:basedOn w:val="Normal"/>
    <w:next w:val="Normal"/>
    <w:autoRedefine/>
    <w:uiPriority w:val="99"/>
    <w:semiHidden/>
    <w:rsid w:val="00B82901"/>
    <w:pPr>
      <w:spacing w:after="0" w:line="240" w:lineRule="auto"/>
      <w:ind w:left="1680" w:hanging="240"/>
      <w:jc w:val="both"/>
    </w:pPr>
    <w:rPr>
      <w:rFonts w:ascii="Times New Roman" w:eastAsia="MS Mincho" w:hAnsi="Times New Roman" w:cs="Times New Roman"/>
      <w:sz w:val="24"/>
      <w:lang w:val="en-GB"/>
    </w:rPr>
  </w:style>
  <w:style w:type="paragraph" w:styleId="Index8">
    <w:name w:val="index 8"/>
    <w:basedOn w:val="Normal"/>
    <w:next w:val="Normal"/>
    <w:autoRedefine/>
    <w:uiPriority w:val="99"/>
    <w:semiHidden/>
    <w:rsid w:val="00B82901"/>
    <w:pPr>
      <w:spacing w:after="0" w:line="240" w:lineRule="auto"/>
      <w:ind w:left="1920" w:hanging="240"/>
      <w:jc w:val="both"/>
    </w:pPr>
    <w:rPr>
      <w:rFonts w:ascii="Times New Roman" w:eastAsia="MS Mincho" w:hAnsi="Times New Roman" w:cs="Times New Roman"/>
      <w:sz w:val="24"/>
      <w:lang w:val="en-GB"/>
    </w:rPr>
  </w:style>
  <w:style w:type="paragraph" w:styleId="Index9">
    <w:name w:val="index 9"/>
    <w:basedOn w:val="Normal"/>
    <w:next w:val="Normal"/>
    <w:autoRedefine/>
    <w:uiPriority w:val="99"/>
    <w:semiHidden/>
    <w:rsid w:val="00B82901"/>
    <w:pPr>
      <w:spacing w:after="0" w:line="240" w:lineRule="auto"/>
      <w:ind w:left="2160" w:hanging="240"/>
      <w:jc w:val="both"/>
    </w:pPr>
    <w:rPr>
      <w:rFonts w:ascii="Times New Roman" w:eastAsia="MS Mincho" w:hAnsi="Times New Roman" w:cs="Times New Roman"/>
      <w:sz w:val="24"/>
      <w:lang w:val="en-GB"/>
    </w:rPr>
  </w:style>
  <w:style w:type="paragraph" w:styleId="IndexHeading">
    <w:name w:val="index heading"/>
    <w:basedOn w:val="Normal"/>
    <w:next w:val="Index1"/>
    <w:uiPriority w:val="99"/>
    <w:semiHidden/>
    <w:rsid w:val="00B82901"/>
    <w:pPr>
      <w:spacing w:after="0" w:line="240" w:lineRule="auto"/>
      <w:jc w:val="both"/>
    </w:pPr>
    <w:rPr>
      <w:rFonts w:ascii="Times New Roman" w:eastAsia="MS Gothic" w:hAnsi="Times New Roman" w:cs="Times New Roman"/>
      <w:b/>
      <w:bCs/>
      <w:sz w:val="24"/>
      <w:lang w:val="en-GB"/>
    </w:rPr>
  </w:style>
  <w:style w:type="table" w:styleId="LightGrid">
    <w:name w:val="Light Grid"/>
    <w:basedOn w:val="TableNormal"/>
    <w:uiPriority w:val="62"/>
    <w:rsid w:val="00B82901"/>
    <w:pPr>
      <w:spacing w:after="0" w:line="240" w:lineRule="auto"/>
    </w:pPr>
    <w:rPr>
      <w:rFonts w:ascii="Times New Roman" w:eastAsia="Times New Roman" w:hAnsi="Times New Roman" w:cs="Times New Roman"/>
      <w:sz w:val="20"/>
      <w:szCs w:val="20"/>
      <w:lang w:val="sq-AL" w:eastAsia="sq-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imes New Roman" w:eastAsia="MS Gothic" w:hAnsi="Times New Rom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B82901"/>
    <w:pPr>
      <w:spacing w:after="0" w:line="240" w:lineRule="auto"/>
    </w:pPr>
    <w:rPr>
      <w:rFonts w:ascii="Times New Roman" w:eastAsia="Times New Roman" w:hAnsi="Times New Roman" w:cs="Times New Roman"/>
      <w:sz w:val="20"/>
      <w:szCs w:val="20"/>
      <w:lang w:val="sq-AL" w:eastAsia="sq-AL"/>
    </w:rPr>
    <w:tblPr>
      <w:tblStyleRowBandSize w:val="1"/>
      <w:tblStyleColBandSize w:val="1"/>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blStylePr w:type="firstRow">
      <w:pPr>
        <w:spacing w:before="0" w:after="0" w:line="240" w:lineRule="auto"/>
      </w:pPr>
      <w:rPr>
        <w:rFonts w:ascii="Times New Roman" w:eastAsia="MS Gothic" w:hAnsi="Times New Roman" w:cs="Times New Roman"/>
        <w:b/>
        <w:bCs/>
      </w:rPr>
      <w:tblPr/>
      <w:tcPr>
        <w:tcBorders>
          <w:top w:val="single" w:sz="8" w:space="0" w:color="0072BC"/>
          <w:left w:val="single" w:sz="8" w:space="0" w:color="0072BC"/>
          <w:bottom w:val="single" w:sz="18" w:space="0" w:color="0072BC"/>
          <w:right w:val="single" w:sz="8" w:space="0" w:color="0072BC"/>
          <w:insideH w:val="nil"/>
          <w:insideV w:val="single" w:sz="8" w:space="0" w:color="0072BC"/>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0072BC"/>
          <w:left w:val="single" w:sz="8" w:space="0" w:color="0072BC"/>
          <w:bottom w:val="single" w:sz="8" w:space="0" w:color="0072BC"/>
          <w:right w:val="single" w:sz="8" w:space="0" w:color="0072BC"/>
          <w:insideH w:val="nil"/>
          <w:insideV w:val="single" w:sz="8" w:space="0" w:color="0072BC"/>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0072BC"/>
          <w:left w:val="single" w:sz="8" w:space="0" w:color="0072BC"/>
          <w:bottom w:val="single" w:sz="8" w:space="0" w:color="0072BC"/>
          <w:right w:val="single" w:sz="8" w:space="0" w:color="0072BC"/>
        </w:tcBorders>
      </w:tcPr>
    </w:tblStylePr>
    <w:tblStylePr w:type="band1Vert">
      <w:tblPr/>
      <w:tcPr>
        <w:tcBorders>
          <w:top w:val="single" w:sz="8" w:space="0" w:color="0072BC"/>
          <w:left w:val="single" w:sz="8" w:space="0" w:color="0072BC"/>
          <w:bottom w:val="single" w:sz="8" w:space="0" w:color="0072BC"/>
          <w:right w:val="single" w:sz="8" w:space="0" w:color="0072BC"/>
        </w:tcBorders>
        <w:shd w:val="clear" w:color="auto" w:fill="AFDFFF"/>
      </w:tcPr>
    </w:tblStylePr>
    <w:tblStylePr w:type="band1Horz">
      <w:tblPr/>
      <w:tcPr>
        <w:tcBorders>
          <w:top w:val="single" w:sz="8" w:space="0" w:color="0072BC"/>
          <w:left w:val="single" w:sz="8" w:space="0" w:color="0072BC"/>
          <w:bottom w:val="single" w:sz="8" w:space="0" w:color="0072BC"/>
          <w:right w:val="single" w:sz="8" w:space="0" w:color="0072BC"/>
          <w:insideV w:val="single" w:sz="8" w:space="0" w:color="0072BC"/>
        </w:tcBorders>
        <w:shd w:val="clear" w:color="auto" w:fill="AFDFFF"/>
      </w:tcPr>
    </w:tblStylePr>
    <w:tblStylePr w:type="band2Horz">
      <w:tblPr/>
      <w:tcPr>
        <w:tcBorders>
          <w:top w:val="single" w:sz="8" w:space="0" w:color="0072BC"/>
          <w:left w:val="single" w:sz="8" w:space="0" w:color="0072BC"/>
          <w:bottom w:val="single" w:sz="8" w:space="0" w:color="0072BC"/>
          <w:right w:val="single" w:sz="8" w:space="0" w:color="0072BC"/>
          <w:insideV w:val="single" w:sz="8" w:space="0" w:color="0072BC"/>
        </w:tcBorders>
      </w:tcPr>
    </w:tblStylePr>
  </w:style>
  <w:style w:type="table" w:styleId="LightGrid-Accent2">
    <w:name w:val="Light Grid Accent 2"/>
    <w:basedOn w:val="TableNormal"/>
    <w:uiPriority w:val="62"/>
    <w:rsid w:val="00B82901"/>
    <w:pPr>
      <w:spacing w:after="0" w:line="240" w:lineRule="auto"/>
    </w:pPr>
    <w:rPr>
      <w:rFonts w:ascii="Times New Roman" w:eastAsia="Times New Roman" w:hAnsi="Times New Roman" w:cs="Times New Roman"/>
      <w:sz w:val="20"/>
      <w:szCs w:val="20"/>
      <w:lang w:val="sq-AL" w:eastAsia="sq-AL"/>
    </w:rPr>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blStylePr w:type="firstRow">
      <w:pPr>
        <w:spacing w:before="0" w:after="0" w:line="240" w:lineRule="auto"/>
      </w:pPr>
      <w:rPr>
        <w:rFonts w:ascii="Times New Roman" w:eastAsia="MS Gothic" w:hAnsi="Times New Roman" w:cs="Times New Roman"/>
        <w:b/>
        <w:bCs/>
      </w:rPr>
      <w:tblPr/>
      <w:tcPr>
        <w:tcBorders>
          <w:top w:val="single" w:sz="8" w:space="0" w:color="C00000"/>
          <w:left w:val="single" w:sz="8" w:space="0" w:color="C00000"/>
          <w:bottom w:val="single" w:sz="18" w:space="0" w:color="C00000"/>
          <w:right w:val="single" w:sz="8" w:space="0" w:color="C00000"/>
          <w:insideH w:val="nil"/>
          <w:insideV w:val="single" w:sz="8" w:space="0" w:color="C00000"/>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C00000"/>
          <w:left w:val="single" w:sz="8" w:space="0" w:color="C00000"/>
          <w:bottom w:val="single" w:sz="8" w:space="0" w:color="C00000"/>
          <w:right w:val="single" w:sz="8" w:space="0" w:color="C00000"/>
          <w:insideH w:val="nil"/>
          <w:insideV w:val="single" w:sz="8" w:space="0" w:color="C00000"/>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C00000"/>
          <w:left w:val="single" w:sz="8" w:space="0" w:color="C00000"/>
          <w:bottom w:val="single" w:sz="8" w:space="0" w:color="C00000"/>
          <w:right w:val="single" w:sz="8" w:space="0" w:color="C00000"/>
        </w:tcBorders>
      </w:tcPr>
    </w:tblStylePr>
    <w:tblStylePr w:type="band1Vert">
      <w:tblPr/>
      <w:tcPr>
        <w:tcBorders>
          <w:top w:val="single" w:sz="8" w:space="0" w:color="C00000"/>
          <w:left w:val="single" w:sz="8" w:space="0" w:color="C00000"/>
          <w:bottom w:val="single" w:sz="8" w:space="0" w:color="C00000"/>
          <w:right w:val="single" w:sz="8" w:space="0" w:color="C00000"/>
        </w:tcBorders>
        <w:shd w:val="clear" w:color="auto" w:fill="FFB0B0"/>
      </w:tcPr>
    </w:tblStylePr>
    <w:tblStylePr w:type="band1Horz">
      <w:tblPr/>
      <w:tcPr>
        <w:tcBorders>
          <w:top w:val="single" w:sz="8" w:space="0" w:color="C00000"/>
          <w:left w:val="single" w:sz="8" w:space="0" w:color="C00000"/>
          <w:bottom w:val="single" w:sz="8" w:space="0" w:color="C00000"/>
          <w:right w:val="single" w:sz="8" w:space="0" w:color="C00000"/>
          <w:insideV w:val="single" w:sz="8" w:space="0" w:color="C00000"/>
        </w:tcBorders>
        <w:shd w:val="clear" w:color="auto" w:fill="FFB0B0"/>
      </w:tcPr>
    </w:tblStylePr>
    <w:tblStylePr w:type="band2Horz">
      <w:tblPr/>
      <w:tcPr>
        <w:tcBorders>
          <w:top w:val="single" w:sz="8" w:space="0" w:color="C00000"/>
          <w:left w:val="single" w:sz="8" w:space="0" w:color="C00000"/>
          <w:bottom w:val="single" w:sz="8" w:space="0" w:color="C00000"/>
          <w:right w:val="single" w:sz="8" w:space="0" w:color="C00000"/>
          <w:insideV w:val="single" w:sz="8" w:space="0" w:color="C00000"/>
        </w:tcBorders>
      </w:tcPr>
    </w:tblStylePr>
  </w:style>
  <w:style w:type="table" w:styleId="LightGrid-Accent3">
    <w:name w:val="Light Grid Accent 3"/>
    <w:basedOn w:val="TableNormal"/>
    <w:uiPriority w:val="62"/>
    <w:rsid w:val="00B82901"/>
    <w:pPr>
      <w:spacing w:after="0" w:line="240" w:lineRule="auto"/>
    </w:pPr>
    <w:rPr>
      <w:rFonts w:ascii="Times New Roman" w:eastAsia="Times New Roman" w:hAnsi="Times New Roman" w:cs="Times New Roman"/>
      <w:sz w:val="20"/>
      <w:szCs w:val="20"/>
      <w:lang w:val="sq-AL" w:eastAsia="sq-AL"/>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blStylePr w:type="firstRow">
      <w:pPr>
        <w:spacing w:before="0" w:after="0" w:line="240" w:lineRule="auto"/>
      </w:pPr>
      <w:rPr>
        <w:rFonts w:ascii="Times New Roman" w:eastAsia="MS Gothic"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styleId="LightGrid-Accent4">
    <w:name w:val="Light Grid Accent 4"/>
    <w:basedOn w:val="TableNormal"/>
    <w:uiPriority w:val="62"/>
    <w:rsid w:val="00B82901"/>
    <w:pPr>
      <w:spacing w:after="0" w:line="240" w:lineRule="auto"/>
    </w:pPr>
    <w:rPr>
      <w:rFonts w:ascii="Times New Roman" w:eastAsia="Times New Roman" w:hAnsi="Times New Roman" w:cs="Times New Roman"/>
      <w:sz w:val="20"/>
      <w:szCs w:val="20"/>
      <w:lang w:val="sq-AL" w:eastAsia="sq-AL"/>
    </w:rPr>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blStylePr w:type="firstRow">
      <w:pPr>
        <w:spacing w:before="0" w:after="0" w:line="240" w:lineRule="auto"/>
      </w:pPr>
      <w:rPr>
        <w:rFonts w:ascii="Times New Roman" w:eastAsia="MS Gothic" w:hAnsi="Times New Roman" w:cs="Times New Roman"/>
        <w:b/>
        <w:bCs/>
      </w:rPr>
      <w:tblPr/>
      <w:tcPr>
        <w:tcBorders>
          <w:top w:val="single" w:sz="8" w:space="0" w:color="969696"/>
          <w:left w:val="single" w:sz="8" w:space="0" w:color="969696"/>
          <w:bottom w:val="single" w:sz="18" w:space="0" w:color="969696"/>
          <w:right w:val="single" w:sz="8" w:space="0" w:color="969696"/>
          <w:insideH w:val="nil"/>
          <w:insideV w:val="single" w:sz="8" w:space="0" w:color="969696"/>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969696"/>
          <w:left w:val="single" w:sz="8" w:space="0" w:color="969696"/>
          <w:bottom w:val="single" w:sz="8" w:space="0" w:color="969696"/>
          <w:right w:val="single" w:sz="8" w:space="0" w:color="969696"/>
          <w:insideH w:val="nil"/>
          <w:insideV w:val="single" w:sz="8" w:space="0" w:color="969696"/>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969696"/>
          <w:left w:val="single" w:sz="8" w:space="0" w:color="969696"/>
          <w:bottom w:val="single" w:sz="8" w:space="0" w:color="969696"/>
          <w:right w:val="single" w:sz="8" w:space="0" w:color="969696"/>
        </w:tcBorders>
      </w:tcPr>
    </w:tblStylePr>
    <w:tblStylePr w:type="band1Vert">
      <w:tblPr/>
      <w:tcPr>
        <w:tcBorders>
          <w:top w:val="single" w:sz="8" w:space="0" w:color="969696"/>
          <w:left w:val="single" w:sz="8" w:space="0" w:color="969696"/>
          <w:bottom w:val="single" w:sz="8" w:space="0" w:color="969696"/>
          <w:right w:val="single" w:sz="8" w:space="0" w:color="969696"/>
        </w:tcBorders>
        <w:shd w:val="clear" w:color="auto" w:fill="E5E5E5"/>
      </w:tcPr>
    </w:tblStylePr>
    <w:tblStylePr w:type="band1Horz">
      <w:tblPr/>
      <w:tcPr>
        <w:tcBorders>
          <w:top w:val="single" w:sz="8" w:space="0" w:color="969696"/>
          <w:left w:val="single" w:sz="8" w:space="0" w:color="969696"/>
          <w:bottom w:val="single" w:sz="8" w:space="0" w:color="969696"/>
          <w:right w:val="single" w:sz="8" w:space="0" w:color="969696"/>
          <w:insideV w:val="single" w:sz="8" w:space="0" w:color="969696"/>
        </w:tcBorders>
        <w:shd w:val="clear" w:color="auto" w:fill="E5E5E5"/>
      </w:tcPr>
    </w:tblStylePr>
    <w:tblStylePr w:type="band2Horz">
      <w:tblPr/>
      <w:tcPr>
        <w:tcBorders>
          <w:top w:val="single" w:sz="8" w:space="0" w:color="969696"/>
          <w:left w:val="single" w:sz="8" w:space="0" w:color="969696"/>
          <w:bottom w:val="single" w:sz="8" w:space="0" w:color="969696"/>
          <w:right w:val="single" w:sz="8" w:space="0" w:color="969696"/>
          <w:insideV w:val="single" w:sz="8" w:space="0" w:color="969696"/>
        </w:tcBorders>
      </w:tcPr>
    </w:tblStylePr>
  </w:style>
  <w:style w:type="table" w:styleId="LightGrid-Accent5">
    <w:name w:val="Light Grid Accent 5"/>
    <w:basedOn w:val="TableNormal"/>
    <w:uiPriority w:val="62"/>
    <w:rsid w:val="00B82901"/>
    <w:pPr>
      <w:spacing w:after="0" w:line="240" w:lineRule="auto"/>
    </w:pPr>
    <w:rPr>
      <w:rFonts w:ascii="Times New Roman" w:eastAsia="Times New Roman" w:hAnsi="Times New Roman" w:cs="Times New Roman"/>
      <w:sz w:val="20"/>
      <w:szCs w:val="20"/>
      <w:lang w:val="sq-AL" w:eastAsia="sq-AL"/>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blStylePr w:type="firstRow">
      <w:pPr>
        <w:spacing w:before="0" w:after="0" w:line="240" w:lineRule="auto"/>
      </w:pPr>
      <w:rPr>
        <w:rFonts w:ascii="Times New Roman" w:eastAsia="MS Gothic"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styleId="LightGrid-Accent6">
    <w:name w:val="Light Grid Accent 6"/>
    <w:basedOn w:val="TableNormal"/>
    <w:uiPriority w:val="62"/>
    <w:rsid w:val="00B82901"/>
    <w:pPr>
      <w:spacing w:after="0" w:line="240" w:lineRule="auto"/>
    </w:pPr>
    <w:rPr>
      <w:rFonts w:ascii="Times New Roman" w:eastAsia="Times New Roman" w:hAnsi="Times New Roman" w:cs="Times New Roman"/>
      <w:sz w:val="20"/>
      <w:szCs w:val="20"/>
      <w:lang w:val="sq-AL" w:eastAsia="sq-AL"/>
    </w:rPr>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blStylePr w:type="firstRow">
      <w:pPr>
        <w:spacing w:before="0" w:after="0" w:line="240" w:lineRule="auto"/>
      </w:pPr>
      <w:rPr>
        <w:rFonts w:ascii="Times New Roman" w:eastAsia="MS Gothic" w:hAnsi="Times New Roman" w:cs="Times New Roman"/>
        <w:b/>
        <w:bCs/>
      </w:rPr>
      <w:tblPr/>
      <w:tcPr>
        <w:tcBorders>
          <w:top w:val="single" w:sz="8" w:space="0" w:color="4D4D4D"/>
          <w:left w:val="single" w:sz="8" w:space="0" w:color="4D4D4D"/>
          <w:bottom w:val="single" w:sz="18" w:space="0" w:color="4D4D4D"/>
          <w:right w:val="single" w:sz="8" w:space="0" w:color="4D4D4D"/>
          <w:insideH w:val="nil"/>
          <w:insideV w:val="single" w:sz="8" w:space="0" w:color="4D4D4D"/>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4D4D4D"/>
          <w:left w:val="single" w:sz="8" w:space="0" w:color="4D4D4D"/>
          <w:bottom w:val="single" w:sz="8" w:space="0" w:color="4D4D4D"/>
          <w:right w:val="single" w:sz="8" w:space="0" w:color="4D4D4D"/>
          <w:insideH w:val="nil"/>
          <w:insideV w:val="single" w:sz="8" w:space="0" w:color="4D4D4D"/>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4D4D4D"/>
          <w:left w:val="single" w:sz="8" w:space="0" w:color="4D4D4D"/>
          <w:bottom w:val="single" w:sz="8" w:space="0" w:color="4D4D4D"/>
          <w:right w:val="single" w:sz="8" w:space="0" w:color="4D4D4D"/>
        </w:tcBorders>
      </w:tcPr>
    </w:tblStylePr>
    <w:tblStylePr w:type="band1Vert">
      <w:tblPr/>
      <w:tcPr>
        <w:tcBorders>
          <w:top w:val="single" w:sz="8" w:space="0" w:color="4D4D4D"/>
          <w:left w:val="single" w:sz="8" w:space="0" w:color="4D4D4D"/>
          <w:bottom w:val="single" w:sz="8" w:space="0" w:color="4D4D4D"/>
          <w:right w:val="single" w:sz="8" w:space="0" w:color="4D4D4D"/>
        </w:tcBorders>
        <w:shd w:val="clear" w:color="auto" w:fill="D3D3D3"/>
      </w:tcPr>
    </w:tblStylePr>
    <w:tblStylePr w:type="band1Horz">
      <w:tblPr/>
      <w:tcPr>
        <w:tcBorders>
          <w:top w:val="single" w:sz="8" w:space="0" w:color="4D4D4D"/>
          <w:left w:val="single" w:sz="8" w:space="0" w:color="4D4D4D"/>
          <w:bottom w:val="single" w:sz="8" w:space="0" w:color="4D4D4D"/>
          <w:right w:val="single" w:sz="8" w:space="0" w:color="4D4D4D"/>
          <w:insideV w:val="single" w:sz="8" w:space="0" w:color="4D4D4D"/>
        </w:tcBorders>
        <w:shd w:val="clear" w:color="auto" w:fill="D3D3D3"/>
      </w:tcPr>
    </w:tblStylePr>
    <w:tblStylePr w:type="band2Horz">
      <w:tblPr/>
      <w:tcPr>
        <w:tcBorders>
          <w:top w:val="single" w:sz="8" w:space="0" w:color="4D4D4D"/>
          <w:left w:val="single" w:sz="8" w:space="0" w:color="4D4D4D"/>
          <w:bottom w:val="single" w:sz="8" w:space="0" w:color="4D4D4D"/>
          <w:right w:val="single" w:sz="8" w:space="0" w:color="4D4D4D"/>
          <w:insideV w:val="single" w:sz="8" w:space="0" w:color="4D4D4D"/>
        </w:tcBorders>
      </w:tcPr>
    </w:tblStylePr>
  </w:style>
  <w:style w:type="table" w:styleId="LightList">
    <w:name w:val="Light List"/>
    <w:basedOn w:val="TableNormal"/>
    <w:uiPriority w:val="61"/>
    <w:rsid w:val="00B82901"/>
    <w:pPr>
      <w:spacing w:after="0" w:line="240" w:lineRule="auto"/>
    </w:pPr>
    <w:rPr>
      <w:rFonts w:ascii="Times New Roman" w:eastAsia="Times New Roman" w:hAnsi="Times New Roman" w:cs="Times New Roman"/>
      <w:sz w:val="20"/>
      <w:szCs w:val="20"/>
      <w:lang w:val="sq-AL" w:eastAsia="sq-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0072BC"/>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B82901"/>
    <w:pPr>
      <w:spacing w:after="0" w:line="240" w:lineRule="auto"/>
    </w:pPr>
    <w:rPr>
      <w:rFonts w:ascii="Times New Roman" w:eastAsia="Times New Roman" w:hAnsi="Times New Roman" w:cs="Times New Roman"/>
      <w:sz w:val="20"/>
      <w:szCs w:val="20"/>
      <w:lang w:val="sq-AL" w:eastAsia="sq-AL"/>
    </w:rPr>
    <w:tblPr>
      <w:tblStyleRowBandSize w:val="1"/>
      <w:tblStyleColBandSize w:val="1"/>
      <w:tblBorders>
        <w:top w:val="single" w:sz="8" w:space="0" w:color="0072BC"/>
        <w:left w:val="single" w:sz="8" w:space="0" w:color="0072BC"/>
        <w:bottom w:val="single" w:sz="8" w:space="0" w:color="0072BC"/>
        <w:right w:val="single" w:sz="8" w:space="0" w:color="0072BC"/>
      </w:tblBorders>
    </w:tblPr>
    <w:tblStylePr w:type="firstRow">
      <w:pPr>
        <w:spacing w:before="0" w:after="0" w:line="240" w:lineRule="auto"/>
      </w:pPr>
      <w:rPr>
        <w:b/>
        <w:bCs/>
        <w:color w:val="0072BC"/>
      </w:rPr>
      <w:tblPr/>
      <w:tcPr>
        <w:shd w:val="clear" w:color="auto" w:fill="0072BC"/>
      </w:tcPr>
    </w:tblStylePr>
    <w:tblStylePr w:type="lastRow">
      <w:pPr>
        <w:spacing w:before="0" w:after="0" w:line="240" w:lineRule="auto"/>
      </w:pPr>
      <w:rPr>
        <w:b/>
        <w:bCs/>
      </w:rPr>
      <w:tblPr/>
      <w:tcPr>
        <w:tcBorders>
          <w:top w:val="double" w:sz="6" w:space="0" w:color="0072BC"/>
          <w:left w:val="single" w:sz="8" w:space="0" w:color="0072BC"/>
          <w:bottom w:val="single" w:sz="8" w:space="0" w:color="0072BC"/>
          <w:right w:val="single" w:sz="8" w:space="0" w:color="0072BC"/>
        </w:tcBorders>
      </w:tcPr>
    </w:tblStylePr>
    <w:tblStylePr w:type="firstCol">
      <w:rPr>
        <w:b/>
        <w:bCs/>
      </w:rPr>
    </w:tblStylePr>
    <w:tblStylePr w:type="lastCol">
      <w:rPr>
        <w:b/>
        <w:bCs/>
      </w:rPr>
    </w:tblStylePr>
    <w:tblStylePr w:type="band1Vert">
      <w:tblPr/>
      <w:tcPr>
        <w:tcBorders>
          <w:top w:val="single" w:sz="8" w:space="0" w:color="0072BC"/>
          <w:left w:val="single" w:sz="8" w:space="0" w:color="0072BC"/>
          <w:bottom w:val="single" w:sz="8" w:space="0" w:color="0072BC"/>
          <w:right w:val="single" w:sz="8" w:space="0" w:color="0072BC"/>
        </w:tcBorders>
      </w:tcPr>
    </w:tblStylePr>
    <w:tblStylePr w:type="band1Horz">
      <w:tblPr/>
      <w:tcPr>
        <w:tcBorders>
          <w:top w:val="single" w:sz="8" w:space="0" w:color="0072BC"/>
          <w:left w:val="single" w:sz="8" w:space="0" w:color="0072BC"/>
          <w:bottom w:val="single" w:sz="8" w:space="0" w:color="0072BC"/>
          <w:right w:val="single" w:sz="8" w:space="0" w:color="0072BC"/>
        </w:tcBorders>
      </w:tcPr>
    </w:tblStylePr>
  </w:style>
  <w:style w:type="table" w:styleId="LightList-Accent2">
    <w:name w:val="Light List Accent 2"/>
    <w:basedOn w:val="TableNormal"/>
    <w:uiPriority w:val="61"/>
    <w:rsid w:val="00B82901"/>
    <w:pPr>
      <w:spacing w:after="0" w:line="240" w:lineRule="auto"/>
    </w:pPr>
    <w:rPr>
      <w:rFonts w:ascii="Times New Roman" w:eastAsia="Times New Roman" w:hAnsi="Times New Roman" w:cs="Times New Roman"/>
      <w:sz w:val="20"/>
      <w:szCs w:val="20"/>
      <w:lang w:val="sq-AL" w:eastAsia="sq-AL"/>
    </w:rPr>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pPr>
        <w:spacing w:before="0" w:after="0" w:line="240" w:lineRule="auto"/>
      </w:pPr>
      <w:rPr>
        <w:b/>
        <w:bCs/>
        <w:color w:val="0072BC"/>
      </w:rPr>
      <w:tblPr/>
      <w:tcPr>
        <w:shd w:val="clear" w:color="auto" w:fill="C00000"/>
      </w:tcPr>
    </w:tblStylePr>
    <w:tblStylePr w:type="lastRow">
      <w:pPr>
        <w:spacing w:before="0" w:after="0" w:line="240" w:lineRule="auto"/>
      </w:pPr>
      <w:rPr>
        <w:b/>
        <w:bCs/>
      </w:rPr>
      <w:tblPr/>
      <w:tcPr>
        <w:tcBorders>
          <w:top w:val="double" w:sz="6" w:space="0" w:color="C00000"/>
          <w:left w:val="single" w:sz="8" w:space="0" w:color="C00000"/>
          <w:bottom w:val="single" w:sz="8" w:space="0" w:color="C00000"/>
          <w:right w:val="single" w:sz="8" w:space="0" w:color="C00000"/>
        </w:tcBorders>
      </w:tcPr>
    </w:tblStylePr>
    <w:tblStylePr w:type="firstCol">
      <w:rPr>
        <w:b/>
        <w:bCs/>
      </w:rPr>
    </w:tblStylePr>
    <w:tblStylePr w:type="lastCol">
      <w:rPr>
        <w:b/>
        <w:bCs/>
      </w:rPr>
    </w:tblStylePr>
    <w:tblStylePr w:type="band1Vert">
      <w:tblPr/>
      <w:tcPr>
        <w:tcBorders>
          <w:top w:val="single" w:sz="8" w:space="0" w:color="C00000"/>
          <w:left w:val="single" w:sz="8" w:space="0" w:color="C00000"/>
          <w:bottom w:val="single" w:sz="8" w:space="0" w:color="C00000"/>
          <w:right w:val="single" w:sz="8" w:space="0" w:color="C00000"/>
        </w:tcBorders>
      </w:tcPr>
    </w:tblStylePr>
    <w:tblStylePr w:type="band1Horz">
      <w:tblPr/>
      <w:tcPr>
        <w:tcBorders>
          <w:top w:val="single" w:sz="8" w:space="0" w:color="C00000"/>
          <w:left w:val="single" w:sz="8" w:space="0" w:color="C00000"/>
          <w:bottom w:val="single" w:sz="8" w:space="0" w:color="C00000"/>
          <w:right w:val="single" w:sz="8" w:space="0" w:color="C00000"/>
        </w:tcBorders>
      </w:tcPr>
    </w:tblStylePr>
  </w:style>
  <w:style w:type="table" w:styleId="LightList-Accent3">
    <w:name w:val="Light List Accent 3"/>
    <w:basedOn w:val="TableNormal"/>
    <w:uiPriority w:val="61"/>
    <w:rsid w:val="00B82901"/>
    <w:pPr>
      <w:spacing w:after="0" w:line="240" w:lineRule="auto"/>
    </w:pPr>
    <w:rPr>
      <w:rFonts w:ascii="Times New Roman" w:eastAsia="Times New Roman" w:hAnsi="Times New Roman" w:cs="Times New Roman"/>
      <w:sz w:val="20"/>
      <w:szCs w:val="20"/>
      <w:lang w:val="sq-AL" w:eastAsia="sq-AL"/>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styleId="LightList-Accent4">
    <w:name w:val="Light List Accent 4"/>
    <w:basedOn w:val="TableNormal"/>
    <w:uiPriority w:val="61"/>
    <w:rsid w:val="00B82901"/>
    <w:pPr>
      <w:spacing w:after="0" w:line="240" w:lineRule="auto"/>
    </w:pPr>
    <w:rPr>
      <w:rFonts w:ascii="Times New Roman" w:eastAsia="Times New Roman" w:hAnsi="Times New Roman" w:cs="Times New Roman"/>
      <w:sz w:val="20"/>
      <w:szCs w:val="20"/>
      <w:lang w:val="sq-AL" w:eastAsia="sq-AL"/>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pPr>
        <w:spacing w:before="0" w:after="0" w:line="240" w:lineRule="auto"/>
      </w:pPr>
      <w:rPr>
        <w:b/>
        <w:bCs/>
        <w:color w:val="0072BC"/>
      </w:rPr>
      <w:tblPr/>
      <w:tcPr>
        <w:shd w:val="clear" w:color="auto" w:fill="969696"/>
      </w:tcPr>
    </w:tblStylePr>
    <w:tblStylePr w:type="lastRow">
      <w:pPr>
        <w:spacing w:before="0" w:after="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styleId="LightList-Accent5">
    <w:name w:val="Light List Accent 5"/>
    <w:basedOn w:val="TableNormal"/>
    <w:uiPriority w:val="61"/>
    <w:rsid w:val="00B82901"/>
    <w:pPr>
      <w:spacing w:after="0" w:line="240" w:lineRule="auto"/>
    </w:pPr>
    <w:rPr>
      <w:rFonts w:ascii="Times New Roman" w:eastAsia="Times New Roman" w:hAnsi="Times New Roman" w:cs="Times New Roman"/>
      <w:sz w:val="20"/>
      <w:szCs w:val="20"/>
      <w:lang w:val="sq-AL" w:eastAsia="sq-AL"/>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styleId="LightList-Accent6">
    <w:name w:val="Light List Accent 6"/>
    <w:basedOn w:val="TableNormal"/>
    <w:uiPriority w:val="61"/>
    <w:rsid w:val="00B82901"/>
    <w:pPr>
      <w:spacing w:after="0" w:line="240" w:lineRule="auto"/>
    </w:pPr>
    <w:rPr>
      <w:rFonts w:ascii="Times New Roman" w:eastAsia="Times New Roman" w:hAnsi="Times New Roman" w:cs="Times New Roman"/>
      <w:sz w:val="20"/>
      <w:szCs w:val="20"/>
      <w:lang w:val="sq-AL" w:eastAsia="sq-AL"/>
    </w:rPr>
    <w:tblPr>
      <w:tblStyleRowBandSize w:val="1"/>
      <w:tblStyleColBandSize w:val="1"/>
      <w:tblBorders>
        <w:top w:val="single" w:sz="8" w:space="0" w:color="4D4D4D"/>
        <w:left w:val="single" w:sz="8" w:space="0" w:color="4D4D4D"/>
        <w:bottom w:val="single" w:sz="8" w:space="0" w:color="4D4D4D"/>
        <w:right w:val="single" w:sz="8" w:space="0" w:color="4D4D4D"/>
      </w:tblBorders>
    </w:tblPr>
    <w:tblStylePr w:type="firstRow">
      <w:pPr>
        <w:spacing w:before="0" w:after="0" w:line="240" w:lineRule="auto"/>
      </w:pPr>
      <w:rPr>
        <w:b/>
        <w:bCs/>
        <w:color w:val="0072BC"/>
      </w:rPr>
      <w:tblPr/>
      <w:tcPr>
        <w:shd w:val="clear" w:color="auto" w:fill="4D4D4D"/>
      </w:tcPr>
    </w:tblStylePr>
    <w:tblStylePr w:type="lastRow">
      <w:pPr>
        <w:spacing w:before="0" w:after="0" w:line="240" w:lineRule="auto"/>
      </w:pPr>
      <w:rPr>
        <w:b/>
        <w:bCs/>
      </w:rPr>
      <w:tblPr/>
      <w:tcPr>
        <w:tcBorders>
          <w:top w:val="double" w:sz="6" w:space="0" w:color="4D4D4D"/>
          <w:left w:val="single" w:sz="8" w:space="0" w:color="4D4D4D"/>
          <w:bottom w:val="single" w:sz="8" w:space="0" w:color="4D4D4D"/>
          <w:right w:val="single" w:sz="8" w:space="0" w:color="4D4D4D"/>
        </w:tcBorders>
      </w:tcPr>
    </w:tblStylePr>
    <w:tblStylePr w:type="firstCol">
      <w:rPr>
        <w:b/>
        <w:bCs/>
      </w:rPr>
    </w:tblStylePr>
    <w:tblStylePr w:type="lastCol">
      <w:rPr>
        <w:b/>
        <w:bCs/>
      </w:rPr>
    </w:tblStylePr>
    <w:tblStylePr w:type="band1Vert">
      <w:tblPr/>
      <w:tcPr>
        <w:tcBorders>
          <w:top w:val="single" w:sz="8" w:space="0" w:color="4D4D4D"/>
          <w:left w:val="single" w:sz="8" w:space="0" w:color="4D4D4D"/>
          <w:bottom w:val="single" w:sz="8" w:space="0" w:color="4D4D4D"/>
          <w:right w:val="single" w:sz="8" w:space="0" w:color="4D4D4D"/>
        </w:tcBorders>
      </w:tcPr>
    </w:tblStylePr>
    <w:tblStylePr w:type="band1Horz">
      <w:tblPr/>
      <w:tcPr>
        <w:tcBorders>
          <w:top w:val="single" w:sz="8" w:space="0" w:color="4D4D4D"/>
          <w:left w:val="single" w:sz="8" w:space="0" w:color="4D4D4D"/>
          <w:bottom w:val="single" w:sz="8" w:space="0" w:color="4D4D4D"/>
          <w:right w:val="single" w:sz="8" w:space="0" w:color="4D4D4D"/>
        </w:tcBorders>
      </w:tcPr>
    </w:tblStylePr>
  </w:style>
  <w:style w:type="table" w:styleId="LightShading">
    <w:name w:val="Light Shading"/>
    <w:basedOn w:val="TableNormal"/>
    <w:uiPriority w:val="60"/>
    <w:rsid w:val="00B82901"/>
    <w:pPr>
      <w:spacing w:after="0" w:line="240" w:lineRule="auto"/>
    </w:pPr>
    <w:rPr>
      <w:rFonts w:ascii="Times New Roman" w:eastAsia="Times New Roman" w:hAnsi="Times New Roman" w:cs="Times New Roman"/>
      <w:color w:val="000000"/>
      <w:sz w:val="20"/>
      <w:szCs w:val="20"/>
      <w:lang w:val="sq-AL" w:eastAsia="sq-AL"/>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B82901"/>
    <w:pPr>
      <w:spacing w:after="0" w:line="240" w:lineRule="auto"/>
    </w:pPr>
    <w:rPr>
      <w:rFonts w:ascii="Times New Roman" w:eastAsia="Times New Roman" w:hAnsi="Times New Roman" w:cs="Times New Roman"/>
      <w:color w:val="00548C"/>
      <w:sz w:val="20"/>
      <w:szCs w:val="20"/>
      <w:lang w:val="sq-AL" w:eastAsia="sq-AL"/>
    </w:rPr>
    <w:tblPr>
      <w:tblStyleRowBandSize w:val="1"/>
      <w:tblStyleColBandSize w:val="1"/>
      <w:tblBorders>
        <w:top w:val="single" w:sz="8" w:space="0" w:color="0072BC"/>
        <w:bottom w:val="single" w:sz="8" w:space="0" w:color="0072BC"/>
      </w:tblBorders>
    </w:tblPr>
    <w:tblStylePr w:type="fir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la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cPr>
    </w:tblStylePr>
    <w:tblStylePr w:type="band1Horz">
      <w:tblPr/>
      <w:tcPr>
        <w:tcBorders>
          <w:left w:val="nil"/>
          <w:right w:val="nil"/>
          <w:insideH w:val="nil"/>
          <w:insideV w:val="nil"/>
        </w:tcBorders>
        <w:shd w:val="clear" w:color="auto" w:fill="AFDFFF"/>
      </w:tcPr>
    </w:tblStylePr>
  </w:style>
  <w:style w:type="table" w:styleId="LightShading-Accent2">
    <w:name w:val="Light Shading Accent 2"/>
    <w:basedOn w:val="TableNormal"/>
    <w:uiPriority w:val="60"/>
    <w:rsid w:val="00B82901"/>
    <w:pPr>
      <w:spacing w:after="0" w:line="240" w:lineRule="auto"/>
    </w:pPr>
    <w:rPr>
      <w:rFonts w:ascii="Times New Roman" w:eastAsia="Times New Roman" w:hAnsi="Times New Roman" w:cs="Times New Roman"/>
      <w:color w:val="8F0000"/>
      <w:sz w:val="20"/>
      <w:szCs w:val="20"/>
      <w:lang w:val="sq-AL" w:eastAsia="sq-AL"/>
    </w:rPr>
    <w:tblPr>
      <w:tblStyleRowBandSize w:val="1"/>
      <w:tblStyleColBandSize w:val="1"/>
      <w:tblBorders>
        <w:top w:val="single" w:sz="8" w:space="0" w:color="C00000"/>
        <w:bottom w:val="single" w:sz="8" w:space="0" w:color="C00000"/>
      </w:tblBorders>
    </w:tblPr>
    <w:tblStylePr w:type="fir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la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cPr>
    </w:tblStylePr>
    <w:tblStylePr w:type="band1Horz">
      <w:tblPr/>
      <w:tcPr>
        <w:tcBorders>
          <w:left w:val="nil"/>
          <w:right w:val="nil"/>
          <w:insideH w:val="nil"/>
          <w:insideV w:val="nil"/>
        </w:tcBorders>
        <w:shd w:val="clear" w:color="auto" w:fill="FFB0B0"/>
      </w:tcPr>
    </w:tblStylePr>
  </w:style>
  <w:style w:type="table" w:styleId="LightShading-Accent3">
    <w:name w:val="Light Shading Accent 3"/>
    <w:basedOn w:val="TableNormal"/>
    <w:uiPriority w:val="60"/>
    <w:rsid w:val="00B82901"/>
    <w:pPr>
      <w:spacing w:after="0" w:line="240" w:lineRule="auto"/>
    </w:pPr>
    <w:rPr>
      <w:rFonts w:ascii="Times New Roman" w:eastAsia="Times New Roman" w:hAnsi="Times New Roman" w:cs="Times New Roman"/>
      <w:color w:val="474747"/>
      <w:sz w:val="20"/>
      <w:szCs w:val="20"/>
      <w:lang w:val="sq-AL" w:eastAsia="sq-AL"/>
    </w:rPr>
    <w:tblPr>
      <w:tblStyleRowBandSize w:val="1"/>
      <w:tblStyleColBandSize w:val="1"/>
      <w:tblBorders>
        <w:top w:val="single" w:sz="8" w:space="0" w:color="5F5F5F"/>
        <w:bottom w:val="single" w:sz="8" w:space="0" w:color="5F5F5F"/>
      </w:tblBorders>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styleId="LightShading-Accent4">
    <w:name w:val="Light Shading Accent 4"/>
    <w:basedOn w:val="TableNormal"/>
    <w:uiPriority w:val="60"/>
    <w:rsid w:val="00B82901"/>
    <w:pPr>
      <w:spacing w:after="0" w:line="240" w:lineRule="auto"/>
    </w:pPr>
    <w:rPr>
      <w:rFonts w:ascii="Times New Roman" w:eastAsia="Times New Roman" w:hAnsi="Times New Roman" w:cs="Times New Roman"/>
      <w:color w:val="707070"/>
      <w:sz w:val="20"/>
      <w:szCs w:val="20"/>
      <w:lang w:val="sq-AL" w:eastAsia="sq-AL"/>
    </w:rPr>
    <w:tblPr>
      <w:tblStyleRowBandSize w:val="1"/>
      <w:tblStyleColBandSize w:val="1"/>
      <w:tblBorders>
        <w:top w:val="single" w:sz="8" w:space="0" w:color="969696"/>
        <w:bottom w:val="single" w:sz="8" w:space="0" w:color="969696"/>
      </w:tblBorders>
    </w:tblPr>
    <w:tblStylePr w:type="fir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la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cPr>
    </w:tblStylePr>
    <w:tblStylePr w:type="band1Horz">
      <w:tblPr/>
      <w:tcPr>
        <w:tcBorders>
          <w:left w:val="nil"/>
          <w:right w:val="nil"/>
          <w:insideH w:val="nil"/>
          <w:insideV w:val="nil"/>
        </w:tcBorders>
        <w:shd w:val="clear" w:color="auto" w:fill="E5E5E5"/>
      </w:tcPr>
    </w:tblStylePr>
  </w:style>
  <w:style w:type="table" w:styleId="LightShading-Accent5">
    <w:name w:val="Light Shading Accent 5"/>
    <w:basedOn w:val="TableNormal"/>
    <w:uiPriority w:val="60"/>
    <w:rsid w:val="00B82901"/>
    <w:pPr>
      <w:spacing w:after="0" w:line="240" w:lineRule="auto"/>
    </w:pPr>
    <w:rPr>
      <w:rFonts w:ascii="Times New Roman" w:eastAsia="Times New Roman" w:hAnsi="Times New Roman" w:cs="Times New Roman"/>
      <w:color w:val="474747"/>
      <w:sz w:val="20"/>
      <w:szCs w:val="20"/>
      <w:lang w:val="sq-AL" w:eastAsia="sq-AL"/>
    </w:rPr>
    <w:tblPr>
      <w:tblStyleRowBandSize w:val="1"/>
      <w:tblStyleColBandSize w:val="1"/>
      <w:tblBorders>
        <w:top w:val="single" w:sz="8" w:space="0" w:color="5F5F5F"/>
        <w:bottom w:val="single" w:sz="8" w:space="0" w:color="5F5F5F"/>
      </w:tblBorders>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styleId="LightShading-Accent6">
    <w:name w:val="Light Shading Accent 6"/>
    <w:basedOn w:val="TableNormal"/>
    <w:uiPriority w:val="60"/>
    <w:rsid w:val="00B82901"/>
    <w:pPr>
      <w:spacing w:after="0" w:line="240" w:lineRule="auto"/>
    </w:pPr>
    <w:rPr>
      <w:rFonts w:ascii="Times New Roman" w:eastAsia="Times New Roman" w:hAnsi="Times New Roman" w:cs="Times New Roman"/>
      <w:color w:val="393939"/>
      <w:sz w:val="20"/>
      <w:szCs w:val="20"/>
      <w:lang w:val="sq-AL" w:eastAsia="sq-AL"/>
    </w:rPr>
    <w:tblPr>
      <w:tblStyleRowBandSize w:val="1"/>
      <w:tblStyleColBandSize w:val="1"/>
      <w:tblBorders>
        <w:top w:val="single" w:sz="8" w:space="0" w:color="4D4D4D"/>
        <w:bottom w:val="single" w:sz="8" w:space="0" w:color="4D4D4D"/>
      </w:tblBorders>
    </w:tblPr>
    <w:tblStylePr w:type="fir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la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cPr>
    </w:tblStylePr>
    <w:tblStylePr w:type="band1Horz">
      <w:tblPr/>
      <w:tcPr>
        <w:tcBorders>
          <w:left w:val="nil"/>
          <w:right w:val="nil"/>
          <w:insideH w:val="nil"/>
          <w:insideV w:val="nil"/>
        </w:tcBorders>
        <w:shd w:val="clear" w:color="auto" w:fill="D3D3D3"/>
      </w:tcPr>
    </w:tblStylePr>
  </w:style>
  <w:style w:type="character" w:styleId="LineNumber">
    <w:name w:val="line number"/>
    <w:basedOn w:val="DefaultParagraphFont"/>
    <w:uiPriority w:val="99"/>
    <w:semiHidden/>
    <w:rsid w:val="00B82901"/>
  </w:style>
  <w:style w:type="paragraph" w:styleId="List">
    <w:name w:val="List"/>
    <w:basedOn w:val="Normal"/>
    <w:uiPriority w:val="99"/>
    <w:semiHidden/>
    <w:rsid w:val="00B82901"/>
    <w:pPr>
      <w:spacing w:after="0" w:line="240" w:lineRule="auto"/>
      <w:ind w:left="283" w:hanging="283"/>
      <w:contextualSpacing/>
      <w:jc w:val="both"/>
    </w:pPr>
    <w:rPr>
      <w:rFonts w:ascii="Times New Roman" w:eastAsia="MS Mincho" w:hAnsi="Times New Roman" w:cs="Times New Roman"/>
      <w:sz w:val="24"/>
      <w:lang w:val="en-GB"/>
    </w:rPr>
  </w:style>
  <w:style w:type="paragraph" w:styleId="List2">
    <w:name w:val="List 2"/>
    <w:basedOn w:val="Normal"/>
    <w:uiPriority w:val="99"/>
    <w:semiHidden/>
    <w:rsid w:val="00B82901"/>
    <w:pPr>
      <w:spacing w:after="0" w:line="240" w:lineRule="auto"/>
      <w:ind w:left="566" w:hanging="283"/>
      <w:contextualSpacing/>
      <w:jc w:val="both"/>
    </w:pPr>
    <w:rPr>
      <w:rFonts w:ascii="Times New Roman" w:eastAsia="MS Mincho" w:hAnsi="Times New Roman" w:cs="Times New Roman"/>
      <w:sz w:val="24"/>
      <w:lang w:val="en-GB"/>
    </w:rPr>
  </w:style>
  <w:style w:type="paragraph" w:styleId="List3">
    <w:name w:val="List 3"/>
    <w:basedOn w:val="Normal"/>
    <w:uiPriority w:val="99"/>
    <w:semiHidden/>
    <w:rsid w:val="00B82901"/>
    <w:pPr>
      <w:spacing w:after="0" w:line="240" w:lineRule="auto"/>
      <w:ind w:left="849" w:hanging="283"/>
      <w:contextualSpacing/>
      <w:jc w:val="both"/>
    </w:pPr>
    <w:rPr>
      <w:rFonts w:ascii="Times New Roman" w:eastAsia="MS Mincho" w:hAnsi="Times New Roman" w:cs="Times New Roman"/>
      <w:sz w:val="24"/>
      <w:lang w:val="en-GB"/>
    </w:rPr>
  </w:style>
  <w:style w:type="paragraph" w:styleId="List4">
    <w:name w:val="List 4"/>
    <w:basedOn w:val="Normal"/>
    <w:uiPriority w:val="99"/>
    <w:semiHidden/>
    <w:rsid w:val="00B82901"/>
    <w:pPr>
      <w:spacing w:after="0" w:line="240" w:lineRule="auto"/>
      <w:ind w:left="1132" w:hanging="283"/>
      <w:contextualSpacing/>
      <w:jc w:val="both"/>
    </w:pPr>
    <w:rPr>
      <w:rFonts w:ascii="Times New Roman" w:eastAsia="MS Mincho" w:hAnsi="Times New Roman" w:cs="Times New Roman"/>
      <w:sz w:val="24"/>
      <w:lang w:val="en-GB"/>
    </w:rPr>
  </w:style>
  <w:style w:type="paragraph" w:styleId="List5">
    <w:name w:val="List 5"/>
    <w:basedOn w:val="Normal"/>
    <w:uiPriority w:val="99"/>
    <w:semiHidden/>
    <w:rsid w:val="00B82901"/>
    <w:pPr>
      <w:spacing w:after="0" w:line="240" w:lineRule="auto"/>
      <w:ind w:left="1415" w:hanging="283"/>
      <w:contextualSpacing/>
      <w:jc w:val="both"/>
    </w:pPr>
    <w:rPr>
      <w:rFonts w:ascii="Times New Roman" w:eastAsia="MS Mincho" w:hAnsi="Times New Roman" w:cs="Times New Roman"/>
      <w:sz w:val="24"/>
      <w:lang w:val="en-GB"/>
    </w:rPr>
  </w:style>
  <w:style w:type="paragraph" w:styleId="ListBullet2">
    <w:name w:val="List Bullet 2"/>
    <w:basedOn w:val="Normal"/>
    <w:uiPriority w:val="99"/>
    <w:semiHidden/>
    <w:rsid w:val="00B82901"/>
    <w:pPr>
      <w:numPr>
        <w:numId w:val="7"/>
      </w:numPr>
      <w:spacing w:after="0" w:line="240" w:lineRule="auto"/>
      <w:contextualSpacing/>
      <w:jc w:val="both"/>
    </w:pPr>
    <w:rPr>
      <w:rFonts w:ascii="Times New Roman" w:eastAsia="MS Mincho" w:hAnsi="Times New Roman" w:cs="Times New Roman"/>
      <w:sz w:val="24"/>
      <w:lang w:val="en-GB"/>
    </w:rPr>
  </w:style>
  <w:style w:type="paragraph" w:styleId="ListBullet4">
    <w:name w:val="List Bullet 4"/>
    <w:basedOn w:val="Normal"/>
    <w:uiPriority w:val="99"/>
    <w:semiHidden/>
    <w:rsid w:val="00B82901"/>
    <w:pPr>
      <w:numPr>
        <w:numId w:val="8"/>
      </w:numPr>
      <w:spacing w:after="0" w:line="240" w:lineRule="auto"/>
      <w:contextualSpacing/>
      <w:jc w:val="both"/>
    </w:pPr>
    <w:rPr>
      <w:rFonts w:ascii="Times New Roman" w:eastAsia="MS Mincho" w:hAnsi="Times New Roman" w:cs="Times New Roman"/>
      <w:sz w:val="24"/>
      <w:lang w:val="en-GB"/>
    </w:rPr>
  </w:style>
  <w:style w:type="paragraph" w:styleId="ListBullet5">
    <w:name w:val="List Bullet 5"/>
    <w:basedOn w:val="Normal"/>
    <w:uiPriority w:val="99"/>
    <w:semiHidden/>
    <w:rsid w:val="00B82901"/>
    <w:pPr>
      <w:numPr>
        <w:numId w:val="9"/>
      </w:numPr>
      <w:spacing w:after="0" w:line="240" w:lineRule="auto"/>
      <w:contextualSpacing/>
      <w:jc w:val="both"/>
    </w:pPr>
    <w:rPr>
      <w:rFonts w:ascii="Times New Roman" w:eastAsia="MS Mincho" w:hAnsi="Times New Roman" w:cs="Times New Roman"/>
      <w:sz w:val="24"/>
      <w:lang w:val="en-GB"/>
    </w:rPr>
  </w:style>
  <w:style w:type="paragraph" w:styleId="ListContinue">
    <w:name w:val="List Continue"/>
    <w:basedOn w:val="Normal"/>
    <w:uiPriority w:val="99"/>
    <w:semiHidden/>
    <w:rsid w:val="00B82901"/>
    <w:pPr>
      <w:spacing w:after="120" w:line="240" w:lineRule="auto"/>
      <w:ind w:left="283"/>
      <w:contextualSpacing/>
      <w:jc w:val="both"/>
    </w:pPr>
    <w:rPr>
      <w:rFonts w:ascii="Times New Roman" w:eastAsia="MS Mincho" w:hAnsi="Times New Roman" w:cs="Times New Roman"/>
      <w:sz w:val="24"/>
      <w:lang w:val="en-GB"/>
    </w:rPr>
  </w:style>
  <w:style w:type="paragraph" w:styleId="ListContinue2">
    <w:name w:val="List Continue 2"/>
    <w:basedOn w:val="Normal"/>
    <w:uiPriority w:val="99"/>
    <w:semiHidden/>
    <w:rsid w:val="00B82901"/>
    <w:pPr>
      <w:spacing w:after="120" w:line="240" w:lineRule="auto"/>
      <w:ind w:left="566"/>
      <w:contextualSpacing/>
      <w:jc w:val="both"/>
    </w:pPr>
    <w:rPr>
      <w:rFonts w:ascii="Times New Roman" w:eastAsia="MS Mincho" w:hAnsi="Times New Roman" w:cs="Times New Roman"/>
      <w:sz w:val="24"/>
      <w:lang w:val="en-GB"/>
    </w:rPr>
  </w:style>
  <w:style w:type="paragraph" w:styleId="ListContinue3">
    <w:name w:val="List Continue 3"/>
    <w:basedOn w:val="Normal"/>
    <w:uiPriority w:val="99"/>
    <w:semiHidden/>
    <w:rsid w:val="00B82901"/>
    <w:pPr>
      <w:spacing w:after="120" w:line="240" w:lineRule="auto"/>
      <w:ind w:left="849"/>
      <w:contextualSpacing/>
      <w:jc w:val="both"/>
    </w:pPr>
    <w:rPr>
      <w:rFonts w:ascii="Times New Roman" w:eastAsia="MS Mincho" w:hAnsi="Times New Roman" w:cs="Times New Roman"/>
      <w:sz w:val="24"/>
      <w:lang w:val="en-GB"/>
    </w:rPr>
  </w:style>
  <w:style w:type="paragraph" w:styleId="ListContinue4">
    <w:name w:val="List Continue 4"/>
    <w:basedOn w:val="Normal"/>
    <w:uiPriority w:val="99"/>
    <w:semiHidden/>
    <w:rsid w:val="00B82901"/>
    <w:pPr>
      <w:spacing w:after="120" w:line="240" w:lineRule="auto"/>
      <w:ind w:left="1132"/>
      <w:contextualSpacing/>
      <w:jc w:val="both"/>
    </w:pPr>
    <w:rPr>
      <w:rFonts w:ascii="Times New Roman" w:eastAsia="MS Mincho" w:hAnsi="Times New Roman" w:cs="Times New Roman"/>
      <w:sz w:val="24"/>
      <w:lang w:val="en-GB"/>
    </w:rPr>
  </w:style>
  <w:style w:type="paragraph" w:styleId="ListContinue5">
    <w:name w:val="List Continue 5"/>
    <w:basedOn w:val="Normal"/>
    <w:uiPriority w:val="99"/>
    <w:semiHidden/>
    <w:rsid w:val="00B82901"/>
    <w:pPr>
      <w:spacing w:after="120" w:line="240" w:lineRule="auto"/>
      <w:ind w:left="1415"/>
      <w:contextualSpacing/>
      <w:jc w:val="both"/>
    </w:pPr>
    <w:rPr>
      <w:rFonts w:ascii="Times New Roman" w:eastAsia="MS Mincho" w:hAnsi="Times New Roman" w:cs="Times New Roman"/>
      <w:sz w:val="24"/>
      <w:lang w:val="en-GB"/>
    </w:rPr>
  </w:style>
  <w:style w:type="paragraph" w:styleId="ListNumber">
    <w:name w:val="List Number"/>
    <w:basedOn w:val="Normal"/>
    <w:uiPriority w:val="99"/>
    <w:semiHidden/>
    <w:rsid w:val="00B82901"/>
    <w:pPr>
      <w:numPr>
        <w:numId w:val="10"/>
      </w:numPr>
      <w:spacing w:after="0" w:line="240" w:lineRule="auto"/>
      <w:contextualSpacing/>
      <w:jc w:val="both"/>
    </w:pPr>
    <w:rPr>
      <w:rFonts w:ascii="Times New Roman" w:eastAsia="MS Mincho" w:hAnsi="Times New Roman" w:cs="Times New Roman"/>
      <w:sz w:val="24"/>
      <w:lang w:val="en-GB"/>
    </w:rPr>
  </w:style>
  <w:style w:type="paragraph" w:styleId="ListNumber2">
    <w:name w:val="List Number 2"/>
    <w:basedOn w:val="Normal"/>
    <w:uiPriority w:val="99"/>
    <w:semiHidden/>
    <w:rsid w:val="00B82901"/>
    <w:pPr>
      <w:numPr>
        <w:numId w:val="11"/>
      </w:numPr>
      <w:spacing w:after="0" w:line="240" w:lineRule="auto"/>
      <w:contextualSpacing/>
      <w:jc w:val="both"/>
    </w:pPr>
    <w:rPr>
      <w:rFonts w:ascii="Times New Roman" w:eastAsia="MS Mincho" w:hAnsi="Times New Roman" w:cs="Times New Roman"/>
      <w:sz w:val="24"/>
      <w:lang w:val="en-GB"/>
    </w:rPr>
  </w:style>
  <w:style w:type="paragraph" w:styleId="ListNumber3">
    <w:name w:val="List Number 3"/>
    <w:basedOn w:val="Normal"/>
    <w:uiPriority w:val="99"/>
    <w:semiHidden/>
    <w:rsid w:val="00B82901"/>
    <w:pPr>
      <w:numPr>
        <w:numId w:val="12"/>
      </w:numPr>
      <w:spacing w:after="0" w:line="240" w:lineRule="auto"/>
      <w:contextualSpacing/>
      <w:jc w:val="both"/>
    </w:pPr>
    <w:rPr>
      <w:rFonts w:ascii="Times New Roman" w:eastAsia="MS Mincho" w:hAnsi="Times New Roman" w:cs="Times New Roman"/>
      <w:sz w:val="24"/>
      <w:lang w:val="en-GB"/>
    </w:rPr>
  </w:style>
  <w:style w:type="paragraph" w:styleId="ListNumber4">
    <w:name w:val="List Number 4"/>
    <w:basedOn w:val="Normal"/>
    <w:uiPriority w:val="99"/>
    <w:semiHidden/>
    <w:rsid w:val="00B82901"/>
    <w:pPr>
      <w:numPr>
        <w:numId w:val="13"/>
      </w:numPr>
      <w:spacing w:after="0" w:line="240" w:lineRule="auto"/>
      <w:contextualSpacing/>
      <w:jc w:val="both"/>
    </w:pPr>
    <w:rPr>
      <w:rFonts w:ascii="Times New Roman" w:eastAsia="MS Mincho" w:hAnsi="Times New Roman" w:cs="Times New Roman"/>
      <w:sz w:val="24"/>
      <w:lang w:val="en-GB"/>
    </w:rPr>
  </w:style>
  <w:style w:type="paragraph" w:styleId="ListNumber5">
    <w:name w:val="List Number 5"/>
    <w:basedOn w:val="Normal"/>
    <w:uiPriority w:val="99"/>
    <w:semiHidden/>
    <w:rsid w:val="00B82901"/>
    <w:pPr>
      <w:numPr>
        <w:numId w:val="14"/>
      </w:numPr>
      <w:spacing w:after="0" w:line="240" w:lineRule="auto"/>
      <w:contextualSpacing/>
      <w:jc w:val="both"/>
    </w:pPr>
    <w:rPr>
      <w:rFonts w:ascii="Times New Roman" w:eastAsia="MS Mincho" w:hAnsi="Times New Roman" w:cs="Times New Roman"/>
      <w:sz w:val="24"/>
      <w:lang w:val="en-GB"/>
    </w:rPr>
  </w:style>
  <w:style w:type="paragraph" w:styleId="MacroText">
    <w:name w:val="macro"/>
    <w:link w:val="MacroTextChar"/>
    <w:uiPriority w:val="99"/>
    <w:semiHidden/>
    <w:rsid w:val="00B82901"/>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MS Mincho" w:hAnsi="Consolas" w:cs="Consolas"/>
      <w:sz w:val="20"/>
      <w:szCs w:val="20"/>
    </w:rPr>
  </w:style>
  <w:style w:type="character" w:customStyle="1" w:styleId="MacroTextChar">
    <w:name w:val="Macro Text Char"/>
    <w:basedOn w:val="DefaultParagraphFont"/>
    <w:link w:val="MacroText"/>
    <w:uiPriority w:val="99"/>
    <w:semiHidden/>
    <w:rsid w:val="00B82901"/>
    <w:rPr>
      <w:rFonts w:ascii="Consolas" w:eastAsia="MS Mincho" w:hAnsi="Consolas" w:cs="Consolas"/>
      <w:sz w:val="20"/>
      <w:szCs w:val="20"/>
    </w:rPr>
  </w:style>
  <w:style w:type="table" w:styleId="MediumGrid1">
    <w:name w:val="Medium Grid 1"/>
    <w:basedOn w:val="TableNormal"/>
    <w:uiPriority w:val="67"/>
    <w:rsid w:val="00B82901"/>
    <w:pPr>
      <w:spacing w:after="0" w:line="240" w:lineRule="auto"/>
    </w:pPr>
    <w:rPr>
      <w:rFonts w:ascii="Times New Roman" w:eastAsia="Times New Roman" w:hAnsi="Times New Roman" w:cs="Times New Roman"/>
      <w:sz w:val="20"/>
      <w:szCs w:val="20"/>
      <w:lang w:val="sq-AL" w:eastAsia="sq-AL"/>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B82901"/>
    <w:pPr>
      <w:spacing w:after="0" w:line="240" w:lineRule="auto"/>
    </w:pPr>
    <w:rPr>
      <w:rFonts w:ascii="Times New Roman" w:eastAsia="Times New Roman" w:hAnsi="Times New Roman" w:cs="Times New Roman"/>
      <w:sz w:val="20"/>
      <w:szCs w:val="20"/>
      <w:lang w:val="sq-AL" w:eastAsia="sq-AL"/>
    </w:rPr>
    <w:tblPr>
      <w:tblStyleRowBandSize w:val="1"/>
      <w:tblStyleColBandSize w:val="1"/>
      <w:tblBorders>
        <w:top w:val="single" w:sz="8" w:space="0" w:color="0D9FFF"/>
        <w:left w:val="single" w:sz="8" w:space="0" w:color="0D9FFF"/>
        <w:bottom w:val="single" w:sz="8" w:space="0" w:color="0D9FFF"/>
        <w:right w:val="single" w:sz="8" w:space="0" w:color="0D9FFF"/>
        <w:insideH w:val="single" w:sz="8" w:space="0" w:color="0D9FFF"/>
        <w:insideV w:val="single" w:sz="8" w:space="0" w:color="0D9FFF"/>
      </w:tblBorders>
    </w:tblPr>
    <w:tcPr>
      <w:shd w:val="clear" w:color="auto" w:fill="AFDFFF"/>
    </w:tcPr>
    <w:tblStylePr w:type="firstRow">
      <w:rPr>
        <w:b/>
        <w:bCs/>
      </w:rPr>
    </w:tblStylePr>
    <w:tblStylePr w:type="lastRow">
      <w:rPr>
        <w:b/>
        <w:bCs/>
      </w:rPr>
      <w:tblPr/>
      <w:tcPr>
        <w:tcBorders>
          <w:top w:val="single" w:sz="18" w:space="0" w:color="0D9FFF"/>
        </w:tcBorders>
      </w:tcPr>
    </w:tblStylePr>
    <w:tblStylePr w:type="firstCol">
      <w:rPr>
        <w:b/>
        <w:bCs/>
      </w:rPr>
    </w:tblStylePr>
    <w:tblStylePr w:type="lastCol">
      <w:rPr>
        <w:b/>
        <w:bCs/>
      </w:rPr>
    </w:tblStylePr>
    <w:tblStylePr w:type="band1Vert">
      <w:tblPr/>
      <w:tcPr>
        <w:shd w:val="clear" w:color="auto" w:fill="5EBFFF"/>
      </w:tcPr>
    </w:tblStylePr>
    <w:tblStylePr w:type="band1Horz">
      <w:tblPr/>
      <w:tcPr>
        <w:shd w:val="clear" w:color="auto" w:fill="5EBFFF"/>
      </w:tcPr>
    </w:tblStylePr>
  </w:style>
  <w:style w:type="table" w:styleId="MediumGrid1-Accent2">
    <w:name w:val="Medium Grid 1 Accent 2"/>
    <w:basedOn w:val="TableNormal"/>
    <w:uiPriority w:val="67"/>
    <w:rsid w:val="00B82901"/>
    <w:pPr>
      <w:spacing w:after="0" w:line="240" w:lineRule="auto"/>
    </w:pPr>
    <w:rPr>
      <w:rFonts w:ascii="Times New Roman" w:eastAsia="Times New Roman" w:hAnsi="Times New Roman" w:cs="Times New Roman"/>
      <w:sz w:val="20"/>
      <w:szCs w:val="20"/>
      <w:lang w:val="sq-AL" w:eastAsia="sq-AL"/>
    </w:rPr>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insideV w:val="single" w:sz="8" w:space="0" w:color="FF1010"/>
      </w:tblBorders>
    </w:tblPr>
    <w:tcPr>
      <w:shd w:val="clear" w:color="auto" w:fill="FFB0B0"/>
    </w:tcPr>
    <w:tblStylePr w:type="firstRow">
      <w:rPr>
        <w:b/>
        <w:bCs/>
      </w:rPr>
    </w:tblStylePr>
    <w:tblStylePr w:type="lastRow">
      <w:rPr>
        <w:b/>
        <w:bCs/>
      </w:rPr>
      <w:tblPr/>
      <w:tcPr>
        <w:tcBorders>
          <w:top w:val="single" w:sz="18" w:space="0" w:color="FF1010"/>
        </w:tcBorders>
      </w:tcPr>
    </w:tblStylePr>
    <w:tblStylePr w:type="firstCol">
      <w:rPr>
        <w:b/>
        <w:bCs/>
      </w:rPr>
    </w:tblStylePr>
    <w:tblStylePr w:type="lastCol">
      <w:rPr>
        <w:b/>
        <w:bCs/>
      </w:rPr>
    </w:tblStylePr>
    <w:tblStylePr w:type="band1Vert">
      <w:tblPr/>
      <w:tcPr>
        <w:shd w:val="clear" w:color="auto" w:fill="FF6060"/>
      </w:tcPr>
    </w:tblStylePr>
    <w:tblStylePr w:type="band1Horz">
      <w:tblPr/>
      <w:tcPr>
        <w:shd w:val="clear" w:color="auto" w:fill="FF6060"/>
      </w:tcPr>
    </w:tblStylePr>
  </w:style>
  <w:style w:type="table" w:styleId="MediumGrid1-Accent3">
    <w:name w:val="Medium Grid 1 Accent 3"/>
    <w:basedOn w:val="TableNormal"/>
    <w:uiPriority w:val="67"/>
    <w:rsid w:val="00B82901"/>
    <w:pPr>
      <w:spacing w:after="0" w:line="240" w:lineRule="auto"/>
    </w:pPr>
    <w:rPr>
      <w:rFonts w:ascii="Times New Roman" w:eastAsia="Times New Roman" w:hAnsi="Times New Roman" w:cs="Times New Roman"/>
      <w:sz w:val="20"/>
      <w:szCs w:val="20"/>
      <w:lang w:val="sq-AL" w:eastAsia="sq-AL"/>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styleId="MediumGrid1-Accent4">
    <w:name w:val="Medium Grid 1 Accent 4"/>
    <w:basedOn w:val="TableNormal"/>
    <w:uiPriority w:val="67"/>
    <w:rsid w:val="00B82901"/>
    <w:pPr>
      <w:spacing w:after="0" w:line="240" w:lineRule="auto"/>
    </w:pPr>
    <w:rPr>
      <w:rFonts w:ascii="Times New Roman" w:eastAsia="Times New Roman" w:hAnsi="Times New Roman" w:cs="Times New Roman"/>
      <w:sz w:val="20"/>
      <w:szCs w:val="20"/>
      <w:lang w:val="sq-AL" w:eastAsia="sq-AL"/>
    </w:rPr>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insideV w:val="single" w:sz="8" w:space="0" w:color="B0B0B0"/>
      </w:tblBorders>
    </w:tblPr>
    <w:tcPr>
      <w:shd w:val="clear" w:color="auto" w:fill="E5E5E5"/>
    </w:tcPr>
    <w:tblStylePr w:type="firstRow">
      <w:rPr>
        <w:b/>
        <w:bCs/>
      </w:rPr>
    </w:tblStylePr>
    <w:tblStylePr w:type="lastRow">
      <w:rPr>
        <w:b/>
        <w:bCs/>
      </w:rPr>
      <w:tblPr/>
      <w:tcPr>
        <w:tcBorders>
          <w:top w:val="single" w:sz="18" w:space="0" w:color="B0B0B0"/>
        </w:tcBorders>
      </w:tcPr>
    </w:tblStylePr>
    <w:tblStylePr w:type="firstCol">
      <w:rPr>
        <w:b/>
        <w:bCs/>
      </w:rPr>
    </w:tblStylePr>
    <w:tblStylePr w:type="lastCol">
      <w:rPr>
        <w:b/>
        <w:bCs/>
      </w:rPr>
    </w:tblStylePr>
    <w:tblStylePr w:type="band1Vert">
      <w:tblPr/>
      <w:tcPr>
        <w:shd w:val="clear" w:color="auto" w:fill="CACACA"/>
      </w:tcPr>
    </w:tblStylePr>
    <w:tblStylePr w:type="band1Horz">
      <w:tblPr/>
      <w:tcPr>
        <w:shd w:val="clear" w:color="auto" w:fill="CACACA"/>
      </w:tcPr>
    </w:tblStylePr>
  </w:style>
  <w:style w:type="table" w:styleId="MediumGrid1-Accent5">
    <w:name w:val="Medium Grid 1 Accent 5"/>
    <w:basedOn w:val="TableNormal"/>
    <w:uiPriority w:val="67"/>
    <w:rsid w:val="00B82901"/>
    <w:pPr>
      <w:spacing w:after="0" w:line="240" w:lineRule="auto"/>
    </w:pPr>
    <w:rPr>
      <w:rFonts w:ascii="Times New Roman" w:eastAsia="Times New Roman" w:hAnsi="Times New Roman" w:cs="Times New Roman"/>
      <w:sz w:val="20"/>
      <w:szCs w:val="20"/>
      <w:lang w:val="sq-AL" w:eastAsia="sq-AL"/>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styleId="MediumGrid1-Accent6">
    <w:name w:val="Medium Grid 1 Accent 6"/>
    <w:basedOn w:val="TableNormal"/>
    <w:uiPriority w:val="67"/>
    <w:rsid w:val="00B82901"/>
    <w:pPr>
      <w:spacing w:after="0" w:line="240" w:lineRule="auto"/>
    </w:pPr>
    <w:rPr>
      <w:rFonts w:ascii="Times New Roman" w:eastAsia="Times New Roman" w:hAnsi="Times New Roman" w:cs="Times New Roman"/>
      <w:sz w:val="20"/>
      <w:szCs w:val="20"/>
      <w:lang w:val="sq-AL" w:eastAsia="sq-AL"/>
    </w:rPr>
    <w:tblPr>
      <w:tblStyleRowBandSize w:val="1"/>
      <w:tblStyleColBandSize w:val="1"/>
      <w:tblBorders>
        <w:top w:val="single" w:sz="8" w:space="0" w:color="797979"/>
        <w:left w:val="single" w:sz="8" w:space="0" w:color="797979"/>
        <w:bottom w:val="single" w:sz="8" w:space="0" w:color="797979"/>
        <w:right w:val="single" w:sz="8" w:space="0" w:color="797979"/>
        <w:insideH w:val="single" w:sz="8" w:space="0" w:color="797979"/>
        <w:insideV w:val="single" w:sz="8" w:space="0" w:color="797979"/>
      </w:tblBorders>
    </w:tblPr>
    <w:tcPr>
      <w:shd w:val="clear" w:color="auto" w:fill="D3D3D3"/>
    </w:tcPr>
    <w:tblStylePr w:type="firstRow">
      <w:rPr>
        <w:b/>
        <w:bCs/>
      </w:rPr>
    </w:tblStylePr>
    <w:tblStylePr w:type="lastRow">
      <w:rPr>
        <w:b/>
        <w:bCs/>
      </w:rPr>
      <w:tblPr/>
      <w:tcPr>
        <w:tcBorders>
          <w:top w:val="single" w:sz="18" w:space="0" w:color="797979"/>
        </w:tcBorders>
      </w:tcPr>
    </w:tblStylePr>
    <w:tblStylePr w:type="firstCol">
      <w:rPr>
        <w:b/>
        <w:bCs/>
      </w:rPr>
    </w:tblStylePr>
    <w:tblStylePr w:type="lastCol">
      <w:rPr>
        <w:b/>
        <w:bCs/>
      </w:rPr>
    </w:tblStylePr>
    <w:tblStylePr w:type="band1Vert">
      <w:tblPr/>
      <w:tcPr>
        <w:shd w:val="clear" w:color="auto" w:fill="A6A6A6"/>
      </w:tcPr>
    </w:tblStylePr>
    <w:tblStylePr w:type="band1Horz">
      <w:tblPr/>
      <w:tcPr>
        <w:shd w:val="clear" w:color="auto" w:fill="A6A6A6"/>
      </w:tcPr>
    </w:tblStylePr>
  </w:style>
  <w:style w:type="table" w:styleId="MediumGrid2">
    <w:name w:val="Medium Grid 2"/>
    <w:basedOn w:val="TableNormal"/>
    <w:uiPriority w:val="68"/>
    <w:rsid w:val="00B82901"/>
    <w:pPr>
      <w:spacing w:after="0" w:line="240" w:lineRule="auto"/>
    </w:pPr>
    <w:rPr>
      <w:rFonts w:ascii="Times New Roman" w:eastAsia="MS Gothic" w:hAnsi="Times New Roman" w:cs="Times New Roman"/>
      <w:color w:val="000000"/>
      <w:sz w:val="20"/>
      <w:szCs w:val="20"/>
      <w:lang w:val="sq-AL" w:eastAsia="sq-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0072BC"/>
      </w:tcPr>
    </w:tblStylePr>
  </w:style>
  <w:style w:type="table" w:styleId="MediumGrid2-Accent1">
    <w:name w:val="Medium Grid 2 Accent 1"/>
    <w:basedOn w:val="TableNormal"/>
    <w:uiPriority w:val="68"/>
    <w:rsid w:val="00B82901"/>
    <w:pPr>
      <w:spacing w:after="0" w:line="240" w:lineRule="auto"/>
    </w:pPr>
    <w:rPr>
      <w:rFonts w:ascii="Times New Roman" w:eastAsia="MS Gothic" w:hAnsi="Times New Roman" w:cs="Times New Roman"/>
      <w:color w:val="000000"/>
      <w:sz w:val="20"/>
      <w:szCs w:val="20"/>
      <w:lang w:val="sq-AL" w:eastAsia="sq-AL"/>
    </w:rPr>
    <w:tblPr>
      <w:tblStyleRowBandSize w:val="1"/>
      <w:tblStyleColBandSize w:val="1"/>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cPr>
      <w:shd w:val="clear" w:color="auto" w:fill="AFDFFF"/>
    </w:tcPr>
    <w:tblStylePr w:type="firstRow">
      <w:rPr>
        <w:b/>
        <w:bCs/>
        <w:color w:val="000000"/>
      </w:rPr>
      <w:tblPr/>
      <w:tcPr>
        <w:shd w:val="clear" w:color="auto" w:fill="DFF2F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BEE5FF"/>
      </w:tcPr>
    </w:tblStylePr>
    <w:tblStylePr w:type="band1Vert">
      <w:tblPr/>
      <w:tcPr>
        <w:shd w:val="clear" w:color="auto" w:fill="5EBFFF"/>
      </w:tcPr>
    </w:tblStylePr>
    <w:tblStylePr w:type="band1Horz">
      <w:tblPr/>
      <w:tcPr>
        <w:tcBorders>
          <w:insideH w:val="single" w:sz="6" w:space="0" w:color="0072BC"/>
          <w:insideV w:val="single" w:sz="6" w:space="0" w:color="0072BC"/>
        </w:tcBorders>
        <w:shd w:val="clear" w:color="auto" w:fill="5EBFFF"/>
      </w:tcPr>
    </w:tblStylePr>
    <w:tblStylePr w:type="nwCell">
      <w:tblPr/>
      <w:tcPr>
        <w:shd w:val="clear" w:color="auto" w:fill="0072BC"/>
      </w:tcPr>
    </w:tblStylePr>
  </w:style>
  <w:style w:type="table" w:styleId="MediumGrid2-Accent2">
    <w:name w:val="Medium Grid 2 Accent 2"/>
    <w:basedOn w:val="TableNormal"/>
    <w:uiPriority w:val="68"/>
    <w:rsid w:val="00B82901"/>
    <w:pPr>
      <w:spacing w:after="0" w:line="240" w:lineRule="auto"/>
    </w:pPr>
    <w:rPr>
      <w:rFonts w:ascii="Times New Roman" w:eastAsia="MS Gothic" w:hAnsi="Times New Roman" w:cs="Times New Roman"/>
      <w:color w:val="000000"/>
      <w:sz w:val="20"/>
      <w:szCs w:val="20"/>
      <w:lang w:val="sq-AL" w:eastAsia="sq-AL"/>
    </w:rPr>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cPr>
      <w:shd w:val="clear" w:color="auto" w:fill="FFB0B0"/>
    </w:tcPr>
    <w:tblStylePr w:type="firstRow">
      <w:rPr>
        <w:b/>
        <w:bCs/>
        <w:color w:val="000000"/>
      </w:rPr>
      <w:tblPr/>
      <w:tcPr>
        <w:shd w:val="clear" w:color="auto" w:fill="FFDFD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FFBFBF"/>
      </w:tcPr>
    </w:tblStylePr>
    <w:tblStylePr w:type="band1Vert">
      <w:tblPr/>
      <w:tcPr>
        <w:shd w:val="clear" w:color="auto" w:fill="FF6060"/>
      </w:tcPr>
    </w:tblStylePr>
    <w:tblStylePr w:type="band1Horz">
      <w:tblPr/>
      <w:tcPr>
        <w:tcBorders>
          <w:insideH w:val="single" w:sz="6" w:space="0" w:color="C00000"/>
          <w:insideV w:val="single" w:sz="6" w:space="0" w:color="C00000"/>
        </w:tcBorders>
        <w:shd w:val="clear" w:color="auto" w:fill="FF6060"/>
      </w:tcPr>
    </w:tblStylePr>
    <w:tblStylePr w:type="nwCell">
      <w:tblPr/>
      <w:tcPr>
        <w:shd w:val="clear" w:color="auto" w:fill="0072BC"/>
      </w:tcPr>
    </w:tblStylePr>
  </w:style>
  <w:style w:type="table" w:styleId="MediumGrid2-Accent3">
    <w:name w:val="Medium Grid 2 Accent 3"/>
    <w:basedOn w:val="TableNormal"/>
    <w:uiPriority w:val="68"/>
    <w:rsid w:val="00B82901"/>
    <w:pPr>
      <w:spacing w:after="0" w:line="240" w:lineRule="auto"/>
    </w:pPr>
    <w:rPr>
      <w:rFonts w:ascii="Times New Roman" w:eastAsia="MS Gothic" w:hAnsi="Times New Roman" w:cs="Times New Roman"/>
      <w:color w:val="000000"/>
      <w:sz w:val="20"/>
      <w:szCs w:val="20"/>
      <w:lang w:val="sq-AL" w:eastAsia="sq-AL"/>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styleId="MediumGrid2-Accent4">
    <w:name w:val="Medium Grid 2 Accent 4"/>
    <w:basedOn w:val="TableNormal"/>
    <w:uiPriority w:val="68"/>
    <w:rsid w:val="00B82901"/>
    <w:pPr>
      <w:spacing w:after="0" w:line="240" w:lineRule="auto"/>
    </w:pPr>
    <w:rPr>
      <w:rFonts w:ascii="Times New Roman" w:eastAsia="MS Gothic" w:hAnsi="Times New Roman" w:cs="Times New Roman"/>
      <w:color w:val="000000"/>
      <w:sz w:val="20"/>
      <w:szCs w:val="20"/>
      <w:lang w:val="sq-AL" w:eastAsia="sq-AL"/>
    </w:rPr>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cPr>
      <w:shd w:val="clear" w:color="auto" w:fill="E5E5E5"/>
    </w:tcPr>
    <w:tblStylePr w:type="firstRow">
      <w:rPr>
        <w:b/>
        <w:bCs/>
        <w:color w:val="000000"/>
      </w:rPr>
      <w:tblPr/>
      <w:tcPr>
        <w:shd w:val="clear" w:color="auto" w:fill="F4F4F4"/>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EAEAEA"/>
      </w:tcPr>
    </w:tblStylePr>
    <w:tblStylePr w:type="band1Vert">
      <w:tblPr/>
      <w:tcPr>
        <w:shd w:val="clear" w:color="auto" w:fill="CACACA"/>
      </w:tcPr>
    </w:tblStylePr>
    <w:tblStylePr w:type="band1Horz">
      <w:tblPr/>
      <w:tcPr>
        <w:tcBorders>
          <w:insideH w:val="single" w:sz="6" w:space="0" w:color="969696"/>
          <w:insideV w:val="single" w:sz="6" w:space="0" w:color="969696"/>
        </w:tcBorders>
        <w:shd w:val="clear" w:color="auto" w:fill="CACACA"/>
      </w:tcPr>
    </w:tblStylePr>
    <w:tblStylePr w:type="nwCell">
      <w:tblPr/>
      <w:tcPr>
        <w:shd w:val="clear" w:color="auto" w:fill="0072BC"/>
      </w:tcPr>
    </w:tblStylePr>
  </w:style>
  <w:style w:type="table" w:styleId="MediumGrid2-Accent5">
    <w:name w:val="Medium Grid 2 Accent 5"/>
    <w:basedOn w:val="TableNormal"/>
    <w:uiPriority w:val="68"/>
    <w:rsid w:val="00B82901"/>
    <w:pPr>
      <w:spacing w:after="0" w:line="240" w:lineRule="auto"/>
    </w:pPr>
    <w:rPr>
      <w:rFonts w:ascii="Times New Roman" w:eastAsia="MS Gothic" w:hAnsi="Times New Roman" w:cs="Times New Roman"/>
      <w:color w:val="000000"/>
      <w:sz w:val="20"/>
      <w:szCs w:val="20"/>
      <w:lang w:val="sq-AL" w:eastAsia="sq-AL"/>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styleId="MediumGrid2-Accent6">
    <w:name w:val="Medium Grid 2 Accent 6"/>
    <w:basedOn w:val="TableNormal"/>
    <w:uiPriority w:val="68"/>
    <w:rsid w:val="00B82901"/>
    <w:pPr>
      <w:spacing w:after="0" w:line="240" w:lineRule="auto"/>
    </w:pPr>
    <w:rPr>
      <w:rFonts w:ascii="Times New Roman" w:eastAsia="MS Gothic" w:hAnsi="Times New Roman" w:cs="Times New Roman"/>
      <w:color w:val="000000"/>
      <w:sz w:val="20"/>
      <w:szCs w:val="20"/>
      <w:lang w:val="sq-AL" w:eastAsia="sq-AL"/>
    </w:rPr>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cPr>
      <w:shd w:val="clear" w:color="auto" w:fill="D3D3D3"/>
    </w:tcPr>
    <w:tblStylePr w:type="firstRow">
      <w:rPr>
        <w:b/>
        <w:bCs/>
        <w:color w:val="000000"/>
      </w:rPr>
      <w:tblPr/>
      <w:tcPr>
        <w:shd w:val="clear" w:color="auto" w:fill="EDEDED"/>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BDBDB"/>
      </w:tcPr>
    </w:tblStylePr>
    <w:tblStylePr w:type="band1Vert">
      <w:tblPr/>
      <w:tcPr>
        <w:shd w:val="clear" w:color="auto" w:fill="A6A6A6"/>
      </w:tcPr>
    </w:tblStylePr>
    <w:tblStylePr w:type="band1Horz">
      <w:tblPr/>
      <w:tcPr>
        <w:tcBorders>
          <w:insideH w:val="single" w:sz="6" w:space="0" w:color="4D4D4D"/>
          <w:insideV w:val="single" w:sz="6" w:space="0" w:color="4D4D4D"/>
        </w:tcBorders>
        <w:shd w:val="clear" w:color="auto" w:fill="A6A6A6"/>
      </w:tcPr>
    </w:tblStylePr>
    <w:tblStylePr w:type="nwCell">
      <w:tblPr/>
      <w:tcPr>
        <w:shd w:val="clear" w:color="auto" w:fill="0072BC"/>
      </w:tcPr>
    </w:tblStylePr>
  </w:style>
  <w:style w:type="table" w:styleId="MediumGrid3">
    <w:name w:val="Medium Grid 3"/>
    <w:basedOn w:val="TableNormal"/>
    <w:uiPriority w:val="69"/>
    <w:rsid w:val="00B82901"/>
    <w:pPr>
      <w:spacing w:after="0" w:line="240" w:lineRule="auto"/>
    </w:pPr>
    <w:rPr>
      <w:rFonts w:ascii="Times New Roman" w:eastAsia="Times New Roman" w:hAnsi="Times New Roman" w:cs="Times New Roman"/>
      <w:sz w:val="20"/>
      <w:szCs w:val="20"/>
      <w:lang w:val="sq-AL" w:eastAsia="sq-AL"/>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C0C0C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80808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808080"/>
      </w:tcPr>
    </w:tblStylePr>
  </w:style>
  <w:style w:type="table" w:styleId="MediumGrid3-Accent1">
    <w:name w:val="Medium Grid 3 Accent 1"/>
    <w:basedOn w:val="TableNormal"/>
    <w:uiPriority w:val="69"/>
    <w:rsid w:val="00B82901"/>
    <w:pPr>
      <w:spacing w:after="0" w:line="240" w:lineRule="auto"/>
    </w:pPr>
    <w:rPr>
      <w:rFonts w:ascii="Times New Roman" w:eastAsia="Times New Roman" w:hAnsi="Times New Roman" w:cs="Times New Roman"/>
      <w:sz w:val="20"/>
      <w:szCs w:val="20"/>
      <w:lang w:val="sq-AL" w:eastAsia="sq-AL"/>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AFDFFF"/>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72BC"/>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72BC"/>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72BC"/>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72BC"/>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5EBFF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5EBFFF"/>
      </w:tcPr>
    </w:tblStylePr>
  </w:style>
  <w:style w:type="table" w:styleId="MediumGrid3-Accent2">
    <w:name w:val="Medium Grid 3 Accent 2"/>
    <w:basedOn w:val="TableNormal"/>
    <w:uiPriority w:val="69"/>
    <w:rsid w:val="00B82901"/>
    <w:pPr>
      <w:spacing w:after="0" w:line="240" w:lineRule="auto"/>
    </w:pPr>
    <w:rPr>
      <w:rFonts w:ascii="Times New Roman" w:eastAsia="Times New Roman" w:hAnsi="Times New Roman" w:cs="Times New Roman"/>
      <w:sz w:val="20"/>
      <w:szCs w:val="20"/>
      <w:lang w:val="sq-AL" w:eastAsia="sq-AL"/>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FFB0B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C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C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C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C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FF606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FF6060"/>
      </w:tcPr>
    </w:tblStylePr>
  </w:style>
  <w:style w:type="table" w:styleId="MediumGrid3-Accent3">
    <w:name w:val="Medium Grid 3 Accent 3"/>
    <w:basedOn w:val="TableNormal"/>
    <w:uiPriority w:val="69"/>
    <w:rsid w:val="00B82901"/>
    <w:pPr>
      <w:spacing w:after="0" w:line="240" w:lineRule="auto"/>
    </w:pPr>
    <w:rPr>
      <w:rFonts w:ascii="Times New Roman" w:eastAsia="Times New Roman" w:hAnsi="Times New Roman" w:cs="Times New Roman"/>
      <w:sz w:val="20"/>
      <w:szCs w:val="20"/>
      <w:lang w:val="sq-AL" w:eastAsia="sq-AL"/>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styleId="MediumGrid3-Accent4">
    <w:name w:val="Medium Grid 3 Accent 4"/>
    <w:basedOn w:val="TableNormal"/>
    <w:uiPriority w:val="69"/>
    <w:rsid w:val="00B82901"/>
    <w:pPr>
      <w:spacing w:after="0" w:line="240" w:lineRule="auto"/>
    </w:pPr>
    <w:rPr>
      <w:rFonts w:ascii="Times New Roman" w:eastAsia="Times New Roman" w:hAnsi="Times New Roman" w:cs="Times New Roman"/>
      <w:sz w:val="20"/>
      <w:szCs w:val="20"/>
      <w:lang w:val="sq-AL" w:eastAsia="sq-AL"/>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E5E5E5"/>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969696"/>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969696"/>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969696"/>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969696"/>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CACACA"/>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CACACA"/>
      </w:tcPr>
    </w:tblStylePr>
  </w:style>
  <w:style w:type="table" w:styleId="MediumGrid3-Accent5">
    <w:name w:val="Medium Grid 3 Accent 5"/>
    <w:basedOn w:val="TableNormal"/>
    <w:uiPriority w:val="69"/>
    <w:rsid w:val="00B82901"/>
    <w:pPr>
      <w:spacing w:after="0" w:line="240" w:lineRule="auto"/>
    </w:pPr>
    <w:rPr>
      <w:rFonts w:ascii="Times New Roman" w:eastAsia="Times New Roman" w:hAnsi="Times New Roman" w:cs="Times New Roman"/>
      <w:sz w:val="20"/>
      <w:szCs w:val="20"/>
      <w:lang w:val="sq-AL" w:eastAsia="sq-AL"/>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styleId="MediumGrid3-Accent6">
    <w:name w:val="Medium Grid 3 Accent 6"/>
    <w:basedOn w:val="TableNormal"/>
    <w:uiPriority w:val="69"/>
    <w:rsid w:val="00B82901"/>
    <w:pPr>
      <w:spacing w:after="0" w:line="240" w:lineRule="auto"/>
    </w:pPr>
    <w:rPr>
      <w:rFonts w:ascii="Times New Roman" w:eastAsia="Times New Roman" w:hAnsi="Times New Roman" w:cs="Times New Roman"/>
      <w:sz w:val="20"/>
      <w:szCs w:val="20"/>
      <w:lang w:val="sq-AL" w:eastAsia="sq-AL"/>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3D3D3"/>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4D4D4D"/>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4D4D4D"/>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4D4D4D"/>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4D4D4D"/>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6A6A6"/>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6A6A6"/>
      </w:tcPr>
    </w:tblStylePr>
  </w:style>
  <w:style w:type="table" w:styleId="MediumList1">
    <w:name w:val="Medium List 1"/>
    <w:basedOn w:val="TableNormal"/>
    <w:uiPriority w:val="65"/>
    <w:rsid w:val="00B82901"/>
    <w:pPr>
      <w:spacing w:after="0" w:line="240" w:lineRule="auto"/>
    </w:pPr>
    <w:rPr>
      <w:rFonts w:ascii="Times New Roman" w:eastAsia="Times New Roman" w:hAnsi="Times New Roman" w:cs="Times New Roman"/>
      <w:color w:val="000000"/>
      <w:sz w:val="20"/>
      <w:szCs w:val="20"/>
      <w:lang w:val="sq-AL" w:eastAsia="sq-AL"/>
    </w:rPr>
    <w:tblPr>
      <w:tblStyleRowBandSize w:val="1"/>
      <w:tblStyleColBandSize w:val="1"/>
      <w:tblBorders>
        <w:top w:val="single" w:sz="8" w:space="0" w:color="000000"/>
        <w:bottom w:val="single" w:sz="8" w:space="0" w:color="000000"/>
      </w:tblBorders>
    </w:tblPr>
    <w:tblStylePr w:type="firstRow">
      <w:rPr>
        <w:rFonts w:ascii="Times New Roman" w:eastAsia="MS Gothic" w:hAnsi="Times New Roman" w:cs="Times New Roman"/>
      </w:rPr>
      <w:tblPr/>
      <w:tcPr>
        <w:tcBorders>
          <w:top w:val="nil"/>
          <w:bottom w:val="single" w:sz="8" w:space="0" w:color="000000"/>
        </w:tcBorders>
      </w:tcPr>
    </w:tblStylePr>
    <w:tblStylePr w:type="lastRow">
      <w:rPr>
        <w:b/>
        <w:bCs/>
        <w:color w:val="C6C6C6"/>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B82901"/>
    <w:pPr>
      <w:spacing w:after="0" w:line="240" w:lineRule="auto"/>
    </w:pPr>
    <w:rPr>
      <w:rFonts w:ascii="Times New Roman" w:eastAsia="Times New Roman" w:hAnsi="Times New Roman" w:cs="Times New Roman"/>
      <w:color w:val="000000"/>
      <w:sz w:val="20"/>
      <w:szCs w:val="20"/>
      <w:lang w:val="sq-AL" w:eastAsia="sq-AL"/>
    </w:rPr>
    <w:tblPr>
      <w:tblStyleRowBandSize w:val="1"/>
      <w:tblStyleColBandSize w:val="1"/>
      <w:tblBorders>
        <w:top w:val="single" w:sz="8" w:space="0" w:color="0072BC"/>
        <w:bottom w:val="single" w:sz="8" w:space="0" w:color="0072BC"/>
      </w:tblBorders>
    </w:tblPr>
    <w:tblStylePr w:type="firstRow">
      <w:rPr>
        <w:rFonts w:ascii="Times New Roman" w:eastAsia="MS Gothic" w:hAnsi="Times New Roman" w:cs="Times New Roman"/>
      </w:rPr>
      <w:tblPr/>
      <w:tcPr>
        <w:tcBorders>
          <w:top w:val="nil"/>
          <w:bottom w:val="single" w:sz="8" w:space="0" w:color="0072BC"/>
        </w:tcBorders>
      </w:tcPr>
    </w:tblStylePr>
    <w:tblStylePr w:type="lastRow">
      <w:rPr>
        <w:b/>
        <w:bCs/>
        <w:color w:val="C6C6C6"/>
      </w:rPr>
      <w:tblPr/>
      <w:tcPr>
        <w:tcBorders>
          <w:top w:val="single" w:sz="8" w:space="0" w:color="0072BC"/>
          <w:bottom w:val="single" w:sz="8" w:space="0" w:color="0072BC"/>
        </w:tcBorders>
      </w:tcPr>
    </w:tblStylePr>
    <w:tblStylePr w:type="firstCol">
      <w:rPr>
        <w:b/>
        <w:bCs/>
      </w:rPr>
    </w:tblStylePr>
    <w:tblStylePr w:type="lastCol">
      <w:rPr>
        <w:b/>
        <w:bCs/>
      </w:rPr>
      <w:tblPr/>
      <w:tcPr>
        <w:tcBorders>
          <w:top w:val="single" w:sz="8" w:space="0" w:color="0072BC"/>
          <w:bottom w:val="single" w:sz="8" w:space="0" w:color="0072BC"/>
        </w:tcBorders>
      </w:tcPr>
    </w:tblStylePr>
    <w:tblStylePr w:type="band1Vert">
      <w:tblPr/>
      <w:tcPr>
        <w:shd w:val="clear" w:color="auto" w:fill="AFDFFF"/>
      </w:tcPr>
    </w:tblStylePr>
    <w:tblStylePr w:type="band1Horz">
      <w:tblPr/>
      <w:tcPr>
        <w:shd w:val="clear" w:color="auto" w:fill="AFDFFF"/>
      </w:tcPr>
    </w:tblStylePr>
  </w:style>
  <w:style w:type="table" w:styleId="MediumList1-Accent2">
    <w:name w:val="Medium List 1 Accent 2"/>
    <w:basedOn w:val="TableNormal"/>
    <w:uiPriority w:val="65"/>
    <w:rsid w:val="00B82901"/>
    <w:pPr>
      <w:spacing w:after="0" w:line="240" w:lineRule="auto"/>
    </w:pPr>
    <w:rPr>
      <w:rFonts w:ascii="Times New Roman" w:eastAsia="Times New Roman" w:hAnsi="Times New Roman" w:cs="Times New Roman"/>
      <w:color w:val="000000"/>
      <w:sz w:val="20"/>
      <w:szCs w:val="20"/>
      <w:lang w:val="sq-AL" w:eastAsia="sq-AL"/>
    </w:rPr>
    <w:tblPr>
      <w:tblStyleRowBandSize w:val="1"/>
      <w:tblStyleColBandSize w:val="1"/>
      <w:tblBorders>
        <w:top w:val="single" w:sz="8" w:space="0" w:color="C00000"/>
        <w:bottom w:val="single" w:sz="8" w:space="0" w:color="C00000"/>
      </w:tblBorders>
    </w:tblPr>
    <w:tblStylePr w:type="firstRow">
      <w:rPr>
        <w:rFonts w:ascii="Times New Roman" w:eastAsia="MS Gothic" w:hAnsi="Times New Roman" w:cs="Times New Roman"/>
      </w:rPr>
      <w:tblPr/>
      <w:tcPr>
        <w:tcBorders>
          <w:top w:val="nil"/>
          <w:bottom w:val="single" w:sz="8" w:space="0" w:color="C00000"/>
        </w:tcBorders>
      </w:tcPr>
    </w:tblStylePr>
    <w:tblStylePr w:type="lastRow">
      <w:rPr>
        <w:b/>
        <w:bCs/>
        <w:color w:val="C6C6C6"/>
      </w:rPr>
      <w:tblPr/>
      <w:tcPr>
        <w:tcBorders>
          <w:top w:val="single" w:sz="8" w:space="0" w:color="C00000"/>
          <w:bottom w:val="single" w:sz="8" w:space="0" w:color="C00000"/>
        </w:tcBorders>
      </w:tcPr>
    </w:tblStylePr>
    <w:tblStylePr w:type="firstCol">
      <w:rPr>
        <w:b/>
        <w:bCs/>
      </w:rPr>
    </w:tblStylePr>
    <w:tblStylePr w:type="lastCol">
      <w:rPr>
        <w:b/>
        <w:bCs/>
      </w:rPr>
      <w:tblPr/>
      <w:tcPr>
        <w:tcBorders>
          <w:top w:val="single" w:sz="8" w:space="0" w:color="C00000"/>
          <w:bottom w:val="single" w:sz="8" w:space="0" w:color="C00000"/>
        </w:tcBorders>
      </w:tcPr>
    </w:tblStylePr>
    <w:tblStylePr w:type="band1Vert">
      <w:tblPr/>
      <w:tcPr>
        <w:shd w:val="clear" w:color="auto" w:fill="FFB0B0"/>
      </w:tcPr>
    </w:tblStylePr>
    <w:tblStylePr w:type="band1Horz">
      <w:tblPr/>
      <w:tcPr>
        <w:shd w:val="clear" w:color="auto" w:fill="FFB0B0"/>
      </w:tcPr>
    </w:tblStylePr>
  </w:style>
  <w:style w:type="table" w:styleId="MediumList1-Accent3">
    <w:name w:val="Medium List 1 Accent 3"/>
    <w:basedOn w:val="TableNormal"/>
    <w:uiPriority w:val="65"/>
    <w:rsid w:val="00B82901"/>
    <w:pPr>
      <w:spacing w:after="0" w:line="240" w:lineRule="auto"/>
    </w:pPr>
    <w:rPr>
      <w:rFonts w:ascii="Times New Roman" w:eastAsia="Times New Roman" w:hAnsi="Times New Roman" w:cs="Times New Roman"/>
      <w:color w:val="000000"/>
      <w:sz w:val="20"/>
      <w:szCs w:val="20"/>
      <w:lang w:val="sq-AL" w:eastAsia="sq-AL"/>
    </w:rPr>
    <w:tblPr>
      <w:tblStyleRowBandSize w:val="1"/>
      <w:tblStyleColBandSize w:val="1"/>
      <w:tblBorders>
        <w:top w:val="single" w:sz="8" w:space="0" w:color="5F5F5F"/>
        <w:bottom w:val="single" w:sz="8" w:space="0" w:color="5F5F5F"/>
      </w:tblBorders>
    </w:tblPr>
    <w:tblStylePr w:type="firstRow">
      <w:rPr>
        <w:rFonts w:ascii="Times New Roman" w:eastAsia="MS Gothic"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styleId="MediumList1-Accent4">
    <w:name w:val="Medium List 1 Accent 4"/>
    <w:basedOn w:val="TableNormal"/>
    <w:uiPriority w:val="65"/>
    <w:rsid w:val="00B82901"/>
    <w:pPr>
      <w:spacing w:after="0" w:line="240" w:lineRule="auto"/>
    </w:pPr>
    <w:rPr>
      <w:rFonts w:ascii="Times New Roman" w:eastAsia="Times New Roman" w:hAnsi="Times New Roman" w:cs="Times New Roman"/>
      <w:color w:val="000000"/>
      <w:sz w:val="20"/>
      <w:szCs w:val="20"/>
      <w:lang w:val="sq-AL" w:eastAsia="sq-AL"/>
    </w:rPr>
    <w:tblPr>
      <w:tblStyleRowBandSize w:val="1"/>
      <w:tblStyleColBandSize w:val="1"/>
      <w:tblBorders>
        <w:top w:val="single" w:sz="8" w:space="0" w:color="969696"/>
        <w:bottom w:val="single" w:sz="8" w:space="0" w:color="969696"/>
      </w:tblBorders>
    </w:tblPr>
    <w:tblStylePr w:type="firstRow">
      <w:rPr>
        <w:rFonts w:ascii="Times New Roman" w:eastAsia="MS Gothic" w:hAnsi="Times New Roman" w:cs="Times New Roman"/>
      </w:rPr>
      <w:tblPr/>
      <w:tcPr>
        <w:tcBorders>
          <w:top w:val="nil"/>
          <w:bottom w:val="single" w:sz="8" w:space="0" w:color="969696"/>
        </w:tcBorders>
      </w:tcPr>
    </w:tblStylePr>
    <w:tblStylePr w:type="lastRow">
      <w:rPr>
        <w:b/>
        <w:bCs/>
        <w:color w:val="C6C6C6"/>
      </w:rPr>
      <w:tblPr/>
      <w:tcPr>
        <w:tcBorders>
          <w:top w:val="single" w:sz="8" w:space="0" w:color="969696"/>
          <w:bottom w:val="single" w:sz="8" w:space="0" w:color="969696"/>
        </w:tcBorders>
      </w:tcPr>
    </w:tblStylePr>
    <w:tblStylePr w:type="firstCol">
      <w:rPr>
        <w:b/>
        <w:bCs/>
      </w:rPr>
    </w:tblStylePr>
    <w:tblStylePr w:type="lastCol">
      <w:rPr>
        <w:b/>
        <w:bCs/>
      </w:rPr>
      <w:tblPr/>
      <w:tcPr>
        <w:tcBorders>
          <w:top w:val="single" w:sz="8" w:space="0" w:color="969696"/>
          <w:bottom w:val="single" w:sz="8" w:space="0" w:color="969696"/>
        </w:tcBorders>
      </w:tcPr>
    </w:tblStylePr>
    <w:tblStylePr w:type="band1Vert">
      <w:tblPr/>
      <w:tcPr>
        <w:shd w:val="clear" w:color="auto" w:fill="E5E5E5"/>
      </w:tcPr>
    </w:tblStylePr>
    <w:tblStylePr w:type="band1Horz">
      <w:tblPr/>
      <w:tcPr>
        <w:shd w:val="clear" w:color="auto" w:fill="E5E5E5"/>
      </w:tcPr>
    </w:tblStylePr>
  </w:style>
  <w:style w:type="table" w:styleId="MediumList1-Accent5">
    <w:name w:val="Medium List 1 Accent 5"/>
    <w:basedOn w:val="TableNormal"/>
    <w:uiPriority w:val="65"/>
    <w:rsid w:val="00B82901"/>
    <w:pPr>
      <w:spacing w:after="0" w:line="240" w:lineRule="auto"/>
    </w:pPr>
    <w:rPr>
      <w:rFonts w:ascii="Times New Roman" w:eastAsia="Times New Roman" w:hAnsi="Times New Roman" w:cs="Times New Roman"/>
      <w:color w:val="000000"/>
      <w:sz w:val="20"/>
      <w:szCs w:val="20"/>
      <w:lang w:val="sq-AL" w:eastAsia="sq-AL"/>
    </w:rPr>
    <w:tblPr>
      <w:tblStyleRowBandSize w:val="1"/>
      <w:tblStyleColBandSize w:val="1"/>
      <w:tblBorders>
        <w:top w:val="single" w:sz="8" w:space="0" w:color="5F5F5F"/>
        <w:bottom w:val="single" w:sz="8" w:space="0" w:color="5F5F5F"/>
      </w:tblBorders>
    </w:tblPr>
    <w:tblStylePr w:type="firstRow">
      <w:rPr>
        <w:rFonts w:ascii="Times New Roman" w:eastAsia="MS Gothic"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styleId="MediumList1-Accent6">
    <w:name w:val="Medium List 1 Accent 6"/>
    <w:basedOn w:val="TableNormal"/>
    <w:uiPriority w:val="65"/>
    <w:rsid w:val="00B82901"/>
    <w:pPr>
      <w:spacing w:after="0" w:line="240" w:lineRule="auto"/>
    </w:pPr>
    <w:rPr>
      <w:rFonts w:ascii="Times New Roman" w:eastAsia="Times New Roman" w:hAnsi="Times New Roman" w:cs="Times New Roman"/>
      <w:color w:val="000000"/>
      <w:sz w:val="20"/>
      <w:szCs w:val="20"/>
      <w:lang w:val="sq-AL" w:eastAsia="sq-AL"/>
    </w:rPr>
    <w:tblPr>
      <w:tblStyleRowBandSize w:val="1"/>
      <w:tblStyleColBandSize w:val="1"/>
      <w:tblBorders>
        <w:top w:val="single" w:sz="8" w:space="0" w:color="4D4D4D"/>
        <w:bottom w:val="single" w:sz="8" w:space="0" w:color="4D4D4D"/>
      </w:tblBorders>
    </w:tblPr>
    <w:tblStylePr w:type="firstRow">
      <w:rPr>
        <w:rFonts w:ascii="Times New Roman" w:eastAsia="MS Gothic" w:hAnsi="Times New Roman" w:cs="Times New Roman"/>
      </w:rPr>
      <w:tblPr/>
      <w:tcPr>
        <w:tcBorders>
          <w:top w:val="nil"/>
          <w:bottom w:val="single" w:sz="8" w:space="0" w:color="4D4D4D"/>
        </w:tcBorders>
      </w:tcPr>
    </w:tblStylePr>
    <w:tblStylePr w:type="lastRow">
      <w:rPr>
        <w:b/>
        <w:bCs/>
        <w:color w:val="C6C6C6"/>
      </w:rPr>
      <w:tblPr/>
      <w:tcPr>
        <w:tcBorders>
          <w:top w:val="single" w:sz="8" w:space="0" w:color="4D4D4D"/>
          <w:bottom w:val="single" w:sz="8" w:space="0" w:color="4D4D4D"/>
        </w:tcBorders>
      </w:tcPr>
    </w:tblStylePr>
    <w:tblStylePr w:type="firstCol">
      <w:rPr>
        <w:b/>
        <w:bCs/>
      </w:rPr>
    </w:tblStylePr>
    <w:tblStylePr w:type="lastCol">
      <w:rPr>
        <w:b/>
        <w:bCs/>
      </w:rPr>
      <w:tblPr/>
      <w:tcPr>
        <w:tcBorders>
          <w:top w:val="single" w:sz="8" w:space="0" w:color="4D4D4D"/>
          <w:bottom w:val="single" w:sz="8" w:space="0" w:color="4D4D4D"/>
        </w:tcBorders>
      </w:tcPr>
    </w:tblStylePr>
    <w:tblStylePr w:type="band1Vert">
      <w:tblPr/>
      <w:tcPr>
        <w:shd w:val="clear" w:color="auto" w:fill="D3D3D3"/>
      </w:tcPr>
    </w:tblStylePr>
    <w:tblStylePr w:type="band1Horz">
      <w:tblPr/>
      <w:tcPr>
        <w:shd w:val="clear" w:color="auto" w:fill="D3D3D3"/>
      </w:tcPr>
    </w:tblStylePr>
  </w:style>
  <w:style w:type="table" w:styleId="MediumList2">
    <w:name w:val="Medium List 2"/>
    <w:basedOn w:val="TableNormal"/>
    <w:uiPriority w:val="66"/>
    <w:rsid w:val="00B82901"/>
    <w:pPr>
      <w:spacing w:after="0" w:line="240" w:lineRule="auto"/>
    </w:pPr>
    <w:rPr>
      <w:rFonts w:ascii="Times New Roman" w:eastAsia="MS Gothic" w:hAnsi="Times New Roman" w:cs="Times New Roman"/>
      <w:color w:val="000000"/>
      <w:sz w:val="20"/>
      <w:szCs w:val="20"/>
      <w:lang w:val="sq-AL" w:eastAsia="sq-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0072BC"/>
      </w:tcPr>
    </w:tblStylePr>
    <w:tblStylePr w:type="lastRow">
      <w:tblPr/>
      <w:tcPr>
        <w:tcBorders>
          <w:top w:val="single" w:sz="8" w:space="0" w:color="0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000000"/>
          <w:insideH w:val="nil"/>
          <w:insideV w:val="nil"/>
        </w:tcBorders>
        <w:shd w:val="clear" w:color="auto" w:fill="0072BC"/>
      </w:tcPr>
    </w:tblStylePr>
    <w:tblStylePr w:type="lastCol">
      <w:tblPr/>
      <w:tcPr>
        <w:tcBorders>
          <w:top w:val="nil"/>
          <w:left w:val="single" w:sz="8" w:space="0" w:color="0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0072BC"/>
      </w:tcPr>
    </w:tblStylePr>
    <w:tblStylePr w:type="swCell">
      <w:tblPr/>
      <w:tcPr>
        <w:tcBorders>
          <w:top w:val="nil"/>
        </w:tcBorders>
      </w:tcPr>
    </w:tblStylePr>
  </w:style>
  <w:style w:type="table" w:styleId="MediumList2-Accent1">
    <w:name w:val="Medium List 2 Accent 1"/>
    <w:basedOn w:val="TableNormal"/>
    <w:uiPriority w:val="66"/>
    <w:rsid w:val="00B82901"/>
    <w:pPr>
      <w:spacing w:after="0" w:line="240" w:lineRule="auto"/>
    </w:pPr>
    <w:rPr>
      <w:rFonts w:ascii="Times New Roman" w:eastAsia="MS Gothic" w:hAnsi="Times New Roman" w:cs="Times New Roman"/>
      <w:color w:val="000000"/>
      <w:sz w:val="20"/>
      <w:szCs w:val="20"/>
      <w:lang w:val="sq-AL" w:eastAsia="sq-AL"/>
    </w:rPr>
    <w:tblPr>
      <w:tblStyleRowBandSize w:val="1"/>
      <w:tblStyleColBandSize w:val="1"/>
      <w:tblBorders>
        <w:top w:val="single" w:sz="8" w:space="0" w:color="0072BC"/>
        <w:left w:val="single" w:sz="8" w:space="0" w:color="0072BC"/>
        <w:bottom w:val="single" w:sz="8" w:space="0" w:color="0072BC"/>
        <w:right w:val="single" w:sz="8" w:space="0" w:color="0072BC"/>
      </w:tblBorders>
    </w:tblPr>
    <w:tblStylePr w:type="firstRow">
      <w:rPr>
        <w:sz w:val="24"/>
        <w:szCs w:val="24"/>
      </w:rPr>
      <w:tblPr/>
      <w:tcPr>
        <w:tcBorders>
          <w:top w:val="nil"/>
          <w:left w:val="nil"/>
          <w:bottom w:val="single" w:sz="24" w:space="0" w:color="0072BC"/>
          <w:right w:val="nil"/>
          <w:insideH w:val="nil"/>
          <w:insideV w:val="nil"/>
        </w:tcBorders>
        <w:shd w:val="clear" w:color="auto" w:fill="0072BC"/>
      </w:tcPr>
    </w:tblStylePr>
    <w:tblStylePr w:type="lastRow">
      <w:tblPr/>
      <w:tcPr>
        <w:tcBorders>
          <w:top w:val="single" w:sz="8" w:space="0" w:color="0072BC"/>
          <w:left w:val="nil"/>
          <w:bottom w:val="nil"/>
          <w:right w:val="nil"/>
          <w:insideH w:val="nil"/>
          <w:insideV w:val="nil"/>
        </w:tcBorders>
        <w:shd w:val="clear" w:color="auto" w:fill="0072BC"/>
      </w:tcPr>
    </w:tblStylePr>
    <w:tblStylePr w:type="firstCol">
      <w:tblPr/>
      <w:tcPr>
        <w:tcBorders>
          <w:top w:val="nil"/>
          <w:left w:val="nil"/>
          <w:bottom w:val="nil"/>
          <w:right w:val="single" w:sz="8" w:space="0" w:color="0072BC"/>
          <w:insideH w:val="nil"/>
          <w:insideV w:val="nil"/>
        </w:tcBorders>
        <w:shd w:val="clear" w:color="auto" w:fill="0072BC"/>
      </w:tcPr>
    </w:tblStylePr>
    <w:tblStylePr w:type="lastCol">
      <w:tblPr/>
      <w:tcPr>
        <w:tcBorders>
          <w:top w:val="nil"/>
          <w:left w:val="single" w:sz="8" w:space="0" w:color="0072BC"/>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AFDFFF"/>
      </w:tcPr>
    </w:tblStylePr>
    <w:tblStylePr w:type="band1Horz">
      <w:tblPr/>
      <w:tcPr>
        <w:tcBorders>
          <w:top w:val="nil"/>
          <w:bottom w:val="nil"/>
          <w:insideH w:val="nil"/>
          <w:insideV w:val="nil"/>
        </w:tcBorders>
        <w:shd w:val="clear" w:color="auto" w:fill="AFDFFF"/>
      </w:tcPr>
    </w:tblStylePr>
    <w:tblStylePr w:type="nwCell">
      <w:tblPr/>
      <w:tcPr>
        <w:shd w:val="clear" w:color="auto" w:fill="0072BC"/>
      </w:tcPr>
    </w:tblStylePr>
    <w:tblStylePr w:type="swCell">
      <w:tblPr/>
      <w:tcPr>
        <w:tcBorders>
          <w:top w:val="nil"/>
        </w:tcBorders>
      </w:tcPr>
    </w:tblStylePr>
  </w:style>
  <w:style w:type="table" w:styleId="MediumList2-Accent2">
    <w:name w:val="Medium List 2 Accent 2"/>
    <w:basedOn w:val="TableNormal"/>
    <w:uiPriority w:val="66"/>
    <w:rsid w:val="00B82901"/>
    <w:pPr>
      <w:spacing w:after="0" w:line="240" w:lineRule="auto"/>
    </w:pPr>
    <w:rPr>
      <w:rFonts w:ascii="Times New Roman" w:eastAsia="MS Gothic" w:hAnsi="Times New Roman" w:cs="Times New Roman"/>
      <w:color w:val="000000"/>
      <w:sz w:val="20"/>
      <w:szCs w:val="20"/>
      <w:lang w:val="sq-AL" w:eastAsia="sq-AL"/>
    </w:rPr>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rPr>
        <w:sz w:val="24"/>
        <w:szCs w:val="24"/>
      </w:rPr>
      <w:tblPr/>
      <w:tcPr>
        <w:tcBorders>
          <w:top w:val="nil"/>
          <w:left w:val="nil"/>
          <w:bottom w:val="single" w:sz="24" w:space="0" w:color="C00000"/>
          <w:right w:val="nil"/>
          <w:insideH w:val="nil"/>
          <w:insideV w:val="nil"/>
        </w:tcBorders>
        <w:shd w:val="clear" w:color="auto" w:fill="0072BC"/>
      </w:tcPr>
    </w:tblStylePr>
    <w:tblStylePr w:type="lastRow">
      <w:tblPr/>
      <w:tcPr>
        <w:tcBorders>
          <w:top w:val="single" w:sz="8" w:space="0" w:color="C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C00000"/>
          <w:insideH w:val="nil"/>
          <w:insideV w:val="nil"/>
        </w:tcBorders>
        <w:shd w:val="clear" w:color="auto" w:fill="0072BC"/>
      </w:tcPr>
    </w:tblStylePr>
    <w:tblStylePr w:type="lastCol">
      <w:tblPr/>
      <w:tcPr>
        <w:tcBorders>
          <w:top w:val="nil"/>
          <w:left w:val="single" w:sz="8" w:space="0" w:color="C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FFB0B0"/>
      </w:tcPr>
    </w:tblStylePr>
    <w:tblStylePr w:type="band1Horz">
      <w:tblPr/>
      <w:tcPr>
        <w:tcBorders>
          <w:top w:val="nil"/>
          <w:bottom w:val="nil"/>
          <w:insideH w:val="nil"/>
          <w:insideV w:val="nil"/>
        </w:tcBorders>
        <w:shd w:val="clear" w:color="auto" w:fill="FFB0B0"/>
      </w:tcPr>
    </w:tblStylePr>
    <w:tblStylePr w:type="nwCell">
      <w:tblPr/>
      <w:tcPr>
        <w:shd w:val="clear" w:color="auto" w:fill="0072BC"/>
      </w:tcPr>
    </w:tblStylePr>
    <w:tblStylePr w:type="swCell">
      <w:tblPr/>
      <w:tcPr>
        <w:tcBorders>
          <w:top w:val="nil"/>
        </w:tcBorders>
      </w:tcPr>
    </w:tblStylePr>
  </w:style>
  <w:style w:type="table" w:styleId="MediumList2-Accent3">
    <w:name w:val="Medium List 2 Accent 3"/>
    <w:basedOn w:val="TableNormal"/>
    <w:uiPriority w:val="66"/>
    <w:rsid w:val="00B82901"/>
    <w:pPr>
      <w:spacing w:after="0" w:line="240" w:lineRule="auto"/>
    </w:pPr>
    <w:rPr>
      <w:rFonts w:ascii="Times New Roman" w:eastAsia="MS Gothic" w:hAnsi="Times New Roman" w:cs="Times New Roman"/>
      <w:color w:val="000000"/>
      <w:sz w:val="20"/>
      <w:szCs w:val="20"/>
      <w:lang w:val="sq-AL" w:eastAsia="sq-AL"/>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styleId="MediumList2-Accent4">
    <w:name w:val="Medium List 2 Accent 4"/>
    <w:basedOn w:val="TableNormal"/>
    <w:uiPriority w:val="66"/>
    <w:rsid w:val="00B82901"/>
    <w:pPr>
      <w:spacing w:after="0" w:line="240" w:lineRule="auto"/>
    </w:pPr>
    <w:rPr>
      <w:rFonts w:ascii="Times New Roman" w:eastAsia="MS Gothic" w:hAnsi="Times New Roman" w:cs="Times New Roman"/>
      <w:color w:val="000000"/>
      <w:sz w:val="20"/>
      <w:szCs w:val="20"/>
      <w:lang w:val="sq-AL" w:eastAsia="sq-AL"/>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rPr>
        <w:sz w:val="24"/>
        <w:szCs w:val="24"/>
      </w:rPr>
      <w:tblPr/>
      <w:tcPr>
        <w:tcBorders>
          <w:top w:val="nil"/>
          <w:left w:val="nil"/>
          <w:bottom w:val="single" w:sz="24" w:space="0" w:color="969696"/>
          <w:right w:val="nil"/>
          <w:insideH w:val="nil"/>
          <w:insideV w:val="nil"/>
        </w:tcBorders>
        <w:shd w:val="clear" w:color="auto" w:fill="0072BC"/>
      </w:tcPr>
    </w:tblStylePr>
    <w:tblStylePr w:type="lastRow">
      <w:tblPr/>
      <w:tcPr>
        <w:tcBorders>
          <w:top w:val="single" w:sz="8" w:space="0" w:color="969696"/>
          <w:left w:val="nil"/>
          <w:bottom w:val="nil"/>
          <w:right w:val="nil"/>
          <w:insideH w:val="nil"/>
          <w:insideV w:val="nil"/>
        </w:tcBorders>
        <w:shd w:val="clear" w:color="auto" w:fill="0072BC"/>
      </w:tcPr>
    </w:tblStylePr>
    <w:tblStylePr w:type="firstCol">
      <w:tblPr/>
      <w:tcPr>
        <w:tcBorders>
          <w:top w:val="nil"/>
          <w:left w:val="nil"/>
          <w:bottom w:val="nil"/>
          <w:right w:val="single" w:sz="8" w:space="0" w:color="969696"/>
          <w:insideH w:val="nil"/>
          <w:insideV w:val="nil"/>
        </w:tcBorders>
        <w:shd w:val="clear" w:color="auto" w:fill="0072BC"/>
      </w:tcPr>
    </w:tblStylePr>
    <w:tblStylePr w:type="lastCol">
      <w:tblPr/>
      <w:tcPr>
        <w:tcBorders>
          <w:top w:val="nil"/>
          <w:left w:val="single" w:sz="8" w:space="0" w:color="969696"/>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E5E5E5"/>
      </w:tcPr>
    </w:tblStylePr>
    <w:tblStylePr w:type="band1Horz">
      <w:tblPr/>
      <w:tcPr>
        <w:tcBorders>
          <w:top w:val="nil"/>
          <w:bottom w:val="nil"/>
          <w:insideH w:val="nil"/>
          <w:insideV w:val="nil"/>
        </w:tcBorders>
        <w:shd w:val="clear" w:color="auto" w:fill="E5E5E5"/>
      </w:tcPr>
    </w:tblStylePr>
    <w:tblStylePr w:type="nwCell">
      <w:tblPr/>
      <w:tcPr>
        <w:shd w:val="clear" w:color="auto" w:fill="0072BC"/>
      </w:tcPr>
    </w:tblStylePr>
    <w:tblStylePr w:type="swCell">
      <w:tblPr/>
      <w:tcPr>
        <w:tcBorders>
          <w:top w:val="nil"/>
        </w:tcBorders>
      </w:tcPr>
    </w:tblStylePr>
  </w:style>
  <w:style w:type="table" w:styleId="MediumList2-Accent5">
    <w:name w:val="Medium List 2 Accent 5"/>
    <w:basedOn w:val="TableNormal"/>
    <w:uiPriority w:val="66"/>
    <w:rsid w:val="00B82901"/>
    <w:pPr>
      <w:spacing w:after="0" w:line="240" w:lineRule="auto"/>
    </w:pPr>
    <w:rPr>
      <w:rFonts w:ascii="Times New Roman" w:eastAsia="MS Gothic" w:hAnsi="Times New Roman" w:cs="Times New Roman"/>
      <w:color w:val="000000"/>
      <w:sz w:val="20"/>
      <w:szCs w:val="20"/>
      <w:lang w:val="sq-AL" w:eastAsia="sq-AL"/>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styleId="MediumList2-Accent6">
    <w:name w:val="Medium List 2 Accent 6"/>
    <w:basedOn w:val="TableNormal"/>
    <w:uiPriority w:val="66"/>
    <w:rsid w:val="00B82901"/>
    <w:pPr>
      <w:spacing w:after="0" w:line="240" w:lineRule="auto"/>
    </w:pPr>
    <w:rPr>
      <w:rFonts w:ascii="Times New Roman" w:eastAsia="MS Gothic" w:hAnsi="Times New Roman" w:cs="Times New Roman"/>
      <w:color w:val="000000"/>
      <w:sz w:val="20"/>
      <w:szCs w:val="20"/>
      <w:lang w:val="sq-AL" w:eastAsia="sq-AL"/>
    </w:rPr>
    <w:tblPr>
      <w:tblStyleRowBandSize w:val="1"/>
      <w:tblStyleColBandSize w:val="1"/>
      <w:tblBorders>
        <w:top w:val="single" w:sz="8" w:space="0" w:color="4D4D4D"/>
        <w:left w:val="single" w:sz="8" w:space="0" w:color="4D4D4D"/>
        <w:bottom w:val="single" w:sz="8" w:space="0" w:color="4D4D4D"/>
        <w:right w:val="single" w:sz="8" w:space="0" w:color="4D4D4D"/>
      </w:tblBorders>
    </w:tblPr>
    <w:tblStylePr w:type="firstRow">
      <w:rPr>
        <w:sz w:val="24"/>
        <w:szCs w:val="24"/>
      </w:rPr>
      <w:tblPr/>
      <w:tcPr>
        <w:tcBorders>
          <w:top w:val="nil"/>
          <w:left w:val="nil"/>
          <w:bottom w:val="single" w:sz="24" w:space="0" w:color="4D4D4D"/>
          <w:right w:val="nil"/>
          <w:insideH w:val="nil"/>
          <w:insideV w:val="nil"/>
        </w:tcBorders>
        <w:shd w:val="clear" w:color="auto" w:fill="0072BC"/>
      </w:tcPr>
    </w:tblStylePr>
    <w:tblStylePr w:type="lastRow">
      <w:tblPr/>
      <w:tcPr>
        <w:tcBorders>
          <w:top w:val="single" w:sz="8" w:space="0" w:color="4D4D4D"/>
          <w:left w:val="nil"/>
          <w:bottom w:val="nil"/>
          <w:right w:val="nil"/>
          <w:insideH w:val="nil"/>
          <w:insideV w:val="nil"/>
        </w:tcBorders>
        <w:shd w:val="clear" w:color="auto" w:fill="0072BC"/>
      </w:tcPr>
    </w:tblStylePr>
    <w:tblStylePr w:type="firstCol">
      <w:tblPr/>
      <w:tcPr>
        <w:tcBorders>
          <w:top w:val="nil"/>
          <w:left w:val="nil"/>
          <w:bottom w:val="nil"/>
          <w:right w:val="single" w:sz="8" w:space="0" w:color="4D4D4D"/>
          <w:insideH w:val="nil"/>
          <w:insideV w:val="nil"/>
        </w:tcBorders>
        <w:shd w:val="clear" w:color="auto" w:fill="0072BC"/>
      </w:tcPr>
    </w:tblStylePr>
    <w:tblStylePr w:type="lastCol">
      <w:tblPr/>
      <w:tcPr>
        <w:tcBorders>
          <w:top w:val="nil"/>
          <w:left w:val="single" w:sz="8" w:space="0" w:color="4D4D4D"/>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3D3D3"/>
      </w:tcPr>
    </w:tblStylePr>
    <w:tblStylePr w:type="band1Horz">
      <w:tblPr/>
      <w:tcPr>
        <w:tcBorders>
          <w:top w:val="nil"/>
          <w:bottom w:val="nil"/>
          <w:insideH w:val="nil"/>
          <w:insideV w:val="nil"/>
        </w:tcBorders>
        <w:shd w:val="clear" w:color="auto" w:fill="D3D3D3"/>
      </w:tcPr>
    </w:tblStylePr>
    <w:tblStylePr w:type="nwCell">
      <w:tblPr/>
      <w:tcPr>
        <w:shd w:val="clear" w:color="auto" w:fill="0072BC"/>
      </w:tcPr>
    </w:tblStylePr>
    <w:tblStylePr w:type="swCell">
      <w:tblPr/>
      <w:tcPr>
        <w:tcBorders>
          <w:top w:val="nil"/>
        </w:tcBorders>
      </w:tcPr>
    </w:tblStylePr>
  </w:style>
  <w:style w:type="table" w:styleId="MediumShading1">
    <w:name w:val="Medium Shading 1"/>
    <w:basedOn w:val="TableNormal"/>
    <w:uiPriority w:val="63"/>
    <w:rsid w:val="00B82901"/>
    <w:pPr>
      <w:spacing w:after="0" w:line="240" w:lineRule="auto"/>
    </w:pPr>
    <w:rPr>
      <w:rFonts w:ascii="Times New Roman" w:eastAsia="Times New Roman" w:hAnsi="Times New Roman" w:cs="Times New Roman"/>
      <w:sz w:val="20"/>
      <w:szCs w:val="20"/>
      <w:lang w:val="sq-AL" w:eastAsia="sq-AL"/>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0072BC"/>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B82901"/>
    <w:pPr>
      <w:spacing w:after="0" w:line="240" w:lineRule="auto"/>
    </w:pPr>
    <w:rPr>
      <w:rFonts w:ascii="Times New Roman" w:eastAsia="Times New Roman" w:hAnsi="Times New Roman" w:cs="Times New Roman"/>
      <w:sz w:val="20"/>
      <w:szCs w:val="20"/>
      <w:lang w:val="sq-AL" w:eastAsia="sq-AL"/>
    </w:rPr>
    <w:tblPr>
      <w:tblStyleRowBandSize w:val="1"/>
      <w:tblStyleColBandSize w:val="1"/>
      <w:tblBorders>
        <w:top w:val="single" w:sz="8" w:space="0" w:color="0D9FFF"/>
        <w:left w:val="single" w:sz="8" w:space="0" w:color="0D9FFF"/>
        <w:bottom w:val="single" w:sz="8" w:space="0" w:color="0D9FFF"/>
        <w:right w:val="single" w:sz="8" w:space="0" w:color="0D9FFF"/>
        <w:insideH w:val="single" w:sz="8" w:space="0" w:color="0D9FFF"/>
      </w:tblBorders>
    </w:tblPr>
    <w:tblStylePr w:type="firstRow">
      <w:pPr>
        <w:spacing w:before="0" w:after="0" w:line="240" w:lineRule="auto"/>
      </w:pPr>
      <w:rPr>
        <w:b/>
        <w:bCs/>
        <w:color w:val="0072BC"/>
      </w:rPr>
      <w:tblPr/>
      <w:tcPr>
        <w:tcBorders>
          <w:top w:val="single" w:sz="8" w:space="0" w:color="0D9FFF"/>
          <w:left w:val="single" w:sz="8" w:space="0" w:color="0D9FFF"/>
          <w:bottom w:val="single" w:sz="8" w:space="0" w:color="0D9FFF"/>
          <w:right w:val="single" w:sz="8" w:space="0" w:color="0D9FFF"/>
          <w:insideH w:val="nil"/>
          <w:insideV w:val="nil"/>
        </w:tcBorders>
        <w:shd w:val="clear" w:color="auto" w:fill="0072BC"/>
      </w:tcPr>
    </w:tblStylePr>
    <w:tblStylePr w:type="lastRow">
      <w:pPr>
        <w:spacing w:before="0" w:after="0" w:line="240" w:lineRule="auto"/>
      </w:pPr>
      <w:rPr>
        <w:b/>
        <w:bCs/>
      </w:rPr>
      <w:tblPr/>
      <w:tcPr>
        <w:tcBorders>
          <w:top w:val="double" w:sz="6" w:space="0" w:color="0D9FFF"/>
          <w:left w:val="single" w:sz="8" w:space="0" w:color="0D9FFF"/>
          <w:bottom w:val="single" w:sz="8" w:space="0" w:color="0D9FFF"/>
          <w:right w:val="single" w:sz="8" w:space="0" w:color="0D9FFF"/>
          <w:insideH w:val="nil"/>
          <w:insideV w:val="nil"/>
        </w:tcBorders>
      </w:tcPr>
    </w:tblStylePr>
    <w:tblStylePr w:type="firstCol">
      <w:rPr>
        <w:b/>
        <w:bCs/>
      </w:rPr>
    </w:tblStylePr>
    <w:tblStylePr w:type="lastCol">
      <w:rPr>
        <w:b/>
        <w:bCs/>
      </w:rPr>
    </w:tblStylePr>
    <w:tblStylePr w:type="band1Vert">
      <w:tblPr/>
      <w:tcPr>
        <w:shd w:val="clear" w:color="auto" w:fill="AFDFFF"/>
      </w:tcPr>
    </w:tblStylePr>
    <w:tblStylePr w:type="band1Horz">
      <w:tblPr/>
      <w:tcPr>
        <w:tcBorders>
          <w:insideH w:val="nil"/>
          <w:insideV w:val="nil"/>
        </w:tcBorders>
        <w:shd w:val="clear" w:color="auto" w:fill="AFDFF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B82901"/>
    <w:pPr>
      <w:spacing w:after="0" w:line="240" w:lineRule="auto"/>
    </w:pPr>
    <w:rPr>
      <w:rFonts w:ascii="Times New Roman" w:eastAsia="Times New Roman" w:hAnsi="Times New Roman" w:cs="Times New Roman"/>
      <w:sz w:val="20"/>
      <w:szCs w:val="20"/>
      <w:lang w:val="sq-AL" w:eastAsia="sq-AL"/>
    </w:rPr>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tblBorders>
    </w:tblPr>
    <w:tblStylePr w:type="firstRow">
      <w:pPr>
        <w:spacing w:before="0" w:after="0" w:line="240" w:lineRule="auto"/>
      </w:pPr>
      <w:rPr>
        <w:b/>
        <w:bCs/>
        <w:color w:val="0072BC"/>
      </w:rPr>
      <w:tblPr/>
      <w:tcPr>
        <w:tcBorders>
          <w:top w:val="single" w:sz="8" w:space="0" w:color="FF1010"/>
          <w:left w:val="single" w:sz="8" w:space="0" w:color="FF1010"/>
          <w:bottom w:val="single" w:sz="8" w:space="0" w:color="FF1010"/>
          <w:right w:val="single" w:sz="8" w:space="0" w:color="FF1010"/>
          <w:insideH w:val="nil"/>
          <w:insideV w:val="nil"/>
        </w:tcBorders>
        <w:shd w:val="clear" w:color="auto" w:fill="C00000"/>
      </w:tcPr>
    </w:tblStylePr>
    <w:tblStylePr w:type="lastRow">
      <w:pPr>
        <w:spacing w:before="0" w:after="0" w:line="240" w:lineRule="auto"/>
      </w:pPr>
      <w:rPr>
        <w:b/>
        <w:bCs/>
      </w:rPr>
      <w:tblPr/>
      <w:tcPr>
        <w:tcBorders>
          <w:top w:val="double" w:sz="6" w:space="0" w:color="FF1010"/>
          <w:left w:val="single" w:sz="8" w:space="0" w:color="FF1010"/>
          <w:bottom w:val="single" w:sz="8" w:space="0" w:color="FF1010"/>
          <w:right w:val="single" w:sz="8" w:space="0" w:color="FF1010"/>
          <w:insideH w:val="nil"/>
          <w:insideV w:val="nil"/>
        </w:tcBorders>
      </w:tcPr>
    </w:tblStylePr>
    <w:tblStylePr w:type="firstCol">
      <w:rPr>
        <w:b/>
        <w:bCs/>
      </w:rPr>
    </w:tblStylePr>
    <w:tblStylePr w:type="lastCol">
      <w:rPr>
        <w:b/>
        <w:bCs/>
      </w:rPr>
    </w:tblStylePr>
    <w:tblStylePr w:type="band1Vert">
      <w:tblPr/>
      <w:tcPr>
        <w:shd w:val="clear" w:color="auto" w:fill="FFB0B0"/>
      </w:tcPr>
    </w:tblStylePr>
    <w:tblStylePr w:type="band1Horz">
      <w:tblPr/>
      <w:tcPr>
        <w:tcBorders>
          <w:insideH w:val="nil"/>
          <w:insideV w:val="nil"/>
        </w:tcBorders>
        <w:shd w:val="clear" w:color="auto" w:fill="FFB0B0"/>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B82901"/>
    <w:pPr>
      <w:spacing w:after="0" w:line="240" w:lineRule="auto"/>
    </w:pPr>
    <w:rPr>
      <w:rFonts w:ascii="Times New Roman" w:eastAsia="Times New Roman" w:hAnsi="Times New Roman" w:cs="Times New Roman"/>
      <w:sz w:val="20"/>
      <w:szCs w:val="20"/>
      <w:lang w:val="sq-AL" w:eastAsia="sq-AL"/>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tblBorders>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B82901"/>
    <w:pPr>
      <w:spacing w:after="0" w:line="240" w:lineRule="auto"/>
    </w:pPr>
    <w:rPr>
      <w:rFonts w:ascii="Times New Roman" w:eastAsia="Times New Roman" w:hAnsi="Times New Roman" w:cs="Times New Roman"/>
      <w:sz w:val="20"/>
      <w:szCs w:val="20"/>
      <w:lang w:val="sq-AL" w:eastAsia="sq-AL"/>
    </w:rPr>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tblBorders>
    </w:tblPr>
    <w:tblStylePr w:type="firstRow">
      <w:pPr>
        <w:spacing w:before="0" w:after="0" w:line="240" w:lineRule="auto"/>
      </w:pPr>
      <w:rPr>
        <w:b/>
        <w:bCs/>
        <w:color w:val="0072BC"/>
      </w:rPr>
      <w:tblPr/>
      <w:tcPr>
        <w:tcBorders>
          <w:top w:val="single" w:sz="8" w:space="0" w:color="B0B0B0"/>
          <w:left w:val="single" w:sz="8" w:space="0" w:color="B0B0B0"/>
          <w:bottom w:val="single" w:sz="8" w:space="0" w:color="B0B0B0"/>
          <w:right w:val="single" w:sz="8" w:space="0" w:color="B0B0B0"/>
          <w:insideH w:val="nil"/>
          <w:insideV w:val="nil"/>
        </w:tcBorders>
        <w:shd w:val="clear" w:color="auto" w:fill="969696"/>
      </w:tcPr>
    </w:tblStylePr>
    <w:tblStylePr w:type="lastRow">
      <w:pPr>
        <w:spacing w:before="0" w:after="0" w:line="240" w:lineRule="auto"/>
      </w:pPr>
      <w:rPr>
        <w:b/>
        <w:bCs/>
      </w:rPr>
      <w:tblPr/>
      <w:tcPr>
        <w:tcBorders>
          <w:top w:val="double" w:sz="6" w:space="0" w:color="B0B0B0"/>
          <w:left w:val="single" w:sz="8" w:space="0" w:color="B0B0B0"/>
          <w:bottom w:val="single" w:sz="8" w:space="0" w:color="B0B0B0"/>
          <w:right w:val="single" w:sz="8" w:space="0" w:color="B0B0B0"/>
          <w:insideH w:val="nil"/>
          <w:insideV w:val="nil"/>
        </w:tcBorders>
      </w:tcPr>
    </w:tblStylePr>
    <w:tblStylePr w:type="firstCol">
      <w:rPr>
        <w:b/>
        <w:bCs/>
      </w:rPr>
    </w:tblStylePr>
    <w:tblStylePr w:type="lastCol">
      <w:rPr>
        <w:b/>
        <w:bCs/>
      </w:rPr>
    </w:tblStylePr>
    <w:tblStylePr w:type="band1Vert">
      <w:tblPr/>
      <w:tcPr>
        <w:shd w:val="clear" w:color="auto" w:fill="E5E5E5"/>
      </w:tcPr>
    </w:tblStylePr>
    <w:tblStylePr w:type="band1Horz">
      <w:tblPr/>
      <w:tcPr>
        <w:tcBorders>
          <w:insideH w:val="nil"/>
          <w:insideV w:val="nil"/>
        </w:tcBorders>
        <w:shd w:val="clear" w:color="auto" w:fill="E5E5E5"/>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B82901"/>
    <w:pPr>
      <w:spacing w:after="0" w:line="240" w:lineRule="auto"/>
    </w:pPr>
    <w:rPr>
      <w:rFonts w:ascii="Times New Roman" w:eastAsia="Times New Roman" w:hAnsi="Times New Roman" w:cs="Times New Roman"/>
      <w:sz w:val="20"/>
      <w:szCs w:val="20"/>
      <w:lang w:val="sq-AL" w:eastAsia="sq-AL"/>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tblBorders>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B82901"/>
    <w:pPr>
      <w:spacing w:after="0" w:line="240" w:lineRule="auto"/>
    </w:pPr>
    <w:rPr>
      <w:rFonts w:ascii="Times New Roman" w:eastAsia="Times New Roman" w:hAnsi="Times New Roman" w:cs="Times New Roman"/>
      <w:sz w:val="20"/>
      <w:szCs w:val="20"/>
      <w:lang w:val="sq-AL" w:eastAsia="sq-AL"/>
    </w:rPr>
    <w:tblPr>
      <w:tblStyleRowBandSize w:val="1"/>
      <w:tblStyleColBandSize w:val="1"/>
      <w:tblBorders>
        <w:top w:val="single" w:sz="8" w:space="0" w:color="797979"/>
        <w:left w:val="single" w:sz="8" w:space="0" w:color="797979"/>
        <w:bottom w:val="single" w:sz="8" w:space="0" w:color="797979"/>
        <w:right w:val="single" w:sz="8" w:space="0" w:color="797979"/>
        <w:insideH w:val="single" w:sz="8" w:space="0" w:color="797979"/>
      </w:tblBorders>
    </w:tblPr>
    <w:tblStylePr w:type="firstRow">
      <w:pPr>
        <w:spacing w:before="0" w:after="0" w:line="240" w:lineRule="auto"/>
      </w:pPr>
      <w:rPr>
        <w:b/>
        <w:bCs/>
        <w:color w:val="0072BC"/>
      </w:rPr>
      <w:tblPr/>
      <w:tcPr>
        <w:tcBorders>
          <w:top w:val="single" w:sz="8" w:space="0" w:color="797979"/>
          <w:left w:val="single" w:sz="8" w:space="0" w:color="797979"/>
          <w:bottom w:val="single" w:sz="8" w:space="0" w:color="797979"/>
          <w:right w:val="single" w:sz="8" w:space="0" w:color="797979"/>
          <w:insideH w:val="nil"/>
          <w:insideV w:val="nil"/>
        </w:tcBorders>
        <w:shd w:val="clear" w:color="auto" w:fill="4D4D4D"/>
      </w:tcPr>
    </w:tblStylePr>
    <w:tblStylePr w:type="lastRow">
      <w:pPr>
        <w:spacing w:before="0" w:after="0" w:line="240" w:lineRule="auto"/>
      </w:pPr>
      <w:rPr>
        <w:b/>
        <w:bCs/>
      </w:rPr>
      <w:tblPr/>
      <w:tcPr>
        <w:tcBorders>
          <w:top w:val="double" w:sz="6" w:space="0" w:color="797979"/>
          <w:left w:val="single" w:sz="8" w:space="0" w:color="797979"/>
          <w:bottom w:val="single" w:sz="8" w:space="0" w:color="797979"/>
          <w:right w:val="single" w:sz="8" w:space="0" w:color="797979"/>
          <w:insideH w:val="nil"/>
          <w:insideV w:val="nil"/>
        </w:tcBorders>
      </w:tcPr>
    </w:tblStylePr>
    <w:tblStylePr w:type="firstCol">
      <w:rPr>
        <w:b/>
        <w:bCs/>
      </w:rPr>
    </w:tblStylePr>
    <w:tblStylePr w:type="lastCol">
      <w:rPr>
        <w:b/>
        <w:bCs/>
      </w:rPr>
    </w:tblStylePr>
    <w:tblStylePr w:type="band1Vert">
      <w:tblPr/>
      <w:tcPr>
        <w:shd w:val="clear" w:color="auto" w:fill="D3D3D3"/>
      </w:tcPr>
    </w:tblStylePr>
    <w:tblStylePr w:type="band1Horz">
      <w:tblPr/>
      <w:tcPr>
        <w:tcBorders>
          <w:insideH w:val="nil"/>
          <w:insideV w:val="nil"/>
        </w:tcBorders>
        <w:shd w:val="clear" w:color="auto" w:fill="D3D3D3"/>
      </w:tcPr>
    </w:tblStylePr>
    <w:tblStylePr w:type="band2Horz">
      <w:tblPr/>
      <w:tcPr>
        <w:tcBorders>
          <w:insideH w:val="nil"/>
          <w:insideV w:val="nil"/>
        </w:tcBorders>
      </w:tcPr>
    </w:tblStylePr>
  </w:style>
  <w:style w:type="table" w:styleId="MediumShading2">
    <w:name w:val="Medium Shading 2"/>
    <w:basedOn w:val="TableNormal"/>
    <w:uiPriority w:val="64"/>
    <w:rsid w:val="00B82901"/>
    <w:pPr>
      <w:spacing w:after="0" w:line="240" w:lineRule="auto"/>
    </w:pPr>
    <w:rPr>
      <w:rFonts w:ascii="Times New Roman" w:eastAsia="Times New Roman" w:hAnsi="Times New Roman" w:cs="Times New Roman"/>
      <w:sz w:val="20"/>
      <w:szCs w:val="20"/>
      <w:lang w:val="sq-AL" w:eastAsia="sq-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B82901"/>
    <w:pPr>
      <w:spacing w:after="0" w:line="240" w:lineRule="auto"/>
    </w:pPr>
    <w:rPr>
      <w:rFonts w:ascii="Times New Roman" w:eastAsia="Times New Roman" w:hAnsi="Times New Roman" w:cs="Times New Roman"/>
      <w:sz w:val="20"/>
      <w:szCs w:val="20"/>
      <w:lang w:val="sq-AL" w:eastAsia="sq-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72BC"/>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72BC"/>
      </w:tcPr>
    </w:tblStylePr>
    <w:tblStylePr w:type="lastCol">
      <w:rPr>
        <w:b/>
        <w:bCs/>
        <w:color w:val="0072BC"/>
      </w:rPr>
      <w:tblPr/>
      <w:tcPr>
        <w:tcBorders>
          <w:left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B82901"/>
    <w:pPr>
      <w:spacing w:after="0" w:line="240" w:lineRule="auto"/>
    </w:pPr>
    <w:rPr>
      <w:rFonts w:ascii="Times New Roman" w:eastAsia="Times New Roman" w:hAnsi="Times New Roman" w:cs="Times New Roman"/>
      <w:sz w:val="20"/>
      <w:szCs w:val="20"/>
      <w:lang w:val="sq-AL" w:eastAsia="sq-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C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C00000"/>
      </w:tcPr>
    </w:tblStylePr>
    <w:tblStylePr w:type="lastCol">
      <w:rPr>
        <w:b/>
        <w:bCs/>
        <w:color w:val="0072BC"/>
      </w:rPr>
      <w:tblPr/>
      <w:tcPr>
        <w:tcBorders>
          <w:left w:val="nil"/>
          <w:right w:val="nil"/>
          <w:insideH w:val="nil"/>
          <w:insideV w:val="nil"/>
        </w:tcBorders>
        <w:shd w:val="clear" w:color="auto" w:fill="C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B82901"/>
    <w:pPr>
      <w:spacing w:after="0" w:line="240" w:lineRule="auto"/>
    </w:pPr>
    <w:rPr>
      <w:rFonts w:ascii="Times New Roman" w:eastAsia="Times New Roman" w:hAnsi="Times New Roman" w:cs="Times New Roman"/>
      <w:sz w:val="20"/>
      <w:szCs w:val="20"/>
      <w:lang w:val="sq-AL" w:eastAsia="sq-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B82901"/>
    <w:pPr>
      <w:spacing w:after="0" w:line="240" w:lineRule="auto"/>
    </w:pPr>
    <w:rPr>
      <w:rFonts w:ascii="Times New Roman" w:eastAsia="Times New Roman" w:hAnsi="Times New Roman" w:cs="Times New Roman"/>
      <w:sz w:val="20"/>
      <w:szCs w:val="20"/>
      <w:lang w:val="sq-AL" w:eastAsia="sq-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96969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969696"/>
      </w:tcPr>
    </w:tblStylePr>
    <w:tblStylePr w:type="lastCol">
      <w:rPr>
        <w:b/>
        <w:bCs/>
        <w:color w:val="0072BC"/>
      </w:rPr>
      <w:tblPr/>
      <w:tcPr>
        <w:tcBorders>
          <w:left w:val="nil"/>
          <w:right w:val="nil"/>
          <w:insideH w:val="nil"/>
          <w:insideV w:val="nil"/>
        </w:tcBorders>
        <w:shd w:val="clear" w:color="auto" w:fill="969696"/>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B82901"/>
    <w:pPr>
      <w:spacing w:after="0" w:line="240" w:lineRule="auto"/>
    </w:pPr>
    <w:rPr>
      <w:rFonts w:ascii="Times New Roman" w:eastAsia="Times New Roman" w:hAnsi="Times New Roman" w:cs="Times New Roman"/>
      <w:sz w:val="20"/>
      <w:szCs w:val="20"/>
      <w:lang w:val="sq-AL" w:eastAsia="sq-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B82901"/>
    <w:pPr>
      <w:spacing w:after="0" w:line="240" w:lineRule="auto"/>
    </w:pPr>
    <w:rPr>
      <w:rFonts w:ascii="Times New Roman" w:eastAsia="Times New Roman" w:hAnsi="Times New Roman" w:cs="Times New Roman"/>
      <w:sz w:val="20"/>
      <w:szCs w:val="20"/>
      <w:lang w:val="sq-AL" w:eastAsia="sq-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4D4D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4D4D4D"/>
      </w:tcPr>
    </w:tblStylePr>
    <w:tblStylePr w:type="lastCol">
      <w:rPr>
        <w:b/>
        <w:bCs/>
        <w:color w:val="0072BC"/>
      </w:rPr>
      <w:tblPr/>
      <w:tcPr>
        <w:tcBorders>
          <w:left w:val="nil"/>
          <w:right w:val="nil"/>
          <w:insideH w:val="nil"/>
          <w:insideV w:val="nil"/>
        </w:tcBorders>
        <w:shd w:val="clear" w:color="auto" w:fill="4D4D4D"/>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B82901"/>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jc w:val="both"/>
    </w:pPr>
    <w:rPr>
      <w:rFonts w:ascii="Times New Roman" w:eastAsia="MS Gothic" w:hAnsi="Times New Roman" w:cs="Times New Roman"/>
      <w:sz w:val="24"/>
      <w:szCs w:val="24"/>
      <w:lang w:val="x-none" w:eastAsia="x-none"/>
    </w:rPr>
  </w:style>
  <w:style w:type="character" w:customStyle="1" w:styleId="MessageHeaderChar">
    <w:name w:val="Message Header Char"/>
    <w:basedOn w:val="DefaultParagraphFont"/>
    <w:link w:val="MessageHeader"/>
    <w:uiPriority w:val="99"/>
    <w:semiHidden/>
    <w:rsid w:val="00B82901"/>
    <w:rPr>
      <w:rFonts w:ascii="Times New Roman" w:eastAsia="MS Gothic" w:hAnsi="Times New Roman" w:cs="Times New Roman"/>
      <w:sz w:val="24"/>
      <w:szCs w:val="24"/>
      <w:shd w:val="pct20" w:color="auto" w:fill="auto"/>
      <w:lang w:val="x-none" w:eastAsia="x-none"/>
    </w:rPr>
  </w:style>
  <w:style w:type="paragraph" w:styleId="NormalWeb">
    <w:name w:val="Normal (Web)"/>
    <w:basedOn w:val="Normal"/>
    <w:uiPriority w:val="99"/>
    <w:semiHidden/>
    <w:rsid w:val="00B82901"/>
    <w:pPr>
      <w:spacing w:after="0" w:line="240" w:lineRule="auto"/>
      <w:jc w:val="both"/>
    </w:pPr>
    <w:rPr>
      <w:rFonts w:ascii="Times New Roman" w:eastAsia="MS Mincho" w:hAnsi="Times New Roman" w:cs="Times New Roman"/>
      <w:sz w:val="24"/>
      <w:szCs w:val="24"/>
      <w:lang w:val="en-GB"/>
    </w:rPr>
  </w:style>
  <w:style w:type="paragraph" w:styleId="NormalIndent">
    <w:name w:val="Normal Indent"/>
    <w:basedOn w:val="Normal"/>
    <w:uiPriority w:val="99"/>
    <w:semiHidden/>
    <w:rsid w:val="00B82901"/>
    <w:pPr>
      <w:spacing w:after="0" w:line="240" w:lineRule="auto"/>
      <w:ind w:left="720"/>
      <w:jc w:val="both"/>
    </w:pPr>
    <w:rPr>
      <w:rFonts w:ascii="Times New Roman" w:eastAsia="MS Mincho" w:hAnsi="Times New Roman" w:cs="Times New Roman"/>
      <w:sz w:val="24"/>
      <w:lang w:val="en-GB"/>
    </w:rPr>
  </w:style>
  <w:style w:type="paragraph" w:styleId="NoteHeading">
    <w:name w:val="Note Heading"/>
    <w:basedOn w:val="Normal"/>
    <w:next w:val="Normal"/>
    <w:link w:val="NoteHeadingChar"/>
    <w:uiPriority w:val="99"/>
    <w:semiHidden/>
    <w:rsid w:val="00B82901"/>
    <w:pPr>
      <w:spacing w:after="0" w:line="240" w:lineRule="auto"/>
      <w:jc w:val="both"/>
    </w:pPr>
    <w:rPr>
      <w:rFonts w:ascii="Times New Roman" w:eastAsia="MS Mincho" w:hAnsi="Times New Roman" w:cs="Times New Roman"/>
      <w:sz w:val="24"/>
      <w:szCs w:val="20"/>
      <w:lang w:val="x-none" w:eastAsia="x-none"/>
    </w:rPr>
  </w:style>
  <w:style w:type="character" w:customStyle="1" w:styleId="NoteHeadingChar">
    <w:name w:val="Note Heading Char"/>
    <w:basedOn w:val="DefaultParagraphFont"/>
    <w:link w:val="NoteHeading"/>
    <w:uiPriority w:val="99"/>
    <w:semiHidden/>
    <w:rsid w:val="00B82901"/>
    <w:rPr>
      <w:rFonts w:ascii="Times New Roman" w:eastAsia="MS Mincho" w:hAnsi="Times New Roman" w:cs="Times New Roman"/>
      <w:sz w:val="24"/>
      <w:szCs w:val="20"/>
      <w:lang w:val="x-none" w:eastAsia="x-none"/>
    </w:rPr>
  </w:style>
  <w:style w:type="character" w:styleId="PlaceholderText">
    <w:name w:val="Placeholder Text"/>
    <w:uiPriority w:val="99"/>
    <w:semiHidden/>
    <w:rsid w:val="00B82901"/>
    <w:rPr>
      <w:color w:val="auto"/>
      <w:bdr w:val="none" w:sz="0" w:space="0" w:color="auto"/>
      <w:shd w:val="clear" w:color="auto" w:fill="DFDFDF"/>
    </w:rPr>
  </w:style>
  <w:style w:type="paragraph" w:styleId="PlainText">
    <w:name w:val="Plain Text"/>
    <w:basedOn w:val="Normal"/>
    <w:link w:val="PlainTextChar"/>
    <w:uiPriority w:val="99"/>
    <w:semiHidden/>
    <w:rsid w:val="00B82901"/>
    <w:pPr>
      <w:spacing w:after="0" w:line="240" w:lineRule="auto"/>
      <w:jc w:val="both"/>
    </w:pPr>
    <w:rPr>
      <w:rFonts w:ascii="Consolas" w:eastAsia="MS Mincho" w:hAnsi="Consolas" w:cs="Times New Roman"/>
      <w:sz w:val="21"/>
      <w:szCs w:val="21"/>
      <w:lang w:val="x-none" w:eastAsia="x-none"/>
    </w:rPr>
  </w:style>
  <w:style w:type="character" w:customStyle="1" w:styleId="PlainTextChar">
    <w:name w:val="Plain Text Char"/>
    <w:basedOn w:val="DefaultParagraphFont"/>
    <w:link w:val="PlainText"/>
    <w:uiPriority w:val="99"/>
    <w:semiHidden/>
    <w:rsid w:val="00B82901"/>
    <w:rPr>
      <w:rFonts w:ascii="Consolas" w:eastAsia="MS Mincho" w:hAnsi="Consolas" w:cs="Times New Roman"/>
      <w:sz w:val="21"/>
      <w:szCs w:val="21"/>
      <w:lang w:val="x-none" w:eastAsia="x-none"/>
    </w:rPr>
  </w:style>
  <w:style w:type="paragraph" w:styleId="Salutation">
    <w:name w:val="Salutation"/>
    <w:basedOn w:val="Normal"/>
    <w:next w:val="Normal"/>
    <w:link w:val="SalutationChar"/>
    <w:uiPriority w:val="99"/>
    <w:semiHidden/>
    <w:rsid w:val="00B82901"/>
    <w:pPr>
      <w:spacing w:after="0" w:line="240" w:lineRule="auto"/>
      <w:jc w:val="both"/>
    </w:pPr>
    <w:rPr>
      <w:rFonts w:ascii="Times New Roman" w:eastAsia="MS Mincho" w:hAnsi="Times New Roman" w:cs="Times New Roman"/>
      <w:sz w:val="24"/>
      <w:szCs w:val="20"/>
      <w:lang w:val="x-none" w:eastAsia="x-none"/>
    </w:rPr>
  </w:style>
  <w:style w:type="character" w:customStyle="1" w:styleId="SalutationChar">
    <w:name w:val="Salutation Char"/>
    <w:basedOn w:val="DefaultParagraphFont"/>
    <w:link w:val="Salutation"/>
    <w:uiPriority w:val="99"/>
    <w:semiHidden/>
    <w:rsid w:val="00B82901"/>
    <w:rPr>
      <w:rFonts w:ascii="Times New Roman" w:eastAsia="MS Mincho" w:hAnsi="Times New Roman" w:cs="Times New Roman"/>
      <w:sz w:val="24"/>
      <w:szCs w:val="20"/>
      <w:lang w:val="x-none" w:eastAsia="x-none"/>
    </w:rPr>
  </w:style>
  <w:style w:type="paragraph" w:styleId="Signature">
    <w:name w:val="Signature"/>
    <w:basedOn w:val="Normal"/>
    <w:link w:val="SignatureChar"/>
    <w:uiPriority w:val="99"/>
    <w:semiHidden/>
    <w:rsid w:val="00B82901"/>
    <w:pPr>
      <w:spacing w:after="0" w:line="240" w:lineRule="auto"/>
      <w:ind w:left="4252"/>
      <w:jc w:val="both"/>
    </w:pPr>
    <w:rPr>
      <w:rFonts w:ascii="Times New Roman" w:eastAsia="MS Mincho" w:hAnsi="Times New Roman" w:cs="Times New Roman"/>
      <w:sz w:val="24"/>
      <w:szCs w:val="20"/>
      <w:lang w:val="x-none" w:eastAsia="x-none"/>
    </w:rPr>
  </w:style>
  <w:style w:type="character" w:customStyle="1" w:styleId="SignatureChar">
    <w:name w:val="Signature Char"/>
    <w:basedOn w:val="DefaultParagraphFont"/>
    <w:link w:val="Signature"/>
    <w:uiPriority w:val="99"/>
    <w:semiHidden/>
    <w:rsid w:val="00B82901"/>
    <w:rPr>
      <w:rFonts w:ascii="Times New Roman" w:eastAsia="MS Mincho" w:hAnsi="Times New Roman" w:cs="Times New Roman"/>
      <w:sz w:val="24"/>
      <w:szCs w:val="20"/>
      <w:lang w:val="x-none" w:eastAsia="x-none"/>
    </w:rPr>
  </w:style>
  <w:style w:type="table" w:styleId="Table3Deffects1">
    <w:name w:val="Table 3D effects 1"/>
    <w:basedOn w:val="TableNormal"/>
    <w:uiPriority w:val="99"/>
    <w:semiHidden/>
    <w:unhideWhenUsed/>
    <w:rsid w:val="00B82901"/>
    <w:pPr>
      <w:spacing w:after="0" w:line="240" w:lineRule="auto"/>
      <w:jc w:val="both"/>
    </w:pPr>
    <w:rPr>
      <w:rFonts w:ascii="Times New Roman" w:eastAsia="Times New Roman" w:hAnsi="Times New Roman" w:cs="Times New Roman"/>
      <w:sz w:val="20"/>
      <w:szCs w:val="20"/>
      <w:lang w:val="sq-AL" w:eastAsia="sq-AL"/>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82901"/>
    <w:pPr>
      <w:spacing w:after="0" w:line="240" w:lineRule="auto"/>
      <w:jc w:val="both"/>
    </w:pPr>
    <w:rPr>
      <w:rFonts w:ascii="Times New Roman" w:eastAsia="Times New Roman" w:hAnsi="Times New Roman" w:cs="Times New Roman"/>
      <w:sz w:val="20"/>
      <w:szCs w:val="20"/>
      <w:lang w:val="sq-AL" w:eastAsia="sq-AL"/>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82901"/>
    <w:pPr>
      <w:spacing w:after="0" w:line="240" w:lineRule="auto"/>
      <w:jc w:val="both"/>
    </w:pPr>
    <w:rPr>
      <w:rFonts w:ascii="Times New Roman" w:eastAsia="Times New Roman" w:hAnsi="Times New Roman" w:cs="Times New Roman"/>
      <w:sz w:val="20"/>
      <w:szCs w:val="20"/>
      <w:lang w:val="sq-AL" w:eastAsia="sq-AL"/>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82901"/>
    <w:pPr>
      <w:spacing w:after="0" w:line="240" w:lineRule="auto"/>
      <w:jc w:val="both"/>
    </w:pPr>
    <w:rPr>
      <w:rFonts w:ascii="Times New Roman" w:eastAsia="Times New Roman" w:hAnsi="Times New Roman" w:cs="Times New Roman"/>
      <w:sz w:val="20"/>
      <w:szCs w:val="20"/>
      <w:lang w:val="sq-AL" w:eastAsia="sq-AL"/>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82901"/>
    <w:pPr>
      <w:spacing w:after="0" w:line="240" w:lineRule="auto"/>
      <w:jc w:val="both"/>
    </w:pPr>
    <w:rPr>
      <w:rFonts w:ascii="Times New Roman" w:eastAsia="Times New Roman" w:hAnsi="Times New Roman" w:cs="Times New Roman"/>
      <w:sz w:val="20"/>
      <w:szCs w:val="20"/>
      <w:lang w:val="sq-AL" w:eastAsia="sq-AL"/>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82901"/>
    <w:pPr>
      <w:spacing w:after="0" w:line="240" w:lineRule="auto"/>
      <w:jc w:val="both"/>
    </w:pPr>
    <w:rPr>
      <w:rFonts w:ascii="Times New Roman" w:eastAsia="Times New Roman" w:hAnsi="Times New Roman" w:cs="Times New Roman"/>
      <w:color w:val="000080"/>
      <w:sz w:val="20"/>
      <w:szCs w:val="20"/>
      <w:lang w:val="sq-AL" w:eastAsia="sq-AL"/>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82901"/>
    <w:pPr>
      <w:spacing w:after="0" w:line="240" w:lineRule="auto"/>
      <w:jc w:val="both"/>
    </w:pPr>
    <w:rPr>
      <w:rFonts w:ascii="Times New Roman" w:eastAsia="Times New Roman" w:hAnsi="Times New Roman" w:cs="Times New Roman"/>
      <w:sz w:val="20"/>
      <w:szCs w:val="20"/>
      <w:lang w:val="sq-AL" w:eastAsia="sq-AL"/>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82901"/>
    <w:pPr>
      <w:spacing w:after="0" w:line="240" w:lineRule="auto"/>
      <w:jc w:val="both"/>
    </w:pPr>
    <w:rPr>
      <w:rFonts w:ascii="Times New Roman" w:eastAsia="Times New Roman" w:hAnsi="Times New Roman" w:cs="Times New Roman"/>
      <w:color w:val="FFFFFF"/>
      <w:sz w:val="20"/>
      <w:szCs w:val="20"/>
      <w:lang w:val="sq-AL" w:eastAsia="sq-AL"/>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82901"/>
    <w:pPr>
      <w:spacing w:after="0" w:line="240" w:lineRule="auto"/>
      <w:jc w:val="both"/>
    </w:pPr>
    <w:rPr>
      <w:rFonts w:ascii="Times New Roman" w:eastAsia="Times New Roman" w:hAnsi="Times New Roman" w:cs="Times New Roman"/>
      <w:sz w:val="20"/>
      <w:szCs w:val="20"/>
      <w:lang w:val="sq-AL" w:eastAsia="sq-AL"/>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82901"/>
    <w:pPr>
      <w:spacing w:after="0" w:line="240" w:lineRule="auto"/>
      <w:jc w:val="both"/>
    </w:pPr>
    <w:rPr>
      <w:rFonts w:ascii="Times New Roman" w:eastAsia="Times New Roman" w:hAnsi="Times New Roman" w:cs="Times New Roman"/>
      <w:sz w:val="20"/>
      <w:szCs w:val="20"/>
      <w:lang w:val="sq-AL" w:eastAsia="sq-A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82901"/>
    <w:pPr>
      <w:spacing w:after="0" w:line="240" w:lineRule="auto"/>
      <w:jc w:val="both"/>
    </w:pPr>
    <w:rPr>
      <w:rFonts w:ascii="Times New Roman" w:eastAsia="Times New Roman" w:hAnsi="Times New Roman" w:cs="Times New Roman"/>
      <w:b/>
      <w:bCs/>
      <w:sz w:val="20"/>
      <w:szCs w:val="20"/>
      <w:lang w:val="sq-AL" w:eastAsia="sq-AL"/>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82901"/>
    <w:pPr>
      <w:spacing w:after="0" w:line="240" w:lineRule="auto"/>
      <w:jc w:val="both"/>
    </w:pPr>
    <w:rPr>
      <w:rFonts w:ascii="Times New Roman" w:eastAsia="Times New Roman" w:hAnsi="Times New Roman" w:cs="Times New Roman"/>
      <w:b/>
      <w:bCs/>
      <w:sz w:val="20"/>
      <w:szCs w:val="20"/>
      <w:lang w:val="sq-AL" w:eastAsia="sq-AL"/>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82901"/>
    <w:pPr>
      <w:spacing w:after="0" w:line="240" w:lineRule="auto"/>
      <w:jc w:val="both"/>
    </w:pPr>
    <w:rPr>
      <w:rFonts w:ascii="Times New Roman" w:eastAsia="Times New Roman" w:hAnsi="Times New Roman" w:cs="Times New Roman"/>
      <w:b/>
      <w:bCs/>
      <w:sz w:val="20"/>
      <w:szCs w:val="20"/>
      <w:lang w:val="sq-AL" w:eastAsia="sq-AL"/>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82901"/>
    <w:pPr>
      <w:spacing w:after="0" w:line="240" w:lineRule="auto"/>
      <w:jc w:val="both"/>
    </w:pPr>
    <w:rPr>
      <w:rFonts w:ascii="Times New Roman" w:eastAsia="Times New Roman" w:hAnsi="Times New Roman" w:cs="Times New Roman"/>
      <w:sz w:val="20"/>
      <w:szCs w:val="20"/>
      <w:lang w:val="sq-AL" w:eastAsia="sq-AL"/>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82901"/>
    <w:pPr>
      <w:spacing w:after="0" w:line="240" w:lineRule="auto"/>
      <w:jc w:val="both"/>
    </w:pPr>
    <w:rPr>
      <w:rFonts w:ascii="Times New Roman" w:eastAsia="Times New Roman" w:hAnsi="Times New Roman" w:cs="Times New Roman"/>
      <w:sz w:val="20"/>
      <w:szCs w:val="20"/>
      <w:lang w:val="sq-AL" w:eastAsia="sq-A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82901"/>
    <w:pPr>
      <w:spacing w:after="0" w:line="240" w:lineRule="auto"/>
      <w:jc w:val="both"/>
    </w:pPr>
    <w:rPr>
      <w:rFonts w:ascii="Times New Roman" w:eastAsia="Times New Roman" w:hAnsi="Times New Roman" w:cs="Times New Roman"/>
      <w:sz w:val="20"/>
      <w:szCs w:val="20"/>
      <w:lang w:val="sq-AL" w:eastAsia="sq-AL"/>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82901"/>
    <w:pPr>
      <w:spacing w:after="0" w:line="240" w:lineRule="auto"/>
      <w:jc w:val="both"/>
    </w:pPr>
    <w:rPr>
      <w:rFonts w:ascii="Times New Roman" w:eastAsia="Times New Roman" w:hAnsi="Times New Roman" w:cs="Times New Roman"/>
      <w:sz w:val="20"/>
      <w:szCs w:val="20"/>
      <w:lang w:val="sq-AL" w:eastAsia="sq-A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B82901"/>
    <w:pPr>
      <w:spacing w:after="0" w:line="240" w:lineRule="auto"/>
      <w:jc w:val="both"/>
    </w:pPr>
    <w:rPr>
      <w:rFonts w:ascii="Times New Roman" w:eastAsia="Times New Roman" w:hAnsi="Times New Roman" w:cs="Times New Roman"/>
      <w:sz w:val="20"/>
      <w:szCs w:val="20"/>
      <w:lang w:val="sq-AL" w:eastAsia="sq-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82901"/>
    <w:pPr>
      <w:spacing w:after="0" w:line="240" w:lineRule="auto"/>
      <w:jc w:val="both"/>
    </w:pPr>
    <w:rPr>
      <w:rFonts w:ascii="Times New Roman" w:eastAsia="Times New Roman" w:hAnsi="Times New Roman" w:cs="Times New Roman"/>
      <w:sz w:val="20"/>
      <w:szCs w:val="20"/>
      <w:lang w:val="sq-AL" w:eastAsia="sq-AL"/>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82901"/>
    <w:pPr>
      <w:spacing w:after="0" w:line="240" w:lineRule="auto"/>
      <w:jc w:val="both"/>
    </w:pPr>
    <w:rPr>
      <w:rFonts w:ascii="Times New Roman" w:eastAsia="Times New Roman" w:hAnsi="Times New Roman" w:cs="Times New Roman"/>
      <w:sz w:val="20"/>
      <w:szCs w:val="20"/>
      <w:lang w:val="sq-AL" w:eastAsia="sq-AL"/>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82901"/>
    <w:pPr>
      <w:spacing w:after="0" w:line="240" w:lineRule="auto"/>
      <w:jc w:val="both"/>
    </w:pPr>
    <w:rPr>
      <w:rFonts w:ascii="Times New Roman" w:eastAsia="Times New Roman" w:hAnsi="Times New Roman" w:cs="Times New Roman"/>
      <w:sz w:val="20"/>
      <w:szCs w:val="20"/>
      <w:lang w:val="sq-AL" w:eastAsia="sq-AL"/>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82901"/>
    <w:pPr>
      <w:spacing w:after="0" w:line="240" w:lineRule="auto"/>
      <w:jc w:val="both"/>
    </w:pPr>
    <w:rPr>
      <w:rFonts w:ascii="Times New Roman" w:eastAsia="Times New Roman" w:hAnsi="Times New Roman" w:cs="Times New Roman"/>
      <w:sz w:val="20"/>
      <w:szCs w:val="20"/>
      <w:lang w:val="sq-AL" w:eastAsia="sq-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82901"/>
    <w:pPr>
      <w:spacing w:after="0" w:line="240" w:lineRule="auto"/>
      <w:jc w:val="both"/>
    </w:pPr>
    <w:rPr>
      <w:rFonts w:ascii="Times New Roman" w:eastAsia="Times New Roman" w:hAnsi="Times New Roman" w:cs="Times New Roman"/>
      <w:sz w:val="20"/>
      <w:szCs w:val="20"/>
      <w:lang w:val="sq-AL" w:eastAsia="sq-AL"/>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82901"/>
    <w:pPr>
      <w:spacing w:after="0" w:line="240" w:lineRule="auto"/>
      <w:jc w:val="both"/>
    </w:pPr>
    <w:rPr>
      <w:rFonts w:ascii="Times New Roman" w:eastAsia="Times New Roman" w:hAnsi="Times New Roman" w:cs="Times New Roman"/>
      <w:b/>
      <w:bCs/>
      <w:sz w:val="20"/>
      <w:szCs w:val="20"/>
      <w:lang w:val="sq-AL" w:eastAsia="sq-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82901"/>
    <w:pPr>
      <w:spacing w:after="0" w:line="240" w:lineRule="auto"/>
      <w:jc w:val="both"/>
    </w:pPr>
    <w:rPr>
      <w:rFonts w:ascii="Times New Roman" w:eastAsia="Times New Roman" w:hAnsi="Times New Roman" w:cs="Times New Roman"/>
      <w:sz w:val="20"/>
      <w:szCs w:val="20"/>
      <w:lang w:val="sq-AL" w:eastAsia="sq-A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B82901"/>
    <w:pPr>
      <w:spacing w:after="0" w:line="240" w:lineRule="auto"/>
      <w:jc w:val="both"/>
    </w:pPr>
    <w:rPr>
      <w:rFonts w:ascii="Times New Roman" w:eastAsia="Times New Roman" w:hAnsi="Times New Roman" w:cs="Times New Roman"/>
      <w:sz w:val="20"/>
      <w:szCs w:val="20"/>
      <w:lang w:val="sq-AL" w:eastAsia="sq-A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82901"/>
    <w:pPr>
      <w:spacing w:after="0" w:line="240" w:lineRule="auto"/>
      <w:jc w:val="both"/>
    </w:pPr>
    <w:rPr>
      <w:rFonts w:ascii="Times New Roman" w:eastAsia="Times New Roman" w:hAnsi="Times New Roman" w:cs="Times New Roman"/>
      <w:sz w:val="20"/>
      <w:szCs w:val="20"/>
      <w:lang w:val="sq-AL" w:eastAsia="sq-AL"/>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82901"/>
    <w:pPr>
      <w:spacing w:after="0" w:line="240" w:lineRule="auto"/>
      <w:jc w:val="both"/>
    </w:pPr>
    <w:rPr>
      <w:rFonts w:ascii="Times New Roman" w:eastAsia="Times New Roman" w:hAnsi="Times New Roman" w:cs="Times New Roman"/>
      <w:sz w:val="20"/>
      <w:szCs w:val="20"/>
      <w:lang w:val="sq-AL" w:eastAsia="sq-AL"/>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82901"/>
    <w:pPr>
      <w:spacing w:after="0" w:line="240" w:lineRule="auto"/>
      <w:jc w:val="both"/>
    </w:pPr>
    <w:rPr>
      <w:rFonts w:ascii="Times New Roman" w:eastAsia="Times New Roman" w:hAnsi="Times New Roman" w:cs="Times New Roman"/>
      <w:sz w:val="20"/>
      <w:szCs w:val="20"/>
      <w:lang w:val="sq-AL" w:eastAsia="sq-AL"/>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82901"/>
    <w:pPr>
      <w:spacing w:after="0" w:line="240" w:lineRule="auto"/>
      <w:jc w:val="both"/>
    </w:pPr>
    <w:rPr>
      <w:rFonts w:ascii="Times New Roman" w:eastAsia="Times New Roman" w:hAnsi="Times New Roman" w:cs="Times New Roman"/>
      <w:sz w:val="20"/>
      <w:szCs w:val="20"/>
      <w:lang w:val="sq-AL" w:eastAsia="sq-AL"/>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82901"/>
    <w:pPr>
      <w:spacing w:after="0" w:line="240" w:lineRule="auto"/>
      <w:jc w:val="both"/>
    </w:pPr>
    <w:rPr>
      <w:rFonts w:ascii="Times New Roman" w:eastAsia="Times New Roman" w:hAnsi="Times New Roman" w:cs="Times New Roman"/>
      <w:sz w:val="20"/>
      <w:szCs w:val="20"/>
      <w:lang w:val="sq-AL" w:eastAsia="sq-A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82901"/>
    <w:pPr>
      <w:spacing w:after="0" w:line="240" w:lineRule="auto"/>
      <w:jc w:val="both"/>
    </w:pPr>
    <w:rPr>
      <w:rFonts w:ascii="Times New Roman" w:eastAsia="Times New Roman" w:hAnsi="Times New Roman" w:cs="Times New Roman"/>
      <w:sz w:val="20"/>
      <w:szCs w:val="20"/>
      <w:lang w:val="sq-AL" w:eastAsia="sq-A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82901"/>
    <w:pPr>
      <w:spacing w:after="0" w:line="240" w:lineRule="auto"/>
      <w:jc w:val="both"/>
    </w:pPr>
    <w:rPr>
      <w:rFonts w:ascii="Times New Roman" w:eastAsia="Times New Roman" w:hAnsi="Times New Roman" w:cs="Times New Roman"/>
      <w:sz w:val="20"/>
      <w:szCs w:val="20"/>
      <w:lang w:val="sq-AL" w:eastAsia="sq-A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B82901"/>
    <w:pPr>
      <w:spacing w:after="0" w:line="240" w:lineRule="auto"/>
      <w:ind w:left="240" w:hanging="240"/>
      <w:jc w:val="both"/>
    </w:pPr>
    <w:rPr>
      <w:rFonts w:ascii="Times New Roman" w:eastAsia="MS Mincho" w:hAnsi="Times New Roman" w:cs="Times New Roman"/>
      <w:sz w:val="24"/>
      <w:lang w:val="en-GB"/>
    </w:rPr>
  </w:style>
  <w:style w:type="paragraph" w:styleId="TableofFigures">
    <w:name w:val="table of figures"/>
    <w:basedOn w:val="Normal"/>
    <w:next w:val="Normal"/>
    <w:uiPriority w:val="99"/>
    <w:semiHidden/>
    <w:rsid w:val="00B82901"/>
    <w:pPr>
      <w:spacing w:after="0" w:line="240" w:lineRule="auto"/>
      <w:jc w:val="both"/>
    </w:pPr>
    <w:rPr>
      <w:rFonts w:ascii="Times New Roman" w:eastAsia="MS Mincho" w:hAnsi="Times New Roman" w:cs="Times New Roman"/>
      <w:sz w:val="24"/>
      <w:lang w:val="en-GB"/>
    </w:rPr>
  </w:style>
  <w:style w:type="table" w:styleId="TableProfessional">
    <w:name w:val="Table Professional"/>
    <w:basedOn w:val="TableNormal"/>
    <w:uiPriority w:val="99"/>
    <w:semiHidden/>
    <w:unhideWhenUsed/>
    <w:rsid w:val="00B82901"/>
    <w:pPr>
      <w:spacing w:after="0" w:line="240" w:lineRule="auto"/>
      <w:jc w:val="both"/>
    </w:pPr>
    <w:rPr>
      <w:rFonts w:ascii="Times New Roman" w:eastAsia="Times New Roman" w:hAnsi="Times New Roman" w:cs="Times New Roman"/>
      <w:sz w:val="20"/>
      <w:szCs w:val="20"/>
      <w:lang w:val="sq-AL" w:eastAsia="sq-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82901"/>
    <w:pPr>
      <w:spacing w:after="0" w:line="240" w:lineRule="auto"/>
      <w:jc w:val="both"/>
    </w:pPr>
    <w:rPr>
      <w:rFonts w:ascii="Times New Roman" w:eastAsia="Times New Roman" w:hAnsi="Times New Roman" w:cs="Times New Roman"/>
      <w:sz w:val="20"/>
      <w:szCs w:val="20"/>
      <w:lang w:val="sq-AL" w:eastAsia="sq-AL"/>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82901"/>
    <w:pPr>
      <w:spacing w:after="0" w:line="240" w:lineRule="auto"/>
      <w:jc w:val="both"/>
    </w:pPr>
    <w:rPr>
      <w:rFonts w:ascii="Times New Roman" w:eastAsia="Times New Roman" w:hAnsi="Times New Roman" w:cs="Times New Roman"/>
      <w:sz w:val="20"/>
      <w:szCs w:val="20"/>
      <w:lang w:val="sq-AL" w:eastAsia="sq-AL"/>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82901"/>
    <w:pPr>
      <w:spacing w:after="0" w:line="240" w:lineRule="auto"/>
      <w:jc w:val="both"/>
    </w:pPr>
    <w:rPr>
      <w:rFonts w:ascii="Times New Roman" w:eastAsia="Times New Roman" w:hAnsi="Times New Roman" w:cs="Times New Roman"/>
      <w:sz w:val="20"/>
      <w:szCs w:val="20"/>
      <w:lang w:val="sq-AL" w:eastAsia="sq-AL"/>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82901"/>
    <w:pPr>
      <w:spacing w:after="0" w:line="240" w:lineRule="auto"/>
      <w:jc w:val="both"/>
    </w:pPr>
    <w:rPr>
      <w:rFonts w:ascii="Times New Roman" w:eastAsia="Times New Roman" w:hAnsi="Times New Roman" w:cs="Times New Roman"/>
      <w:sz w:val="20"/>
      <w:szCs w:val="20"/>
      <w:lang w:val="sq-AL" w:eastAsia="sq-AL"/>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82901"/>
    <w:pPr>
      <w:spacing w:after="0" w:line="240" w:lineRule="auto"/>
      <w:jc w:val="both"/>
    </w:pPr>
    <w:rPr>
      <w:rFonts w:ascii="Times New Roman" w:eastAsia="Times New Roman" w:hAnsi="Times New Roman" w:cs="Times New Roman"/>
      <w:sz w:val="20"/>
      <w:szCs w:val="20"/>
      <w:lang w:val="sq-AL" w:eastAsia="sq-AL"/>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82901"/>
    <w:pPr>
      <w:spacing w:after="0" w:line="240" w:lineRule="auto"/>
      <w:jc w:val="both"/>
    </w:pPr>
    <w:rPr>
      <w:rFonts w:ascii="Times New Roman" w:eastAsia="Times New Roman" w:hAnsi="Times New Roman" w:cs="Times New Roman"/>
      <w:sz w:val="20"/>
      <w:szCs w:val="20"/>
      <w:lang w:val="sq-AL"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82901"/>
    <w:pPr>
      <w:spacing w:after="0" w:line="240" w:lineRule="auto"/>
      <w:jc w:val="both"/>
    </w:pPr>
    <w:rPr>
      <w:rFonts w:ascii="Times New Roman" w:eastAsia="Times New Roman" w:hAnsi="Times New Roman" w:cs="Times New Roman"/>
      <w:sz w:val="20"/>
      <w:szCs w:val="20"/>
      <w:lang w:val="sq-AL" w:eastAsia="sq-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82901"/>
    <w:pPr>
      <w:spacing w:after="0" w:line="240" w:lineRule="auto"/>
      <w:jc w:val="both"/>
    </w:pPr>
    <w:rPr>
      <w:rFonts w:ascii="Times New Roman" w:eastAsia="Times New Roman" w:hAnsi="Times New Roman" w:cs="Times New Roman"/>
      <w:sz w:val="20"/>
      <w:szCs w:val="20"/>
      <w:lang w:val="sq-AL" w:eastAsia="sq-A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82901"/>
    <w:pPr>
      <w:spacing w:after="0" w:line="240" w:lineRule="auto"/>
      <w:jc w:val="both"/>
    </w:pPr>
    <w:rPr>
      <w:rFonts w:ascii="Times New Roman" w:eastAsia="Times New Roman" w:hAnsi="Times New Roman" w:cs="Times New Roman"/>
      <w:sz w:val="20"/>
      <w:szCs w:val="20"/>
      <w:lang w:val="sq-AL" w:eastAsia="sq-A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B82901"/>
    <w:pPr>
      <w:tabs>
        <w:tab w:val="right" w:leader="dot" w:pos="7371"/>
      </w:tabs>
      <w:spacing w:after="60" w:line="240" w:lineRule="exact"/>
      <w:ind w:left="2041" w:right="567" w:hanging="340"/>
      <w:jc w:val="both"/>
    </w:pPr>
    <w:rPr>
      <w:rFonts w:ascii="Times New Roman" w:eastAsia="MS Mincho" w:hAnsi="Times New Roman" w:cs="Times New Roman"/>
      <w:sz w:val="20"/>
      <w:lang w:val="en-GB"/>
    </w:rPr>
  </w:style>
  <w:style w:type="paragraph" w:styleId="TOC7">
    <w:name w:val="toc 7"/>
    <w:basedOn w:val="Normal"/>
    <w:next w:val="Normal"/>
    <w:autoRedefine/>
    <w:uiPriority w:val="99"/>
    <w:semiHidden/>
    <w:rsid w:val="00B82901"/>
    <w:pPr>
      <w:tabs>
        <w:tab w:val="right" w:leader="dot" w:pos="7371"/>
      </w:tabs>
      <w:spacing w:after="60" w:line="240" w:lineRule="exact"/>
      <w:ind w:left="2381" w:right="567" w:hanging="340"/>
      <w:jc w:val="both"/>
    </w:pPr>
    <w:rPr>
      <w:rFonts w:ascii="Times New Roman" w:eastAsia="MS Mincho" w:hAnsi="Times New Roman" w:cs="Times New Roman"/>
      <w:sz w:val="20"/>
      <w:lang w:val="en-GB"/>
    </w:rPr>
  </w:style>
  <w:style w:type="paragraph" w:styleId="TOC8">
    <w:name w:val="toc 8"/>
    <w:basedOn w:val="Normal"/>
    <w:next w:val="Normal"/>
    <w:autoRedefine/>
    <w:uiPriority w:val="99"/>
    <w:semiHidden/>
    <w:rsid w:val="00B82901"/>
    <w:pPr>
      <w:spacing w:after="100" w:line="240" w:lineRule="auto"/>
      <w:ind w:left="1680"/>
      <w:jc w:val="both"/>
    </w:pPr>
    <w:rPr>
      <w:rFonts w:ascii="Times New Roman" w:eastAsia="MS Mincho" w:hAnsi="Times New Roman" w:cs="Times New Roman"/>
      <w:sz w:val="24"/>
      <w:lang w:val="en-GB"/>
    </w:rPr>
  </w:style>
  <w:style w:type="paragraph" w:styleId="TOC9">
    <w:name w:val="toc 9"/>
    <w:basedOn w:val="Normal"/>
    <w:next w:val="Normal"/>
    <w:autoRedefine/>
    <w:uiPriority w:val="99"/>
    <w:semiHidden/>
    <w:rsid w:val="00B82901"/>
    <w:pPr>
      <w:spacing w:after="100" w:line="240" w:lineRule="auto"/>
      <w:ind w:left="1920"/>
      <w:jc w:val="both"/>
    </w:pPr>
    <w:rPr>
      <w:rFonts w:ascii="Times New Roman" w:eastAsia="MS Mincho" w:hAnsi="Times New Roman" w:cs="Times New Roman"/>
      <w:sz w:val="24"/>
      <w:lang w:val="en-GB"/>
    </w:rPr>
  </w:style>
  <w:style w:type="paragraph" w:customStyle="1" w:styleId="OpiPara">
    <w:name w:val="Opi_Para"/>
    <w:basedOn w:val="ECHRPara"/>
    <w:uiPriority w:val="46"/>
    <w:qFormat/>
    <w:rsid w:val="00B82901"/>
    <w:pPr>
      <w:autoSpaceDE/>
      <w:autoSpaceDN/>
      <w:adjustRightInd/>
      <w:spacing w:after="0" w:line="240" w:lineRule="auto"/>
      <w:ind w:firstLine="284"/>
    </w:pPr>
    <w:rPr>
      <w:rFonts w:eastAsia="MS Mincho"/>
      <w:color w:val="auto"/>
      <w:szCs w:val="20"/>
      <w:lang w:val="en-GB" w:eastAsia="x-none"/>
    </w:rPr>
  </w:style>
  <w:style w:type="paragraph" w:customStyle="1" w:styleId="OpiParaSub">
    <w:name w:val="Opi_Para_Sub"/>
    <w:basedOn w:val="JuParaSub"/>
    <w:uiPriority w:val="47"/>
    <w:qFormat/>
    <w:rsid w:val="00B82901"/>
  </w:style>
  <w:style w:type="paragraph" w:customStyle="1" w:styleId="ECHRFooter">
    <w:name w:val="ECHR_Footer"/>
    <w:aliases w:val="Footer_ECHR"/>
    <w:basedOn w:val="Footer"/>
    <w:uiPriority w:val="57"/>
    <w:semiHidden/>
    <w:rsid w:val="00B82901"/>
    <w:pPr>
      <w:tabs>
        <w:tab w:val="clear" w:pos="4513"/>
        <w:tab w:val="clear" w:pos="9026"/>
        <w:tab w:val="center" w:pos="4536"/>
        <w:tab w:val="right" w:pos="9696"/>
      </w:tabs>
      <w:ind w:left="-680" w:right="-680"/>
    </w:pPr>
    <w:rPr>
      <w:rFonts w:ascii="Times New Roman" w:hAnsi="Times New Roman"/>
      <w:sz w:val="8"/>
      <w:lang w:eastAsia="x-none"/>
    </w:rPr>
  </w:style>
  <w:style w:type="paragraph" w:customStyle="1" w:styleId="ECHRFooterLine">
    <w:name w:val="ECHR_Footer_Line"/>
    <w:aliases w:val="Footer_Line"/>
    <w:basedOn w:val="Normal"/>
    <w:next w:val="ECHRFooter"/>
    <w:uiPriority w:val="57"/>
    <w:semiHidden/>
    <w:rsid w:val="00B82901"/>
    <w:pPr>
      <w:pBdr>
        <w:top w:val="single" w:sz="6" w:space="1" w:color="5F5F5F"/>
      </w:pBdr>
      <w:tabs>
        <w:tab w:val="center" w:pos="4536"/>
        <w:tab w:val="right" w:pos="9696"/>
      </w:tabs>
      <w:spacing w:after="0" w:line="240" w:lineRule="auto"/>
      <w:ind w:left="-680" w:right="-680"/>
    </w:pPr>
    <w:rPr>
      <w:rFonts w:ascii="Times New Roman" w:eastAsia="MS Mincho" w:hAnsi="Times New Roman" w:cs="Times New Roman"/>
      <w:color w:val="5F5F5F"/>
      <w:sz w:val="24"/>
      <w:lang w:val="en-GB"/>
    </w:rPr>
  </w:style>
  <w:style w:type="paragraph" w:customStyle="1" w:styleId="ECHRTitleCentre2">
    <w:name w:val="ECHR_Title_Centre_2"/>
    <w:aliases w:val="Dec_H_Case"/>
    <w:basedOn w:val="Normal"/>
    <w:next w:val="ECHRPara"/>
    <w:uiPriority w:val="8"/>
    <w:semiHidden/>
    <w:qFormat/>
    <w:rsid w:val="00B82901"/>
    <w:pPr>
      <w:spacing w:after="240" w:line="240" w:lineRule="auto"/>
      <w:jc w:val="center"/>
      <w:outlineLvl w:val="0"/>
    </w:pPr>
    <w:rPr>
      <w:rFonts w:ascii="Times New Roman" w:eastAsia="MS Mincho" w:hAnsi="Times New Roman" w:cs="Times New Roman"/>
      <w:sz w:val="24"/>
      <w:lang w:val="en-GB"/>
    </w:rPr>
  </w:style>
  <w:style w:type="paragraph" w:customStyle="1" w:styleId="OpiQuot">
    <w:name w:val="Opi_Quot"/>
    <w:basedOn w:val="ECHRParaQuote"/>
    <w:uiPriority w:val="48"/>
    <w:qFormat/>
    <w:rsid w:val="00B82901"/>
  </w:style>
  <w:style w:type="paragraph" w:customStyle="1" w:styleId="OpiQuotSub">
    <w:name w:val="Opi_Quot_Sub"/>
    <w:basedOn w:val="JuQuotSub"/>
    <w:uiPriority w:val="49"/>
    <w:qFormat/>
    <w:rsid w:val="00B82901"/>
  </w:style>
  <w:style w:type="paragraph" w:customStyle="1" w:styleId="OpiTranslation">
    <w:name w:val="Opi_Translation"/>
    <w:basedOn w:val="Normal"/>
    <w:next w:val="OpiPara"/>
    <w:uiPriority w:val="40"/>
    <w:qFormat/>
    <w:rsid w:val="00B82901"/>
    <w:pPr>
      <w:spacing w:after="0" w:line="240" w:lineRule="auto"/>
      <w:jc w:val="center"/>
      <w:outlineLvl w:val="0"/>
    </w:pPr>
    <w:rPr>
      <w:rFonts w:ascii="Times New Roman" w:eastAsia="MS Mincho" w:hAnsi="Times New Roman" w:cs="Times New Roman"/>
      <w:i/>
      <w:sz w:val="24"/>
      <w:lang w:val="en-GB"/>
    </w:rPr>
  </w:style>
  <w:style w:type="character" w:customStyle="1" w:styleId="ECHRParaChar">
    <w:name w:val="ECHR_Para Char"/>
    <w:aliases w:val="Ju_Para Char"/>
    <w:link w:val="ECHRPara"/>
    <w:uiPriority w:val="12"/>
    <w:rsid w:val="00B82901"/>
    <w:rPr>
      <w:rFonts w:ascii="Times New Roman" w:hAnsi="Times New Roman" w:cs="Times New Roman"/>
      <w:color w:val="000000"/>
      <w:sz w:val="24"/>
      <w:szCs w:val="24"/>
      <w:lang w:val="sq-AL"/>
    </w:rPr>
  </w:style>
  <w:style w:type="paragraph" w:customStyle="1" w:styleId="jupara">
    <w:name w:val="jupara"/>
    <w:basedOn w:val="Normal"/>
    <w:rsid w:val="00B82901"/>
    <w:pPr>
      <w:spacing w:after="0" w:line="240" w:lineRule="auto"/>
      <w:ind w:firstLine="284"/>
      <w:jc w:val="both"/>
    </w:pPr>
    <w:rPr>
      <w:rFonts w:ascii="Times New Roman" w:eastAsia="Times New Roman" w:hAnsi="Times New Roman" w:cs="Times New Roman"/>
      <w:sz w:val="24"/>
      <w:szCs w:val="24"/>
      <w:lang w:val="en-GB" w:eastAsia="en-GB"/>
    </w:rPr>
  </w:style>
  <w:style w:type="paragraph" w:customStyle="1" w:styleId="jucase0">
    <w:name w:val="jucase"/>
    <w:basedOn w:val="Normal"/>
    <w:rsid w:val="00B82901"/>
    <w:pPr>
      <w:spacing w:after="0" w:line="240" w:lineRule="auto"/>
      <w:ind w:firstLine="284"/>
      <w:jc w:val="both"/>
    </w:pPr>
    <w:rPr>
      <w:rFonts w:ascii="Times New Roman" w:eastAsia="Times New Roman" w:hAnsi="Times New Roman" w:cs="Times New Roman"/>
      <w:b/>
      <w:bCs/>
      <w:sz w:val="24"/>
      <w:szCs w:val="24"/>
      <w:lang w:val="en-GB" w:eastAsia="en-GB"/>
    </w:rPr>
  </w:style>
  <w:style w:type="paragraph" w:customStyle="1" w:styleId="xp1">
    <w:name w:val="x_p1"/>
    <w:basedOn w:val="Normal"/>
    <w:rsid w:val="00B8290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s1">
    <w:name w:val="x_s1"/>
    <w:rsid w:val="00B82901"/>
  </w:style>
  <w:style w:type="paragraph" w:customStyle="1" w:styleId="xp2">
    <w:name w:val="x_p2"/>
    <w:basedOn w:val="Normal"/>
    <w:rsid w:val="00B8290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s2">
    <w:name w:val="x_s2"/>
    <w:rsid w:val="00B82901"/>
  </w:style>
  <w:style w:type="paragraph" w:customStyle="1" w:styleId="TEKSTIIII">
    <w:name w:val="TEKSTIIII"/>
    <w:basedOn w:val="Normal"/>
    <w:qFormat/>
    <w:rsid w:val="00B82901"/>
    <w:pPr>
      <w:autoSpaceDE w:val="0"/>
      <w:autoSpaceDN w:val="0"/>
      <w:adjustRightInd w:val="0"/>
      <w:spacing w:after="0" w:line="240" w:lineRule="auto"/>
      <w:ind w:firstLine="284"/>
      <w:jc w:val="both"/>
    </w:pPr>
    <w:rPr>
      <w:rFonts w:ascii="Garamond" w:hAnsi="Garamond" w:cs="Times New Roman"/>
      <w:color w:val="000000"/>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157115D003E4495D834D3B68257A90A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37474-20</Nr_x002e__x0020_akti>
    <Data_x0020_e_x0020_Krijimit xmlns="0e656187-b300-4fb0-8bf4-3a50f872073c">2023-01-23T12:34:26Z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2023-01-19T23:00:00Z</Date_x0020_protokolli>
    <Titulli xmlns="0e656187-b300-4fb0-8bf4-3a50f872073c">Çështja Besnik Cani kundër Shqipërisë ( kërkesa nr. 37474-20)</Titulli>
    <Modifikuesi xmlns="0e656187-b300-4fb0-8bf4-3a50f872073c">alma.lisaku</Modifikuesi>
    <Nr_x002e__x0020_prot_x0020_QBZ xmlns="0e656187-b300-4fb0-8bf4-3a50f872073c">117/1</Nr_x002e__x0020_prot_x0020_QBZ>
    <Data_x0020_e_x0020_Modifikimit xmlns="0e656187-b300-4fb0-8bf4-3a50f872073c">2023-01-24T10:47:36Z</Data_x0020_e_x0020_Modifikimit>
    <Dekretuar xmlns="0e656187-b300-4fb0-8bf4-3a50f872073c">false</Dekretuar>
    <Data xmlns="0e656187-b300-4fb0-8bf4-3a50f872073c">2022-10-03T22:00:00Z</Data>
    <Nr_x002e__x0020_protokolli_x0020_i_x0020_aktit xmlns="0e656187-b300-4fb0-8bf4-3a50f872073c">183/1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157115D003E4495D834D3B68257A90A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C0997519-41F5-4371-A97D-3F783346EB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BB252002-5856-4437-9FCF-B20DC0049A1F}">
  <ds:schemaRefs>
    <ds:schemaRef ds:uri="http://purl.org/dc/elements/1.1/"/>
    <ds:schemaRef ds:uri="http://schemas.openxmlformats.org/package/2006/metadata/core-properties"/>
    <ds:schemaRef ds:uri="http://schemas.microsoft.com/office/2006/documentManagement/types"/>
    <ds:schemaRef ds:uri="http://purl.org/dc/terms/"/>
    <ds:schemaRef ds:uri="http://purl.org/dc/dcmitype/"/>
    <ds:schemaRef ds:uri="0e656187-b300-4fb0-8bf4-3a50f872073c"/>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482FF827-5000-42B5-9281-CD88B6624C16}">
  <ds:schemaRefs>
    <ds:schemaRef ds:uri="http://schemas.microsoft.com/sharepoint/v3/contenttype/forms"/>
  </ds:schemaRefs>
</ds:datastoreItem>
</file>

<file path=customXml/itemProps4.xml><?xml version="1.0" encoding="utf-8"?>
<ds:datastoreItem xmlns:ds="http://schemas.openxmlformats.org/officeDocument/2006/customXml" ds:itemID="{DD2353B4-6D8F-4B2C-9F9C-65D78D10789B}">
  <ds:schemaRefs>
    <ds:schemaRef ds:uri="http://schemas.openxmlformats.org/officeDocument/2006/bibliography"/>
  </ds:schemaRefs>
</ds:datastoreItem>
</file>

<file path=customXml/itemProps5.xml><?xml version="1.0" encoding="utf-8"?>
<ds:datastoreItem xmlns:ds="http://schemas.openxmlformats.org/officeDocument/2006/customXml" ds:itemID="{FD9D67B6-4213-4E97-BA7E-F5DB23E38891}">
  <ds:schemaRefs>
    <ds:schemaRef ds:uri="http://schemas.microsoft.com/sharepoint/v3/contenttype/forms"/>
  </ds:schemaRefs>
</ds:datastoreItem>
</file>

<file path=customXml/itemProps6.xml><?xml version="1.0" encoding="utf-8"?>
<ds:datastoreItem xmlns:ds="http://schemas.openxmlformats.org/officeDocument/2006/customXml" ds:itemID="{2F114C7C-18D9-49AD-B00B-B3C4CDBB8C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1</Pages>
  <Words>14321</Words>
  <Characters>81635</Characters>
  <Application>Microsoft Office Word</Application>
  <DocSecurity>0</DocSecurity>
  <Lines>680</Lines>
  <Paragraphs>191</Paragraphs>
  <ScaleCrop>false</ScaleCrop>
  <HeadingPairs>
    <vt:vector size="2" baseType="variant">
      <vt:variant>
        <vt:lpstr>Title</vt:lpstr>
      </vt:variant>
      <vt:variant>
        <vt:i4>1</vt:i4>
      </vt:variant>
    </vt:vector>
  </HeadingPairs>
  <TitlesOfParts>
    <vt:vector size="1" baseType="lpstr">
      <vt:lpstr>Çështja Besnik Cani kundër Shqipërisë ( kërkesa nr. 37474-20)</vt:lpstr>
    </vt:vector>
  </TitlesOfParts>
  <Company/>
  <LinksUpToDate>false</LinksUpToDate>
  <CharactersWithSpaces>95765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Çështja Besnik Cani kundër Shqipërisë ( kërkesa nr. 37474-20)</dc:title>
  <dc:creator>Entela Suli</dc:creator>
  <cp:lastModifiedBy>Amarilda Muja</cp:lastModifiedBy>
  <cp:revision>205</cp:revision>
  <dcterms:created xsi:type="dcterms:W3CDTF">2023-01-23T12:32:00Z</dcterms:created>
  <dcterms:modified xsi:type="dcterms:W3CDTF">2023-01-25T10:33:00Z</dcterms:modified>
</cp:coreProperties>
</file>