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E6884" w14:textId="776D2378" w:rsidR="00151169" w:rsidRDefault="00151169" w:rsidP="00A11EBB">
      <w:pPr>
        <w:tabs>
          <w:tab w:val="left" w:pos="5520"/>
        </w:tabs>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533460">
        <w:rPr>
          <w:rFonts w:ascii="Garamond" w:eastAsiaTheme="minorHAnsi" w:hAnsi="Garamond"/>
          <w:bCs/>
          <w:color w:val="000000"/>
          <w:sz w:val="24"/>
          <w:szCs w:val="24"/>
          <w:lang w:val="sq-AL"/>
          <w14:ligatures w14:val="standardContextual"/>
        </w:rPr>
        <w:t>GJYKATA EVROPIANE E TË DREJTAVE TË NJERIUT</w:t>
      </w:r>
    </w:p>
    <w:p w14:paraId="30F69EDE" w14:textId="77777777" w:rsidR="00533460" w:rsidRPr="00533460" w:rsidRDefault="00533460" w:rsidP="00A11EBB">
      <w:pPr>
        <w:tabs>
          <w:tab w:val="left" w:pos="5520"/>
        </w:tabs>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p>
    <w:p w14:paraId="1F4E6D7E" w14:textId="00397043" w:rsidR="00A11EBB" w:rsidRDefault="00417E54" w:rsidP="00A11EBB">
      <w:pPr>
        <w:tabs>
          <w:tab w:val="left" w:pos="5520"/>
        </w:tabs>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533460">
        <w:rPr>
          <w:rFonts w:ascii="Garamond" w:eastAsiaTheme="minorHAnsi" w:hAnsi="Garamond"/>
          <w:bCs/>
          <w:color w:val="000000"/>
          <w:sz w:val="24"/>
          <w:szCs w:val="24"/>
          <w:lang w:val="sq-AL"/>
          <w14:ligatures w14:val="standardContextual"/>
        </w:rPr>
        <w:t>SEKSIONI I TRETË</w:t>
      </w:r>
    </w:p>
    <w:p w14:paraId="36946400" w14:textId="77777777" w:rsidR="00533460" w:rsidRPr="00533460" w:rsidRDefault="00533460" w:rsidP="00A11EBB">
      <w:pPr>
        <w:tabs>
          <w:tab w:val="left" w:pos="5520"/>
        </w:tabs>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p>
    <w:p w14:paraId="1ECB348C" w14:textId="77777777" w:rsidR="00A11EBB" w:rsidRPr="00533460" w:rsidRDefault="00417E54" w:rsidP="00A11EBB">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533460">
        <w:rPr>
          <w:rFonts w:ascii="Garamond" w:eastAsiaTheme="minorHAnsi" w:hAnsi="Garamond"/>
          <w:bCs/>
          <w:color w:val="000000"/>
          <w:sz w:val="24"/>
          <w:szCs w:val="24"/>
          <w:lang w:val="sq-AL"/>
          <w14:ligatures w14:val="standardContextual"/>
        </w:rPr>
        <w:t>VENDIM</w:t>
      </w:r>
    </w:p>
    <w:p w14:paraId="74AB940E" w14:textId="77777777" w:rsidR="00A11EBB" w:rsidRPr="00417E54" w:rsidRDefault="00A11EBB" w:rsidP="00A11EBB">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p>
    <w:p w14:paraId="755BDBF0" w14:textId="74B265E9" w:rsidR="00A11EBB" w:rsidRPr="00151169" w:rsidRDefault="00ED36C1" w:rsidP="00A11EBB">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151169">
        <w:rPr>
          <w:rFonts w:ascii="Garamond" w:eastAsiaTheme="minorHAnsi" w:hAnsi="Garamond"/>
          <w:bCs/>
          <w:color w:val="000000"/>
          <w:sz w:val="24"/>
          <w:szCs w:val="24"/>
          <w:lang w:val="sq-AL"/>
          <w14:ligatures w14:val="standardContextual"/>
        </w:rPr>
        <w:t>Kërkesa nr</w:t>
      </w:r>
      <w:r w:rsidR="00417E54" w:rsidRPr="00151169">
        <w:rPr>
          <w:rFonts w:ascii="Garamond" w:eastAsiaTheme="minorHAnsi" w:hAnsi="Garamond"/>
          <w:bCs/>
          <w:color w:val="000000"/>
          <w:sz w:val="24"/>
          <w:szCs w:val="24"/>
          <w:lang w:val="sq-AL"/>
          <w14:ligatures w14:val="standardContextual"/>
        </w:rPr>
        <w:t>. 65774/14</w:t>
      </w:r>
    </w:p>
    <w:p w14:paraId="601173F5" w14:textId="452E239B" w:rsidR="00A11EBB" w:rsidRPr="00417E54" w:rsidRDefault="00417E54" w:rsidP="00A11EBB">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417E54">
        <w:rPr>
          <w:rFonts w:ascii="Garamond" w:eastAsiaTheme="minorHAnsi" w:hAnsi="Garamond"/>
          <w:b/>
          <w:bCs/>
          <w:color w:val="000000"/>
          <w:sz w:val="24"/>
          <w:szCs w:val="24"/>
          <w:lang w:val="sq-AL"/>
          <w14:ligatures w14:val="standardContextual"/>
        </w:rPr>
        <w:t>DASHURI LLAGAMI DHE TË TJERË</w:t>
      </w:r>
    </w:p>
    <w:p w14:paraId="189A5BE4" w14:textId="4E283A25" w:rsidR="00A11EBB" w:rsidRPr="00417E54" w:rsidRDefault="00417E54" w:rsidP="00A11EBB">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417E54">
        <w:rPr>
          <w:rFonts w:ascii="Garamond" w:eastAsiaTheme="minorHAnsi" w:hAnsi="Garamond"/>
          <w:b/>
          <w:bCs/>
          <w:color w:val="000000"/>
          <w:sz w:val="24"/>
          <w:szCs w:val="24"/>
          <w:lang w:val="sq-AL"/>
          <w14:ligatures w14:val="standardContextual"/>
        </w:rPr>
        <w:t>KUNDËR SHQIPËRISË</w:t>
      </w:r>
    </w:p>
    <w:p w14:paraId="74C40427" w14:textId="77777777" w:rsidR="00A11EBB" w:rsidRPr="00417E54" w:rsidRDefault="00A11EBB" w:rsidP="00A11EBB">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EE05391" w14:textId="60A52A0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Gjykata Evropiane e të Drejtave të Njeriut (Seksioni i Tretë), e mbledhur më 6 </w:t>
      </w:r>
      <w:r w:rsidR="00700DA4" w:rsidRPr="00417E54">
        <w:rPr>
          <w:rFonts w:ascii="Garamond" w:eastAsiaTheme="minorHAnsi" w:hAnsi="Garamond"/>
          <w:color w:val="000000"/>
          <w:sz w:val="24"/>
          <w:szCs w:val="24"/>
          <w:lang w:val="sq-AL"/>
          <w14:ligatures w14:val="standardContextual"/>
        </w:rPr>
        <w:t xml:space="preserve">dhjetor </w:t>
      </w:r>
      <w:r w:rsidRPr="00417E54">
        <w:rPr>
          <w:rFonts w:ascii="Garamond" w:eastAsiaTheme="minorHAnsi" w:hAnsi="Garamond"/>
          <w:color w:val="000000"/>
          <w:sz w:val="24"/>
          <w:szCs w:val="24"/>
          <w:lang w:val="sq-AL"/>
          <w14:ligatures w14:val="standardContextual"/>
        </w:rPr>
        <w:t xml:space="preserve">2022 si një Komitet i përbërë nga: </w:t>
      </w:r>
    </w:p>
    <w:p w14:paraId="1EF29DD8" w14:textId="2627F374" w:rsidR="00A11EBB" w:rsidRPr="00417E54" w:rsidRDefault="00A11EBB" w:rsidP="00A11EBB">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 Georgios A. Serghides, </w:t>
      </w:r>
      <w:r w:rsidR="00417E54" w:rsidRPr="00417E54">
        <w:rPr>
          <w:rFonts w:ascii="Garamond" w:eastAsiaTheme="minorHAnsi" w:hAnsi="Garamond"/>
          <w:i/>
          <w:iCs/>
          <w:color w:val="000000"/>
          <w:sz w:val="24"/>
          <w:szCs w:val="24"/>
          <w:lang w:val="sq-AL"/>
          <w14:ligatures w14:val="standardContextual"/>
        </w:rPr>
        <w:t>kryetar</w:t>
      </w:r>
      <w:r w:rsidR="00417E54">
        <w:rPr>
          <w:rFonts w:ascii="Garamond" w:eastAsiaTheme="minorHAnsi" w:hAnsi="Garamond"/>
          <w:i/>
          <w:iCs/>
          <w:color w:val="000000"/>
          <w:sz w:val="24"/>
          <w:szCs w:val="24"/>
          <w:lang w:val="sq-AL"/>
          <w14:ligatures w14:val="standardContextual"/>
        </w:rPr>
        <w:t>,</w:t>
      </w:r>
      <w:r w:rsidR="00417E54" w:rsidRPr="00417E54">
        <w:rPr>
          <w:rFonts w:ascii="Garamond" w:eastAsiaTheme="minorHAnsi" w:hAnsi="Garamond"/>
          <w:color w:val="000000"/>
          <w:sz w:val="24"/>
          <w:szCs w:val="24"/>
          <w:lang w:val="sq-AL"/>
          <w14:ligatures w14:val="standardContextual"/>
        </w:rPr>
        <w:t xml:space="preserve"> </w:t>
      </w:r>
    </w:p>
    <w:p w14:paraId="5C9E3BD6" w14:textId="0CB50093" w:rsidR="00A11EBB" w:rsidRPr="00417E54" w:rsidRDefault="00A11EBB" w:rsidP="00A11EBB">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 Jolien Schukking,</w:t>
      </w:r>
    </w:p>
    <w:p w14:paraId="3D6A6ED0" w14:textId="65B3611C" w:rsidR="00A11EBB" w:rsidRPr="00417E54" w:rsidRDefault="00A11EBB" w:rsidP="00A11EBB">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417E54">
        <w:rPr>
          <w:rFonts w:ascii="Garamond" w:eastAsiaTheme="minorHAnsi" w:hAnsi="Garamond"/>
          <w:i/>
          <w:iCs/>
          <w:color w:val="000000"/>
          <w:sz w:val="24"/>
          <w:szCs w:val="24"/>
          <w:lang w:val="sq-AL"/>
          <w14:ligatures w14:val="standardContextual"/>
        </w:rPr>
        <w:t xml:space="preserve"> </w:t>
      </w:r>
      <w:r w:rsidRPr="00417E54">
        <w:rPr>
          <w:rFonts w:ascii="Garamond" w:eastAsiaTheme="minorHAnsi" w:hAnsi="Garamond"/>
          <w:color w:val="000000"/>
          <w:sz w:val="24"/>
          <w:szCs w:val="24"/>
          <w:lang w:val="sq-AL"/>
          <w14:ligatures w14:val="standardContextual"/>
        </w:rPr>
        <w:t xml:space="preserve">Darian Pavli, </w:t>
      </w:r>
      <w:r w:rsidR="00417E54" w:rsidRPr="00417E54">
        <w:rPr>
          <w:rFonts w:ascii="Garamond" w:eastAsiaTheme="minorHAnsi" w:hAnsi="Garamond"/>
          <w:i/>
          <w:iCs/>
          <w:color w:val="000000"/>
          <w:sz w:val="24"/>
          <w:szCs w:val="24"/>
          <w:lang w:val="sq-AL"/>
          <w14:ligatures w14:val="standardContextual"/>
        </w:rPr>
        <w:t>gjyqtarë</w:t>
      </w:r>
      <w:r w:rsidR="00417E54">
        <w:rPr>
          <w:rFonts w:ascii="Garamond" w:eastAsiaTheme="minorHAnsi" w:hAnsi="Garamond"/>
          <w:i/>
          <w:iCs/>
          <w:color w:val="000000"/>
          <w:sz w:val="24"/>
          <w:szCs w:val="24"/>
          <w:lang w:val="sq-AL"/>
          <w14:ligatures w14:val="standardContextual"/>
        </w:rPr>
        <w:t>,</w:t>
      </w:r>
      <w:r w:rsidR="00417E54" w:rsidRPr="00417E54">
        <w:rPr>
          <w:rFonts w:ascii="Garamond" w:eastAsiaTheme="minorHAnsi" w:hAnsi="Garamond"/>
          <w:i/>
          <w:iCs/>
          <w:color w:val="000000"/>
          <w:sz w:val="24"/>
          <w:szCs w:val="24"/>
          <w:lang w:val="sq-AL"/>
          <w14:ligatures w14:val="standardContextual"/>
        </w:rPr>
        <w:t xml:space="preserve"> </w:t>
      </w:r>
    </w:p>
    <w:p w14:paraId="3729F4E2" w14:textId="1278F7D5" w:rsidR="00A11EBB" w:rsidRPr="00417E54" w:rsidRDefault="00A11EBB" w:rsidP="00A11EBB">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dhe Olga Chernishova, </w:t>
      </w:r>
      <w:r w:rsidR="00417E54" w:rsidRPr="00417E54">
        <w:rPr>
          <w:rFonts w:ascii="Garamond" w:eastAsiaTheme="minorHAnsi" w:hAnsi="Garamond"/>
          <w:i/>
          <w:iCs/>
          <w:color w:val="000000"/>
          <w:sz w:val="24"/>
          <w:szCs w:val="24"/>
          <w:lang w:val="sq-AL"/>
          <w14:ligatures w14:val="standardContextual"/>
        </w:rPr>
        <w:t xml:space="preserve">zëvendëssekretar </w:t>
      </w:r>
      <w:r w:rsidRPr="00417E54">
        <w:rPr>
          <w:rFonts w:ascii="Garamond" w:eastAsiaTheme="minorHAnsi" w:hAnsi="Garamond"/>
          <w:i/>
          <w:iCs/>
          <w:color w:val="000000"/>
          <w:sz w:val="24"/>
          <w:szCs w:val="24"/>
          <w:lang w:val="sq-AL"/>
          <w14:ligatures w14:val="standardContextual"/>
        </w:rPr>
        <w:t>i Seksionit,</w:t>
      </w:r>
      <w:r w:rsidRPr="00417E54">
        <w:rPr>
          <w:rFonts w:ascii="Garamond" w:eastAsiaTheme="minorHAnsi" w:hAnsi="Garamond"/>
          <w:color w:val="000000"/>
          <w:sz w:val="24"/>
          <w:szCs w:val="24"/>
          <w:lang w:val="sq-AL"/>
          <w14:ligatures w14:val="standardContextual"/>
        </w:rPr>
        <w:t xml:space="preserve"> </w:t>
      </w:r>
    </w:p>
    <w:p w14:paraId="5FA45B57" w14:textId="66074E16" w:rsidR="00A11EBB" w:rsidRPr="00417E54" w:rsidRDefault="008B719A"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duke </w:t>
      </w:r>
      <w:r w:rsidR="00A11EBB" w:rsidRPr="00417E54">
        <w:rPr>
          <w:rFonts w:ascii="Garamond" w:eastAsiaTheme="minorHAnsi" w:hAnsi="Garamond"/>
          <w:color w:val="000000"/>
          <w:sz w:val="24"/>
          <w:szCs w:val="24"/>
          <w:lang w:val="sq-AL"/>
          <w14:ligatures w14:val="standardContextual"/>
        </w:rPr>
        <w:t>marrë në konsideratë:</w:t>
      </w:r>
    </w:p>
    <w:p w14:paraId="3F50FF42" w14:textId="185250BD"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kërkesën (nr. 65774/14) kundër Republikës së Shqipërisë depozituar pranë Gjykatës sipas </w:t>
      </w:r>
      <w:r w:rsidR="00700DA4"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 xml:space="preserve">34 të Konventës për Mbrojtjen e të Drejtave të Njeriut dhe Lirive Themelore (“Konventa”) më 18 </w:t>
      </w:r>
      <w:r w:rsidR="00700DA4" w:rsidRPr="00417E54">
        <w:rPr>
          <w:rFonts w:ascii="Garamond" w:eastAsiaTheme="minorHAnsi" w:hAnsi="Garamond"/>
          <w:color w:val="000000"/>
          <w:sz w:val="24"/>
          <w:szCs w:val="24"/>
          <w:lang w:val="sq-AL"/>
          <w14:ligatures w14:val="standardContextual"/>
        </w:rPr>
        <w:t xml:space="preserve">shtator </w:t>
      </w:r>
      <w:r w:rsidRPr="00417E54">
        <w:rPr>
          <w:rFonts w:ascii="Garamond" w:eastAsiaTheme="minorHAnsi" w:hAnsi="Garamond"/>
          <w:color w:val="000000"/>
          <w:sz w:val="24"/>
          <w:szCs w:val="24"/>
          <w:lang w:val="sq-AL"/>
          <w14:ligatures w14:val="standardContextual"/>
        </w:rPr>
        <w:t xml:space="preserve">2014 nga kërkuesit listuar në tabelën bashkëlidhur (“kërkuesit”), të cilët u përfaqësuan nga </w:t>
      </w:r>
      <w:r w:rsidR="00700DA4" w:rsidRPr="00417E54">
        <w:rPr>
          <w:rFonts w:ascii="Garamond" w:eastAsiaTheme="minorHAnsi" w:hAnsi="Garamond"/>
          <w:color w:val="000000"/>
          <w:sz w:val="24"/>
          <w:szCs w:val="24"/>
          <w:lang w:val="sq-AL"/>
          <w14:ligatures w14:val="standardContextual"/>
        </w:rPr>
        <w:t>z</w:t>
      </w:r>
      <w:r w:rsidRPr="00417E54">
        <w:rPr>
          <w:rFonts w:ascii="Garamond" w:eastAsiaTheme="minorHAnsi" w:hAnsi="Garamond"/>
          <w:color w:val="000000"/>
          <w:sz w:val="24"/>
          <w:szCs w:val="24"/>
          <w:lang w:val="sq-AL"/>
          <w14:ligatures w14:val="standardContextual"/>
        </w:rPr>
        <w:t>. A. Kashahu, një avokat i cili e ushtron profesionin në Tiranë;</w:t>
      </w:r>
    </w:p>
    <w:p w14:paraId="215D5AF9" w14:textId="5049D02E"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vendimin për të njoftuar në lidhje me ankesën sipas </w:t>
      </w:r>
      <w:r w:rsidR="00700DA4"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 xml:space="preserve">1 të </w:t>
      </w:r>
      <w:r w:rsidR="00700DA4" w:rsidRPr="00417E54">
        <w:rPr>
          <w:rFonts w:ascii="Garamond" w:eastAsiaTheme="minorHAnsi" w:hAnsi="Garamond"/>
          <w:color w:val="000000"/>
          <w:sz w:val="24"/>
          <w:szCs w:val="24"/>
          <w:lang w:val="sq-AL"/>
          <w14:ligatures w14:val="standardContextual"/>
        </w:rPr>
        <w:t>Protokollit nr</w:t>
      </w:r>
      <w:r w:rsidRPr="00417E54">
        <w:rPr>
          <w:rFonts w:ascii="Garamond" w:eastAsiaTheme="minorHAnsi" w:hAnsi="Garamond"/>
          <w:color w:val="000000"/>
          <w:sz w:val="24"/>
          <w:szCs w:val="24"/>
          <w:lang w:val="sq-AL"/>
          <w14:ligatures w14:val="standardContextual"/>
        </w:rPr>
        <w:t xml:space="preserve">. 1 të Konventës në lidhje me shumën e kompensimit për shpronësimin e pronës së kërkuesve Qeverinë Shqiptare (“Qeveria”), e përfaqësuar nga Agjenti i saj i asaj periudhë, </w:t>
      </w:r>
      <w:r w:rsidR="008B719A">
        <w:rPr>
          <w:rFonts w:ascii="Garamond" w:eastAsiaTheme="minorHAnsi" w:hAnsi="Garamond"/>
          <w:color w:val="000000"/>
          <w:sz w:val="24"/>
          <w:szCs w:val="24"/>
          <w:lang w:val="sq-AL"/>
          <w14:ligatures w14:val="standardContextual"/>
        </w:rPr>
        <w:t>znj</w:t>
      </w:r>
      <w:r w:rsidRPr="00417E54">
        <w:rPr>
          <w:rFonts w:ascii="Garamond" w:eastAsiaTheme="minorHAnsi" w:hAnsi="Garamond"/>
          <w:color w:val="000000"/>
          <w:sz w:val="24"/>
          <w:szCs w:val="24"/>
          <w:lang w:val="sq-AL"/>
          <w14:ligatures w14:val="standardContextual"/>
        </w:rPr>
        <w:t xml:space="preserve">. B. Lilo, dhe në vijim nga Z.O. Moçka, Avokat i Përgjithshëm i Shtetit, dhe për të deklaruar të papranueshme pjesën e mbetur të kërkesës; </w:t>
      </w:r>
    </w:p>
    <w:p w14:paraId="1577CDB0" w14:textId="00238E3E"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vërejtjet e palëve;</w:t>
      </w:r>
      <w:r w:rsidR="00417E54" w:rsidRPr="00417E54">
        <w:rPr>
          <w:rFonts w:ascii="Garamond" w:eastAsiaTheme="minorHAnsi" w:hAnsi="Garamond"/>
          <w:color w:val="000000"/>
          <w:sz w:val="24"/>
          <w:szCs w:val="24"/>
          <w:lang w:val="sq-AL"/>
          <w14:ligatures w14:val="standardContextual"/>
        </w:rPr>
        <w:t xml:space="preserve"> </w:t>
      </w:r>
    </w:p>
    <w:p w14:paraId="301A9A80" w14:textId="7FED0843" w:rsidR="00A11EBB" w:rsidRPr="00417E54" w:rsidRDefault="008B719A"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pasi </w:t>
      </w:r>
      <w:r w:rsidR="00A11EBB" w:rsidRPr="00417E54">
        <w:rPr>
          <w:rFonts w:ascii="Garamond" w:eastAsiaTheme="minorHAnsi" w:hAnsi="Garamond"/>
          <w:color w:val="000000"/>
          <w:sz w:val="24"/>
          <w:szCs w:val="24"/>
          <w:lang w:val="sq-AL"/>
          <w14:ligatures w14:val="standardContextual"/>
        </w:rPr>
        <w:t>diskutoi, vendos si më poshtë:</w:t>
      </w:r>
    </w:p>
    <w:p w14:paraId="0522D18D" w14:textId="7777777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LËNDA E ÇËSHTJES</w:t>
      </w:r>
    </w:p>
    <w:p w14:paraId="24DDC09C" w14:textId="0BC89C44"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 Çështja ka të bëjë me një padi të bërë në mbështetje të </w:t>
      </w:r>
      <w:r w:rsidR="00700DA4"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 xml:space="preserve">1 të </w:t>
      </w:r>
      <w:r w:rsidR="00700DA4" w:rsidRPr="00417E54">
        <w:rPr>
          <w:rFonts w:ascii="Garamond" w:eastAsiaTheme="minorHAnsi" w:hAnsi="Garamond"/>
          <w:color w:val="000000"/>
          <w:sz w:val="24"/>
          <w:szCs w:val="24"/>
          <w:lang w:val="sq-AL"/>
          <w14:ligatures w14:val="standardContextual"/>
        </w:rPr>
        <w:t xml:space="preserve">protokollit nr. </w:t>
      </w:r>
      <w:r w:rsidRPr="00417E54">
        <w:rPr>
          <w:rFonts w:ascii="Garamond" w:eastAsiaTheme="minorHAnsi" w:hAnsi="Garamond"/>
          <w:color w:val="000000"/>
          <w:sz w:val="24"/>
          <w:szCs w:val="24"/>
          <w:lang w:val="sq-AL"/>
          <w14:ligatures w14:val="standardContextual"/>
        </w:rPr>
        <w:t xml:space="preserve">1 të Konventës se kompensimi për tokën e shpronësuar duhet të përllogaritet mbështetur në vlerën e tokës në fund të procedurave të shpronësimit. </w:t>
      </w:r>
    </w:p>
    <w:p w14:paraId="3ECFFBA3" w14:textId="7921025D" w:rsidR="00A11EBB" w:rsidRPr="00417E54" w:rsidRDefault="00A11EBB" w:rsidP="00A11EBB">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417E54">
        <w:rPr>
          <w:rFonts w:ascii="Garamond" w:eastAsiaTheme="minorHAnsi" w:hAnsi="Garamond"/>
          <w:b/>
          <w:bCs/>
          <w:color w:val="000000"/>
          <w:sz w:val="24"/>
          <w:szCs w:val="24"/>
          <w:lang w:val="sq-AL"/>
          <w14:ligatures w14:val="standardContextual"/>
        </w:rPr>
        <w:t>A. Rrethanat e çështjes</w:t>
      </w:r>
    </w:p>
    <w:p w14:paraId="20494515" w14:textId="68A0FA43"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2. Në vitin 2001, Ministria e Transportit nisi procedurat e shpronësimit për një truall në Tiranë që i përkiste kërkuesve. Qëllimi i shpronësimit ishte për ndërtimin e një unaze të re për qytetin dhe çmimi për metër katror (m</w:t>
      </w:r>
      <w:r w:rsidRPr="00DF0976">
        <w:rPr>
          <w:rStyle w:val="NoSpacingChar"/>
          <w:rFonts w:ascii="Garamond" w:eastAsiaTheme="minorHAnsi" w:hAnsi="Garamond"/>
          <w:vertAlign w:val="superscript"/>
        </w:rPr>
        <w:t>2</w:t>
      </w:r>
      <w:r w:rsidRPr="00417E54">
        <w:rPr>
          <w:rFonts w:ascii="Garamond" w:eastAsiaTheme="minorHAnsi" w:hAnsi="Garamond"/>
          <w:color w:val="000000"/>
          <w:sz w:val="24"/>
          <w:szCs w:val="24"/>
          <w:lang w:val="sq-AL"/>
          <w14:ligatures w14:val="standardContextual"/>
        </w:rPr>
        <w:t>) të pronës së shpronësuar u përcaktua nga një komision i brendshëm në Ministri në vlerën 5,000 lekë shqiptarë (ALL). Kompensimi në total për 11,240 m</w:t>
      </w:r>
      <w:r w:rsidRPr="00DF0976">
        <w:rPr>
          <w:rFonts w:ascii="Garamond" w:eastAsiaTheme="minorHAnsi" w:hAnsi="Garamond"/>
          <w:sz w:val="24"/>
          <w:szCs w:val="24"/>
          <w:vertAlign w:val="superscript"/>
        </w:rPr>
        <w:t>2</w:t>
      </w:r>
      <w:r w:rsidRPr="00417E54">
        <w:rPr>
          <w:rFonts w:ascii="Garamond" w:eastAsiaTheme="minorHAnsi" w:hAnsi="Garamond"/>
          <w:color w:val="000000"/>
          <w:sz w:val="24"/>
          <w:szCs w:val="24"/>
          <w:lang w:val="sq-AL"/>
          <w14:ligatures w14:val="standardContextual"/>
        </w:rPr>
        <w:t xml:space="preserve"> për shpronësim ishte 56,200,000 ALL. Kërkuesit u informuan për procedurat dhe nuk kundërshtuan ndonjë aspekt të tyre. </w:t>
      </w:r>
    </w:p>
    <w:p w14:paraId="35EBFDD0" w14:textId="6958ABCA"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3. Në muajin </w:t>
      </w:r>
      <w:r w:rsidR="00DF0976" w:rsidRPr="00417E54">
        <w:rPr>
          <w:rFonts w:ascii="Garamond" w:eastAsiaTheme="minorHAnsi" w:hAnsi="Garamond"/>
          <w:color w:val="000000"/>
          <w:sz w:val="24"/>
          <w:szCs w:val="24"/>
          <w:lang w:val="sq-AL"/>
          <w14:ligatures w14:val="standardContextual"/>
        </w:rPr>
        <w:t xml:space="preserve">gusht </w:t>
      </w:r>
      <w:r w:rsidRPr="00417E54">
        <w:rPr>
          <w:rFonts w:ascii="Garamond" w:eastAsiaTheme="minorHAnsi" w:hAnsi="Garamond"/>
          <w:color w:val="000000"/>
          <w:sz w:val="24"/>
          <w:szCs w:val="24"/>
          <w:lang w:val="sq-AL"/>
          <w14:ligatures w14:val="standardContextual"/>
        </w:rPr>
        <w:t xml:space="preserve">2002, autoritetet anuluan procedurën e shpronësimit me argumentin se pas një rishikimi të brendshëm kishte rezultuar se titulli i pronësisë së kërkuesve ishte i paligjshëm. Rezulton se punimet e ndërtimit për rrugën vijuan. </w:t>
      </w:r>
    </w:p>
    <w:p w14:paraId="3974DD78" w14:textId="44C924F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4. Më 26 </w:t>
      </w:r>
      <w:r w:rsidR="00DF0976" w:rsidRPr="00417E54">
        <w:rPr>
          <w:rFonts w:ascii="Garamond" w:eastAsiaTheme="minorHAnsi" w:hAnsi="Garamond"/>
          <w:color w:val="000000"/>
          <w:sz w:val="24"/>
          <w:szCs w:val="24"/>
          <w:lang w:val="sq-AL"/>
          <w14:ligatures w14:val="standardContextual"/>
        </w:rPr>
        <w:t xml:space="preserve">mars </w:t>
      </w:r>
      <w:r w:rsidRPr="00417E54">
        <w:rPr>
          <w:rFonts w:ascii="Garamond" w:eastAsiaTheme="minorHAnsi" w:hAnsi="Garamond"/>
          <w:color w:val="000000"/>
          <w:sz w:val="24"/>
          <w:szCs w:val="24"/>
          <w:lang w:val="sq-AL"/>
          <w14:ligatures w14:val="standardContextual"/>
        </w:rPr>
        <w:t xml:space="preserve">2004, kërkuesit nisën një proces ligjor ndaj Ministrisë së Transportit. Ata argumentuan se autoritetet kanë ndërtuar një rrugë në tokën e tyre dhe kërkuan “pagesën e shumës për paditësit për shpronësimin e tokës së tyre”. </w:t>
      </w:r>
    </w:p>
    <w:p w14:paraId="53611451" w14:textId="48C3928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5. Më 14 </w:t>
      </w:r>
      <w:r w:rsidR="00DF0976" w:rsidRPr="00417E54">
        <w:rPr>
          <w:rFonts w:ascii="Garamond" w:eastAsiaTheme="minorHAnsi" w:hAnsi="Garamond"/>
          <w:color w:val="000000"/>
          <w:sz w:val="24"/>
          <w:szCs w:val="24"/>
          <w:lang w:val="sq-AL"/>
          <w14:ligatures w14:val="standardContextual"/>
        </w:rPr>
        <w:t xml:space="preserve">prill </w:t>
      </w:r>
      <w:r w:rsidRPr="00417E54">
        <w:rPr>
          <w:rFonts w:ascii="Garamond" w:eastAsiaTheme="minorHAnsi" w:hAnsi="Garamond"/>
          <w:color w:val="000000"/>
          <w:sz w:val="24"/>
          <w:szCs w:val="24"/>
          <w:lang w:val="sq-AL"/>
          <w14:ligatures w14:val="standardContextual"/>
        </w:rPr>
        <w:t xml:space="preserve">2005, kërkuesit bënë shpjegime shtesë për padinë në gjykatë duke pretenduar se titulli i tyre i pronësisë për truallin ishte i ligjshëm. Gjithashtu, ata shpjeguan se vlerësimi fillestar i tokës dhe aktet e tjerë në lidhje me shpronësimin (shih paragrafin 2 më sipër) përputheshin me ligjin e zbatueshëm. Sipas këndvështrimit të tyre, anulimi i procedurës së shpronësimit ishte i paligjshëm dhe i kërkuan gjykatës të finalizonte procedurën duke u akorduar atyre “shumën që duhej t’u paguhej për shpronësimin”. </w:t>
      </w:r>
    </w:p>
    <w:p w14:paraId="4E554B74" w14:textId="7A7C2A1A"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6. Më 5 </w:t>
      </w:r>
      <w:r w:rsidR="00DF0976" w:rsidRPr="00417E54">
        <w:rPr>
          <w:rFonts w:ascii="Garamond" w:eastAsiaTheme="minorHAnsi" w:hAnsi="Garamond"/>
          <w:color w:val="000000"/>
          <w:sz w:val="24"/>
          <w:szCs w:val="24"/>
          <w:lang w:val="sq-AL"/>
          <w14:ligatures w14:val="standardContextual"/>
        </w:rPr>
        <w:t xml:space="preserve">korrik </w:t>
      </w:r>
      <w:r w:rsidRPr="00417E54">
        <w:rPr>
          <w:rFonts w:ascii="Garamond" w:eastAsiaTheme="minorHAnsi" w:hAnsi="Garamond"/>
          <w:color w:val="000000"/>
          <w:sz w:val="24"/>
          <w:szCs w:val="24"/>
          <w:lang w:val="sq-AL"/>
          <w14:ligatures w14:val="standardContextual"/>
        </w:rPr>
        <w:t xml:space="preserve">2005, Gjykata e Rrethit Tiranë rrëzoi padinë me argumentin se procesi ligjor ishte i hapur vetëm për paditësit për të cilët procedura e shpronësimit ishte plotësuar me anë të vendimit </w:t>
      </w:r>
      <w:r w:rsidRPr="00417E54">
        <w:rPr>
          <w:rFonts w:ascii="Garamond" w:eastAsiaTheme="minorHAnsi" w:hAnsi="Garamond"/>
          <w:color w:val="000000"/>
          <w:sz w:val="24"/>
          <w:szCs w:val="24"/>
          <w:lang w:val="sq-AL"/>
          <w14:ligatures w14:val="standardContextual"/>
        </w:rPr>
        <w:lastRenderedPageBreak/>
        <w:t xml:space="preserve">të Këshillit të Ministrave. Megjithatë, më 20 </w:t>
      </w:r>
      <w:r w:rsidR="00DF0976" w:rsidRPr="00417E54">
        <w:rPr>
          <w:rFonts w:ascii="Garamond" w:eastAsiaTheme="minorHAnsi" w:hAnsi="Garamond"/>
          <w:color w:val="000000"/>
          <w:sz w:val="24"/>
          <w:szCs w:val="24"/>
          <w:lang w:val="sq-AL"/>
          <w14:ligatures w14:val="standardContextual"/>
        </w:rPr>
        <w:t xml:space="preserve">qershor </w:t>
      </w:r>
      <w:r w:rsidRPr="00417E54">
        <w:rPr>
          <w:rFonts w:ascii="Garamond" w:eastAsiaTheme="minorHAnsi" w:hAnsi="Garamond"/>
          <w:color w:val="000000"/>
          <w:sz w:val="24"/>
          <w:szCs w:val="24"/>
          <w:lang w:val="sq-AL"/>
          <w14:ligatures w14:val="standardContextual"/>
        </w:rPr>
        <w:t xml:space="preserve">2006, Gjykata e Apelit Tiranë e prishi atë vendim, duke argumentuar se kishte pasur një sërë shkeljesh. </w:t>
      </w:r>
    </w:p>
    <w:p w14:paraId="393C8DCA" w14:textId="11CABEAD"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7. Pas rigjykimit, më 5 </w:t>
      </w:r>
      <w:r w:rsidR="00DF0976" w:rsidRPr="00417E54">
        <w:rPr>
          <w:rFonts w:ascii="Garamond" w:eastAsiaTheme="minorHAnsi" w:hAnsi="Garamond"/>
          <w:color w:val="000000"/>
          <w:sz w:val="24"/>
          <w:szCs w:val="24"/>
          <w:lang w:val="sq-AL"/>
          <w14:ligatures w14:val="standardContextual"/>
        </w:rPr>
        <w:t xml:space="preserve">tetor </w:t>
      </w:r>
      <w:r w:rsidRPr="00417E54">
        <w:rPr>
          <w:rFonts w:ascii="Garamond" w:eastAsiaTheme="minorHAnsi" w:hAnsi="Garamond"/>
          <w:color w:val="000000"/>
          <w:sz w:val="24"/>
          <w:szCs w:val="24"/>
          <w:lang w:val="sq-AL"/>
          <w14:ligatures w14:val="standardContextual"/>
        </w:rPr>
        <w:t xml:space="preserve">2007, Gjykata e Rrethit Tiranë e rrëzoi masën përsëri, duke u mbështetur kryesisht në të njëjtat argumente si në vendimin e saj të parë (shih më sipër). Kërkuesit apeluan. </w:t>
      </w:r>
    </w:p>
    <w:p w14:paraId="63184065" w14:textId="0F7C6834"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8. Në një datë të paspecifikuar, Gjykata e Rrethit Tiranë caktoi një ekspert për të përcaktuar sipërfaqen e saktë të pronës së kërkuesve që ishte zënë nga rruga e sapondërtuar. </w:t>
      </w:r>
    </w:p>
    <w:p w14:paraId="346B3D81" w14:textId="17D653BD"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9. Ndërkohë, më 13 </w:t>
      </w:r>
      <w:r w:rsidR="00DF0976" w:rsidRPr="00417E54">
        <w:rPr>
          <w:rFonts w:ascii="Garamond" w:eastAsiaTheme="minorHAnsi" w:hAnsi="Garamond"/>
          <w:color w:val="000000"/>
          <w:sz w:val="24"/>
          <w:szCs w:val="24"/>
          <w:lang w:val="sq-AL"/>
          <w14:ligatures w14:val="standardContextual"/>
        </w:rPr>
        <w:t xml:space="preserve">shkurt </w:t>
      </w:r>
      <w:r w:rsidRPr="00417E54">
        <w:rPr>
          <w:rFonts w:ascii="Garamond" w:eastAsiaTheme="minorHAnsi" w:hAnsi="Garamond"/>
          <w:color w:val="000000"/>
          <w:sz w:val="24"/>
          <w:szCs w:val="24"/>
          <w:lang w:val="sq-AL"/>
          <w14:ligatures w14:val="standardContextual"/>
        </w:rPr>
        <w:t xml:space="preserve">2008, Këshilli i Ministrave miratoi vendimin nr. 139 (“VKM 139”) për vlerën e pronave në rajone të ndryshme që u publikua në Fletoren Zyrtare të datës 25 </w:t>
      </w:r>
      <w:r w:rsidR="00DF0976" w:rsidRPr="00417E54">
        <w:rPr>
          <w:rFonts w:ascii="Garamond" w:eastAsiaTheme="minorHAnsi" w:hAnsi="Garamond"/>
          <w:color w:val="000000"/>
          <w:sz w:val="24"/>
          <w:szCs w:val="24"/>
          <w:lang w:val="sq-AL"/>
          <w14:ligatures w14:val="standardContextual"/>
        </w:rPr>
        <w:t xml:space="preserve">shkurt </w:t>
      </w:r>
      <w:r w:rsidRPr="00417E54">
        <w:rPr>
          <w:rFonts w:ascii="Garamond" w:eastAsiaTheme="minorHAnsi" w:hAnsi="Garamond"/>
          <w:color w:val="000000"/>
          <w:sz w:val="24"/>
          <w:szCs w:val="24"/>
          <w:lang w:val="sq-AL"/>
          <w14:ligatures w14:val="standardContextual"/>
        </w:rPr>
        <w:t>2008 dhe hyri në fuqi në po këtë datë. Sipas kërkuesve (shih paragrafin 14 më poshtë), në mbështetje të VKM</w:t>
      </w:r>
      <w:r w:rsidR="00DF0976">
        <w:rPr>
          <w:rFonts w:ascii="Garamond" w:eastAsiaTheme="minorHAnsi" w:hAnsi="Garamond"/>
          <w:color w:val="000000"/>
          <w:sz w:val="24"/>
          <w:szCs w:val="24"/>
          <w:lang w:val="sq-AL"/>
          <w14:ligatures w14:val="standardContextual"/>
        </w:rPr>
        <w:t>-së nr.</w:t>
      </w:r>
      <w:r w:rsidRPr="00417E54">
        <w:rPr>
          <w:rFonts w:ascii="Garamond" w:eastAsiaTheme="minorHAnsi" w:hAnsi="Garamond"/>
          <w:color w:val="000000"/>
          <w:sz w:val="24"/>
          <w:szCs w:val="24"/>
          <w:lang w:val="sq-AL"/>
          <w14:ligatures w14:val="standardContextual"/>
        </w:rPr>
        <w:t xml:space="preserve"> 139, pronat në atë zonë ku gjendej prona e kërkuesve vlerësoheshin në shumën 26,787 ALL për m</w:t>
      </w:r>
      <w:r w:rsidRPr="00DF0976">
        <w:rPr>
          <w:rStyle w:val="NoSpacingChar"/>
          <w:rFonts w:ascii="Garamond" w:eastAsiaTheme="minorHAnsi" w:hAnsi="Garamond"/>
          <w:sz w:val="24"/>
          <w:szCs w:val="24"/>
          <w:vertAlign w:val="superscript"/>
        </w:rPr>
        <w:t>2</w:t>
      </w:r>
      <w:r w:rsidRPr="00417E54">
        <w:rPr>
          <w:rFonts w:ascii="Garamond" w:eastAsiaTheme="minorHAnsi" w:hAnsi="Garamond"/>
          <w:color w:val="000000"/>
          <w:sz w:val="24"/>
          <w:szCs w:val="24"/>
          <w:lang w:val="sq-AL"/>
          <w14:ligatures w14:val="standardContextual"/>
        </w:rPr>
        <w:t xml:space="preserve">. </w:t>
      </w:r>
    </w:p>
    <w:p w14:paraId="11235D66" w14:textId="2DCD7366"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10. Gjithashtu, më 21 </w:t>
      </w:r>
      <w:r w:rsidR="00DE1083" w:rsidRPr="00417E54">
        <w:rPr>
          <w:rFonts w:ascii="Garamond" w:eastAsiaTheme="minorHAnsi" w:hAnsi="Garamond"/>
          <w:color w:val="000000"/>
          <w:sz w:val="24"/>
          <w:szCs w:val="24"/>
          <w:lang w:val="sq-AL"/>
          <w14:ligatures w14:val="standardContextual"/>
        </w:rPr>
        <w:t xml:space="preserve">shkurt </w:t>
      </w:r>
      <w:r w:rsidRPr="00417E54">
        <w:rPr>
          <w:rFonts w:ascii="Garamond" w:eastAsiaTheme="minorHAnsi" w:hAnsi="Garamond"/>
          <w:color w:val="000000"/>
          <w:sz w:val="24"/>
          <w:szCs w:val="24"/>
          <w:lang w:val="sq-AL"/>
          <w14:ligatures w14:val="standardContextual"/>
        </w:rPr>
        <w:t xml:space="preserve">2008, Këshilli i Ministrave miratoi vendimin nr. 206 </w:t>
      </w:r>
      <w:r w:rsidRPr="00AF23C1">
        <w:rPr>
          <w:rFonts w:ascii="Garamond" w:eastAsiaTheme="minorHAnsi" w:hAnsi="Garamond"/>
          <w:color w:val="000000"/>
          <w:sz w:val="24"/>
          <w:szCs w:val="24"/>
          <w:lang w:val="sq-AL"/>
          <w14:ligatures w14:val="standardContextual"/>
        </w:rPr>
        <w:t>(“VKM 206”)</w:t>
      </w:r>
      <w:r w:rsidRPr="00417E54">
        <w:rPr>
          <w:rFonts w:ascii="Garamond" w:eastAsiaTheme="minorHAnsi" w:hAnsi="Garamond"/>
          <w:color w:val="000000"/>
          <w:sz w:val="24"/>
          <w:szCs w:val="24"/>
          <w:lang w:val="sq-AL"/>
          <w14:ligatures w14:val="standardContextual"/>
        </w:rPr>
        <w:t xml:space="preserve"> me anë të së cilit u shpronësuan një sërë trojesh që </w:t>
      </w:r>
      <w:r w:rsidR="00DE1083">
        <w:rPr>
          <w:rFonts w:ascii="Garamond" w:eastAsiaTheme="minorHAnsi" w:hAnsi="Garamond"/>
          <w:color w:val="000000"/>
          <w:sz w:val="24"/>
          <w:szCs w:val="24"/>
          <w:lang w:val="sq-AL"/>
          <w14:ligatures w14:val="standardContextual"/>
        </w:rPr>
        <w:t>u</w:t>
      </w:r>
      <w:r w:rsidRPr="00417E54">
        <w:rPr>
          <w:rFonts w:ascii="Garamond" w:eastAsiaTheme="minorHAnsi" w:hAnsi="Garamond"/>
          <w:color w:val="000000"/>
          <w:sz w:val="24"/>
          <w:szCs w:val="24"/>
          <w:lang w:val="sq-AL"/>
          <w14:ligatures w14:val="standardContextual"/>
        </w:rPr>
        <w:t xml:space="preserve"> përkisnin kërkuesve me qëllimin e zgjerimit të trotuarit të rrugës së sapondërtuar. Sipas VKM 206, kërkuesve u dha e drejta për kompensim në vlerën prej 12,335 ALL për m</w:t>
      </w:r>
      <w:r w:rsidRPr="00DE1083">
        <w:rPr>
          <w:rStyle w:val="NoSpacingChar"/>
          <w:rFonts w:ascii="Garamond" w:eastAsiaTheme="minorHAnsi" w:hAnsi="Garamond"/>
          <w:sz w:val="24"/>
          <w:szCs w:val="24"/>
          <w:vertAlign w:val="superscript"/>
        </w:rPr>
        <w:t>2</w:t>
      </w:r>
      <w:r w:rsidRPr="00417E54">
        <w:rPr>
          <w:rFonts w:ascii="Garamond" w:eastAsiaTheme="minorHAnsi" w:hAnsi="Garamond"/>
          <w:color w:val="000000"/>
          <w:sz w:val="24"/>
          <w:szCs w:val="24"/>
          <w:lang w:val="sq-AL"/>
          <w14:ligatures w14:val="standardContextual"/>
        </w:rPr>
        <w:t xml:space="preserve">. Kërkuesit nuk kundërshtuan as për sipërfaqen e tokës së shpronësuar dhe as për shumën që duhej të paguhej sipas VKM 206. </w:t>
      </w:r>
    </w:p>
    <w:p w14:paraId="14C2DC3D" w14:textId="5DDB0FB1"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11. Në një datë të paspecifikuar në </w:t>
      </w:r>
      <w:r w:rsidR="00590136" w:rsidRPr="00417E54">
        <w:rPr>
          <w:rFonts w:ascii="Garamond" w:eastAsiaTheme="minorHAnsi" w:hAnsi="Garamond"/>
          <w:color w:val="000000"/>
          <w:sz w:val="24"/>
          <w:szCs w:val="24"/>
          <w:lang w:val="sq-AL"/>
          <w14:ligatures w14:val="standardContextual"/>
        </w:rPr>
        <w:t xml:space="preserve">shkurt </w:t>
      </w:r>
      <w:r w:rsidRPr="00417E54">
        <w:rPr>
          <w:rFonts w:ascii="Garamond" w:eastAsiaTheme="minorHAnsi" w:hAnsi="Garamond"/>
          <w:color w:val="000000"/>
          <w:sz w:val="24"/>
          <w:szCs w:val="24"/>
          <w:lang w:val="sq-AL"/>
          <w14:ligatures w14:val="standardContextual"/>
        </w:rPr>
        <w:t xml:space="preserve">2008 eksperti përgatiti raportin e tij për një sipërfaqe ekzakte të pronës së kërkuesve që ishte përdorur për rrugën. Pas një kërkese nga gjykata sipas përllogaritjeve mbi sipërfaqen e shpronësuar </w:t>
      </w:r>
      <w:r w:rsidRPr="002C276E">
        <w:rPr>
          <w:rFonts w:ascii="Garamond" w:eastAsiaTheme="minorHAnsi" w:hAnsi="Garamond"/>
          <w:color w:val="000000"/>
          <w:sz w:val="24"/>
          <w:szCs w:val="24"/>
          <w:lang w:val="sq-AL"/>
          <w14:ligatures w14:val="standardContextual"/>
        </w:rPr>
        <w:t>sipas VKM 20</w:t>
      </w:r>
      <w:bookmarkStart w:id="0" w:name="_GoBack"/>
      <w:bookmarkEnd w:id="0"/>
      <w:r w:rsidRPr="002C276E">
        <w:rPr>
          <w:rFonts w:ascii="Garamond" w:eastAsiaTheme="minorHAnsi" w:hAnsi="Garamond"/>
          <w:color w:val="000000"/>
          <w:sz w:val="24"/>
          <w:szCs w:val="24"/>
          <w:lang w:val="sq-AL"/>
          <w14:ligatures w14:val="standardContextual"/>
        </w:rPr>
        <w:t>6, ai paraqiti një dokument me “pyetje dhe përgjigje”, që plotësonte raportin e tij.</w:t>
      </w:r>
      <w:r w:rsidRPr="00417E54">
        <w:rPr>
          <w:rFonts w:ascii="Garamond" w:eastAsiaTheme="minorHAnsi" w:hAnsi="Garamond"/>
          <w:color w:val="000000"/>
          <w:sz w:val="24"/>
          <w:szCs w:val="24"/>
          <w:lang w:val="sq-AL"/>
          <w14:ligatures w14:val="standardContextual"/>
        </w:rPr>
        <w:t xml:space="preserve"> </w:t>
      </w:r>
    </w:p>
    <w:p w14:paraId="1287BCE5" w14:textId="321D402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12. Në një datë të paspecifikuar, kërkuesit dhanë deklaratën e tyre përmbyllëse përpara Gjykatës së Apelit Tiranë. Ata iu referuan VKM 206 për të theksuar mospërputhjen e pretenduar të autoriteteve, që kishin rënë dakord t’i kompensonin për një pjesë të pronës së tyre që kishte shërbyer për trotuarin e rrugës, por e kishin refuzuar kompensimin për ndërtimin e vet rrugës. Ata arritën në përfundimin se duhej të kompensoheshin në “vlerën e tregut” të tokës që ishte përdorur për ndërtimin e rrugës. </w:t>
      </w:r>
    </w:p>
    <w:p w14:paraId="7C666186" w14:textId="4DCD3415"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13. Më 9 </w:t>
      </w:r>
      <w:r w:rsidR="00642BA8" w:rsidRPr="00417E54">
        <w:rPr>
          <w:rFonts w:ascii="Garamond" w:eastAsiaTheme="minorHAnsi" w:hAnsi="Garamond"/>
          <w:color w:val="000000"/>
          <w:sz w:val="24"/>
          <w:szCs w:val="24"/>
          <w:lang w:val="sq-AL"/>
          <w14:ligatures w14:val="standardContextual"/>
        </w:rPr>
        <w:t xml:space="preserve">prill </w:t>
      </w:r>
      <w:r w:rsidRPr="00417E54">
        <w:rPr>
          <w:rFonts w:ascii="Garamond" w:eastAsiaTheme="minorHAnsi" w:hAnsi="Garamond"/>
          <w:color w:val="000000"/>
          <w:sz w:val="24"/>
          <w:szCs w:val="24"/>
          <w:lang w:val="sq-AL"/>
          <w14:ligatures w14:val="standardContextual"/>
        </w:rPr>
        <w:t>2009, Gjykata e Apelit Tiranë e rrëzoi vendimin e shkallës së parë (shih paragrafin 7 më sipër) dhe vendosi në favor të kërkuesve. Ajo urdhëroi Ministrinë t’i kompensonte për sipërfaqen e shpronësuar me çmimin 5,000 ALL për m</w:t>
      </w:r>
      <w:r w:rsidRPr="00642BA8">
        <w:rPr>
          <w:rStyle w:val="NoSpacingChar"/>
          <w:rFonts w:ascii="Garamond" w:eastAsiaTheme="minorHAnsi" w:hAnsi="Garamond"/>
          <w:sz w:val="24"/>
          <w:szCs w:val="24"/>
          <w:vertAlign w:val="superscript"/>
        </w:rPr>
        <w:t>2</w:t>
      </w:r>
      <w:r w:rsidRPr="00417E54">
        <w:rPr>
          <w:rFonts w:ascii="Garamond" w:eastAsiaTheme="minorHAnsi" w:hAnsi="Garamond"/>
          <w:color w:val="000000"/>
          <w:sz w:val="24"/>
          <w:szCs w:val="24"/>
          <w:lang w:val="sq-AL"/>
          <w14:ligatures w14:val="standardContextual"/>
        </w:rPr>
        <w:t xml:space="preserve">. </w:t>
      </w:r>
    </w:p>
    <w:p w14:paraId="7EB844B1" w14:textId="3A650282"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14. Më 8 </w:t>
      </w:r>
      <w:r w:rsidR="00642BA8" w:rsidRPr="00417E54">
        <w:rPr>
          <w:rFonts w:ascii="Garamond" w:eastAsiaTheme="minorHAnsi" w:hAnsi="Garamond"/>
          <w:color w:val="000000"/>
          <w:sz w:val="24"/>
          <w:szCs w:val="24"/>
          <w:lang w:val="sq-AL"/>
          <w14:ligatures w14:val="standardContextual"/>
        </w:rPr>
        <w:t xml:space="preserve">maj </w:t>
      </w:r>
      <w:r w:rsidRPr="00417E54">
        <w:rPr>
          <w:rFonts w:ascii="Garamond" w:eastAsiaTheme="minorHAnsi" w:hAnsi="Garamond"/>
          <w:color w:val="000000"/>
          <w:sz w:val="24"/>
          <w:szCs w:val="24"/>
          <w:lang w:val="sq-AL"/>
          <w14:ligatures w14:val="standardContextual"/>
        </w:rPr>
        <w:t>2009, kërkuesit depozituan një ankesë në Gjykatën e Lartë</w:t>
      </w:r>
      <w:r w:rsidR="00642BA8">
        <w:rPr>
          <w:rFonts w:ascii="Garamond" w:eastAsiaTheme="minorHAnsi" w:hAnsi="Garamond"/>
          <w:color w:val="000000"/>
          <w:sz w:val="24"/>
          <w:szCs w:val="24"/>
          <w:lang w:val="sq-AL"/>
          <w14:ligatures w14:val="standardContextual"/>
        </w:rPr>
        <w:t>,</w:t>
      </w:r>
      <w:r w:rsidRPr="00417E54">
        <w:rPr>
          <w:rFonts w:ascii="Garamond" w:eastAsiaTheme="minorHAnsi" w:hAnsi="Garamond"/>
          <w:color w:val="000000"/>
          <w:sz w:val="24"/>
          <w:szCs w:val="24"/>
          <w:lang w:val="sq-AL"/>
          <w14:ligatures w14:val="standardContextual"/>
        </w:rPr>
        <w:t xml:space="preserve"> duke argumentuar se Gjykata e Apelit Tiranë nuk i ishte referuar çmimit të duhur për metër katror për pronën e tyre sipas përcaktimit të VKM 139. </w:t>
      </w:r>
    </w:p>
    <w:p w14:paraId="7E30339B" w14:textId="3C4D14BF"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15. Në një datë të paspecifikuar, Ministria paraqiti ankesën e saj në Gjykatën e Lartë. </w:t>
      </w:r>
    </w:p>
    <w:p w14:paraId="1A38C483" w14:textId="276D2C31"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16. Më 21 </w:t>
      </w:r>
      <w:r w:rsidR="00642BA8" w:rsidRPr="00417E54">
        <w:rPr>
          <w:rFonts w:ascii="Garamond" w:eastAsiaTheme="minorHAnsi" w:hAnsi="Garamond"/>
          <w:color w:val="000000"/>
          <w:sz w:val="24"/>
          <w:szCs w:val="24"/>
          <w:lang w:val="sq-AL"/>
          <w14:ligatures w14:val="standardContextual"/>
        </w:rPr>
        <w:t xml:space="preserve">shkurt </w:t>
      </w:r>
      <w:r w:rsidRPr="00417E54">
        <w:rPr>
          <w:rFonts w:ascii="Garamond" w:eastAsiaTheme="minorHAnsi" w:hAnsi="Garamond"/>
          <w:color w:val="000000"/>
          <w:sz w:val="24"/>
          <w:szCs w:val="24"/>
          <w:lang w:val="sq-AL"/>
          <w14:ligatures w14:val="standardContextual"/>
        </w:rPr>
        <w:t xml:space="preserve">2012, Gjykata e Lartë i rrëzoi të dy ankesat si të papranueshme me anë të një vendimi </w:t>
      </w:r>
      <w:r w:rsidRPr="00417E54">
        <w:rPr>
          <w:rFonts w:ascii="Garamond" w:eastAsiaTheme="minorHAnsi" w:hAnsi="Garamond"/>
          <w:i/>
          <w:iCs/>
          <w:color w:val="000000"/>
          <w:sz w:val="24"/>
          <w:szCs w:val="24"/>
          <w:lang w:val="sq-AL"/>
          <w14:ligatures w14:val="standardContextual"/>
        </w:rPr>
        <w:t>de plano</w:t>
      </w:r>
      <w:r w:rsidRPr="00417E54">
        <w:rPr>
          <w:rFonts w:ascii="Garamond" w:eastAsiaTheme="minorHAnsi" w:hAnsi="Garamond"/>
          <w:color w:val="000000"/>
          <w:sz w:val="24"/>
          <w:szCs w:val="24"/>
          <w:lang w:val="sq-AL"/>
          <w14:ligatures w14:val="standardContextual"/>
        </w:rPr>
        <w:t xml:space="preserve"> ku nuk përfshiheshin arsye. </w:t>
      </w:r>
    </w:p>
    <w:p w14:paraId="0ED78B2B" w14:textId="51014FF3"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17. Më 21 </w:t>
      </w:r>
      <w:r w:rsidR="00642BA8" w:rsidRPr="00417E54">
        <w:rPr>
          <w:rFonts w:ascii="Garamond" w:eastAsiaTheme="minorHAnsi" w:hAnsi="Garamond"/>
          <w:color w:val="000000"/>
          <w:sz w:val="24"/>
          <w:szCs w:val="24"/>
          <w:lang w:val="sq-AL"/>
          <w14:ligatures w14:val="standardContextual"/>
        </w:rPr>
        <w:t xml:space="preserve">mars </w:t>
      </w:r>
      <w:r w:rsidRPr="00417E54">
        <w:rPr>
          <w:rFonts w:ascii="Garamond" w:eastAsiaTheme="minorHAnsi" w:hAnsi="Garamond"/>
          <w:color w:val="000000"/>
          <w:sz w:val="24"/>
          <w:szCs w:val="24"/>
          <w:lang w:val="sq-AL"/>
          <w14:ligatures w14:val="standardContextual"/>
        </w:rPr>
        <w:t xml:space="preserve">2014, Gjykata Kushtetuese rrëzoi ankesën kushtetuese të kërkuesit si haptazi të pabazuar. Ajo gjykoi se vendimi i Gjykatës së Apelit Tiranë ishte mjaftueshëm i arsyetuar, dhe sipas argumenteve të paraqitura pranë Gjykatës së Lartë, ajo gjykatë nuk kishte gabuar në rrëzimin e ankesave me anë të një vendimi </w:t>
      </w:r>
      <w:r w:rsidRPr="00417E54">
        <w:rPr>
          <w:rFonts w:ascii="Garamond" w:eastAsiaTheme="minorHAnsi" w:hAnsi="Garamond"/>
          <w:i/>
          <w:iCs/>
          <w:color w:val="000000"/>
          <w:sz w:val="24"/>
          <w:szCs w:val="24"/>
          <w:lang w:val="sq-AL"/>
          <w14:ligatures w14:val="standardContextual"/>
        </w:rPr>
        <w:t xml:space="preserve">de plano. </w:t>
      </w:r>
    </w:p>
    <w:p w14:paraId="45A34D29" w14:textId="1E6F0048" w:rsidR="00A11EBB" w:rsidRPr="00417E54" w:rsidRDefault="00A11EBB" w:rsidP="00A11EBB">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417E54">
        <w:rPr>
          <w:rFonts w:ascii="Garamond" w:eastAsiaTheme="minorHAnsi" w:hAnsi="Garamond"/>
          <w:b/>
          <w:bCs/>
          <w:color w:val="000000"/>
          <w:sz w:val="24"/>
          <w:szCs w:val="24"/>
          <w:lang w:val="sq-AL"/>
          <w14:ligatures w14:val="standardContextual"/>
        </w:rPr>
        <w:t>B. Ligji dhe praktika gjyqësore vend</w:t>
      </w:r>
      <w:r w:rsidR="00642BA8">
        <w:rPr>
          <w:rFonts w:ascii="Garamond" w:eastAsiaTheme="minorHAnsi" w:hAnsi="Garamond"/>
          <w:b/>
          <w:bCs/>
          <w:color w:val="000000"/>
          <w:sz w:val="24"/>
          <w:szCs w:val="24"/>
          <w:lang w:val="sq-AL"/>
          <w14:ligatures w14:val="standardContextual"/>
        </w:rPr>
        <w:t>ë</w:t>
      </w:r>
      <w:r w:rsidRPr="00417E54">
        <w:rPr>
          <w:rFonts w:ascii="Garamond" w:eastAsiaTheme="minorHAnsi" w:hAnsi="Garamond"/>
          <w:b/>
          <w:bCs/>
          <w:color w:val="000000"/>
          <w:sz w:val="24"/>
          <w:szCs w:val="24"/>
          <w:lang w:val="sq-AL"/>
          <w14:ligatures w14:val="standardContextual"/>
        </w:rPr>
        <w:t xml:space="preserve">se </w:t>
      </w:r>
    </w:p>
    <w:p w14:paraId="72AB7AC7" w14:textId="1661CCC6"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18. Sipas </w:t>
      </w:r>
      <w:r w:rsidR="00C85AA1"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 xml:space="preserve">459 të Kodit të Procedurës Civile (“KPC”) në fuqi përpara ndryshimeve të vitit 2017, një paditës konsiderohej të kishte hequr dorë nga pretendimet dhe argumentet që nuk ishin marrë në konsideratë në vendimin e shkallës së parë dhe nuk ishin ridorëzuar me anë të një ankese në gjykatën e shkallës së dytë. </w:t>
      </w:r>
    </w:p>
    <w:p w14:paraId="37921104" w14:textId="02552D18"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19. Në vendimin nr. 1283 të datës 22 </w:t>
      </w:r>
      <w:r w:rsidR="00C85AA1" w:rsidRPr="00417E54">
        <w:rPr>
          <w:rFonts w:ascii="Garamond" w:eastAsiaTheme="minorHAnsi" w:hAnsi="Garamond"/>
          <w:color w:val="000000"/>
          <w:sz w:val="24"/>
          <w:szCs w:val="24"/>
          <w:lang w:val="sq-AL"/>
          <w14:ligatures w14:val="standardContextual"/>
        </w:rPr>
        <w:t xml:space="preserve">tetor </w:t>
      </w:r>
      <w:r w:rsidRPr="00417E54">
        <w:rPr>
          <w:rFonts w:ascii="Garamond" w:eastAsiaTheme="minorHAnsi" w:hAnsi="Garamond"/>
          <w:color w:val="000000"/>
          <w:sz w:val="24"/>
          <w:szCs w:val="24"/>
          <w:lang w:val="sq-AL"/>
          <w14:ligatures w14:val="standardContextual"/>
        </w:rPr>
        <w:t xml:space="preserve">1999, Gjykata e Lartë vlerësoi se argumenti i paraqitur përpara saj ishte paraqitur vetëm në terma të përgjithshëm përpara gjykatës së apelit. Sipas rrethanave, gjykata argumentoi se sipas interpretimit të </w:t>
      </w:r>
      <w:r w:rsidR="00C85AA1"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459 të KPC</w:t>
      </w:r>
      <w:r w:rsidR="00C85AA1">
        <w:rPr>
          <w:rFonts w:ascii="Garamond" w:eastAsiaTheme="minorHAnsi" w:hAnsi="Garamond"/>
          <w:color w:val="000000"/>
          <w:sz w:val="24"/>
          <w:szCs w:val="24"/>
          <w:lang w:val="sq-AL"/>
          <w14:ligatures w14:val="standardContextual"/>
        </w:rPr>
        <w:t>-së</w:t>
      </w:r>
      <w:r w:rsidRPr="00417E54">
        <w:rPr>
          <w:rFonts w:ascii="Garamond" w:eastAsiaTheme="minorHAnsi" w:hAnsi="Garamond"/>
          <w:color w:val="000000"/>
          <w:sz w:val="24"/>
          <w:szCs w:val="24"/>
          <w:lang w:val="sq-AL"/>
          <w14:ligatures w14:val="standardContextual"/>
        </w:rPr>
        <w:t xml:space="preserve">, argumenti konkret nuk ishte shpjeguar në mënyrën e duhur përpara gjykatës së apelit; për këtë arsye Gjykata e Lartë nuk mund ta shqyrtonte. </w:t>
      </w:r>
    </w:p>
    <w:p w14:paraId="79A38F81" w14:textId="16D09F1C"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20. Në shumë çështje të mëpasshme, Gjykata e Lartë iu referua </w:t>
      </w:r>
      <w:r w:rsidR="00C85AA1"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459 të KPC</w:t>
      </w:r>
      <w:r w:rsidR="00C85AA1">
        <w:rPr>
          <w:rFonts w:ascii="Garamond" w:eastAsiaTheme="minorHAnsi" w:hAnsi="Garamond"/>
          <w:color w:val="000000"/>
          <w:sz w:val="24"/>
          <w:szCs w:val="24"/>
          <w:lang w:val="sq-AL"/>
          <w14:ligatures w14:val="standardContextual"/>
        </w:rPr>
        <w:t>-së</w:t>
      </w:r>
      <w:r w:rsidRPr="00417E54">
        <w:rPr>
          <w:rFonts w:ascii="Garamond" w:eastAsiaTheme="minorHAnsi" w:hAnsi="Garamond"/>
          <w:color w:val="000000"/>
          <w:sz w:val="24"/>
          <w:szCs w:val="24"/>
          <w:lang w:val="sq-AL"/>
          <w14:ligatures w14:val="standardContextual"/>
        </w:rPr>
        <w:t xml:space="preserve"> për rrëzimin e shqyrtimit të pretendimeve dhe kërkesave që nuk ishin marrë në konsideratë në vendimin e shkallës së parë dhe nuk ishin riparaqitur në gjykatën e apelit (shih, për shembull, vendimi i kolegjeve të bashkuara nr. 10 i datës 15 </w:t>
      </w:r>
      <w:r w:rsidR="00C85AA1" w:rsidRPr="00417E54">
        <w:rPr>
          <w:rFonts w:ascii="Garamond" w:eastAsiaTheme="minorHAnsi" w:hAnsi="Garamond"/>
          <w:color w:val="000000"/>
          <w:sz w:val="24"/>
          <w:szCs w:val="24"/>
          <w:lang w:val="sq-AL"/>
          <w14:ligatures w14:val="standardContextual"/>
        </w:rPr>
        <w:t xml:space="preserve">nëntor </w:t>
      </w:r>
      <w:r w:rsidRPr="00417E54">
        <w:rPr>
          <w:rFonts w:ascii="Garamond" w:eastAsiaTheme="minorHAnsi" w:hAnsi="Garamond"/>
          <w:color w:val="000000"/>
          <w:sz w:val="24"/>
          <w:szCs w:val="24"/>
          <w:lang w:val="sq-AL"/>
          <w14:ligatures w14:val="standardContextual"/>
        </w:rPr>
        <w:t xml:space="preserve">2011; vendimi nr. 366 i datës 30 </w:t>
      </w:r>
      <w:r w:rsidR="00C85AA1" w:rsidRPr="00417E54">
        <w:rPr>
          <w:rFonts w:ascii="Garamond" w:eastAsiaTheme="minorHAnsi" w:hAnsi="Garamond"/>
          <w:color w:val="000000"/>
          <w:sz w:val="24"/>
          <w:szCs w:val="24"/>
          <w:lang w:val="sq-AL"/>
          <w14:ligatures w14:val="standardContextual"/>
        </w:rPr>
        <w:t xml:space="preserve">shtator </w:t>
      </w:r>
      <w:r w:rsidRPr="00417E54">
        <w:rPr>
          <w:rFonts w:ascii="Garamond" w:eastAsiaTheme="minorHAnsi" w:hAnsi="Garamond"/>
          <w:color w:val="000000"/>
          <w:sz w:val="24"/>
          <w:szCs w:val="24"/>
          <w:lang w:val="sq-AL"/>
          <w14:ligatures w14:val="standardContextual"/>
        </w:rPr>
        <w:t>2010).</w:t>
      </w:r>
    </w:p>
    <w:p w14:paraId="35FD1F67" w14:textId="7777777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lastRenderedPageBreak/>
        <w:t xml:space="preserve">VLERËSIMI I GJYKATËS </w:t>
      </w:r>
    </w:p>
    <w:p w14:paraId="0B18BA0F" w14:textId="2C90BA4A"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21. Kërkuesit u ankuan për një shkelje të së drejtës së tyre ndaj pronës sipas </w:t>
      </w:r>
      <w:r w:rsidR="00C85AA1"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 xml:space="preserve">1 të Protokollit </w:t>
      </w:r>
      <w:r w:rsidR="00C85AA1" w:rsidRPr="00417E54">
        <w:rPr>
          <w:rFonts w:ascii="Garamond" w:eastAsiaTheme="minorHAnsi" w:hAnsi="Garamond"/>
          <w:color w:val="000000"/>
          <w:sz w:val="24"/>
          <w:szCs w:val="24"/>
          <w:lang w:val="sq-AL"/>
          <w14:ligatures w14:val="standardContextual"/>
        </w:rPr>
        <w:t>nr</w:t>
      </w:r>
      <w:r w:rsidRPr="00417E54">
        <w:rPr>
          <w:rFonts w:ascii="Garamond" w:eastAsiaTheme="minorHAnsi" w:hAnsi="Garamond"/>
          <w:color w:val="000000"/>
          <w:sz w:val="24"/>
          <w:szCs w:val="24"/>
          <w:lang w:val="sq-AL"/>
          <w14:ligatures w14:val="standardContextual"/>
        </w:rPr>
        <w:t>. 1 të Konventës</w:t>
      </w:r>
      <w:r w:rsidR="00C85AA1">
        <w:rPr>
          <w:rFonts w:ascii="Garamond" w:eastAsiaTheme="minorHAnsi" w:hAnsi="Garamond"/>
          <w:color w:val="000000"/>
          <w:sz w:val="24"/>
          <w:szCs w:val="24"/>
          <w:lang w:val="sq-AL"/>
          <w14:ligatures w14:val="standardContextual"/>
        </w:rPr>
        <w:t>,</w:t>
      </w:r>
      <w:r w:rsidRPr="00417E54">
        <w:rPr>
          <w:rFonts w:ascii="Garamond" w:eastAsiaTheme="minorHAnsi" w:hAnsi="Garamond"/>
          <w:color w:val="000000"/>
          <w:sz w:val="24"/>
          <w:szCs w:val="24"/>
          <w:lang w:val="sq-AL"/>
          <w14:ligatures w14:val="standardContextual"/>
        </w:rPr>
        <w:t xml:space="preserve"> për shkak se Gjykata e Apelit Tiranë nuk i kishte akorduar kompensim për pronën e tyre të shpronësuar me çmimin prej 26,787 ALL për m</w:t>
      </w:r>
      <w:r w:rsidRPr="00C85AA1">
        <w:rPr>
          <w:rStyle w:val="NoSpacingChar"/>
          <w:rFonts w:ascii="Garamond" w:eastAsiaTheme="minorHAnsi" w:hAnsi="Garamond"/>
          <w:sz w:val="24"/>
          <w:szCs w:val="24"/>
          <w:vertAlign w:val="superscript"/>
        </w:rPr>
        <w:t>2</w:t>
      </w:r>
      <w:r w:rsidRPr="00417E54">
        <w:rPr>
          <w:rFonts w:ascii="Garamond" w:eastAsiaTheme="minorHAnsi" w:hAnsi="Garamond"/>
          <w:color w:val="000000"/>
          <w:sz w:val="24"/>
          <w:szCs w:val="24"/>
          <w:lang w:val="sq-AL"/>
          <w14:ligatures w14:val="standardContextual"/>
        </w:rPr>
        <w:t xml:space="preserve">, që ishte në fuqi në datën e atij vendimi gjykate. </w:t>
      </w:r>
    </w:p>
    <w:p w14:paraId="4EA683CD" w14:textId="6522DEE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22. Parimet përkatëse për shterimin e mjeteve vend</w:t>
      </w:r>
      <w:r w:rsidR="00F32A01">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 xml:space="preserve">se janë përmbledhur në </w:t>
      </w:r>
      <w:r w:rsidRPr="00417E54">
        <w:rPr>
          <w:rFonts w:ascii="Garamond" w:eastAsiaTheme="minorHAnsi" w:hAnsi="Garamond"/>
          <w:i/>
          <w:iCs/>
          <w:color w:val="000000"/>
          <w:sz w:val="24"/>
          <w:szCs w:val="24"/>
          <w:lang w:val="sq-AL"/>
          <w14:ligatures w14:val="standardContextual"/>
        </w:rPr>
        <w:t xml:space="preserve">Vučković dhe të Tjerë kundër Serbisë </w:t>
      </w:r>
      <w:r w:rsidRPr="00417E54">
        <w:rPr>
          <w:rFonts w:ascii="Garamond" w:eastAsiaTheme="minorHAnsi" w:hAnsi="Garamond"/>
          <w:color w:val="000000"/>
          <w:sz w:val="24"/>
          <w:szCs w:val="24"/>
          <w:lang w:val="sq-AL"/>
          <w14:ligatures w14:val="standardContextual"/>
        </w:rPr>
        <w:t>(kundërshtim paraprak) [DHM], nr. 17153/11 dhe 29 të tjerë, §§ 69</w:t>
      </w:r>
      <w:r w:rsidR="00AD31ED">
        <w:rPr>
          <w:rFonts w:ascii="Garamond" w:eastAsiaTheme="minorHAnsi" w:hAnsi="Garamond"/>
          <w:color w:val="000000"/>
          <w:sz w:val="24"/>
          <w:szCs w:val="24"/>
          <w:lang w:val="sq-AL"/>
          <w14:ligatures w14:val="standardContextual"/>
        </w:rPr>
        <w:t>–</w:t>
      </w:r>
      <w:r w:rsidRPr="00417E54">
        <w:rPr>
          <w:rFonts w:ascii="Garamond" w:eastAsiaTheme="minorHAnsi" w:hAnsi="Garamond"/>
          <w:color w:val="000000"/>
          <w:sz w:val="24"/>
          <w:szCs w:val="24"/>
          <w:lang w:val="sq-AL"/>
          <w14:ligatures w14:val="standardContextual"/>
        </w:rPr>
        <w:t xml:space="preserve">77, 25 </w:t>
      </w:r>
      <w:r w:rsidR="00AD31ED" w:rsidRPr="00417E54">
        <w:rPr>
          <w:rFonts w:ascii="Garamond" w:eastAsiaTheme="minorHAnsi" w:hAnsi="Garamond"/>
          <w:color w:val="000000"/>
          <w:sz w:val="24"/>
          <w:szCs w:val="24"/>
          <w:lang w:val="sq-AL"/>
          <w14:ligatures w14:val="standardContextual"/>
        </w:rPr>
        <w:t xml:space="preserve">mars </w:t>
      </w:r>
      <w:r w:rsidRPr="00417E54">
        <w:rPr>
          <w:rFonts w:ascii="Garamond" w:eastAsiaTheme="minorHAnsi" w:hAnsi="Garamond"/>
          <w:color w:val="000000"/>
          <w:sz w:val="24"/>
          <w:szCs w:val="24"/>
          <w:lang w:val="sq-AL"/>
          <w14:ligatures w14:val="standardContextual"/>
        </w:rPr>
        <w:t xml:space="preserve">2014. </w:t>
      </w:r>
    </w:p>
    <w:p w14:paraId="651B2BB5" w14:textId="7ECBA61A"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23. Qeveria shpjegoi se kërkuesit nuk ishin ankuar për çmimin për metër katror përpara gjykatave të shkallës së parë dhe të dytë. Sipas këndvështrimit të Qeverisë, kërkuesit e kishin ngritur atë çështje për herë të parë në ankesën e tyre në Gjykatën e Lartë, që nuk ishte rruga e duhur për të shteruar mjetet vend</w:t>
      </w:r>
      <w:r w:rsidR="00F32A01">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 xml:space="preserve">se. </w:t>
      </w:r>
    </w:p>
    <w:p w14:paraId="5E68AF98" w14:textId="135CBC11"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24. Gjykata nuk mund të mos merrte në konsideratë argumentin e Qeverisë për këtë aspekt. Ajo vëren se gjatë gjithë procedurave përpara gjykatave të shkallës së parë dhe të dytë, kërkuesit ishin mbështetur ekskluzivisht në vlerësimin fillestar të pronës së tyre bërë nga autoritetet (shih paragrafin 5 më sipër). Gjithashtu, ata nuk kishin kërkuar caktimin e një eksperti për të bërë një vlerësim të ri për pronën e tyre në vlerën e tregut. Gjithashtu, ata nuk kishin kërkuar që eksperti i caktuar nga Gjykata e Apelit Tiranë të procedonte me një rivlerësim të tillë. Faktikisht, ata u mbështetën në raportin fillestar të ekspertit pa rezerva. Në mungesë të këtyre parashtrimeve gjatë fazës së provës së procedurave, referenca e kërkuesve te deklarata përmbyllëse përpara Gjykatës së Apelit Tiranë për “vlerën e tregut” të pronës së tyre (shih paragrafin 12 më sipër), nuk ofronte baza të vlefshme për rishqyrtimin e kuantit të pretendimit të tyre për kompensim. Ai përfundim përforcohet me anë të faktit se edhe në deklaratën e tyre përmbyllëse, ata nuk sqaronin vlerën e tregut të pronës, ose mënyrën se si duhej të përllogaritej ajo pronë. Gjykata vlerëson se i takon kërkuesve që të bëjnë shpjegime të detajuara për vlerën e supozuar të rritur të tokës së tyre, në varësi të periudhës përkatëse të shpronësimit, edhe në mungesë të një vendimi të Qeverisë për rregullimin e çështjes. </w:t>
      </w:r>
    </w:p>
    <w:p w14:paraId="7125492F" w14:textId="6ED86CA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25. Në lidhje me VKM 139, Gjykata vëren se në periudhën midis 25 </w:t>
      </w:r>
      <w:r w:rsidR="000739EB" w:rsidRPr="00417E54">
        <w:rPr>
          <w:rFonts w:ascii="Garamond" w:eastAsiaTheme="minorHAnsi" w:hAnsi="Garamond"/>
          <w:color w:val="000000"/>
          <w:sz w:val="24"/>
          <w:szCs w:val="24"/>
          <w:lang w:val="sq-AL"/>
          <w14:ligatures w14:val="standardContextual"/>
        </w:rPr>
        <w:t xml:space="preserve">shkurtit </w:t>
      </w:r>
      <w:r w:rsidRPr="00417E54">
        <w:rPr>
          <w:rFonts w:ascii="Garamond" w:eastAsiaTheme="minorHAnsi" w:hAnsi="Garamond"/>
          <w:color w:val="000000"/>
          <w:sz w:val="24"/>
          <w:szCs w:val="24"/>
          <w:lang w:val="sq-AL"/>
          <w14:ligatures w14:val="standardContextual"/>
        </w:rPr>
        <w:t xml:space="preserve">2008, kur ligji u botua dhe hyri në fuqi (shih paragrafin 9 më sipër), dhe 9 </w:t>
      </w:r>
      <w:r w:rsidR="000739EB" w:rsidRPr="00417E54">
        <w:rPr>
          <w:rFonts w:ascii="Garamond" w:eastAsiaTheme="minorHAnsi" w:hAnsi="Garamond"/>
          <w:color w:val="000000"/>
          <w:sz w:val="24"/>
          <w:szCs w:val="24"/>
          <w:lang w:val="sq-AL"/>
          <w14:ligatures w14:val="standardContextual"/>
        </w:rPr>
        <w:t xml:space="preserve">prillit </w:t>
      </w:r>
      <w:r w:rsidRPr="00417E54">
        <w:rPr>
          <w:rFonts w:ascii="Garamond" w:eastAsiaTheme="minorHAnsi" w:hAnsi="Garamond"/>
          <w:color w:val="000000"/>
          <w:sz w:val="24"/>
          <w:szCs w:val="24"/>
          <w:lang w:val="sq-AL"/>
          <w14:ligatures w14:val="standardContextual"/>
        </w:rPr>
        <w:t xml:space="preserve">2009, kur Gjykata e Apelit Tiranë dorëzoi vendimin e saj, </w:t>
      </w:r>
      <w:r w:rsidR="000739EB">
        <w:rPr>
          <w:rFonts w:ascii="Garamond" w:eastAsiaTheme="minorHAnsi" w:hAnsi="Garamond"/>
          <w:color w:val="000000"/>
          <w:sz w:val="24"/>
          <w:szCs w:val="24"/>
          <w:lang w:val="sq-AL"/>
          <w14:ligatures w14:val="standardContextual"/>
        </w:rPr>
        <w:t>u</w:t>
      </w:r>
      <w:r w:rsidRPr="00417E54">
        <w:rPr>
          <w:rFonts w:ascii="Garamond" w:eastAsiaTheme="minorHAnsi" w:hAnsi="Garamond"/>
          <w:color w:val="000000"/>
          <w:sz w:val="24"/>
          <w:szCs w:val="24"/>
          <w:lang w:val="sq-AL"/>
          <w14:ligatures w14:val="standardContextual"/>
        </w:rPr>
        <w:t xml:space="preserve"> takonte kërkuesve të argumentonin se ai duhej të zbatohej për shpronësimin konkret, dhe ta paraqisnin ankesën e tyre sipas Konventës në Gjykatën e Apelit Tiranë. Megjithatë, nuk ka asnjë të dhënë se kërkuesit iu referuan ndonjëherë VKM 139 gjatë gjykimit, ose në deklaratat e tyre përmbyllëse përpara asaj gjykate (shih paragrafin 12 më sipër). Në vend të kësaj, ata e ngritën këtë argument për herë të parë përpara Gjykatës së Lartë (shih paragrafin 14 më sipër). </w:t>
      </w:r>
    </w:p>
    <w:p w14:paraId="3E7590A7" w14:textId="42C53D9D"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26. Në lidhje me këtë aspekt, Gjykata vëren, fillimisht, se sipas ligjit vend</w:t>
      </w:r>
      <w:r w:rsidR="000739EB">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s, pretendimet që nuk ishin marrë në parasysh nga gjykata e shkallës së parë dhe nuk ishin riparaqitur përpara gjykatës së apelit konsideroheshin sikur ishte hequr dorë prej tyre (shih paragrafët 18 deri 20 më sipër). Së dyti, kërkuesit nuk shpjeguan në ankesën e tyre në Gjykatën e Lartë, apo në shpjegimet e tyre të mëpasshme, pse nuk kishin bërë shpjegime</w:t>
      </w:r>
      <w:r w:rsidR="000739EB">
        <w:rPr>
          <w:rFonts w:ascii="Garamond" w:eastAsiaTheme="minorHAnsi" w:hAnsi="Garamond"/>
          <w:color w:val="000000"/>
          <w:sz w:val="24"/>
          <w:szCs w:val="24"/>
          <w:lang w:val="sq-AL"/>
          <w14:ligatures w14:val="standardContextual"/>
        </w:rPr>
        <w:t>,</w:t>
      </w:r>
      <w:r w:rsidRPr="00417E54">
        <w:rPr>
          <w:rFonts w:ascii="Garamond" w:eastAsiaTheme="minorHAnsi" w:hAnsi="Garamond"/>
          <w:color w:val="000000"/>
          <w:sz w:val="24"/>
          <w:szCs w:val="24"/>
          <w:lang w:val="sq-AL"/>
          <w14:ligatures w14:val="standardContextual"/>
        </w:rPr>
        <w:t xml:space="preserve"> në lidhje me metodën e përllogaritjes përpara gjykatave të shkallës së parë dhe të dytë. </w:t>
      </w:r>
    </w:p>
    <w:p w14:paraId="3F3B24D2" w14:textId="59B189E8"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27. Sipas rrethanave, ankesa e kërkuesve në lidhje me pretendimin se gjykatat vend</w:t>
      </w:r>
      <w:r w:rsidR="00F32A01">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se nuk kishin zbatuar VKM 139, mbetej i pashqyrtuar për meritat nga ato gjykata pasi ajo ankesë nuk ishte paraqitur në përputhje me rregullat vend</w:t>
      </w:r>
      <w:r w:rsidR="000739EB">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 xml:space="preserve">se (shih </w:t>
      </w:r>
      <w:r w:rsidRPr="00417E54">
        <w:rPr>
          <w:rFonts w:ascii="Garamond" w:eastAsiaTheme="minorHAnsi" w:hAnsi="Garamond"/>
          <w:i/>
          <w:iCs/>
          <w:color w:val="000000"/>
          <w:sz w:val="24"/>
          <w:szCs w:val="24"/>
          <w:lang w:val="sq-AL"/>
          <w14:ligatures w14:val="standardContextual"/>
        </w:rPr>
        <w:t>Vučković</w:t>
      </w:r>
      <w:r w:rsidRPr="00417E54">
        <w:rPr>
          <w:rFonts w:ascii="Garamond" w:eastAsiaTheme="minorHAnsi" w:hAnsi="Garamond"/>
          <w:color w:val="000000"/>
          <w:sz w:val="24"/>
          <w:szCs w:val="24"/>
          <w:lang w:val="sq-AL"/>
          <w14:ligatures w14:val="standardContextual"/>
        </w:rPr>
        <w:t xml:space="preserve">, cituar më sipër, § 72). </w:t>
      </w:r>
    </w:p>
    <w:p w14:paraId="5B005112" w14:textId="26B686BE"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28. Së fundmi, shpjegimi i kërkuesve përpara Gjykatës mund të konsiderohet më gjerësisht si një ankesë në lidhje me efektin e vonesës së autoriteteve për t’i paguar atyre kompensimin për pronën e tyre të shpronësuar. Në të vërtetë, Gjykata ka gjykuar se përshtatshmëria e kompensimit do të zvogëlohej nëse kompensimi do të paguhej pa iu referuar rrethanave të ndryshme përgjegjëse për zvogëlimin e vlerës së tij, të tilla si vonesat e paarsyeshme ose në mënyrë të pazakontë të gjata (shih </w:t>
      </w:r>
      <w:r w:rsidRPr="00417E54">
        <w:rPr>
          <w:rFonts w:ascii="Garamond" w:eastAsiaTheme="minorHAnsi" w:hAnsi="Garamond"/>
          <w:i/>
          <w:iCs/>
          <w:color w:val="000000"/>
          <w:sz w:val="24"/>
          <w:szCs w:val="24"/>
          <w:lang w:val="sq-AL"/>
          <w14:ligatures w14:val="standardContextual"/>
        </w:rPr>
        <w:t>Frendo Randon dhe të Tjerë kundër Maltës</w:t>
      </w:r>
      <w:r w:rsidRPr="00417E54">
        <w:rPr>
          <w:rFonts w:ascii="Garamond" w:eastAsiaTheme="minorHAnsi" w:hAnsi="Garamond"/>
          <w:color w:val="000000"/>
          <w:sz w:val="24"/>
          <w:szCs w:val="24"/>
          <w:lang w:val="sq-AL"/>
          <w14:ligatures w14:val="standardContextual"/>
        </w:rPr>
        <w:t xml:space="preserve">, nr. 2226/10, § 55, 22 </w:t>
      </w:r>
      <w:r w:rsidR="000739EB" w:rsidRPr="00417E54">
        <w:rPr>
          <w:rFonts w:ascii="Garamond" w:eastAsiaTheme="minorHAnsi" w:hAnsi="Garamond"/>
          <w:color w:val="000000"/>
          <w:sz w:val="24"/>
          <w:szCs w:val="24"/>
          <w:lang w:val="sq-AL"/>
          <w14:ligatures w14:val="standardContextual"/>
        </w:rPr>
        <w:t xml:space="preserve">nëntor </w:t>
      </w:r>
      <w:r w:rsidRPr="00417E54">
        <w:rPr>
          <w:rFonts w:ascii="Garamond" w:eastAsiaTheme="minorHAnsi" w:hAnsi="Garamond"/>
          <w:color w:val="000000"/>
          <w:sz w:val="24"/>
          <w:szCs w:val="24"/>
          <w:lang w:val="sq-AL"/>
          <w14:ligatures w14:val="standardContextual"/>
        </w:rPr>
        <w:t xml:space="preserve">2011). Megjithatë, e drejta e kërkuesve për të marrë kompensim të përshtatshëm, duke marrë në konsideratë periudhën kohore dhe rrethana të tjera, varej nga depozitimi i një pretendimi në gjykatë ku adresoheshin këto çështje në mënyrën e duhur me kërkesën për lehtësim. Për shembull, në parim kërkuesit kishin mundësinë që të kërkonin një shumë më të lartë për metër katror (në varësi të vlerës në momentin e shpronësimit konkret), interes për shlyerje të vonuar, kompensim për çdo dëmtim ose humbje të </w:t>
      </w:r>
      <w:r w:rsidRPr="00417E54">
        <w:rPr>
          <w:rFonts w:ascii="Garamond" w:eastAsiaTheme="minorHAnsi" w:hAnsi="Garamond"/>
          <w:color w:val="000000"/>
          <w:sz w:val="24"/>
          <w:szCs w:val="24"/>
          <w:lang w:val="sq-AL"/>
          <w14:ligatures w14:val="standardContextual"/>
        </w:rPr>
        <w:lastRenderedPageBreak/>
        <w:t>fitimeve, apo të depozitonin ndonjë pretendim tjetër të ngjashëm. Megjithatë, Gjykata vëren se kërkuesit nuk kanë kërkuar një lehtësim të tillë nga gjykatat vend</w:t>
      </w:r>
      <w:r w:rsidR="000739EB">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 xml:space="preserve">se. </w:t>
      </w:r>
    </w:p>
    <w:p w14:paraId="36331600" w14:textId="3192BB8F"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29. Sipas këtij konteksti, Gjykata vlerëson se nuk është e nevojshme që të marrë një vendim për kundërshtimet e tjera të paraqitura nga Qeveria dhe arrin në përfundimin se ankesa e kërkuesve në lidhje me shumën e kompensimit për pronën e tyre të shpronësuar duhet të rrëzohet sipas </w:t>
      </w:r>
      <w:r w:rsidR="000739EB" w:rsidRPr="00417E54">
        <w:rPr>
          <w:rFonts w:ascii="Garamond" w:eastAsiaTheme="minorHAnsi" w:hAnsi="Garamond"/>
          <w:color w:val="000000"/>
          <w:sz w:val="24"/>
          <w:szCs w:val="24"/>
          <w:lang w:val="sq-AL"/>
          <w14:ligatures w14:val="standardContextual"/>
        </w:rPr>
        <w:t xml:space="preserve">nenit </w:t>
      </w:r>
      <w:r w:rsidRPr="00417E54">
        <w:rPr>
          <w:rFonts w:ascii="Garamond" w:eastAsiaTheme="minorHAnsi" w:hAnsi="Garamond"/>
          <w:color w:val="000000"/>
          <w:sz w:val="24"/>
          <w:szCs w:val="24"/>
          <w:lang w:val="sq-AL"/>
          <w14:ligatures w14:val="standardContextual"/>
        </w:rPr>
        <w:t>35 §§ 1 dhe 4 të Konventës për mosshfrytëzim të mjeteve vend</w:t>
      </w:r>
      <w:r w:rsidR="00F32A01">
        <w:rPr>
          <w:rFonts w:ascii="Garamond" w:eastAsiaTheme="minorHAnsi" w:hAnsi="Garamond"/>
          <w:color w:val="000000"/>
          <w:sz w:val="24"/>
          <w:szCs w:val="24"/>
          <w:lang w:val="sq-AL"/>
          <w14:ligatures w14:val="standardContextual"/>
        </w:rPr>
        <w:t>ë</w:t>
      </w:r>
      <w:r w:rsidRPr="00417E54">
        <w:rPr>
          <w:rFonts w:ascii="Garamond" w:eastAsiaTheme="minorHAnsi" w:hAnsi="Garamond"/>
          <w:color w:val="000000"/>
          <w:sz w:val="24"/>
          <w:szCs w:val="24"/>
          <w:lang w:val="sq-AL"/>
          <w14:ligatures w14:val="standardContextual"/>
        </w:rPr>
        <w:t xml:space="preserve">se. </w:t>
      </w:r>
    </w:p>
    <w:p w14:paraId="0767F945" w14:textId="77777777"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Për këto arsye, Gjykata, në mënyrë unanime, </w:t>
      </w:r>
    </w:p>
    <w:p w14:paraId="3AD28FF4" w14:textId="0DD61DE3"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i/>
          <w:iCs/>
          <w:color w:val="000000"/>
          <w:sz w:val="24"/>
          <w:szCs w:val="24"/>
          <w:lang w:val="sq-AL"/>
          <w14:ligatures w14:val="standardContextual"/>
        </w:rPr>
        <w:t xml:space="preserve">E shpall </w:t>
      </w:r>
      <w:r w:rsidRPr="00417E54">
        <w:rPr>
          <w:rFonts w:ascii="Garamond" w:eastAsiaTheme="minorHAnsi" w:hAnsi="Garamond"/>
          <w:color w:val="000000"/>
          <w:sz w:val="24"/>
          <w:szCs w:val="24"/>
          <w:lang w:val="sq-AL"/>
          <w14:ligatures w14:val="standardContextual"/>
        </w:rPr>
        <w:t xml:space="preserve">kërkesën të papranueshme. </w:t>
      </w:r>
    </w:p>
    <w:p w14:paraId="2335E611" w14:textId="56201C5E"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 xml:space="preserve">Hartuar në gjuhën angleze dhe njoftuar me shkrim më datë 19 </w:t>
      </w:r>
      <w:r w:rsidR="000739EB" w:rsidRPr="00417E54">
        <w:rPr>
          <w:rFonts w:ascii="Garamond" w:eastAsiaTheme="minorHAnsi" w:hAnsi="Garamond"/>
          <w:color w:val="000000"/>
          <w:sz w:val="24"/>
          <w:szCs w:val="24"/>
          <w:lang w:val="sq-AL"/>
          <w14:ligatures w14:val="standardContextual"/>
        </w:rPr>
        <w:t xml:space="preserve">janar </w:t>
      </w:r>
      <w:r w:rsidRPr="00417E54">
        <w:rPr>
          <w:rFonts w:ascii="Garamond" w:eastAsiaTheme="minorHAnsi" w:hAnsi="Garamond"/>
          <w:color w:val="000000"/>
          <w:sz w:val="24"/>
          <w:szCs w:val="24"/>
          <w:lang w:val="sq-AL"/>
          <w14:ligatures w14:val="standardContextual"/>
        </w:rPr>
        <w:t>2023.</w:t>
      </w:r>
    </w:p>
    <w:p w14:paraId="65C7EDB8" w14:textId="6A454FB3" w:rsidR="00A11EBB" w:rsidRPr="00417E54" w:rsidRDefault="00A11EBB" w:rsidP="00A11EBB">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2693"/>
      </w:tblGrid>
      <w:tr w:rsidR="00A11EBB" w:rsidRPr="000739EB" w14:paraId="0BB390AE" w14:textId="77777777" w:rsidTr="0074515B">
        <w:trPr>
          <w:jc w:val="center"/>
        </w:trPr>
        <w:tc>
          <w:tcPr>
            <w:tcW w:w="2268" w:type="dxa"/>
            <w:vAlign w:val="center"/>
          </w:tcPr>
          <w:p w14:paraId="6FBB1229" w14:textId="7C64F9A2" w:rsidR="00A11EBB" w:rsidRPr="000739EB" w:rsidRDefault="00A11EBB" w:rsidP="0074515B">
            <w:pPr>
              <w:autoSpaceDE w:val="0"/>
              <w:autoSpaceDN w:val="0"/>
              <w:adjustRightInd w:val="0"/>
              <w:spacing w:after="0" w:line="240" w:lineRule="auto"/>
              <w:jc w:val="center"/>
              <w:rPr>
                <w:rFonts w:ascii="Garamond" w:eastAsiaTheme="minorHAnsi" w:hAnsi="Garamond"/>
                <w:b/>
                <w:bCs/>
                <w:color w:val="000000"/>
                <w:sz w:val="24"/>
                <w:szCs w:val="24"/>
                <w:lang w:val="sq-AL"/>
                <w14:ligatures w14:val="standardContextual"/>
              </w:rPr>
            </w:pPr>
            <w:r w:rsidRPr="000739EB">
              <w:rPr>
                <w:rFonts w:ascii="Garamond" w:eastAsiaTheme="minorHAnsi" w:hAnsi="Garamond"/>
                <w:b/>
                <w:bCs/>
                <w:color w:val="000000"/>
                <w:sz w:val="24"/>
                <w:szCs w:val="24"/>
                <w:lang w:val="sq-AL"/>
                <w14:ligatures w14:val="standardContextual"/>
              </w:rPr>
              <w:t>Olga Chernishova</w:t>
            </w:r>
          </w:p>
        </w:tc>
        <w:tc>
          <w:tcPr>
            <w:tcW w:w="2693" w:type="dxa"/>
            <w:vAlign w:val="center"/>
          </w:tcPr>
          <w:p w14:paraId="76B4A890" w14:textId="494B3818" w:rsidR="00A11EBB" w:rsidRPr="000739EB" w:rsidRDefault="00A11EBB" w:rsidP="0074515B">
            <w:pPr>
              <w:autoSpaceDE w:val="0"/>
              <w:autoSpaceDN w:val="0"/>
              <w:adjustRightInd w:val="0"/>
              <w:spacing w:after="0" w:line="240" w:lineRule="auto"/>
              <w:jc w:val="center"/>
              <w:rPr>
                <w:rFonts w:ascii="Garamond" w:eastAsiaTheme="minorHAnsi" w:hAnsi="Garamond"/>
                <w:b/>
                <w:bCs/>
                <w:color w:val="000000"/>
                <w:sz w:val="24"/>
                <w:szCs w:val="24"/>
                <w:lang w:val="sq-AL"/>
                <w14:ligatures w14:val="standardContextual"/>
              </w:rPr>
            </w:pPr>
            <w:r w:rsidRPr="000739EB">
              <w:rPr>
                <w:rFonts w:ascii="Garamond" w:eastAsiaTheme="minorHAnsi" w:hAnsi="Garamond"/>
                <w:b/>
                <w:bCs/>
                <w:color w:val="000000"/>
                <w:sz w:val="24"/>
                <w:szCs w:val="24"/>
                <w:lang w:val="sq-AL"/>
                <w14:ligatures w14:val="standardContextual"/>
              </w:rPr>
              <w:t>Georgios A. Serghides</w:t>
            </w:r>
          </w:p>
        </w:tc>
      </w:tr>
      <w:tr w:rsidR="00A11EBB" w:rsidRPr="00417E54" w14:paraId="78EF5408" w14:textId="77777777" w:rsidTr="0074515B">
        <w:trPr>
          <w:jc w:val="center"/>
        </w:trPr>
        <w:tc>
          <w:tcPr>
            <w:tcW w:w="2268" w:type="dxa"/>
            <w:vAlign w:val="center"/>
          </w:tcPr>
          <w:p w14:paraId="02C21A23" w14:textId="2C5FFEAF" w:rsidR="00A11EBB" w:rsidRPr="00417E54" w:rsidRDefault="000739EB" w:rsidP="0074515B">
            <w:pPr>
              <w:autoSpaceDE w:val="0"/>
              <w:autoSpaceDN w:val="0"/>
              <w:adjustRightInd w:val="0"/>
              <w:spacing w:after="0" w:line="240" w:lineRule="auto"/>
              <w:jc w:val="center"/>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ZËVENDËSSEKRETAR</w:t>
            </w:r>
          </w:p>
        </w:tc>
        <w:tc>
          <w:tcPr>
            <w:tcW w:w="2693" w:type="dxa"/>
            <w:vAlign w:val="center"/>
          </w:tcPr>
          <w:p w14:paraId="6B7169A8" w14:textId="7DA04231" w:rsidR="00A11EBB" w:rsidRPr="00417E54" w:rsidRDefault="000739EB" w:rsidP="0074515B">
            <w:pPr>
              <w:autoSpaceDE w:val="0"/>
              <w:autoSpaceDN w:val="0"/>
              <w:adjustRightInd w:val="0"/>
              <w:spacing w:after="0" w:line="240" w:lineRule="auto"/>
              <w:jc w:val="center"/>
              <w:rPr>
                <w:rFonts w:ascii="Garamond" w:eastAsiaTheme="minorHAnsi" w:hAnsi="Garamond"/>
                <w:color w:val="000000"/>
                <w:sz w:val="24"/>
                <w:szCs w:val="24"/>
                <w:lang w:val="sq-AL"/>
                <w14:ligatures w14:val="standardContextual"/>
              </w:rPr>
            </w:pPr>
            <w:r w:rsidRPr="00417E54">
              <w:rPr>
                <w:rFonts w:ascii="Garamond" w:eastAsiaTheme="minorHAnsi" w:hAnsi="Garamond"/>
                <w:color w:val="000000"/>
                <w:sz w:val="24"/>
                <w:szCs w:val="24"/>
                <w:lang w:val="sq-AL"/>
                <w14:ligatures w14:val="standardContextual"/>
              </w:rPr>
              <w:t>KRYETAR</w:t>
            </w:r>
          </w:p>
        </w:tc>
      </w:tr>
    </w:tbl>
    <w:p w14:paraId="29B68EC5" w14:textId="0FA76DF2" w:rsidR="00A11EBB" w:rsidRPr="00417E54" w:rsidRDefault="00A11EBB" w:rsidP="00A11EBB">
      <w:pPr>
        <w:pStyle w:val="ECHRPara"/>
        <w:rPr>
          <w:rFonts w:ascii="Garamond" w:hAnsi="Garamond"/>
          <w:bCs/>
          <w:szCs w:val="24"/>
          <w:lang w:val="sq-AL"/>
        </w:rPr>
      </w:pPr>
      <w:r w:rsidRPr="00417E54">
        <w:rPr>
          <w:rFonts w:ascii="Garamond" w:hAnsi="Garamond"/>
          <w:bCs/>
          <w:szCs w:val="24"/>
          <w:lang w:val="sq-AL"/>
        </w:rPr>
        <w:t xml:space="preserve"> </w:t>
      </w:r>
    </w:p>
    <w:p w14:paraId="6DB6F525" w14:textId="4C6F1AFA" w:rsidR="00F30700" w:rsidRPr="00417E54" w:rsidRDefault="000739EB" w:rsidP="00A11EBB">
      <w:pPr>
        <w:pStyle w:val="ECHRPara"/>
        <w:jc w:val="center"/>
        <w:rPr>
          <w:rFonts w:ascii="Garamond" w:hAnsi="Garamond"/>
          <w:b/>
          <w:szCs w:val="24"/>
          <w:lang w:val="sq-AL"/>
        </w:rPr>
      </w:pPr>
      <w:r w:rsidRPr="000739EB">
        <w:rPr>
          <w:rFonts w:ascii="Garamond" w:hAnsi="Garamond"/>
          <w:bCs/>
          <w:szCs w:val="24"/>
          <w:lang w:val="sq-AL"/>
        </w:rPr>
        <w:t>SHTOJCË</w:t>
      </w:r>
    </w:p>
    <w:p w14:paraId="7BEA0210" w14:textId="77777777" w:rsidR="00A11EBB" w:rsidRPr="00417E54" w:rsidRDefault="00A11EBB" w:rsidP="00A11EBB">
      <w:pPr>
        <w:pStyle w:val="ECHRPara"/>
        <w:rPr>
          <w:rFonts w:ascii="Garamond" w:hAnsi="Garamond"/>
          <w:b/>
          <w:szCs w:val="24"/>
          <w:lang w:val="sq-AL"/>
        </w:rPr>
      </w:pPr>
    </w:p>
    <w:p w14:paraId="6577FBC7" w14:textId="2531A094" w:rsidR="00F30700" w:rsidRPr="00417E54" w:rsidRDefault="00F30700" w:rsidP="00A11EBB">
      <w:pPr>
        <w:pStyle w:val="ECHRPara"/>
        <w:rPr>
          <w:rFonts w:ascii="Garamond" w:hAnsi="Garamond"/>
          <w:b/>
          <w:szCs w:val="24"/>
          <w:lang w:val="sq-AL"/>
        </w:rPr>
      </w:pPr>
      <w:r w:rsidRPr="00417E54">
        <w:rPr>
          <w:rFonts w:ascii="Garamond" w:hAnsi="Garamond"/>
          <w:b/>
          <w:szCs w:val="24"/>
          <w:lang w:val="sq-AL"/>
        </w:rPr>
        <w:t>K</w:t>
      </w:r>
      <w:r w:rsidR="00511343" w:rsidRPr="00417E54">
        <w:rPr>
          <w:rFonts w:ascii="Garamond" w:hAnsi="Garamond"/>
          <w:b/>
          <w:szCs w:val="24"/>
          <w:lang w:val="sq-AL"/>
        </w:rPr>
        <w:t>ë</w:t>
      </w:r>
      <w:r w:rsidRPr="00417E54">
        <w:rPr>
          <w:rFonts w:ascii="Garamond" w:hAnsi="Garamond"/>
          <w:b/>
          <w:szCs w:val="24"/>
          <w:lang w:val="sq-AL"/>
        </w:rPr>
        <w:t>rkesa nr. 65774/14</w:t>
      </w:r>
    </w:p>
    <w:p w14:paraId="3362FA48" w14:textId="5D6ABC24" w:rsidR="00F30700" w:rsidRPr="00417E54" w:rsidRDefault="00F30700" w:rsidP="00A11EBB">
      <w:pPr>
        <w:pStyle w:val="ECHRPara"/>
        <w:rPr>
          <w:rFonts w:ascii="Garamond" w:hAnsi="Garamond"/>
          <w:b/>
          <w:szCs w:val="24"/>
          <w:lang w:val="sq-AL"/>
        </w:rPr>
      </w:pPr>
      <w:r w:rsidRPr="00417E54">
        <w:rPr>
          <w:rFonts w:ascii="Garamond" w:hAnsi="Garamond"/>
          <w:b/>
          <w:szCs w:val="24"/>
          <w:lang w:val="sq-AL"/>
        </w:rPr>
        <w:t>Lista e k</w:t>
      </w:r>
      <w:r w:rsidR="00511343" w:rsidRPr="00417E54">
        <w:rPr>
          <w:rFonts w:ascii="Garamond" w:hAnsi="Garamond"/>
          <w:b/>
          <w:szCs w:val="24"/>
          <w:lang w:val="sq-AL"/>
        </w:rPr>
        <w:t>ë</w:t>
      </w:r>
      <w:r w:rsidRPr="00417E54">
        <w:rPr>
          <w:rFonts w:ascii="Garamond" w:hAnsi="Garamond"/>
          <w:b/>
          <w:szCs w:val="24"/>
          <w:lang w:val="sq-AL"/>
        </w:rPr>
        <w:t xml:space="preserve">rkuesve </w:t>
      </w:r>
    </w:p>
    <w:p w14:paraId="7DE72F61" w14:textId="77777777" w:rsidR="00F30700" w:rsidRPr="00417E54" w:rsidRDefault="00F30700" w:rsidP="00A11EBB">
      <w:pPr>
        <w:pStyle w:val="ECHRPara"/>
        <w:rPr>
          <w:rFonts w:ascii="Garamond" w:hAnsi="Garamond"/>
          <w:b/>
          <w:szCs w:val="24"/>
          <w:lang w:val="sq-AL"/>
        </w:rPr>
      </w:pPr>
    </w:p>
    <w:tbl>
      <w:tblPr>
        <w:tblStyle w:val="TableGrid"/>
        <w:tblW w:w="0" w:type="auto"/>
        <w:jc w:val="center"/>
        <w:tblLook w:val="04A0" w:firstRow="1" w:lastRow="0" w:firstColumn="1" w:lastColumn="0" w:noHBand="0" w:noVBand="1"/>
      </w:tblPr>
      <w:tblGrid>
        <w:gridCol w:w="556"/>
        <w:gridCol w:w="3079"/>
        <w:gridCol w:w="1806"/>
        <w:gridCol w:w="1809"/>
        <w:gridCol w:w="1811"/>
      </w:tblGrid>
      <w:tr w:rsidR="00F30700" w:rsidRPr="00417E54" w14:paraId="77569F06" w14:textId="77777777" w:rsidTr="00F30700">
        <w:trPr>
          <w:jc w:val="center"/>
        </w:trPr>
        <w:tc>
          <w:tcPr>
            <w:tcW w:w="556" w:type="dxa"/>
          </w:tcPr>
          <w:p w14:paraId="6449742E" w14:textId="13FFA211" w:rsidR="00F30700" w:rsidRPr="00417E54" w:rsidRDefault="00F30700" w:rsidP="0074515B">
            <w:pPr>
              <w:pStyle w:val="ECHRPara"/>
              <w:ind w:firstLine="0"/>
              <w:jc w:val="right"/>
              <w:rPr>
                <w:rFonts w:ascii="Garamond" w:hAnsi="Garamond"/>
                <w:b/>
                <w:sz w:val="20"/>
                <w:lang w:val="sq-AL"/>
              </w:rPr>
            </w:pPr>
            <w:r w:rsidRPr="00417E54">
              <w:rPr>
                <w:rFonts w:ascii="Garamond" w:hAnsi="Garamond"/>
                <w:b/>
                <w:sz w:val="20"/>
                <w:lang w:val="sq-AL"/>
              </w:rPr>
              <w:t>Nr.</w:t>
            </w:r>
          </w:p>
        </w:tc>
        <w:tc>
          <w:tcPr>
            <w:tcW w:w="3079" w:type="dxa"/>
          </w:tcPr>
          <w:p w14:paraId="70FAFF3F" w14:textId="6A2456A4" w:rsidR="00F30700" w:rsidRPr="00417E54" w:rsidRDefault="00F30700" w:rsidP="0072512A">
            <w:pPr>
              <w:pStyle w:val="ECHRPara"/>
              <w:ind w:firstLine="0"/>
              <w:jc w:val="center"/>
              <w:rPr>
                <w:rFonts w:ascii="Garamond" w:hAnsi="Garamond"/>
                <w:b/>
                <w:sz w:val="20"/>
                <w:lang w:val="sq-AL"/>
              </w:rPr>
            </w:pPr>
            <w:r w:rsidRPr="00417E54">
              <w:rPr>
                <w:rFonts w:ascii="Garamond" w:hAnsi="Garamond"/>
                <w:b/>
                <w:sz w:val="20"/>
                <w:lang w:val="sq-AL"/>
              </w:rPr>
              <w:t>Emri i k</w:t>
            </w:r>
            <w:r w:rsidR="00511343" w:rsidRPr="00417E54">
              <w:rPr>
                <w:rFonts w:ascii="Garamond" w:hAnsi="Garamond"/>
                <w:b/>
                <w:sz w:val="20"/>
                <w:lang w:val="sq-AL"/>
              </w:rPr>
              <w:t>ë</w:t>
            </w:r>
            <w:r w:rsidRPr="00417E54">
              <w:rPr>
                <w:rFonts w:ascii="Garamond" w:hAnsi="Garamond"/>
                <w:b/>
                <w:sz w:val="20"/>
                <w:lang w:val="sq-AL"/>
              </w:rPr>
              <w:t>rkuesit</w:t>
            </w:r>
          </w:p>
        </w:tc>
        <w:tc>
          <w:tcPr>
            <w:tcW w:w="1806" w:type="dxa"/>
          </w:tcPr>
          <w:p w14:paraId="681EFB5C" w14:textId="0BA51771" w:rsidR="00F30700" w:rsidRPr="00417E54" w:rsidRDefault="00F30700" w:rsidP="0072512A">
            <w:pPr>
              <w:pStyle w:val="ECHRPara"/>
              <w:ind w:firstLine="0"/>
              <w:jc w:val="center"/>
              <w:rPr>
                <w:rFonts w:ascii="Garamond" w:hAnsi="Garamond"/>
                <w:b/>
                <w:sz w:val="20"/>
                <w:lang w:val="sq-AL"/>
              </w:rPr>
            </w:pPr>
            <w:r w:rsidRPr="00417E54">
              <w:rPr>
                <w:rFonts w:ascii="Garamond" w:hAnsi="Garamond"/>
                <w:b/>
                <w:sz w:val="20"/>
                <w:lang w:val="sq-AL"/>
              </w:rPr>
              <w:t>Viti i lindjes</w:t>
            </w:r>
          </w:p>
        </w:tc>
        <w:tc>
          <w:tcPr>
            <w:tcW w:w="1809" w:type="dxa"/>
          </w:tcPr>
          <w:p w14:paraId="079DF2C9" w14:textId="5E6835B5" w:rsidR="00F30700" w:rsidRPr="00417E54" w:rsidRDefault="00F30700" w:rsidP="0072512A">
            <w:pPr>
              <w:pStyle w:val="ECHRPara"/>
              <w:ind w:firstLine="0"/>
              <w:jc w:val="center"/>
              <w:rPr>
                <w:rFonts w:ascii="Garamond" w:hAnsi="Garamond"/>
                <w:b/>
                <w:sz w:val="20"/>
                <w:lang w:val="sq-AL"/>
              </w:rPr>
            </w:pPr>
            <w:r w:rsidRPr="00417E54">
              <w:rPr>
                <w:rFonts w:ascii="Garamond" w:hAnsi="Garamond"/>
                <w:b/>
                <w:sz w:val="20"/>
                <w:lang w:val="sq-AL"/>
              </w:rPr>
              <w:t>Komb</w:t>
            </w:r>
            <w:r w:rsidR="00511343" w:rsidRPr="00417E54">
              <w:rPr>
                <w:rFonts w:ascii="Garamond" w:hAnsi="Garamond"/>
                <w:b/>
                <w:sz w:val="20"/>
                <w:lang w:val="sq-AL"/>
              </w:rPr>
              <w:t>ë</w:t>
            </w:r>
            <w:r w:rsidRPr="00417E54">
              <w:rPr>
                <w:rFonts w:ascii="Garamond" w:hAnsi="Garamond"/>
                <w:b/>
                <w:sz w:val="20"/>
                <w:lang w:val="sq-AL"/>
              </w:rPr>
              <w:t>sia</w:t>
            </w:r>
          </w:p>
        </w:tc>
        <w:tc>
          <w:tcPr>
            <w:tcW w:w="1811" w:type="dxa"/>
          </w:tcPr>
          <w:p w14:paraId="5177ADE2" w14:textId="3812CA11" w:rsidR="00F30700" w:rsidRPr="00417E54" w:rsidRDefault="00F30700" w:rsidP="0072512A">
            <w:pPr>
              <w:pStyle w:val="ECHRPara"/>
              <w:ind w:firstLine="0"/>
              <w:jc w:val="center"/>
              <w:rPr>
                <w:rFonts w:ascii="Garamond" w:hAnsi="Garamond"/>
                <w:b/>
                <w:sz w:val="20"/>
                <w:lang w:val="sq-AL"/>
              </w:rPr>
            </w:pPr>
            <w:r w:rsidRPr="00417E54">
              <w:rPr>
                <w:rFonts w:ascii="Garamond" w:hAnsi="Garamond"/>
                <w:b/>
                <w:sz w:val="20"/>
                <w:lang w:val="sq-AL"/>
              </w:rPr>
              <w:t>Vendbanimi</w:t>
            </w:r>
          </w:p>
        </w:tc>
      </w:tr>
      <w:tr w:rsidR="00F30700" w:rsidRPr="00417E54" w14:paraId="72C1AB6D" w14:textId="77777777" w:rsidTr="00F30700">
        <w:trPr>
          <w:jc w:val="center"/>
        </w:trPr>
        <w:tc>
          <w:tcPr>
            <w:tcW w:w="556" w:type="dxa"/>
          </w:tcPr>
          <w:p w14:paraId="511FA6E9" w14:textId="1B7B2025"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1.</w:t>
            </w:r>
          </w:p>
        </w:tc>
        <w:tc>
          <w:tcPr>
            <w:tcW w:w="3079" w:type="dxa"/>
          </w:tcPr>
          <w:p w14:paraId="46530AB1" w14:textId="16D9E910"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Dashuri LLAGAMI</w:t>
            </w:r>
          </w:p>
        </w:tc>
        <w:tc>
          <w:tcPr>
            <w:tcW w:w="1806" w:type="dxa"/>
          </w:tcPr>
          <w:p w14:paraId="7ACDFE2A" w14:textId="15FFAA3E"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1949</w:t>
            </w:r>
          </w:p>
        </w:tc>
        <w:tc>
          <w:tcPr>
            <w:tcW w:w="1809" w:type="dxa"/>
          </w:tcPr>
          <w:p w14:paraId="4B9C979B" w14:textId="77777777" w:rsidR="00F30700" w:rsidRPr="00417E54" w:rsidRDefault="00F30700" w:rsidP="0072512A">
            <w:pPr>
              <w:pStyle w:val="ECHRPara"/>
              <w:ind w:firstLine="0"/>
              <w:jc w:val="center"/>
              <w:rPr>
                <w:rFonts w:ascii="Garamond" w:hAnsi="Garamond"/>
                <w:bCs/>
                <w:sz w:val="20"/>
                <w:lang w:val="sq-AL"/>
              </w:rPr>
            </w:pPr>
          </w:p>
        </w:tc>
        <w:tc>
          <w:tcPr>
            <w:tcW w:w="1811" w:type="dxa"/>
          </w:tcPr>
          <w:p w14:paraId="5170E302" w14:textId="77777777" w:rsidR="00F30700" w:rsidRPr="00417E54" w:rsidRDefault="00F30700" w:rsidP="0072512A">
            <w:pPr>
              <w:pStyle w:val="ECHRPara"/>
              <w:ind w:firstLine="0"/>
              <w:jc w:val="center"/>
              <w:rPr>
                <w:rFonts w:ascii="Garamond" w:hAnsi="Garamond"/>
                <w:bCs/>
                <w:sz w:val="20"/>
                <w:lang w:val="sq-AL"/>
              </w:rPr>
            </w:pPr>
          </w:p>
        </w:tc>
      </w:tr>
      <w:tr w:rsidR="00F30700" w:rsidRPr="00417E54" w14:paraId="6E42C321" w14:textId="77777777" w:rsidTr="00F30700">
        <w:trPr>
          <w:jc w:val="center"/>
        </w:trPr>
        <w:tc>
          <w:tcPr>
            <w:tcW w:w="556" w:type="dxa"/>
          </w:tcPr>
          <w:p w14:paraId="0ADA5D6D" w14:textId="0413A3B9"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2.</w:t>
            </w:r>
          </w:p>
        </w:tc>
        <w:tc>
          <w:tcPr>
            <w:tcW w:w="3079" w:type="dxa"/>
          </w:tcPr>
          <w:p w14:paraId="2C0F47CA" w14:textId="392BE9CF"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Suzana HAVERI (LLAGAMI) nd</w:t>
            </w:r>
            <w:r w:rsidR="00511343" w:rsidRPr="00417E54">
              <w:rPr>
                <w:rFonts w:ascii="Garamond" w:hAnsi="Garamond"/>
                <w:bCs/>
                <w:sz w:val="20"/>
                <w:lang w:val="sq-AL"/>
              </w:rPr>
              <w:t>ë</w:t>
            </w:r>
            <w:r w:rsidRPr="00417E54">
              <w:rPr>
                <w:rFonts w:ascii="Garamond" w:hAnsi="Garamond"/>
                <w:bCs/>
                <w:sz w:val="20"/>
                <w:lang w:val="sq-AL"/>
              </w:rPr>
              <w:t>rruar jet</w:t>
            </w:r>
            <w:r w:rsidR="00511343" w:rsidRPr="00417E54">
              <w:rPr>
                <w:rFonts w:ascii="Garamond" w:hAnsi="Garamond"/>
                <w:bCs/>
                <w:sz w:val="20"/>
                <w:lang w:val="sq-AL"/>
              </w:rPr>
              <w:t>ë</w:t>
            </w:r>
            <w:r w:rsidRPr="00417E54">
              <w:rPr>
                <w:rFonts w:ascii="Garamond" w:hAnsi="Garamond"/>
                <w:bCs/>
                <w:sz w:val="20"/>
                <w:lang w:val="sq-AL"/>
              </w:rPr>
              <w:t xml:space="preserve"> n</w:t>
            </w:r>
            <w:r w:rsidR="00511343" w:rsidRPr="00417E54">
              <w:rPr>
                <w:rFonts w:ascii="Garamond" w:hAnsi="Garamond"/>
                <w:bCs/>
                <w:sz w:val="20"/>
                <w:lang w:val="sq-AL"/>
              </w:rPr>
              <w:t>ë</w:t>
            </w:r>
            <w:r w:rsidRPr="00417E54">
              <w:rPr>
                <w:rFonts w:ascii="Garamond" w:hAnsi="Garamond"/>
                <w:bCs/>
                <w:sz w:val="20"/>
                <w:lang w:val="sq-AL"/>
              </w:rPr>
              <w:t xml:space="preserve"> vitin 2015</w:t>
            </w:r>
          </w:p>
          <w:p w14:paraId="37702DA4" w14:textId="77777777" w:rsidR="00F30700" w:rsidRPr="00417E54" w:rsidRDefault="00F30700" w:rsidP="0072512A">
            <w:pPr>
              <w:pStyle w:val="ECHRPara"/>
              <w:ind w:firstLine="0"/>
              <w:jc w:val="center"/>
              <w:rPr>
                <w:rFonts w:ascii="Garamond" w:hAnsi="Garamond"/>
                <w:bCs/>
                <w:sz w:val="20"/>
                <w:lang w:val="sq-AL"/>
              </w:rPr>
            </w:pPr>
          </w:p>
          <w:p w14:paraId="53DD1C6F" w14:textId="4C1005E1"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Trash</w:t>
            </w:r>
            <w:r w:rsidR="00511343" w:rsidRPr="00417E54">
              <w:rPr>
                <w:rFonts w:ascii="Garamond" w:hAnsi="Garamond"/>
                <w:bCs/>
                <w:sz w:val="20"/>
                <w:lang w:val="sq-AL"/>
              </w:rPr>
              <w:t>ë</w:t>
            </w:r>
            <w:r w:rsidRPr="00417E54">
              <w:rPr>
                <w:rFonts w:ascii="Garamond" w:hAnsi="Garamond"/>
                <w:bCs/>
                <w:sz w:val="20"/>
                <w:lang w:val="sq-AL"/>
              </w:rPr>
              <w:t>gimtar</w:t>
            </w:r>
            <w:r w:rsidR="00511343" w:rsidRPr="00417E54">
              <w:rPr>
                <w:rFonts w:ascii="Garamond" w:hAnsi="Garamond"/>
                <w:bCs/>
                <w:sz w:val="20"/>
                <w:lang w:val="sq-AL"/>
              </w:rPr>
              <w:t>ë</w:t>
            </w:r>
            <w:r w:rsidRPr="00417E54">
              <w:rPr>
                <w:rFonts w:ascii="Garamond" w:hAnsi="Garamond"/>
                <w:bCs/>
                <w:sz w:val="20"/>
                <w:lang w:val="sq-AL"/>
              </w:rPr>
              <w:t xml:space="preserve">: </w:t>
            </w:r>
          </w:p>
          <w:p w14:paraId="714DC8F6" w14:textId="32FF055C"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Miranda NOSI (LLAGAMI)</w:t>
            </w:r>
          </w:p>
          <w:p w14:paraId="705E487D" w14:textId="607C5109"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Etleva BELIU (LLAGAMI)</w:t>
            </w:r>
          </w:p>
          <w:p w14:paraId="763ED691" w14:textId="6F1DE4E6"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Bedar LLAGAMI</w:t>
            </w:r>
          </w:p>
        </w:tc>
        <w:tc>
          <w:tcPr>
            <w:tcW w:w="1806" w:type="dxa"/>
          </w:tcPr>
          <w:p w14:paraId="63BA6CD0" w14:textId="2FA56DE8"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1927</w:t>
            </w:r>
          </w:p>
        </w:tc>
        <w:tc>
          <w:tcPr>
            <w:tcW w:w="1809" w:type="dxa"/>
            <w:vMerge w:val="restart"/>
          </w:tcPr>
          <w:p w14:paraId="528C9640" w14:textId="77777777" w:rsidR="00F30700" w:rsidRPr="00417E54" w:rsidRDefault="00F30700" w:rsidP="0072512A">
            <w:pPr>
              <w:pStyle w:val="ECHRPara"/>
              <w:ind w:firstLine="0"/>
              <w:jc w:val="center"/>
              <w:rPr>
                <w:rFonts w:ascii="Garamond" w:hAnsi="Garamond"/>
                <w:bCs/>
                <w:sz w:val="20"/>
                <w:lang w:val="sq-AL"/>
              </w:rPr>
            </w:pPr>
          </w:p>
          <w:p w14:paraId="4D1A0BA5" w14:textId="77777777" w:rsidR="00F30700" w:rsidRPr="00417E54" w:rsidRDefault="00F30700" w:rsidP="0072512A">
            <w:pPr>
              <w:pStyle w:val="ECHRPara"/>
              <w:ind w:firstLine="0"/>
              <w:jc w:val="center"/>
              <w:rPr>
                <w:rFonts w:ascii="Garamond" w:hAnsi="Garamond"/>
                <w:bCs/>
                <w:sz w:val="20"/>
                <w:lang w:val="sq-AL"/>
              </w:rPr>
            </w:pPr>
          </w:p>
          <w:p w14:paraId="074E30A3" w14:textId="77777777" w:rsidR="00F30700" w:rsidRPr="00417E54" w:rsidRDefault="00F30700" w:rsidP="0072512A">
            <w:pPr>
              <w:pStyle w:val="ECHRPara"/>
              <w:ind w:firstLine="0"/>
              <w:jc w:val="center"/>
              <w:rPr>
                <w:rFonts w:ascii="Garamond" w:hAnsi="Garamond"/>
                <w:bCs/>
                <w:sz w:val="20"/>
                <w:lang w:val="sq-AL"/>
              </w:rPr>
            </w:pPr>
          </w:p>
          <w:p w14:paraId="42319136" w14:textId="77777777" w:rsidR="00F30700" w:rsidRPr="00417E54" w:rsidRDefault="00F30700" w:rsidP="0072512A">
            <w:pPr>
              <w:pStyle w:val="ECHRPara"/>
              <w:ind w:firstLine="0"/>
              <w:jc w:val="center"/>
              <w:rPr>
                <w:rFonts w:ascii="Garamond" w:hAnsi="Garamond"/>
                <w:bCs/>
                <w:sz w:val="20"/>
                <w:lang w:val="sq-AL"/>
              </w:rPr>
            </w:pPr>
          </w:p>
          <w:p w14:paraId="4DF07ABE" w14:textId="77777777" w:rsidR="00F30700" w:rsidRPr="00417E54" w:rsidRDefault="00F30700" w:rsidP="0072512A">
            <w:pPr>
              <w:pStyle w:val="ECHRPara"/>
              <w:ind w:firstLine="0"/>
              <w:jc w:val="center"/>
              <w:rPr>
                <w:rFonts w:ascii="Garamond" w:hAnsi="Garamond"/>
                <w:bCs/>
                <w:sz w:val="20"/>
                <w:lang w:val="sq-AL"/>
              </w:rPr>
            </w:pPr>
          </w:p>
          <w:p w14:paraId="5FFBFB67" w14:textId="77777777" w:rsidR="00F30700" w:rsidRPr="00417E54" w:rsidRDefault="00F30700" w:rsidP="0072512A">
            <w:pPr>
              <w:pStyle w:val="ECHRPara"/>
              <w:ind w:firstLine="0"/>
              <w:jc w:val="center"/>
              <w:rPr>
                <w:rFonts w:ascii="Garamond" w:hAnsi="Garamond"/>
                <w:bCs/>
                <w:sz w:val="20"/>
                <w:lang w:val="sq-AL"/>
              </w:rPr>
            </w:pPr>
          </w:p>
          <w:p w14:paraId="547689D3" w14:textId="77777777" w:rsidR="00F30700" w:rsidRPr="00417E54" w:rsidRDefault="00F30700" w:rsidP="0072512A">
            <w:pPr>
              <w:pStyle w:val="ECHRPara"/>
              <w:ind w:firstLine="0"/>
              <w:jc w:val="center"/>
              <w:rPr>
                <w:rFonts w:ascii="Garamond" w:hAnsi="Garamond"/>
                <w:bCs/>
                <w:sz w:val="20"/>
                <w:lang w:val="sq-AL"/>
              </w:rPr>
            </w:pPr>
          </w:p>
          <w:p w14:paraId="20A3ED0F" w14:textId="77777777" w:rsidR="00F30700" w:rsidRPr="00417E54" w:rsidRDefault="00F30700" w:rsidP="0072512A">
            <w:pPr>
              <w:pStyle w:val="ECHRPara"/>
              <w:ind w:firstLine="0"/>
              <w:jc w:val="center"/>
              <w:rPr>
                <w:rFonts w:ascii="Garamond" w:hAnsi="Garamond"/>
                <w:bCs/>
                <w:sz w:val="20"/>
                <w:lang w:val="sq-AL"/>
              </w:rPr>
            </w:pPr>
          </w:p>
          <w:p w14:paraId="22662731" w14:textId="77777777" w:rsidR="00F30700" w:rsidRPr="00417E54" w:rsidRDefault="00F30700" w:rsidP="0072512A">
            <w:pPr>
              <w:pStyle w:val="ECHRPara"/>
              <w:ind w:firstLine="0"/>
              <w:jc w:val="center"/>
              <w:rPr>
                <w:rFonts w:ascii="Garamond" w:hAnsi="Garamond"/>
                <w:bCs/>
                <w:sz w:val="20"/>
                <w:lang w:val="sq-AL"/>
              </w:rPr>
            </w:pPr>
          </w:p>
          <w:p w14:paraId="75148484" w14:textId="77777777" w:rsidR="00F30700" w:rsidRPr="00417E54" w:rsidRDefault="00F30700" w:rsidP="0072512A">
            <w:pPr>
              <w:pStyle w:val="ECHRPara"/>
              <w:ind w:firstLine="0"/>
              <w:jc w:val="center"/>
              <w:rPr>
                <w:rFonts w:ascii="Garamond" w:hAnsi="Garamond"/>
                <w:bCs/>
                <w:sz w:val="20"/>
                <w:lang w:val="sq-AL"/>
              </w:rPr>
            </w:pPr>
          </w:p>
          <w:p w14:paraId="01ED5663" w14:textId="5EBA764D"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Shqiptar/e</w:t>
            </w:r>
          </w:p>
        </w:tc>
        <w:tc>
          <w:tcPr>
            <w:tcW w:w="1811" w:type="dxa"/>
            <w:vMerge w:val="restart"/>
          </w:tcPr>
          <w:p w14:paraId="58CB7B87" w14:textId="77777777" w:rsidR="00F30700" w:rsidRPr="00417E54" w:rsidRDefault="00F30700" w:rsidP="0072512A">
            <w:pPr>
              <w:pStyle w:val="ECHRPara"/>
              <w:ind w:firstLine="0"/>
              <w:jc w:val="center"/>
              <w:rPr>
                <w:rFonts w:ascii="Garamond" w:hAnsi="Garamond"/>
                <w:bCs/>
                <w:sz w:val="20"/>
                <w:lang w:val="sq-AL"/>
              </w:rPr>
            </w:pPr>
          </w:p>
          <w:p w14:paraId="172086D8" w14:textId="77777777" w:rsidR="00F30700" w:rsidRPr="00417E54" w:rsidRDefault="00F30700" w:rsidP="0072512A">
            <w:pPr>
              <w:pStyle w:val="ECHRPara"/>
              <w:ind w:firstLine="0"/>
              <w:jc w:val="center"/>
              <w:rPr>
                <w:rFonts w:ascii="Garamond" w:hAnsi="Garamond"/>
                <w:bCs/>
                <w:sz w:val="20"/>
                <w:lang w:val="sq-AL"/>
              </w:rPr>
            </w:pPr>
          </w:p>
          <w:p w14:paraId="4F798500" w14:textId="77777777" w:rsidR="00F30700" w:rsidRPr="00417E54" w:rsidRDefault="00F30700" w:rsidP="0072512A">
            <w:pPr>
              <w:pStyle w:val="ECHRPara"/>
              <w:ind w:firstLine="0"/>
              <w:jc w:val="center"/>
              <w:rPr>
                <w:rFonts w:ascii="Garamond" w:hAnsi="Garamond"/>
                <w:bCs/>
                <w:sz w:val="20"/>
                <w:lang w:val="sq-AL"/>
              </w:rPr>
            </w:pPr>
          </w:p>
          <w:p w14:paraId="3162F7DD" w14:textId="77777777" w:rsidR="00F30700" w:rsidRPr="00417E54" w:rsidRDefault="00F30700" w:rsidP="0072512A">
            <w:pPr>
              <w:pStyle w:val="ECHRPara"/>
              <w:ind w:firstLine="0"/>
              <w:jc w:val="center"/>
              <w:rPr>
                <w:rFonts w:ascii="Garamond" w:hAnsi="Garamond"/>
                <w:bCs/>
                <w:sz w:val="20"/>
                <w:lang w:val="sq-AL"/>
              </w:rPr>
            </w:pPr>
          </w:p>
          <w:p w14:paraId="6A734906" w14:textId="77777777" w:rsidR="00F30700" w:rsidRPr="00417E54" w:rsidRDefault="00F30700" w:rsidP="0072512A">
            <w:pPr>
              <w:pStyle w:val="ECHRPara"/>
              <w:ind w:firstLine="0"/>
              <w:jc w:val="center"/>
              <w:rPr>
                <w:rFonts w:ascii="Garamond" w:hAnsi="Garamond"/>
                <w:bCs/>
                <w:sz w:val="20"/>
                <w:lang w:val="sq-AL"/>
              </w:rPr>
            </w:pPr>
          </w:p>
          <w:p w14:paraId="24CFC1A4" w14:textId="77777777" w:rsidR="00F30700" w:rsidRPr="00417E54" w:rsidRDefault="00F30700" w:rsidP="0072512A">
            <w:pPr>
              <w:pStyle w:val="ECHRPara"/>
              <w:ind w:firstLine="0"/>
              <w:jc w:val="center"/>
              <w:rPr>
                <w:rFonts w:ascii="Garamond" w:hAnsi="Garamond"/>
                <w:bCs/>
                <w:sz w:val="20"/>
                <w:lang w:val="sq-AL"/>
              </w:rPr>
            </w:pPr>
          </w:p>
          <w:p w14:paraId="4BCA1033" w14:textId="77777777" w:rsidR="00F30700" w:rsidRPr="00417E54" w:rsidRDefault="00F30700" w:rsidP="0072512A">
            <w:pPr>
              <w:pStyle w:val="ECHRPara"/>
              <w:ind w:firstLine="0"/>
              <w:jc w:val="center"/>
              <w:rPr>
                <w:rFonts w:ascii="Garamond" w:hAnsi="Garamond"/>
                <w:bCs/>
                <w:sz w:val="20"/>
                <w:lang w:val="sq-AL"/>
              </w:rPr>
            </w:pPr>
          </w:p>
          <w:p w14:paraId="1D88E8DF" w14:textId="77777777" w:rsidR="00F30700" w:rsidRPr="00417E54" w:rsidRDefault="00F30700" w:rsidP="0072512A">
            <w:pPr>
              <w:pStyle w:val="ECHRPara"/>
              <w:ind w:firstLine="0"/>
              <w:jc w:val="center"/>
              <w:rPr>
                <w:rFonts w:ascii="Garamond" w:hAnsi="Garamond"/>
                <w:bCs/>
                <w:sz w:val="20"/>
                <w:lang w:val="sq-AL"/>
              </w:rPr>
            </w:pPr>
          </w:p>
          <w:p w14:paraId="3278F449" w14:textId="77777777" w:rsidR="00F30700" w:rsidRPr="00417E54" w:rsidRDefault="00F30700" w:rsidP="0072512A">
            <w:pPr>
              <w:pStyle w:val="ECHRPara"/>
              <w:ind w:firstLine="0"/>
              <w:jc w:val="center"/>
              <w:rPr>
                <w:rFonts w:ascii="Garamond" w:hAnsi="Garamond"/>
                <w:bCs/>
                <w:sz w:val="20"/>
                <w:lang w:val="sq-AL"/>
              </w:rPr>
            </w:pPr>
          </w:p>
          <w:p w14:paraId="7277E0DE" w14:textId="77777777" w:rsidR="00F30700" w:rsidRPr="00417E54" w:rsidRDefault="00F30700" w:rsidP="0072512A">
            <w:pPr>
              <w:pStyle w:val="ECHRPara"/>
              <w:ind w:firstLine="0"/>
              <w:jc w:val="center"/>
              <w:rPr>
                <w:rFonts w:ascii="Garamond" w:hAnsi="Garamond"/>
                <w:bCs/>
                <w:sz w:val="20"/>
                <w:lang w:val="sq-AL"/>
              </w:rPr>
            </w:pPr>
          </w:p>
          <w:p w14:paraId="0917B9E2" w14:textId="2B266175"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Tiran</w:t>
            </w:r>
            <w:r w:rsidR="00511343" w:rsidRPr="00417E54">
              <w:rPr>
                <w:rFonts w:ascii="Garamond" w:hAnsi="Garamond"/>
                <w:bCs/>
                <w:sz w:val="20"/>
                <w:lang w:val="sq-AL"/>
              </w:rPr>
              <w:t>ë</w:t>
            </w:r>
          </w:p>
        </w:tc>
      </w:tr>
      <w:tr w:rsidR="00F30700" w:rsidRPr="00417E54" w14:paraId="1920F3E6" w14:textId="77777777" w:rsidTr="00F30700">
        <w:trPr>
          <w:jc w:val="center"/>
        </w:trPr>
        <w:tc>
          <w:tcPr>
            <w:tcW w:w="556" w:type="dxa"/>
          </w:tcPr>
          <w:p w14:paraId="1244CA62" w14:textId="590681AF"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3.</w:t>
            </w:r>
          </w:p>
        </w:tc>
        <w:tc>
          <w:tcPr>
            <w:tcW w:w="3079" w:type="dxa"/>
          </w:tcPr>
          <w:p w14:paraId="7414D077" w14:textId="4E1EFAF7"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Meleqe KODRA (LLAGAMI)</w:t>
            </w:r>
          </w:p>
        </w:tc>
        <w:tc>
          <w:tcPr>
            <w:tcW w:w="1806" w:type="dxa"/>
          </w:tcPr>
          <w:p w14:paraId="5D8E4E47" w14:textId="67B1DF34"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1931</w:t>
            </w:r>
          </w:p>
        </w:tc>
        <w:tc>
          <w:tcPr>
            <w:tcW w:w="1809" w:type="dxa"/>
            <w:vMerge/>
          </w:tcPr>
          <w:p w14:paraId="375DED1C" w14:textId="77777777" w:rsidR="00F30700" w:rsidRPr="00417E54" w:rsidRDefault="00F30700" w:rsidP="0072512A">
            <w:pPr>
              <w:pStyle w:val="ECHRPara"/>
              <w:ind w:firstLine="0"/>
              <w:jc w:val="center"/>
              <w:rPr>
                <w:rFonts w:ascii="Garamond" w:hAnsi="Garamond"/>
                <w:bCs/>
                <w:sz w:val="20"/>
                <w:lang w:val="sq-AL"/>
              </w:rPr>
            </w:pPr>
          </w:p>
        </w:tc>
        <w:tc>
          <w:tcPr>
            <w:tcW w:w="1811" w:type="dxa"/>
            <w:vMerge/>
          </w:tcPr>
          <w:p w14:paraId="295E138E" w14:textId="77777777" w:rsidR="00F30700" w:rsidRPr="00417E54" w:rsidRDefault="00F30700" w:rsidP="0072512A">
            <w:pPr>
              <w:pStyle w:val="ECHRPara"/>
              <w:ind w:firstLine="0"/>
              <w:jc w:val="center"/>
              <w:rPr>
                <w:rFonts w:ascii="Garamond" w:hAnsi="Garamond"/>
                <w:bCs/>
                <w:sz w:val="20"/>
                <w:lang w:val="sq-AL"/>
              </w:rPr>
            </w:pPr>
          </w:p>
        </w:tc>
      </w:tr>
      <w:tr w:rsidR="00F30700" w:rsidRPr="00417E54" w14:paraId="7750C091" w14:textId="77777777" w:rsidTr="00F30700">
        <w:trPr>
          <w:jc w:val="center"/>
        </w:trPr>
        <w:tc>
          <w:tcPr>
            <w:tcW w:w="556" w:type="dxa"/>
          </w:tcPr>
          <w:p w14:paraId="203972B5" w14:textId="39618E32"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4.</w:t>
            </w:r>
          </w:p>
        </w:tc>
        <w:tc>
          <w:tcPr>
            <w:tcW w:w="3079" w:type="dxa"/>
          </w:tcPr>
          <w:p w14:paraId="56F24D6A" w14:textId="437F88FC"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Bardhyl LLAGAMI</w:t>
            </w:r>
          </w:p>
        </w:tc>
        <w:tc>
          <w:tcPr>
            <w:tcW w:w="1806" w:type="dxa"/>
          </w:tcPr>
          <w:p w14:paraId="2890B62C" w14:textId="5C8A053D"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1942</w:t>
            </w:r>
          </w:p>
        </w:tc>
        <w:tc>
          <w:tcPr>
            <w:tcW w:w="1809" w:type="dxa"/>
            <w:vMerge/>
          </w:tcPr>
          <w:p w14:paraId="52A98795" w14:textId="77777777" w:rsidR="00F30700" w:rsidRPr="00417E54" w:rsidRDefault="00F30700" w:rsidP="0072512A">
            <w:pPr>
              <w:pStyle w:val="ECHRPara"/>
              <w:ind w:firstLine="0"/>
              <w:jc w:val="center"/>
              <w:rPr>
                <w:rFonts w:ascii="Garamond" w:hAnsi="Garamond"/>
                <w:bCs/>
                <w:sz w:val="20"/>
                <w:lang w:val="sq-AL"/>
              </w:rPr>
            </w:pPr>
          </w:p>
        </w:tc>
        <w:tc>
          <w:tcPr>
            <w:tcW w:w="1811" w:type="dxa"/>
            <w:vMerge/>
          </w:tcPr>
          <w:p w14:paraId="4CC3318D" w14:textId="77777777" w:rsidR="00F30700" w:rsidRPr="00417E54" w:rsidRDefault="00F30700" w:rsidP="0072512A">
            <w:pPr>
              <w:pStyle w:val="ECHRPara"/>
              <w:ind w:firstLine="0"/>
              <w:jc w:val="center"/>
              <w:rPr>
                <w:rFonts w:ascii="Garamond" w:hAnsi="Garamond"/>
                <w:bCs/>
                <w:sz w:val="20"/>
                <w:lang w:val="sq-AL"/>
              </w:rPr>
            </w:pPr>
          </w:p>
        </w:tc>
      </w:tr>
      <w:tr w:rsidR="00F30700" w:rsidRPr="00417E54" w14:paraId="2206814E" w14:textId="77777777" w:rsidTr="00F30700">
        <w:trPr>
          <w:jc w:val="center"/>
        </w:trPr>
        <w:tc>
          <w:tcPr>
            <w:tcW w:w="556" w:type="dxa"/>
          </w:tcPr>
          <w:p w14:paraId="6FF86C6A" w14:textId="7A5D0023"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5.</w:t>
            </w:r>
          </w:p>
        </w:tc>
        <w:tc>
          <w:tcPr>
            <w:tcW w:w="3079" w:type="dxa"/>
          </w:tcPr>
          <w:p w14:paraId="28641486" w14:textId="748D488A"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Dylbere LLAGAMI</w:t>
            </w:r>
          </w:p>
        </w:tc>
        <w:tc>
          <w:tcPr>
            <w:tcW w:w="1806" w:type="dxa"/>
          </w:tcPr>
          <w:p w14:paraId="22740F74" w14:textId="250D21DE"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1955</w:t>
            </w:r>
          </w:p>
        </w:tc>
        <w:tc>
          <w:tcPr>
            <w:tcW w:w="1809" w:type="dxa"/>
            <w:vMerge/>
          </w:tcPr>
          <w:p w14:paraId="5981A683" w14:textId="77777777" w:rsidR="00F30700" w:rsidRPr="00417E54" w:rsidRDefault="00F30700" w:rsidP="0072512A">
            <w:pPr>
              <w:pStyle w:val="ECHRPara"/>
              <w:ind w:firstLine="0"/>
              <w:jc w:val="center"/>
              <w:rPr>
                <w:rFonts w:ascii="Garamond" w:hAnsi="Garamond"/>
                <w:bCs/>
                <w:sz w:val="20"/>
                <w:lang w:val="sq-AL"/>
              </w:rPr>
            </w:pPr>
          </w:p>
        </w:tc>
        <w:tc>
          <w:tcPr>
            <w:tcW w:w="1811" w:type="dxa"/>
            <w:vMerge/>
          </w:tcPr>
          <w:p w14:paraId="5DDDD378" w14:textId="77777777" w:rsidR="00F30700" w:rsidRPr="00417E54" w:rsidRDefault="00F30700" w:rsidP="0072512A">
            <w:pPr>
              <w:pStyle w:val="ECHRPara"/>
              <w:ind w:firstLine="0"/>
              <w:jc w:val="center"/>
              <w:rPr>
                <w:rFonts w:ascii="Garamond" w:hAnsi="Garamond"/>
                <w:bCs/>
                <w:sz w:val="20"/>
                <w:lang w:val="sq-AL"/>
              </w:rPr>
            </w:pPr>
          </w:p>
        </w:tc>
      </w:tr>
      <w:tr w:rsidR="00F30700" w:rsidRPr="00417E54" w14:paraId="2417C988" w14:textId="77777777" w:rsidTr="00F30700">
        <w:trPr>
          <w:jc w:val="center"/>
        </w:trPr>
        <w:tc>
          <w:tcPr>
            <w:tcW w:w="556" w:type="dxa"/>
          </w:tcPr>
          <w:p w14:paraId="6E9B5796" w14:textId="62378D0C"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6.</w:t>
            </w:r>
          </w:p>
        </w:tc>
        <w:tc>
          <w:tcPr>
            <w:tcW w:w="3079" w:type="dxa"/>
          </w:tcPr>
          <w:p w14:paraId="635D808F" w14:textId="61C6AEB8"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Fatri LLAGAMI nd</w:t>
            </w:r>
            <w:r w:rsidR="00511343" w:rsidRPr="00417E54">
              <w:rPr>
                <w:rFonts w:ascii="Garamond" w:hAnsi="Garamond"/>
                <w:bCs/>
                <w:sz w:val="20"/>
                <w:lang w:val="sq-AL"/>
              </w:rPr>
              <w:t>ë</w:t>
            </w:r>
            <w:r w:rsidRPr="00417E54">
              <w:rPr>
                <w:rFonts w:ascii="Garamond" w:hAnsi="Garamond"/>
                <w:bCs/>
                <w:sz w:val="20"/>
                <w:lang w:val="sq-AL"/>
              </w:rPr>
              <w:t>rruar jet</w:t>
            </w:r>
            <w:r w:rsidR="00511343" w:rsidRPr="00417E54">
              <w:rPr>
                <w:rFonts w:ascii="Garamond" w:hAnsi="Garamond"/>
                <w:bCs/>
                <w:sz w:val="20"/>
                <w:lang w:val="sq-AL"/>
              </w:rPr>
              <w:t>ë</w:t>
            </w:r>
            <w:r w:rsidRPr="00417E54">
              <w:rPr>
                <w:rFonts w:ascii="Garamond" w:hAnsi="Garamond"/>
                <w:bCs/>
                <w:sz w:val="20"/>
                <w:lang w:val="sq-AL"/>
              </w:rPr>
              <w:t xml:space="preserve"> n</w:t>
            </w:r>
            <w:r w:rsidR="00511343" w:rsidRPr="00417E54">
              <w:rPr>
                <w:rFonts w:ascii="Garamond" w:hAnsi="Garamond"/>
                <w:bCs/>
                <w:sz w:val="20"/>
                <w:lang w:val="sq-AL"/>
              </w:rPr>
              <w:t>ë</w:t>
            </w:r>
            <w:r w:rsidRPr="00417E54">
              <w:rPr>
                <w:rFonts w:ascii="Garamond" w:hAnsi="Garamond"/>
                <w:bCs/>
                <w:sz w:val="20"/>
                <w:lang w:val="sq-AL"/>
              </w:rPr>
              <w:t xml:space="preserve"> vitin 2014 </w:t>
            </w:r>
          </w:p>
          <w:p w14:paraId="1B9C04D4" w14:textId="77777777" w:rsidR="00F30700" w:rsidRPr="00417E54" w:rsidRDefault="00F30700" w:rsidP="0072512A">
            <w:pPr>
              <w:pStyle w:val="ECHRPara"/>
              <w:ind w:firstLine="0"/>
              <w:jc w:val="center"/>
              <w:rPr>
                <w:rFonts w:ascii="Garamond" w:hAnsi="Garamond"/>
                <w:bCs/>
                <w:sz w:val="20"/>
                <w:lang w:val="sq-AL"/>
              </w:rPr>
            </w:pPr>
          </w:p>
          <w:p w14:paraId="03DB76B6" w14:textId="2284F6EB"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Trash</w:t>
            </w:r>
            <w:r w:rsidR="00511343" w:rsidRPr="00417E54">
              <w:rPr>
                <w:rFonts w:ascii="Garamond" w:hAnsi="Garamond"/>
                <w:bCs/>
                <w:sz w:val="20"/>
                <w:lang w:val="sq-AL"/>
              </w:rPr>
              <w:t>ë</w:t>
            </w:r>
            <w:r w:rsidRPr="00417E54">
              <w:rPr>
                <w:rFonts w:ascii="Garamond" w:hAnsi="Garamond"/>
                <w:bCs/>
                <w:sz w:val="20"/>
                <w:lang w:val="sq-AL"/>
              </w:rPr>
              <w:t>gimtar</w:t>
            </w:r>
            <w:r w:rsidR="00511343" w:rsidRPr="00417E54">
              <w:rPr>
                <w:rFonts w:ascii="Garamond" w:hAnsi="Garamond"/>
                <w:bCs/>
                <w:sz w:val="20"/>
                <w:lang w:val="sq-AL"/>
              </w:rPr>
              <w:t>ë</w:t>
            </w:r>
            <w:r w:rsidRPr="00417E54">
              <w:rPr>
                <w:rFonts w:ascii="Garamond" w:hAnsi="Garamond"/>
                <w:bCs/>
                <w:sz w:val="20"/>
                <w:lang w:val="sq-AL"/>
              </w:rPr>
              <w:t xml:space="preserve">: </w:t>
            </w:r>
          </w:p>
          <w:p w14:paraId="0D9DD220" w14:textId="77777777"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Bedar LLAGAMI</w:t>
            </w:r>
          </w:p>
          <w:p w14:paraId="587C15EB" w14:textId="698379E4"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Etleva BELIU (LLAGAMI)</w:t>
            </w:r>
          </w:p>
        </w:tc>
        <w:tc>
          <w:tcPr>
            <w:tcW w:w="1806" w:type="dxa"/>
          </w:tcPr>
          <w:p w14:paraId="2B61BF19" w14:textId="2A312003"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1933</w:t>
            </w:r>
          </w:p>
        </w:tc>
        <w:tc>
          <w:tcPr>
            <w:tcW w:w="1809" w:type="dxa"/>
            <w:vMerge/>
          </w:tcPr>
          <w:p w14:paraId="5FECFD0B" w14:textId="77777777" w:rsidR="00F30700" w:rsidRPr="00417E54" w:rsidRDefault="00F30700" w:rsidP="0072512A">
            <w:pPr>
              <w:pStyle w:val="ECHRPara"/>
              <w:ind w:firstLine="0"/>
              <w:jc w:val="center"/>
              <w:rPr>
                <w:rFonts w:ascii="Garamond" w:hAnsi="Garamond"/>
                <w:bCs/>
                <w:sz w:val="20"/>
                <w:lang w:val="sq-AL"/>
              </w:rPr>
            </w:pPr>
          </w:p>
        </w:tc>
        <w:tc>
          <w:tcPr>
            <w:tcW w:w="1811" w:type="dxa"/>
            <w:vMerge/>
          </w:tcPr>
          <w:p w14:paraId="21B47C78" w14:textId="77777777" w:rsidR="00F30700" w:rsidRPr="00417E54" w:rsidRDefault="00F30700" w:rsidP="0072512A">
            <w:pPr>
              <w:pStyle w:val="ECHRPara"/>
              <w:ind w:firstLine="0"/>
              <w:jc w:val="center"/>
              <w:rPr>
                <w:rFonts w:ascii="Garamond" w:hAnsi="Garamond"/>
                <w:bCs/>
                <w:sz w:val="20"/>
                <w:lang w:val="sq-AL"/>
              </w:rPr>
            </w:pPr>
          </w:p>
        </w:tc>
      </w:tr>
      <w:tr w:rsidR="00F30700" w:rsidRPr="00417E54" w14:paraId="4D21CAD0" w14:textId="77777777" w:rsidTr="00F30700">
        <w:trPr>
          <w:jc w:val="center"/>
        </w:trPr>
        <w:tc>
          <w:tcPr>
            <w:tcW w:w="556" w:type="dxa"/>
          </w:tcPr>
          <w:p w14:paraId="3F9B3A40" w14:textId="72597B52" w:rsidR="00F30700" w:rsidRPr="00417E54" w:rsidRDefault="00F30700" w:rsidP="0074515B">
            <w:pPr>
              <w:pStyle w:val="ECHRPara"/>
              <w:ind w:firstLine="0"/>
              <w:jc w:val="right"/>
              <w:rPr>
                <w:rFonts w:ascii="Garamond" w:hAnsi="Garamond"/>
                <w:bCs/>
                <w:sz w:val="20"/>
                <w:lang w:val="sq-AL"/>
              </w:rPr>
            </w:pPr>
            <w:r w:rsidRPr="00417E54">
              <w:rPr>
                <w:rFonts w:ascii="Garamond" w:hAnsi="Garamond"/>
                <w:bCs/>
                <w:sz w:val="20"/>
                <w:lang w:val="sq-AL"/>
              </w:rPr>
              <w:t>7.</w:t>
            </w:r>
          </w:p>
        </w:tc>
        <w:tc>
          <w:tcPr>
            <w:tcW w:w="3079" w:type="dxa"/>
          </w:tcPr>
          <w:p w14:paraId="41168CE8" w14:textId="5B64809A"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Qemal LLAGAMI</w:t>
            </w:r>
          </w:p>
        </w:tc>
        <w:tc>
          <w:tcPr>
            <w:tcW w:w="1806" w:type="dxa"/>
          </w:tcPr>
          <w:p w14:paraId="19286A17" w14:textId="2F990002" w:rsidR="00F30700" w:rsidRPr="00417E54" w:rsidRDefault="00F30700" w:rsidP="0072512A">
            <w:pPr>
              <w:pStyle w:val="ECHRPara"/>
              <w:ind w:firstLine="0"/>
              <w:jc w:val="center"/>
              <w:rPr>
                <w:rFonts w:ascii="Garamond" w:hAnsi="Garamond"/>
                <w:bCs/>
                <w:sz w:val="20"/>
                <w:lang w:val="sq-AL"/>
              </w:rPr>
            </w:pPr>
            <w:r w:rsidRPr="00417E54">
              <w:rPr>
                <w:rFonts w:ascii="Garamond" w:hAnsi="Garamond"/>
                <w:bCs/>
                <w:sz w:val="20"/>
                <w:lang w:val="sq-AL"/>
              </w:rPr>
              <w:t>1928</w:t>
            </w:r>
          </w:p>
        </w:tc>
        <w:tc>
          <w:tcPr>
            <w:tcW w:w="1809" w:type="dxa"/>
            <w:vMerge/>
          </w:tcPr>
          <w:p w14:paraId="3E7AA49C" w14:textId="77777777" w:rsidR="00F30700" w:rsidRPr="00417E54" w:rsidRDefault="00F30700" w:rsidP="0072512A">
            <w:pPr>
              <w:pStyle w:val="ECHRPara"/>
              <w:ind w:firstLine="0"/>
              <w:jc w:val="center"/>
              <w:rPr>
                <w:rFonts w:ascii="Garamond" w:hAnsi="Garamond"/>
                <w:bCs/>
                <w:sz w:val="20"/>
                <w:lang w:val="sq-AL"/>
              </w:rPr>
            </w:pPr>
          </w:p>
        </w:tc>
        <w:tc>
          <w:tcPr>
            <w:tcW w:w="1811" w:type="dxa"/>
            <w:vMerge/>
          </w:tcPr>
          <w:p w14:paraId="0209CD9E" w14:textId="77777777" w:rsidR="00F30700" w:rsidRPr="00417E54" w:rsidRDefault="00F30700" w:rsidP="0072512A">
            <w:pPr>
              <w:pStyle w:val="ECHRPara"/>
              <w:ind w:firstLine="0"/>
              <w:jc w:val="center"/>
              <w:rPr>
                <w:rFonts w:ascii="Garamond" w:hAnsi="Garamond"/>
                <w:bCs/>
                <w:sz w:val="20"/>
                <w:lang w:val="sq-AL"/>
              </w:rPr>
            </w:pPr>
          </w:p>
        </w:tc>
      </w:tr>
    </w:tbl>
    <w:p w14:paraId="24D37F8E" w14:textId="77777777" w:rsidR="00F30700" w:rsidRPr="00417E54" w:rsidRDefault="00F30700" w:rsidP="00A11EBB">
      <w:pPr>
        <w:pStyle w:val="ECHRPara"/>
        <w:rPr>
          <w:rFonts w:ascii="Garamond" w:hAnsi="Garamond"/>
          <w:b/>
          <w:szCs w:val="24"/>
          <w:lang w:val="sq-AL"/>
        </w:rPr>
      </w:pPr>
    </w:p>
    <w:sectPr w:rsidR="00F30700" w:rsidRPr="00417E54" w:rsidSect="005952B5">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2E865" w14:textId="77777777" w:rsidR="00151169" w:rsidRDefault="00151169">
      <w:pPr>
        <w:spacing w:after="0" w:line="240" w:lineRule="auto"/>
      </w:pPr>
      <w:r>
        <w:separator/>
      </w:r>
    </w:p>
  </w:endnote>
  <w:endnote w:type="continuationSeparator" w:id="0">
    <w:p w14:paraId="7FE132B7" w14:textId="77777777" w:rsidR="00151169" w:rsidRDefault="00151169">
      <w:pPr>
        <w:spacing w:after="0" w:line="240" w:lineRule="auto"/>
      </w:pPr>
      <w:r>
        <w:continuationSeparator/>
      </w:r>
    </w:p>
  </w:endnote>
  <w:endnote w:type="continuationNotice" w:id="1">
    <w:p w14:paraId="6E9EA014" w14:textId="77777777" w:rsidR="00151169" w:rsidRDefault="001511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DC09D" w14:textId="77777777" w:rsidR="00151169" w:rsidRDefault="00151169">
      <w:pPr>
        <w:spacing w:after="0" w:line="240" w:lineRule="auto"/>
      </w:pPr>
      <w:r>
        <w:separator/>
      </w:r>
    </w:p>
  </w:footnote>
  <w:footnote w:type="continuationSeparator" w:id="0">
    <w:p w14:paraId="6BF258F9" w14:textId="77777777" w:rsidR="00151169" w:rsidRDefault="00151169">
      <w:pPr>
        <w:spacing w:after="0" w:line="240" w:lineRule="auto"/>
      </w:pPr>
      <w:r>
        <w:continuationSeparator/>
      </w:r>
    </w:p>
  </w:footnote>
  <w:footnote w:type="continuationNotice" w:id="1">
    <w:p w14:paraId="474D3B6C" w14:textId="77777777" w:rsidR="00151169" w:rsidRDefault="001511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34E4D75"/>
    <w:multiLevelType w:val="hybridMultilevel"/>
    <w:tmpl w:val="81843436"/>
    <w:lvl w:ilvl="0" w:tplc="DB96B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214533"/>
    <w:multiLevelType w:val="hybridMultilevel"/>
    <w:tmpl w:val="A07E9BC4"/>
    <w:lvl w:ilvl="0" w:tplc="56264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18D2561B"/>
    <w:multiLevelType w:val="hybridMultilevel"/>
    <w:tmpl w:val="F8D82720"/>
    <w:lvl w:ilvl="0" w:tplc="D40A0548">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2041A35"/>
    <w:multiLevelType w:val="hybridMultilevel"/>
    <w:tmpl w:val="DCCE7FA6"/>
    <w:lvl w:ilvl="0" w:tplc="AB80C16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31002C"/>
    <w:multiLevelType w:val="hybridMultilevel"/>
    <w:tmpl w:val="247E3A74"/>
    <w:lvl w:ilvl="0" w:tplc="6D943E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37D6D3A"/>
    <w:multiLevelType w:val="hybridMultilevel"/>
    <w:tmpl w:val="C65C2A54"/>
    <w:lvl w:ilvl="0" w:tplc="7DE0A0A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1F3C1F"/>
    <w:multiLevelType w:val="hybridMultilevel"/>
    <w:tmpl w:val="B44409DE"/>
    <w:lvl w:ilvl="0" w:tplc="22BC0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9F5EEE"/>
    <w:multiLevelType w:val="hybridMultilevel"/>
    <w:tmpl w:val="F10C16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675615"/>
    <w:multiLevelType w:val="hybridMultilevel"/>
    <w:tmpl w:val="DCEC04AA"/>
    <w:lvl w:ilvl="0" w:tplc="A0624386">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53536DA9"/>
    <w:multiLevelType w:val="hybridMultilevel"/>
    <w:tmpl w:val="E2B0F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993258A"/>
    <w:multiLevelType w:val="hybridMultilevel"/>
    <w:tmpl w:val="DFBA9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DB6D94"/>
    <w:multiLevelType w:val="hybridMultilevel"/>
    <w:tmpl w:val="F69A28E2"/>
    <w:lvl w:ilvl="0" w:tplc="63424456">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4B6669"/>
    <w:multiLevelType w:val="hybridMultilevel"/>
    <w:tmpl w:val="1A0A75FE"/>
    <w:lvl w:ilvl="0" w:tplc="637049C2">
      <w:start w:val="1"/>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4" w15:restartNumberingAfterBreak="0">
    <w:nsid w:val="6BC069B3"/>
    <w:multiLevelType w:val="hybridMultilevel"/>
    <w:tmpl w:val="9DDA47A6"/>
    <w:lvl w:ilvl="0" w:tplc="32462F8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C72C14"/>
    <w:multiLevelType w:val="hybridMultilevel"/>
    <w:tmpl w:val="616CDFBE"/>
    <w:lvl w:ilvl="0" w:tplc="D348F54E">
      <w:start w:val="2"/>
      <w:numFmt w:val="decimal"/>
      <w:lvlText w:val="%1."/>
      <w:lvlJc w:val="left"/>
      <w:pPr>
        <w:ind w:left="644" w:hanging="360"/>
      </w:pPr>
      <w:rPr>
        <w:rFonts w:hint="default"/>
        <w:sz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7" w15:restartNumberingAfterBreak="0">
    <w:nsid w:val="6E4057A6"/>
    <w:multiLevelType w:val="hybridMultilevel"/>
    <w:tmpl w:val="7448577E"/>
    <w:lvl w:ilvl="0" w:tplc="90F4458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3"/>
  </w:num>
  <w:num w:numId="4">
    <w:abstractNumId w:val="25"/>
  </w:num>
  <w:num w:numId="5">
    <w:abstractNumId w:val="17"/>
  </w:num>
  <w:num w:numId="6">
    <w:abstractNumId w:val="16"/>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8"/>
  </w:num>
  <w:num w:numId="16">
    <w:abstractNumId w:val="24"/>
  </w:num>
  <w:num w:numId="17">
    <w:abstractNumId w:val="40"/>
  </w:num>
  <w:num w:numId="18">
    <w:abstractNumId w:val="39"/>
  </w:num>
  <w:num w:numId="19">
    <w:abstractNumId w:val="45"/>
  </w:num>
  <w:num w:numId="20">
    <w:abstractNumId w:val="9"/>
  </w:num>
  <w:num w:numId="21">
    <w:abstractNumId w:val="35"/>
  </w:num>
  <w:num w:numId="22">
    <w:abstractNumId w:val="28"/>
  </w:num>
  <w:num w:numId="23">
    <w:abstractNumId w:val="29"/>
  </w:num>
  <w:num w:numId="24">
    <w:abstractNumId w:val="11"/>
  </w:num>
  <w:num w:numId="25">
    <w:abstractNumId w:val="30"/>
  </w:num>
  <w:num w:numId="26">
    <w:abstractNumId w:val="23"/>
  </w:num>
  <w:num w:numId="27">
    <w:abstractNumId w:val="36"/>
  </w:num>
  <w:num w:numId="28">
    <w:abstractNumId w:val="31"/>
  </w:num>
  <w:num w:numId="29">
    <w:abstractNumId w:val="32"/>
  </w:num>
  <w:num w:numId="30">
    <w:abstractNumId w:val="10"/>
  </w:num>
  <w:num w:numId="31">
    <w:abstractNumId w:val="42"/>
  </w:num>
  <w:num w:numId="32">
    <w:abstractNumId w:val="21"/>
  </w:num>
  <w:num w:numId="33">
    <w:abstractNumId w:val="19"/>
  </w:num>
  <w:num w:numId="34">
    <w:abstractNumId w:val="13"/>
  </w:num>
  <w:num w:numId="35">
    <w:abstractNumId w:val="27"/>
  </w:num>
  <w:num w:numId="36">
    <w:abstractNumId w:val="37"/>
  </w:num>
  <w:num w:numId="37">
    <w:abstractNumId w:val="26"/>
  </w:num>
  <w:num w:numId="38">
    <w:abstractNumId w:val="33"/>
  </w:num>
  <w:num w:numId="39">
    <w:abstractNumId w:val="34"/>
  </w:num>
  <w:num w:numId="40">
    <w:abstractNumId w:val="41"/>
  </w:num>
  <w:num w:numId="41">
    <w:abstractNumId w:val="38"/>
  </w:num>
  <w:num w:numId="42">
    <w:abstractNumId w:val="20"/>
  </w:num>
  <w:num w:numId="43">
    <w:abstractNumId w:val="15"/>
  </w:num>
  <w:num w:numId="44">
    <w:abstractNumId w:val="46"/>
  </w:num>
  <w:num w:numId="45">
    <w:abstractNumId w:val="14"/>
  </w:num>
  <w:num w:numId="46">
    <w:abstractNumId w:val="47"/>
  </w:num>
  <w:num w:numId="47">
    <w:abstractNumId w:val="18"/>
  </w:num>
  <w:num w:numId="48">
    <w:abstractNumId w:val="22"/>
  </w:num>
  <w:num w:numId="49">
    <w:abstractNumId w:val="4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8E"/>
    <w:rsid w:val="000030B5"/>
    <w:rsid w:val="0002212B"/>
    <w:rsid w:val="000252D1"/>
    <w:rsid w:val="00027B41"/>
    <w:rsid w:val="00047927"/>
    <w:rsid w:val="000571DC"/>
    <w:rsid w:val="00064021"/>
    <w:rsid w:val="00064AB7"/>
    <w:rsid w:val="000739EB"/>
    <w:rsid w:val="000748FA"/>
    <w:rsid w:val="0007665B"/>
    <w:rsid w:val="000802F1"/>
    <w:rsid w:val="00083643"/>
    <w:rsid w:val="00094259"/>
    <w:rsid w:val="000A43A3"/>
    <w:rsid w:val="000B0E58"/>
    <w:rsid w:val="000B4046"/>
    <w:rsid w:val="000C0685"/>
    <w:rsid w:val="000C27B5"/>
    <w:rsid w:val="000D3D51"/>
    <w:rsid w:val="000E1C87"/>
    <w:rsid w:val="000F3BC9"/>
    <w:rsid w:val="000F44B9"/>
    <w:rsid w:val="00101961"/>
    <w:rsid w:val="0011151D"/>
    <w:rsid w:val="001215AA"/>
    <w:rsid w:val="00131D9B"/>
    <w:rsid w:val="00134D40"/>
    <w:rsid w:val="00134FB7"/>
    <w:rsid w:val="00137962"/>
    <w:rsid w:val="00145F8E"/>
    <w:rsid w:val="001467DE"/>
    <w:rsid w:val="001503CD"/>
    <w:rsid w:val="00151169"/>
    <w:rsid w:val="00153AA4"/>
    <w:rsid w:val="00170B2F"/>
    <w:rsid w:val="0017549F"/>
    <w:rsid w:val="00180A85"/>
    <w:rsid w:val="00187900"/>
    <w:rsid w:val="001933F2"/>
    <w:rsid w:val="001B0609"/>
    <w:rsid w:val="001D4970"/>
    <w:rsid w:val="001F4440"/>
    <w:rsid w:val="001F651E"/>
    <w:rsid w:val="002048EA"/>
    <w:rsid w:val="00212BF6"/>
    <w:rsid w:val="00216E66"/>
    <w:rsid w:val="00225D0B"/>
    <w:rsid w:val="002356C7"/>
    <w:rsid w:val="00245C4B"/>
    <w:rsid w:val="00257EF2"/>
    <w:rsid w:val="002669CB"/>
    <w:rsid w:val="002712CB"/>
    <w:rsid w:val="0027642E"/>
    <w:rsid w:val="00290052"/>
    <w:rsid w:val="002910BF"/>
    <w:rsid w:val="002C276E"/>
    <w:rsid w:val="002C305E"/>
    <w:rsid w:val="002C7D02"/>
    <w:rsid w:val="002D29BE"/>
    <w:rsid w:val="002E16FE"/>
    <w:rsid w:val="002F1290"/>
    <w:rsid w:val="00335F8D"/>
    <w:rsid w:val="00336BC4"/>
    <w:rsid w:val="0035541D"/>
    <w:rsid w:val="00361F61"/>
    <w:rsid w:val="00362838"/>
    <w:rsid w:val="00365469"/>
    <w:rsid w:val="0037781B"/>
    <w:rsid w:val="00392B22"/>
    <w:rsid w:val="003A1CC9"/>
    <w:rsid w:val="003B72D7"/>
    <w:rsid w:val="00417E54"/>
    <w:rsid w:val="004214D4"/>
    <w:rsid w:val="00421C5E"/>
    <w:rsid w:val="0042743B"/>
    <w:rsid w:val="00431C7F"/>
    <w:rsid w:val="00431F75"/>
    <w:rsid w:val="00454FE2"/>
    <w:rsid w:val="0046494F"/>
    <w:rsid w:val="004838D2"/>
    <w:rsid w:val="00485BD7"/>
    <w:rsid w:val="004A0952"/>
    <w:rsid w:val="004A3BC8"/>
    <w:rsid w:val="004A3F30"/>
    <w:rsid w:val="004A5249"/>
    <w:rsid w:val="004A786C"/>
    <w:rsid w:val="004B2EA9"/>
    <w:rsid w:val="004C63B5"/>
    <w:rsid w:val="004C7CC9"/>
    <w:rsid w:val="004D36C7"/>
    <w:rsid w:val="004D387B"/>
    <w:rsid w:val="004E424A"/>
    <w:rsid w:val="004F3768"/>
    <w:rsid w:val="004F4A31"/>
    <w:rsid w:val="004F785C"/>
    <w:rsid w:val="00503B90"/>
    <w:rsid w:val="00511343"/>
    <w:rsid w:val="005154F1"/>
    <w:rsid w:val="00533460"/>
    <w:rsid w:val="00541520"/>
    <w:rsid w:val="005423F9"/>
    <w:rsid w:val="005771AA"/>
    <w:rsid w:val="00590136"/>
    <w:rsid w:val="005952B5"/>
    <w:rsid w:val="005A1F23"/>
    <w:rsid w:val="005F424E"/>
    <w:rsid w:val="00605046"/>
    <w:rsid w:val="0061261F"/>
    <w:rsid w:val="006168A6"/>
    <w:rsid w:val="00624092"/>
    <w:rsid w:val="0063604E"/>
    <w:rsid w:val="00642BA8"/>
    <w:rsid w:val="006474C8"/>
    <w:rsid w:val="00665A1F"/>
    <w:rsid w:val="00666E22"/>
    <w:rsid w:val="00674F0C"/>
    <w:rsid w:val="00674F68"/>
    <w:rsid w:val="006832B3"/>
    <w:rsid w:val="00695988"/>
    <w:rsid w:val="006A5511"/>
    <w:rsid w:val="006B2578"/>
    <w:rsid w:val="006B7666"/>
    <w:rsid w:val="006F10D5"/>
    <w:rsid w:val="006F26E6"/>
    <w:rsid w:val="006F3120"/>
    <w:rsid w:val="00700DA4"/>
    <w:rsid w:val="0072391A"/>
    <w:rsid w:val="0072512A"/>
    <w:rsid w:val="0074515B"/>
    <w:rsid w:val="0074535E"/>
    <w:rsid w:val="0075382D"/>
    <w:rsid w:val="00793D7D"/>
    <w:rsid w:val="007A2F55"/>
    <w:rsid w:val="007A60A6"/>
    <w:rsid w:val="007B259E"/>
    <w:rsid w:val="007B2BD1"/>
    <w:rsid w:val="007B56DA"/>
    <w:rsid w:val="007C24D3"/>
    <w:rsid w:val="007C62F9"/>
    <w:rsid w:val="007D3907"/>
    <w:rsid w:val="007E3123"/>
    <w:rsid w:val="007E4627"/>
    <w:rsid w:val="007E60AF"/>
    <w:rsid w:val="007F7D16"/>
    <w:rsid w:val="00820616"/>
    <w:rsid w:val="0082750C"/>
    <w:rsid w:val="008320AF"/>
    <w:rsid w:val="00843544"/>
    <w:rsid w:val="00864887"/>
    <w:rsid w:val="008659D0"/>
    <w:rsid w:val="0087412D"/>
    <w:rsid w:val="00880855"/>
    <w:rsid w:val="0089291C"/>
    <w:rsid w:val="008B719A"/>
    <w:rsid w:val="008F2622"/>
    <w:rsid w:val="009009D2"/>
    <w:rsid w:val="009049A5"/>
    <w:rsid w:val="00910C6E"/>
    <w:rsid w:val="00914B39"/>
    <w:rsid w:val="00915CF9"/>
    <w:rsid w:val="00965114"/>
    <w:rsid w:val="00967A9C"/>
    <w:rsid w:val="00973D46"/>
    <w:rsid w:val="00980D43"/>
    <w:rsid w:val="00980E02"/>
    <w:rsid w:val="00985CE3"/>
    <w:rsid w:val="009B6665"/>
    <w:rsid w:val="009C499E"/>
    <w:rsid w:val="009F7A92"/>
    <w:rsid w:val="00A05624"/>
    <w:rsid w:val="00A060DE"/>
    <w:rsid w:val="00A11EBB"/>
    <w:rsid w:val="00A15AFA"/>
    <w:rsid w:val="00A15B8D"/>
    <w:rsid w:val="00A250EC"/>
    <w:rsid w:val="00A25FC0"/>
    <w:rsid w:val="00A33667"/>
    <w:rsid w:val="00A440EF"/>
    <w:rsid w:val="00A47DBD"/>
    <w:rsid w:val="00A63FEE"/>
    <w:rsid w:val="00A65515"/>
    <w:rsid w:val="00A704B3"/>
    <w:rsid w:val="00A7485D"/>
    <w:rsid w:val="00A75655"/>
    <w:rsid w:val="00A87F29"/>
    <w:rsid w:val="00A9719E"/>
    <w:rsid w:val="00AA1CA3"/>
    <w:rsid w:val="00AB558E"/>
    <w:rsid w:val="00AB5827"/>
    <w:rsid w:val="00AC6C75"/>
    <w:rsid w:val="00AD31ED"/>
    <w:rsid w:val="00AE7861"/>
    <w:rsid w:val="00AF23C1"/>
    <w:rsid w:val="00AF2863"/>
    <w:rsid w:val="00B03446"/>
    <w:rsid w:val="00B10636"/>
    <w:rsid w:val="00B111A8"/>
    <w:rsid w:val="00B229C3"/>
    <w:rsid w:val="00B2321A"/>
    <w:rsid w:val="00B3193B"/>
    <w:rsid w:val="00B46E0B"/>
    <w:rsid w:val="00B720B5"/>
    <w:rsid w:val="00B754C6"/>
    <w:rsid w:val="00B80630"/>
    <w:rsid w:val="00B91EE2"/>
    <w:rsid w:val="00BA3B98"/>
    <w:rsid w:val="00BB07C3"/>
    <w:rsid w:val="00BB1C59"/>
    <w:rsid w:val="00BC1879"/>
    <w:rsid w:val="00BC2027"/>
    <w:rsid w:val="00BE3DA5"/>
    <w:rsid w:val="00C0694E"/>
    <w:rsid w:val="00C32853"/>
    <w:rsid w:val="00C45780"/>
    <w:rsid w:val="00C51A2E"/>
    <w:rsid w:val="00C52E1B"/>
    <w:rsid w:val="00C77B99"/>
    <w:rsid w:val="00C85AA1"/>
    <w:rsid w:val="00C86A8E"/>
    <w:rsid w:val="00C95156"/>
    <w:rsid w:val="00CA7BF2"/>
    <w:rsid w:val="00CC731D"/>
    <w:rsid w:val="00CD416E"/>
    <w:rsid w:val="00CF1D98"/>
    <w:rsid w:val="00CF40B2"/>
    <w:rsid w:val="00CF57A1"/>
    <w:rsid w:val="00CF70D5"/>
    <w:rsid w:val="00D053ED"/>
    <w:rsid w:val="00D160CF"/>
    <w:rsid w:val="00D170FE"/>
    <w:rsid w:val="00D33F63"/>
    <w:rsid w:val="00D40807"/>
    <w:rsid w:val="00D42859"/>
    <w:rsid w:val="00D76D6E"/>
    <w:rsid w:val="00D92F88"/>
    <w:rsid w:val="00DA52DB"/>
    <w:rsid w:val="00DA71D5"/>
    <w:rsid w:val="00DC32A2"/>
    <w:rsid w:val="00DC5BAB"/>
    <w:rsid w:val="00DE1083"/>
    <w:rsid w:val="00DE6EE8"/>
    <w:rsid w:val="00DF0976"/>
    <w:rsid w:val="00E002F3"/>
    <w:rsid w:val="00E016DB"/>
    <w:rsid w:val="00E17AC4"/>
    <w:rsid w:val="00E269F8"/>
    <w:rsid w:val="00E44E63"/>
    <w:rsid w:val="00E54608"/>
    <w:rsid w:val="00E57AF1"/>
    <w:rsid w:val="00E71489"/>
    <w:rsid w:val="00E76076"/>
    <w:rsid w:val="00EA07E8"/>
    <w:rsid w:val="00EA2233"/>
    <w:rsid w:val="00EC0BE6"/>
    <w:rsid w:val="00EC5AC7"/>
    <w:rsid w:val="00ED36C1"/>
    <w:rsid w:val="00EE7C36"/>
    <w:rsid w:val="00EF4A39"/>
    <w:rsid w:val="00EF69FB"/>
    <w:rsid w:val="00F03639"/>
    <w:rsid w:val="00F079BD"/>
    <w:rsid w:val="00F30700"/>
    <w:rsid w:val="00F32A01"/>
    <w:rsid w:val="00F3722B"/>
    <w:rsid w:val="00F51F52"/>
    <w:rsid w:val="00F52420"/>
    <w:rsid w:val="00F53370"/>
    <w:rsid w:val="00F660B4"/>
    <w:rsid w:val="00F72B7F"/>
    <w:rsid w:val="00F742CB"/>
    <w:rsid w:val="00F85271"/>
    <w:rsid w:val="00FD64B0"/>
    <w:rsid w:val="00FE24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99"/>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99"/>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 w:id="2044094731">
      <w:bodyDiv w:val="1"/>
      <w:marLeft w:val="0"/>
      <w:marRight w:val="0"/>
      <w:marTop w:val="0"/>
      <w:marBottom w:val="0"/>
      <w:divBdr>
        <w:top w:val="none" w:sz="0" w:space="0" w:color="auto"/>
        <w:left w:val="none" w:sz="0" w:space="0" w:color="auto"/>
        <w:bottom w:val="none" w:sz="0" w:space="0" w:color="auto"/>
        <w:right w:val="none" w:sz="0" w:space="0" w:color="auto"/>
      </w:divBdr>
      <w:divsChild>
        <w:div w:id="804588559">
          <w:marLeft w:val="0"/>
          <w:marRight w:val="0"/>
          <w:marTop w:val="0"/>
          <w:marBottom w:val="0"/>
          <w:divBdr>
            <w:top w:val="none" w:sz="0" w:space="0" w:color="auto"/>
            <w:left w:val="none" w:sz="0" w:space="0" w:color="auto"/>
            <w:bottom w:val="none" w:sz="0" w:space="0" w:color="auto"/>
            <w:right w:val="none" w:sz="0" w:space="0" w:color="auto"/>
          </w:divBdr>
        </w:div>
        <w:div w:id="443037811">
          <w:marLeft w:val="0"/>
          <w:marRight w:val="0"/>
          <w:marTop w:val="0"/>
          <w:marBottom w:val="0"/>
          <w:divBdr>
            <w:top w:val="none" w:sz="0" w:space="0" w:color="auto"/>
            <w:left w:val="none" w:sz="0" w:space="0" w:color="auto"/>
            <w:bottom w:val="none" w:sz="0" w:space="0" w:color="auto"/>
            <w:right w:val="none" w:sz="0" w:space="0" w:color="auto"/>
          </w:divBdr>
        </w:div>
        <w:div w:id="1026056616">
          <w:marLeft w:val="0"/>
          <w:marRight w:val="0"/>
          <w:marTop w:val="0"/>
          <w:marBottom w:val="0"/>
          <w:divBdr>
            <w:top w:val="none" w:sz="0" w:space="0" w:color="auto"/>
            <w:left w:val="none" w:sz="0" w:space="0" w:color="auto"/>
            <w:bottom w:val="none" w:sz="0" w:space="0" w:color="auto"/>
            <w:right w:val="none" w:sz="0" w:space="0" w:color="auto"/>
          </w:divBdr>
        </w:div>
        <w:div w:id="335544713">
          <w:marLeft w:val="0"/>
          <w:marRight w:val="0"/>
          <w:marTop w:val="0"/>
          <w:marBottom w:val="0"/>
          <w:divBdr>
            <w:top w:val="none" w:sz="0" w:space="0" w:color="auto"/>
            <w:left w:val="none" w:sz="0" w:space="0" w:color="auto"/>
            <w:bottom w:val="none" w:sz="0" w:space="0" w:color="auto"/>
            <w:right w:val="none" w:sz="0" w:space="0" w:color="auto"/>
          </w:divBdr>
        </w:div>
        <w:div w:id="1732733026">
          <w:marLeft w:val="0"/>
          <w:marRight w:val="0"/>
          <w:marTop w:val="0"/>
          <w:marBottom w:val="0"/>
          <w:divBdr>
            <w:top w:val="none" w:sz="0" w:space="0" w:color="auto"/>
            <w:left w:val="none" w:sz="0" w:space="0" w:color="auto"/>
            <w:bottom w:val="none" w:sz="0" w:space="0" w:color="auto"/>
            <w:right w:val="none" w:sz="0" w:space="0" w:color="auto"/>
          </w:divBdr>
        </w:div>
        <w:div w:id="218172596">
          <w:marLeft w:val="0"/>
          <w:marRight w:val="0"/>
          <w:marTop w:val="0"/>
          <w:marBottom w:val="0"/>
          <w:divBdr>
            <w:top w:val="none" w:sz="0" w:space="0" w:color="auto"/>
            <w:left w:val="none" w:sz="0" w:space="0" w:color="auto"/>
            <w:bottom w:val="none" w:sz="0" w:space="0" w:color="auto"/>
            <w:right w:val="none" w:sz="0" w:space="0" w:color="auto"/>
          </w:divBdr>
        </w:div>
        <w:div w:id="1776485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65774-14</Nr_x002e__x0020_akti>
    <Data_x0020_e_x0020_Krijimit xmlns="0e656187-b300-4fb0-8bf4-3a50f872073c">2024-02-21T14:25:48Z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2024-02-21T00:00:00Z</Date_x0020_protokolli>
    <Titulli xmlns="0e656187-b300-4fb0-8bf4-3a50f872073c">Kërkesa nr. 65774/14 Dashuri Llagami dhe të tjerë kundër Shqipërisë</Titulli>
    <Modifikuesi xmlns="0e656187-b300-4fb0-8bf4-3a50f872073c">alma.lisaku</Modifikuesi>
    <Nr_x002e__x0020_prot_x0020_QBZ xmlns="0e656187-b300-4fb0-8bf4-3a50f872073c">319/3</Nr_x002e__x0020_prot_x0020_QBZ>
    <Data_x0020_e_x0020_Modifikimit xmlns="0e656187-b300-4fb0-8bf4-3a50f872073c">2024-02-22T09:56:16Z</Data_x0020_e_x0020_Modifikimit>
    <Dekretuar xmlns="0e656187-b300-4fb0-8bf4-3a50f872073c">false</Dekretuar>
    <Data xmlns="0e656187-b300-4fb0-8bf4-3a50f872073c">2023-01-19T00:00:00Z</Data>
    <Nr_x002e__x0020_protokolli_x0020_i_x0020_aktit xmlns="0e656187-b300-4fb0-8bf4-3a50f872073c">382/1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4F841529AC4F2C9A06D301B0FE0B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4F841529AC4F2C9A06D301B0FE0B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6C697-FCC3-4F10-AA2F-B18EF0EC99C2}">
  <ds:schemaRefs>
    <ds:schemaRef ds:uri="http://schemas.microsoft.com/office/2006/documentManagement/types"/>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B1CA33B-12AF-4818-813B-2E9DCCA1B790}">
  <ds:schemaRefs>
    <ds:schemaRef ds:uri="http://schemas.microsoft.com/sharepoint/v3/contenttype/forms"/>
  </ds:schemaRefs>
</ds:datastoreItem>
</file>

<file path=customXml/itemProps3.xml><?xml version="1.0" encoding="utf-8"?>
<ds:datastoreItem xmlns:ds="http://schemas.openxmlformats.org/officeDocument/2006/customXml" ds:itemID="{CBC07DD7-1BF9-4382-BC6B-5DF43FD88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264328-A843-4E31-A3F8-43D5BDB2D912}">
  <ds:schemaRefs>
    <ds:schemaRef ds:uri="http://schemas.microsoft.com/sharepoint/v3/contenttype/forms"/>
  </ds:schemaRefs>
</ds:datastoreItem>
</file>

<file path=customXml/itemProps5.xml><?xml version="1.0" encoding="utf-8"?>
<ds:datastoreItem xmlns:ds="http://schemas.openxmlformats.org/officeDocument/2006/customXml" ds:itemID="{B0F6E1D3-1F34-440D-A5FA-77E37206D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68BB1E-CAC9-42A4-9649-45B3AD8C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Kërkesa nr. 65774/14 Dashuri Llagami dhe të tjerë kundër Shqipërisë</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nr. 65774/14 Dashuri Llagami dhe të tjerë kundër Shqipërisë</dc:title>
  <dc:creator>Mirela Prifti</dc:creator>
  <cp:lastModifiedBy>Amarilda Muja</cp:lastModifiedBy>
  <cp:revision>26</cp:revision>
  <dcterms:created xsi:type="dcterms:W3CDTF">2024-02-21T13:22:00Z</dcterms:created>
  <dcterms:modified xsi:type="dcterms:W3CDTF">2024-02-22T09:55:00Z</dcterms:modified>
</cp:coreProperties>
</file>