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DC58C" w14:textId="77777777" w:rsidR="00C0711E" w:rsidRPr="006A1F4E" w:rsidRDefault="00C0711E" w:rsidP="00C0711E">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1F4E">
        <w:rPr>
          <w:rFonts w:ascii="Garamond" w:hAnsi="Garamond" w:cs="Times New Roman"/>
          <w:color w:val="000000"/>
          <w:sz w:val="24"/>
          <w:szCs w:val="24"/>
          <w:lang w:val="sq-AL"/>
        </w:rPr>
        <w:t>SEKSIONI I TRETË</w:t>
      </w:r>
    </w:p>
    <w:p w14:paraId="2D05B5A4" w14:textId="77777777" w:rsidR="00C0711E" w:rsidRPr="006A1F4E" w:rsidRDefault="00C0711E" w:rsidP="00C0711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4005AC2" w14:textId="77777777" w:rsidR="00C0711E" w:rsidRPr="006A1F4E" w:rsidRDefault="00C0711E" w:rsidP="00C0711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ÇËSHTJA SEVDARI KUNDËR SHQIPËRISË</w:t>
      </w:r>
    </w:p>
    <w:p w14:paraId="5CA6A894" w14:textId="77777777" w:rsidR="00C0711E" w:rsidRPr="006A1F4E" w:rsidRDefault="00C0711E" w:rsidP="00C0711E">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(Kërkesa nr. 40662/19)</w:t>
      </w:r>
    </w:p>
    <w:p w14:paraId="1F8141BF" w14:textId="77777777" w:rsidR="00C0711E" w:rsidRPr="006A1F4E" w:rsidRDefault="00C0711E" w:rsidP="00C0711E">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009E2962" w14:textId="77777777" w:rsidR="00C0711E" w:rsidRPr="006A1F4E" w:rsidRDefault="00C0711E" w:rsidP="00C0711E">
      <w:pPr>
        <w:autoSpaceDE w:val="0"/>
        <w:autoSpaceDN w:val="0"/>
        <w:adjustRightInd w:val="0"/>
        <w:spacing w:after="0" w:line="240" w:lineRule="auto"/>
        <w:ind w:firstLine="284"/>
        <w:jc w:val="center"/>
        <w:rPr>
          <w:rFonts w:ascii="Garamond" w:hAnsi="Garamond" w:cs="Times New Roman"/>
          <w:b/>
          <w:i/>
          <w:iCs/>
          <w:color w:val="000000"/>
          <w:sz w:val="24"/>
          <w:szCs w:val="24"/>
          <w:lang w:val="sq-AL"/>
        </w:rPr>
      </w:pPr>
      <w:r w:rsidRPr="006A1F4E">
        <w:rPr>
          <w:rFonts w:ascii="Garamond" w:hAnsi="Garamond" w:cs="Times New Roman"/>
          <w:b/>
          <w:color w:val="000000"/>
          <w:sz w:val="24"/>
          <w:szCs w:val="24"/>
          <w:lang w:val="sq-AL"/>
        </w:rPr>
        <w:t>VENDIM</w:t>
      </w:r>
    </w:p>
    <w:p w14:paraId="4F162473" w14:textId="77777777" w:rsidR="00C0711E" w:rsidRPr="006A1F4E" w:rsidRDefault="00C0711E" w:rsidP="00C0711E">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D28F2D7" w14:textId="77777777" w:rsidR="00A55898" w:rsidRDefault="00C0711E" w:rsidP="00A55898">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Neni 8 – Jeta private – Shkarkim joproporcional i prokurores dhe ndalim i përhershëm për të rihyrë në sistemin e drejtësisë</w:t>
      </w:r>
      <w:r w:rsidR="00A5589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shkak të një gabimi të izoluar profesional dhe mospagimit të tatimeve nga bashkëshorti i saj për një pjesë të vogël të të ardhurave të tij – Mungesë e keqbesimit ose e shkeljeve të qëllimshme nga kërkuesja </w:t>
      </w:r>
    </w:p>
    <w:p w14:paraId="4EA6527E" w14:textId="468AE9B3" w:rsidR="00C0711E" w:rsidRPr="006A1F4E" w:rsidRDefault="00A55898" w:rsidP="00A55898">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Neni </w:t>
      </w:r>
      <w:r w:rsidR="00C0711E" w:rsidRPr="006A1F4E">
        <w:rPr>
          <w:rFonts w:ascii="Garamond" w:hAnsi="Garamond" w:cs="Times New Roman"/>
          <w:color w:val="000000"/>
          <w:sz w:val="24"/>
          <w:szCs w:val="24"/>
          <w:lang w:val="sq-AL"/>
        </w:rPr>
        <w:t xml:space="preserve">46 – Masat individuale – Rihapja e procesit të rivlerësimit, me kërkesë të kërkueses, dhe rishqyrtim i çështjes në përputhje me parashikimet e </w:t>
      </w:r>
      <w:r w:rsidR="00D51AC0" w:rsidRPr="006A1F4E">
        <w:rPr>
          <w:rFonts w:ascii="Garamond" w:hAnsi="Garamond" w:cs="Times New Roman"/>
          <w:color w:val="000000"/>
          <w:sz w:val="24"/>
          <w:szCs w:val="24"/>
          <w:lang w:val="sq-AL"/>
        </w:rPr>
        <w:t xml:space="preserve">nenit </w:t>
      </w:r>
      <w:r w:rsidR="00C0711E" w:rsidRPr="006A1F4E">
        <w:rPr>
          <w:rFonts w:ascii="Garamond" w:hAnsi="Garamond" w:cs="Times New Roman"/>
          <w:color w:val="000000"/>
          <w:sz w:val="24"/>
          <w:szCs w:val="24"/>
          <w:lang w:val="sq-AL"/>
        </w:rPr>
        <w:t>8 – Masat e përgjithshme nuk janë të nevojshme – Funksionimi i procesit aktual të rivlerësimit në përgjithësi, pa deklaruar si të tillë problemin sistemik të respektimit të parashikimeve të Konventës</w:t>
      </w:r>
      <w:r w:rsidR="006A1F4E" w:rsidRPr="006A1F4E">
        <w:rPr>
          <w:rFonts w:ascii="Garamond" w:hAnsi="Garamond" w:cs="Calibri"/>
          <w:color w:val="000000"/>
          <w:sz w:val="24"/>
          <w:szCs w:val="24"/>
          <w:lang w:val="sq-AL"/>
        </w:rPr>
        <w:t xml:space="preserve"> </w:t>
      </w:r>
    </w:p>
    <w:p w14:paraId="5DB786F6" w14:textId="77777777" w:rsidR="00C0711E" w:rsidRPr="006A1F4E" w:rsidRDefault="00C0711E" w:rsidP="00C0711E">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4C172D7" w14:textId="77777777" w:rsidR="00C0711E" w:rsidRPr="006A1F4E" w:rsidRDefault="00C0711E" w:rsidP="00C0711E">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STRASBURG</w:t>
      </w:r>
    </w:p>
    <w:p w14:paraId="6C5F9C63" w14:textId="1A84B84B" w:rsidR="00C0711E" w:rsidRPr="006A1F4E" w:rsidRDefault="00C0711E" w:rsidP="00C0711E">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 </w:t>
      </w:r>
      <w:r w:rsidR="006A1F4E" w:rsidRPr="006A1F4E">
        <w:rPr>
          <w:rFonts w:ascii="Garamond" w:hAnsi="Garamond" w:cs="Times New Roman"/>
          <w:color w:val="000000"/>
          <w:sz w:val="24"/>
          <w:szCs w:val="24"/>
          <w:lang w:val="sq-AL"/>
        </w:rPr>
        <w:t xml:space="preserve">dhjetor </w:t>
      </w:r>
      <w:r w:rsidRPr="006A1F4E">
        <w:rPr>
          <w:rFonts w:ascii="Garamond" w:hAnsi="Garamond" w:cs="Times New Roman"/>
          <w:color w:val="000000"/>
          <w:sz w:val="24"/>
          <w:szCs w:val="24"/>
          <w:lang w:val="sq-AL"/>
        </w:rPr>
        <w:t>2022</w:t>
      </w:r>
    </w:p>
    <w:p w14:paraId="2AFF6C97" w14:textId="77777777" w:rsidR="00C0711E" w:rsidRPr="006A1F4E" w:rsidRDefault="00C0711E" w:rsidP="00C0711E">
      <w:pPr>
        <w:tabs>
          <w:tab w:val="left" w:pos="90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3F5A29E" w14:textId="77777777" w:rsidR="00C0711E" w:rsidRPr="006A1F4E" w:rsidRDefault="00C0711E" w:rsidP="00C0711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I FORMËS SË PRERË</w:t>
      </w:r>
    </w:p>
    <w:p w14:paraId="216C3EFF" w14:textId="705BDCA6" w:rsidR="00C0711E" w:rsidRPr="006A1F4E" w:rsidRDefault="006A1F4E" w:rsidP="00C0711E">
      <w:pPr>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color w:val="000000"/>
          <w:sz w:val="24"/>
          <w:szCs w:val="24"/>
          <w:lang w:val="sq-AL"/>
        </w:rPr>
        <w:t>13.3.</w:t>
      </w:r>
      <w:r w:rsidR="00C0711E" w:rsidRPr="006A1F4E">
        <w:rPr>
          <w:rFonts w:ascii="Garamond" w:hAnsi="Garamond" w:cs="Times New Roman"/>
          <w:color w:val="000000"/>
          <w:sz w:val="24"/>
          <w:szCs w:val="24"/>
          <w:lang w:val="sq-AL"/>
        </w:rPr>
        <w:t>2023</w:t>
      </w:r>
    </w:p>
    <w:p w14:paraId="5A83AC27" w14:textId="38E6B318" w:rsidR="006C7993" w:rsidRPr="006A1F4E" w:rsidRDefault="00C0711E" w:rsidP="00C0711E">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 xml:space="preserve">Ky vendim do të bëhet i formës së prerë në mbështetje të rrethanave të parashikuara në </w:t>
      </w:r>
      <w:r w:rsidR="00D51AC0" w:rsidRPr="006A1F4E">
        <w:rPr>
          <w:rFonts w:ascii="Garamond" w:hAnsi="Garamond" w:cs="Times New Roman"/>
          <w:i/>
          <w:iCs/>
          <w:color w:val="000000"/>
          <w:sz w:val="24"/>
          <w:szCs w:val="24"/>
          <w:lang w:val="sq-AL"/>
        </w:rPr>
        <w:t xml:space="preserve">nenin </w:t>
      </w:r>
      <w:r w:rsidRPr="006A1F4E">
        <w:rPr>
          <w:rFonts w:ascii="Garamond" w:hAnsi="Garamond" w:cs="Times New Roman"/>
          <w:i/>
          <w:iCs/>
          <w:color w:val="000000"/>
          <w:sz w:val="24"/>
          <w:szCs w:val="24"/>
          <w:lang w:val="sq-AL"/>
        </w:rPr>
        <w:t>44 § 2 të Konventës. Ai mund të bëhet objekt i një rishikimi redaktues.</w:t>
      </w:r>
    </w:p>
    <w:p w14:paraId="5217DA9B" w14:textId="77777777" w:rsidR="006C7993" w:rsidRPr="006A1F4E" w:rsidRDefault="006C7993"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0B98DEF" w14:textId="08702A6A"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Në çështjen Sevdari kundër Shqipërisë,</w:t>
      </w:r>
    </w:p>
    <w:p w14:paraId="7986E6BB"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Gjykata Evropiane e të Drejtave të Njeriut (Seksioni i Tretë), e mbledhur si një Dhomë e përbërë nga: </w:t>
      </w:r>
    </w:p>
    <w:p w14:paraId="474E9D21" w14:textId="1BF19D01"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6A1F4E">
        <w:rPr>
          <w:rFonts w:ascii="Garamond" w:hAnsi="Garamond" w:cs="Times New Roman"/>
          <w:color w:val="000000"/>
          <w:sz w:val="24"/>
          <w:szCs w:val="24"/>
          <w:lang w:val="sq-AL"/>
        </w:rPr>
        <w:t xml:space="preserve"> Pere Pastor Vilanova,</w:t>
      </w:r>
      <w:r w:rsidRPr="006A1F4E">
        <w:rPr>
          <w:rFonts w:ascii="Garamond" w:hAnsi="Garamond" w:cs="Times New Roman"/>
          <w:i/>
          <w:iCs/>
          <w:color w:val="000000"/>
          <w:sz w:val="24"/>
          <w:szCs w:val="24"/>
          <w:lang w:val="sq-AL"/>
        </w:rPr>
        <w:t xml:space="preserve"> Kryetar,</w:t>
      </w:r>
    </w:p>
    <w:p w14:paraId="2DEEC4F2" w14:textId="4E4EA563"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 </w:t>
      </w:r>
      <w:r w:rsidRPr="006A1F4E">
        <w:rPr>
          <w:rFonts w:ascii="Garamond" w:hAnsi="Garamond" w:cs="Times New Roman"/>
          <w:color w:val="000000"/>
          <w:sz w:val="24"/>
          <w:szCs w:val="24"/>
          <w:lang w:val="sq-AL"/>
        </w:rPr>
        <w:t>Georgios A. Serghides,</w:t>
      </w:r>
    </w:p>
    <w:p w14:paraId="3C06361B" w14:textId="354C4173"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Jolien Schukking,</w:t>
      </w:r>
    </w:p>
    <w:p w14:paraId="55567A81" w14:textId="10654510"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 </w:t>
      </w:r>
      <w:r w:rsidRPr="006A1F4E">
        <w:rPr>
          <w:rFonts w:ascii="Garamond" w:hAnsi="Garamond" w:cs="Times New Roman"/>
          <w:color w:val="000000"/>
          <w:sz w:val="24"/>
          <w:szCs w:val="24"/>
          <w:lang w:val="sq-AL"/>
        </w:rPr>
        <w:t>Darian Pavli,</w:t>
      </w:r>
    </w:p>
    <w:p w14:paraId="71A698C0" w14:textId="4F86DEF9"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Peeter Roosma,</w:t>
      </w:r>
    </w:p>
    <w:p w14:paraId="1F3F018D" w14:textId="121E7362"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Ioannis Ktistakis,</w:t>
      </w:r>
    </w:p>
    <w:p w14:paraId="4F2B452E" w14:textId="04C686FD"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Andreas Zünd, </w:t>
      </w:r>
      <w:r w:rsidRPr="006A1F4E">
        <w:rPr>
          <w:rFonts w:ascii="Garamond" w:hAnsi="Garamond" w:cs="Times New Roman"/>
          <w:i/>
          <w:iCs/>
          <w:color w:val="000000"/>
          <w:sz w:val="24"/>
          <w:szCs w:val="24"/>
          <w:lang w:val="sq-AL"/>
        </w:rPr>
        <w:t xml:space="preserve">gjyqtarë </w:t>
      </w:r>
    </w:p>
    <w:p w14:paraId="4A09D013" w14:textId="77777777"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dhe Milan Blaško, </w:t>
      </w:r>
      <w:r w:rsidRPr="006A1F4E">
        <w:rPr>
          <w:rFonts w:ascii="Garamond" w:hAnsi="Garamond" w:cs="Times New Roman"/>
          <w:i/>
          <w:iCs/>
          <w:color w:val="000000"/>
          <w:sz w:val="24"/>
          <w:szCs w:val="24"/>
          <w:lang w:val="sq-AL"/>
        </w:rPr>
        <w:t>Sekretar i Seksionit,</w:t>
      </w:r>
    </w:p>
    <w:p w14:paraId="758044FC" w14:textId="17C1CF8F" w:rsidR="00C0711E" w:rsidRPr="006A1F4E" w:rsidRDefault="00C0711E" w:rsidP="00C0711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 </w:t>
      </w:r>
      <w:r w:rsidR="00957E92" w:rsidRPr="006A1F4E">
        <w:rPr>
          <w:rFonts w:ascii="Garamond" w:hAnsi="Garamond" w:cs="Times New Roman"/>
          <w:color w:val="000000"/>
          <w:sz w:val="24"/>
          <w:szCs w:val="24"/>
          <w:lang w:val="sq-AL"/>
        </w:rPr>
        <w:t xml:space="preserve">Duke </w:t>
      </w:r>
      <w:r w:rsidRPr="006A1F4E">
        <w:rPr>
          <w:rFonts w:ascii="Garamond" w:hAnsi="Garamond" w:cs="Times New Roman"/>
          <w:color w:val="000000"/>
          <w:sz w:val="24"/>
          <w:szCs w:val="24"/>
          <w:lang w:val="sq-AL"/>
        </w:rPr>
        <w:t xml:space="preserve">mbajtur në konsideratë: </w:t>
      </w:r>
    </w:p>
    <w:p w14:paraId="54E380D1" w14:textId="20D325E3" w:rsidR="00C0711E" w:rsidRPr="006A1F4E" w:rsidRDefault="00C0711E" w:rsidP="00C0711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kërkesën (nr. 40662/19) kundër Republikës së Shqipërisë paraqitur pranë Gjykatës, në mbështetje të </w:t>
      </w:r>
      <w:r w:rsidR="00D51AC0"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34 të Konventës për Mbrojtjen e të Drejtave të Njeriut dhe Lirive Themelore (“Konventa”) nga një shtetase shqiptare, </w:t>
      </w:r>
      <w:r w:rsidR="006A1F4E" w:rsidRPr="006A1F4E">
        <w:rPr>
          <w:rFonts w:ascii="Garamond" w:hAnsi="Garamond" w:cs="Times New Roman"/>
          <w:color w:val="000000"/>
          <w:sz w:val="24"/>
          <w:szCs w:val="24"/>
          <w:lang w:val="sq-AL"/>
        </w:rPr>
        <w:t>z</w:t>
      </w:r>
      <w:r w:rsidR="006A1F4E">
        <w:rPr>
          <w:rFonts w:ascii="Garamond" w:hAnsi="Garamond" w:cs="Times New Roman"/>
          <w:color w:val="000000"/>
          <w:sz w:val="24"/>
          <w:szCs w:val="24"/>
          <w:lang w:val="sq-AL"/>
        </w:rPr>
        <w:t>n</w:t>
      </w:r>
      <w:r w:rsidR="006A1F4E" w:rsidRPr="006A1F4E">
        <w:rPr>
          <w:rFonts w:ascii="Garamond" w:hAnsi="Garamond" w:cs="Times New Roman"/>
          <w:color w:val="000000"/>
          <w:sz w:val="24"/>
          <w:szCs w:val="24"/>
          <w:lang w:val="sq-AL"/>
        </w:rPr>
        <w:t>j</w:t>
      </w:r>
      <w:r w:rsidRPr="006A1F4E">
        <w:rPr>
          <w:rFonts w:ascii="Garamond" w:hAnsi="Garamond" w:cs="Times New Roman"/>
          <w:color w:val="000000"/>
          <w:sz w:val="24"/>
          <w:szCs w:val="24"/>
          <w:lang w:val="sq-AL"/>
        </w:rPr>
        <w:t xml:space="preserve">. Antoneta Sevdari (“ankuesja”), më 29 </w:t>
      </w:r>
      <w:r w:rsidR="006A1F4E" w:rsidRPr="006A1F4E">
        <w:rPr>
          <w:rFonts w:ascii="Garamond" w:hAnsi="Garamond" w:cs="Times New Roman"/>
          <w:color w:val="000000"/>
          <w:sz w:val="24"/>
          <w:szCs w:val="24"/>
          <w:lang w:val="sq-AL"/>
        </w:rPr>
        <w:t xml:space="preserve">korrik </w:t>
      </w:r>
      <w:r w:rsidRPr="006A1F4E">
        <w:rPr>
          <w:rFonts w:ascii="Garamond" w:hAnsi="Garamond" w:cs="Times New Roman"/>
          <w:color w:val="000000"/>
          <w:sz w:val="24"/>
          <w:szCs w:val="24"/>
          <w:lang w:val="sq-AL"/>
        </w:rPr>
        <w:t>2019;</w:t>
      </w:r>
    </w:p>
    <w:p w14:paraId="36D1A2C6" w14:textId="0500F4DD" w:rsidR="00C0711E" w:rsidRPr="006A1F4E" w:rsidRDefault="00C0711E" w:rsidP="00C0711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vendimin për të njoftuar </w:t>
      </w:r>
      <w:r w:rsidR="00D51AC0" w:rsidRPr="006A1F4E">
        <w:rPr>
          <w:rFonts w:ascii="Garamond" w:hAnsi="Garamond" w:cs="Times New Roman"/>
          <w:color w:val="000000"/>
          <w:sz w:val="24"/>
          <w:szCs w:val="24"/>
          <w:lang w:val="sq-AL"/>
        </w:rPr>
        <w:t xml:space="preserve">qeverinë </w:t>
      </w:r>
      <w:r w:rsidRPr="006A1F4E">
        <w:rPr>
          <w:rFonts w:ascii="Garamond" w:hAnsi="Garamond" w:cs="Times New Roman"/>
          <w:color w:val="000000"/>
          <w:sz w:val="24"/>
          <w:szCs w:val="24"/>
          <w:lang w:val="sq-AL"/>
        </w:rPr>
        <w:t>shqiptare (“Qeveria”) për kërkesën;</w:t>
      </w:r>
    </w:p>
    <w:p w14:paraId="235E5F65" w14:textId="3BD571F3" w:rsidR="00C0711E" w:rsidRPr="006A1F4E" w:rsidRDefault="00C0711E" w:rsidP="00C0711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komentet e palëve të treta të paraqitura nga Res Publica, së cilës i është dhënë leja për të ndërhyrë nga Kryetari i Seksionit (</w:t>
      </w:r>
      <w:r w:rsidR="00957E92"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36 § 2 i Konventës dhe </w:t>
      </w:r>
      <w:r w:rsidR="00957E92" w:rsidRPr="006A1F4E">
        <w:rPr>
          <w:rFonts w:ascii="Garamond" w:hAnsi="Garamond" w:cs="Times New Roman"/>
          <w:color w:val="000000"/>
          <w:sz w:val="24"/>
          <w:szCs w:val="24"/>
          <w:lang w:val="sq-AL"/>
        </w:rPr>
        <w:t xml:space="preserve">rregulli </w:t>
      </w:r>
      <w:r w:rsidRPr="006A1F4E">
        <w:rPr>
          <w:rFonts w:ascii="Garamond" w:hAnsi="Garamond" w:cs="Times New Roman"/>
          <w:color w:val="000000"/>
          <w:sz w:val="24"/>
          <w:szCs w:val="24"/>
          <w:lang w:val="sq-AL"/>
        </w:rPr>
        <w:t>44 § 3 i Rregullores së Gjykatës);</w:t>
      </w:r>
    </w:p>
    <w:p w14:paraId="767E7AE2" w14:textId="371CE002"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Pasi diskutoi me dyer të mbyllura më datë 22 </w:t>
      </w:r>
      <w:r w:rsidR="00957E92" w:rsidRPr="006A1F4E">
        <w:rPr>
          <w:rFonts w:ascii="Garamond" w:hAnsi="Garamond" w:cs="Times New Roman"/>
          <w:color w:val="000000"/>
          <w:sz w:val="24"/>
          <w:szCs w:val="24"/>
          <w:lang w:val="sq-AL"/>
        </w:rPr>
        <w:t xml:space="preserve">nëntor </w:t>
      </w:r>
      <w:r w:rsidRPr="006A1F4E">
        <w:rPr>
          <w:rFonts w:ascii="Garamond" w:hAnsi="Garamond" w:cs="Times New Roman"/>
          <w:color w:val="000000"/>
          <w:sz w:val="24"/>
          <w:szCs w:val="24"/>
          <w:lang w:val="sq-AL"/>
        </w:rPr>
        <w:t>2022,</w:t>
      </w:r>
    </w:p>
    <w:p w14:paraId="6D3D1E18"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Shpall vendimin e mëposhtëm, i cili u miratua në po atë datë: </w:t>
      </w:r>
    </w:p>
    <w:p w14:paraId="5CB8716F"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E48CC3"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HYRJE </w:t>
      </w:r>
    </w:p>
    <w:p w14:paraId="12121B9B" w14:textId="6EF6A700" w:rsidR="00C0711E" w:rsidRPr="006A1F4E" w:rsidRDefault="00C0711E" w:rsidP="006A1F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lastRenderedPageBreak/>
        <w:t>1. Kërkesa ka të bëjë me procesin e rivlerësimit (</w:t>
      </w:r>
      <w:r w:rsidRPr="006A1F4E">
        <w:rPr>
          <w:rFonts w:ascii="Garamond" w:hAnsi="Garamond" w:cs="Times New Roman"/>
          <w:i/>
          <w:iCs/>
          <w:color w:val="000000"/>
          <w:sz w:val="24"/>
          <w:szCs w:val="24"/>
          <w:lang w:val="sq-AL"/>
        </w:rPr>
        <w:t>vetting</w:t>
      </w:r>
      <w:r w:rsidRPr="006A1F4E">
        <w:rPr>
          <w:rFonts w:ascii="Garamond" w:hAnsi="Garamond" w:cs="Times New Roman"/>
          <w:color w:val="000000"/>
          <w:sz w:val="24"/>
          <w:szCs w:val="24"/>
          <w:lang w:val="sq-AL"/>
        </w:rPr>
        <w:t>-ut), i cili rezultoi në shkarkimin e kërkueses nga pozici</w:t>
      </w:r>
      <w:r w:rsidR="006A1F4E">
        <w:rPr>
          <w:rFonts w:ascii="Garamond" w:hAnsi="Garamond" w:cs="Times New Roman"/>
          <w:color w:val="000000"/>
          <w:sz w:val="24"/>
          <w:szCs w:val="24"/>
          <w:lang w:val="sq-AL"/>
        </w:rPr>
        <w:t xml:space="preserve">oni i prokurores. Ajo u ankua: </w:t>
      </w:r>
      <w:r w:rsidRPr="006A1F4E">
        <w:rPr>
          <w:rFonts w:ascii="Garamond" w:hAnsi="Garamond" w:cs="Times New Roman"/>
          <w:color w:val="000000"/>
          <w:sz w:val="24"/>
          <w:szCs w:val="24"/>
          <w:lang w:val="sq-AL"/>
        </w:rPr>
        <w:t>i</w:t>
      </w:r>
      <w:r w:rsidR="006A1F4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se ishte shkelur e drejta e saj për respektim të jetës private</w:t>
      </w:r>
      <w:r w:rsidR="007C72A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w:t>
      </w:r>
      <w:r w:rsidR="00656EB7"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për shkak të shkarkimit të saj nga detyra dhe në vijim, për shkak të ndalimit të përhershëm të saj për të </w:t>
      </w:r>
      <w:r w:rsidR="006A1F4E">
        <w:rPr>
          <w:rFonts w:ascii="Garamond" w:hAnsi="Garamond" w:cs="Times New Roman"/>
          <w:color w:val="000000"/>
          <w:sz w:val="24"/>
          <w:szCs w:val="24"/>
          <w:lang w:val="sq-AL"/>
        </w:rPr>
        <w:t xml:space="preserve">praktikuar ligjin si avokate; </w:t>
      </w:r>
      <w:r w:rsidRPr="006A1F4E">
        <w:rPr>
          <w:rFonts w:ascii="Garamond" w:hAnsi="Garamond" w:cs="Times New Roman"/>
          <w:color w:val="000000"/>
          <w:sz w:val="24"/>
          <w:szCs w:val="24"/>
          <w:lang w:val="sq-AL"/>
        </w:rPr>
        <w:t>ii</w:t>
      </w:r>
      <w:r w:rsidR="006A1F4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mbështetje të </w:t>
      </w:r>
      <w:r w:rsidR="007C72AB"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6 § 1 të Konventës se proce</w:t>
      </w:r>
      <w:r w:rsidR="006A1F4E">
        <w:rPr>
          <w:rFonts w:ascii="Garamond" w:hAnsi="Garamond" w:cs="Times New Roman"/>
          <w:color w:val="000000"/>
          <w:sz w:val="24"/>
          <w:szCs w:val="24"/>
          <w:lang w:val="sq-AL"/>
        </w:rPr>
        <w:t xml:space="preserve">si kishte qenë i padrejtë; dhe </w:t>
      </w:r>
      <w:r w:rsidRPr="006A1F4E">
        <w:rPr>
          <w:rFonts w:ascii="Garamond" w:hAnsi="Garamond" w:cs="Times New Roman"/>
          <w:color w:val="000000"/>
          <w:sz w:val="24"/>
          <w:szCs w:val="24"/>
          <w:lang w:val="sq-AL"/>
        </w:rPr>
        <w:t>iii</w:t>
      </w:r>
      <w:r w:rsidR="006A1F4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mbështetje të </w:t>
      </w:r>
      <w:r w:rsidR="007C72AB"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13 të Konventës për mungesën e një mjeti efektiv në lidhje me ankesat e saj në mbështetje të </w:t>
      </w:r>
      <w:r w:rsidR="007C72AB" w:rsidRPr="006A1F4E">
        <w:rPr>
          <w:rFonts w:ascii="Garamond" w:hAnsi="Garamond" w:cs="Times New Roman"/>
          <w:color w:val="000000"/>
          <w:sz w:val="24"/>
          <w:szCs w:val="24"/>
          <w:lang w:val="sq-AL"/>
        </w:rPr>
        <w:t xml:space="preserve">neneve </w:t>
      </w:r>
      <w:r w:rsidRPr="006A1F4E">
        <w:rPr>
          <w:rFonts w:ascii="Garamond" w:hAnsi="Garamond" w:cs="Times New Roman"/>
          <w:color w:val="000000"/>
          <w:sz w:val="24"/>
          <w:szCs w:val="24"/>
          <w:lang w:val="sq-AL"/>
        </w:rPr>
        <w:t xml:space="preserve">6 dhe 8. </w:t>
      </w:r>
    </w:p>
    <w:p w14:paraId="5BB9C327"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8091B4"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FAKTET </w:t>
      </w:r>
    </w:p>
    <w:p w14:paraId="5A4C94C3" w14:textId="6523AE1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 Kërkuesja ka lindur në vitin 1976 dhe jeton në Tiranë. Ajo u përfaqësua nga </w:t>
      </w:r>
      <w:r w:rsidR="006A1F4E" w:rsidRPr="006A1F4E">
        <w:rPr>
          <w:rFonts w:ascii="Garamond" w:hAnsi="Garamond" w:cs="Times New Roman"/>
          <w:color w:val="000000"/>
          <w:sz w:val="24"/>
          <w:szCs w:val="24"/>
          <w:lang w:val="sq-AL"/>
        </w:rPr>
        <w:t>z</w:t>
      </w:r>
      <w:r w:rsidRPr="006A1F4E">
        <w:rPr>
          <w:rFonts w:ascii="Garamond" w:hAnsi="Garamond" w:cs="Times New Roman"/>
          <w:color w:val="000000"/>
          <w:sz w:val="24"/>
          <w:szCs w:val="24"/>
          <w:lang w:val="sq-AL"/>
        </w:rPr>
        <w:t xml:space="preserve">. S. Powles, avokat i cili e ushtron profesionin e tij në Londër. </w:t>
      </w:r>
    </w:p>
    <w:p w14:paraId="46F3DBA0" w14:textId="6082701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 Qeveria u përfaqësua fillimisht nga </w:t>
      </w:r>
      <w:r w:rsidR="007C72AB" w:rsidRPr="006A1F4E">
        <w:rPr>
          <w:rFonts w:ascii="Garamond" w:hAnsi="Garamond" w:cs="Times New Roman"/>
          <w:color w:val="000000"/>
          <w:sz w:val="24"/>
          <w:szCs w:val="24"/>
          <w:lang w:val="sq-AL"/>
        </w:rPr>
        <w:t xml:space="preserve">agjenti </w:t>
      </w:r>
      <w:r w:rsidRPr="006A1F4E">
        <w:rPr>
          <w:rFonts w:ascii="Garamond" w:hAnsi="Garamond" w:cs="Times New Roman"/>
          <w:color w:val="000000"/>
          <w:sz w:val="24"/>
          <w:szCs w:val="24"/>
          <w:lang w:val="sq-AL"/>
        </w:rPr>
        <w:t xml:space="preserve">i saj, </w:t>
      </w:r>
      <w:r w:rsidR="006A1F4E" w:rsidRPr="006A1F4E">
        <w:rPr>
          <w:rFonts w:ascii="Garamond" w:hAnsi="Garamond" w:cs="Times New Roman"/>
          <w:color w:val="000000"/>
          <w:sz w:val="24"/>
          <w:szCs w:val="24"/>
          <w:lang w:val="sq-AL"/>
        </w:rPr>
        <w:t>z</w:t>
      </w:r>
      <w:r w:rsidRPr="006A1F4E">
        <w:rPr>
          <w:rFonts w:ascii="Garamond" w:hAnsi="Garamond" w:cs="Times New Roman"/>
          <w:color w:val="000000"/>
          <w:sz w:val="24"/>
          <w:szCs w:val="24"/>
          <w:lang w:val="sq-AL"/>
        </w:rPr>
        <w:t xml:space="preserve">. A. Metani, dhe më pas nga </w:t>
      </w:r>
      <w:r w:rsidR="006A1F4E" w:rsidRPr="006A1F4E">
        <w:rPr>
          <w:rFonts w:ascii="Garamond" w:hAnsi="Garamond" w:cs="Times New Roman"/>
          <w:color w:val="000000"/>
          <w:sz w:val="24"/>
          <w:szCs w:val="24"/>
          <w:lang w:val="sq-AL"/>
        </w:rPr>
        <w:t>z</w:t>
      </w:r>
      <w:r w:rsidR="006A1F4E">
        <w:rPr>
          <w:rFonts w:ascii="Garamond" w:hAnsi="Garamond" w:cs="Times New Roman"/>
          <w:color w:val="000000"/>
          <w:sz w:val="24"/>
          <w:szCs w:val="24"/>
          <w:lang w:val="sq-AL"/>
        </w:rPr>
        <w:t>n</w:t>
      </w:r>
      <w:r w:rsidR="006A1F4E" w:rsidRPr="006A1F4E">
        <w:rPr>
          <w:rFonts w:ascii="Garamond" w:hAnsi="Garamond" w:cs="Times New Roman"/>
          <w:color w:val="000000"/>
          <w:sz w:val="24"/>
          <w:szCs w:val="24"/>
          <w:lang w:val="sq-AL"/>
        </w:rPr>
        <w:t>j</w:t>
      </w:r>
      <w:r w:rsidRPr="006A1F4E">
        <w:rPr>
          <w:rFonts w:ascii="Garamond" w:hAnsi="Garamond" w:cs="Times New Roman"/>
          <w:color w:val="000000"/>
          <w:sz w:val="24"/>
          <w:szCs w:val="24"/>
          <w:lang w:val="sq-AL"/>
        </w:rPr>
        <w:t xml:space="preserve">. J. Mansaku, </w:t>
      </w:r>
      <w:r w:rsidR="006A1F4E" w:rsidRPr="006A1F4E">
        <w:rPr>
          <w:rFonts w:ascii="Garamond" w:hAnsi="Garamond" w:cs="Times New Roman"/>
          <w:color w:val="000000"/>
          <w:sz w:val="24"/>
          <w:szCs w:val="24"/>
          <w:lang w:val="sq-AL"/>
        </w:rPr>
        <w:t>z</w:t>
      </w:r>
      <w:r w:rsidR="006A1F4E">
        <w:rPr>
          <w:rFonts w:ascii="Garamond" w:hAnsi="Garamond" w:cs="Times New Roman"/>
          <w:color w:val="000000"/>
          <w:sz w:val="24"/>
          <w:szCs w:val="24"/>
          <w:lang w:val="sq-AL"/>
        </w:rPr>
        <w:t>n</w:t>
      </w:r>
      <w:r w:rsidR="006A1F4E" w:rsidRPr="006A1F4E">
        <w:rPr>
          <w:rFonts w:ascii="Garamond" w:hAnsi="Garamond" w:cs="Times New Roman"/>
          <w:color w:val="000000"/>
          <w:sz w:val="24"/>
          <w:szCs w:val="24"/>
          <w:lang w:val="sq-AL"/>
        </w:rPr>
        <w:t>j</w:t>
      </w:r>
      <w:r w:rsidRPr="006A1F4E">
        <w:rPr>
          <w:rFonts w:ascii="Garamond" w:hAnsi="Garamond" w:cs="Times New Roman"/>
          <w:color w:val="000000"/>
          <w:sz w:val="24"/>
          <w:szCs w:val="24"/>
          <w:lang w:val="sq-AL"/>
        </w:rPr>
        <w:t xml:space="preserve">. E. Muçaj, </w:t>
      </w:r>
      <w:r w:rsidR="006A1F4E" w:rsidRPr="006A1F4E">
        <w:rPr>
          <w:rFonts w:ascii="Garamond" w:hAnsi="Garamond" w:cs="Times New Roman"/>
          <w:color w:val="000000"/>
          <w:sz w:val="24"/>
          <w:szCs w:val="24"/>
          <w:lang w:val="sq-AL"/>
        </w:rPr>
        <w:t>z</w:t>
      </w:r>
      <w:r w:rsidR="006A1F4E">
        <w:rPr>
          <w:rFonts w:ascii="Garamond" w:hAnsi="Garamond" w:cs="Times New Roman"/>
          <w:color w:val="000000"/>
          <w:sz w:val="24"/>
          <w:szCs w:val="24"/>
          <w:lang w:val="sq-AL"/>
        </w:rPr>
        <w:t>n</w:t>
      </w:r>
      <w:r w:rsidR="006A1F4E" w:rsidRPr="006A1F4E">
        <w:rPr>
          <w:rFonts w:ascii="Garamond" w:hAnsi="Garamond" w:cs="Times New Roman"/>
          <w:color w:val="000000"/>
          <w:sz w:val="24"/>
          <w:szCs w:val="24"/>
          <w:lang w:val="sq-AL"/>
        </w:rPr>
        <w:t xml:space="preserve">j. </w:t>
      </w:r>
      <w:r w:rsidRPr="006A1F4E">
        <w:rPr>
          <w:rFonts w:ascii="Garamond" w:hAnsi="Garamond" w:cs="Times New Roman"/>
          <w:color w:val="000000"/>
          <w:sz w:val="24"/>
          <w:szCs w:val="24"/>
          <w:lang w:val="sq-AL"/>
        </w:rPr>
        <w:t xml:space="preserve">B. Lilo dhe </w:t>
      </w:r>
      <w:r w:rsidR="006A1F4E" w:rsidRPr="006A1F4E">
        <w:rPr>
          <w:rFonts w:ascii="Garamond" w:hAnsi="Garamond" w:cs="Times New Roman"/>
          <w:color w:val="000000"/>
          <w:sz w:val="24"/>
          <w:szCs w:val="24"/>
          <w:lang w:val="sq-AL"/>
        </w:rPr>
        <w:t xml:space="preserve">z. </w:t>
      </w:r>
      <w:r w:rsidRPr="006A1F4E">
        <w:rPr>
          <w:rFonts w:ascii="Garamond" w:hAnsi="Garamond" w:cs="Times New Roman"/>
          <w:color w:val="000000"/>
          <w:sz w:val="24"/>
          <w:szCs w:val="24"/>
          <w:lang w:val="sq-AL"/>
        </w:rPr>
        <w:t xml:space="preserve">O. Moçka, nga Avokati i Përgjithshëm i Shtetit. </w:t>
      </w:r>
    </w:p>
    <w:p w14:paraId="143D5A5A" w14:textId="71DBD670"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 Faktet e çështjes mund të përmblidhen si më poshtë. </w:t>
      </w:r>
    </w:p>
    <w:p w14:paraId="10BFDE47"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BBF0A62" w14:textId="3E5D9E29"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I. SFONDI I ÇËSHTJES </w:t>
      </w:r>
    </w:p>
    <w:p w14:paraId="6162BBEA" w14:textId="16E1C13A" w:rsidR="00C0711E" w:rsidRPr="006A1F4E" w:rsidRDefault="00C0711E" w:rsidP="004845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 Sfondi dhe qëllimet e reformës së sistemit të drejtësisë në Shqipëri, duke përfshirë edhe prezantimin e procesit të rivlerësimit në vitin 2016 me anë të </w:t>
      </w:r>
      <w:r w:rsidR="00484575"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 xml:space="preserve">në Kushtetutë dhe </w:t>
      </w:r>
      <w:r w:rsidR="00484575" w:rsidRPr="006A1F4E">
        <w:rPr>
          <w:rFonts w:ascii="Garamond" w:hAnsi="Garamond" w:cs="Times New Roman"/>
          <w:color w:val="000000"/>
          <w:sz w:val="24"/>
          <w:szCs w:val="24"/>
          <w:lang w:val="sq-AL"/>
        </w:rPr>
        <w:t xml:space="preserve">ligjit </w:t>
      </w:r>
      <w:r w:rsidRPr="006A1F4E">
        <w:rPr>
          <w:rFonts w:ascii="Garamond" w:hAnsi="Garamond" w:cs="Times New Roman"/>
          <w:color w:val="000000"/>
          <w:sz w:val="24"/>
          <w:szCs w:val="24"/>
          <w:lang w:val="sq-AL"/>
        </w:rPr>
        <w:t>për Rivlerësimin e Gjyqtarëve dhe Prokurorëve (</w:t>
      </w:r>
      <w:r w:rsidR="006A1F4E" w:rsidRPr="006A1F4E">
        <w:rPr>
          <w:rFonts w:ascii="Garamond" w:hAnsi="Garamond" w:cs="Times New Roman"/>
          <w:color w:val="000000"/>
          <w:sz w:val="24"/>
          <w:szCs w:val="24"/>
          <w:lang w:val="sq-AL"/>
        </w:rPr>
        <w:t xml:space="preserve">ligji </w:t>
      </w:r>
      <w:r w:rsidRPr="006A1F4E">
        <w:rPr>
          <w:rFonts w:ascii="Garamond" w:hAnsi="Garamond" w:cs="Times New Roman"/>
          <w:color w:val="000000"/>
          <w:sz w:val="24"/>
          <w:szCs w:val="24"/>
          <w:lang w:val="sq-AL"/>
        </w:rPr>
        <w:t xml:space="preserve">nr. 84/2016 – “Ligji i Rivlerësimit”), si edhe mënyra se si kryhet procesi i rivlerësimit, të cilit </w:t>
      </w:r>
      <w:r w:rsidR="00484575">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nënshtrohen të gjithë gjyqtarët dhe prokurorët në detyrë, janë përmbledhur në vendimin e Gjykatës për çështjen </w:t>
      </w:r>
      <w:r w:rsidRPr="006A1F4E">
        <w:rPr>
          <w:rFonts w:ascii="Garamond" w:hAnsi="Garamond" w:cs="Times New Roman"/>
          <w:i/>
          <w:iCs/>
          <w:color w:val="000000"/>
          <w:sz w:val="24"/>
          <w:szCs w:val="24"/>
          <w:lang w:val="sq-AL"/>
        </w:rPr>
        <w:t xml:space="preserve">Xhoxhaj kundër Shqipërisë </w:t>
      </w:r>
      <w:r w:rsidRPr="006A1F4E">
        <w:rPr>
          <w:rFonts w:ascii="Garamond" w:hAnsi="Garamond" w:cs="Times New Roman"/>
          <w:color w:val="000000"/>
          <w:sz w:val="24"/>
          <w:szCs w:val="24"/>
          <w:lang w:val="sq-AL"/>
        </w:rPr>
        <w:t>(nr. 15227/19, §§ 4</w:t>
      </w:r>
      <w:r w:rsidR="00484575">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7, 9 </w:t>
      </w:r>
      <w:r w:rsidR="00484575"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 xml:space="preserve">2021). </w:t>
      </w:r>
    </w:p>
    <w:p w14:paraId="23CFE96F" w14:textId="1BB31C6B"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 Kërkuesja ka shërbyer si prokurore pranë Gjykatës se Rrethit Durrës nga muaji </w:t>
      </w:r>
      <w:r w:rsidR="005E0FB3" w:rsidRPr="006A1F4E">
        <w:rPr>
          <w:rFonts w:ascii="Garamond" w:hAnsi="Garamond" w:cs="Times New Roman"/>
          <w:color w:val="000000"/>
          <w:sz w:val="24"/>
          <w:szCs w:val="24"/>
          <w:lang w:val="sq-AL"/>
        </w:rPr>
        <w:t xml:space="preserve">tetor </w:t>
      </w:r>
      <w:r w:rsidR="00346623">
        <w:rPr>
          <w:rFonts w:ascii="Garamond" w:hAnsi="Garamond" w:cs="Times New Roman"/>
          <w:color w:val="000000"/>
          <w:sz w:val="24"/>
          <w:szCs w:val="24"/>
          <w:lang w:val="sq-AL"/>
        </w:rPr>
        <w:t>2003 deri në vitin 2012. Më pas</w:t>
      </w:r>
      <w:r w:rsidRPr="006A1F4E">
        <w:rPr>
          <w:rFonts w:ascii="Garamond" w:hAnsi="Garamond" w:cs="Times New Roman"/>
          <w:color w:val="000000"/>
          <w:sz w:val="24"/>
          <w:szCs w:val="24"/>
          <w:lang w:val="sq-AL"/>
        </w:rPr>
        <w:t xml:space="preserve"> u emërua si prokurore pranë Gjykatës së Rrethit Tiranë. Nga muaji </w:t>
      </w:r>
      <w:r w:rsidR="005E0FB3" w:rsidRPr="006A1F4E">
        <w:rPr>
          <w:rFonts w:ascii="Garamond" w:hAnsi="Garamond" w:cs="Times New Roman"/>
          <w:color w:val="000000"/>
          <w:sz w:val="24"/>
          <w:szCs w:val="24"/>
          <w:lang w:val="sq-AL"/>
        </w:rPr>
        <w:t xml:space="preserve">dhjetor </w:t>
      </w:r>
      <w:r w:rsidRPr="006A1F4E">
        <w:rPr>
          <w:rFonts w:ascii="Garamond" w:hAnsi="Garamond" w:cs="Times New Roman"/>
          <w:color w:val="000000"/>
          <w:sz w:val="24"/>
          <w:szCs w:val="24"/>
          <w:lang w:val="sq-AL"/>
        </w:rPr>
        <w:t xml:space="preserve">2018 e në vijim ajo ka shërbyer si anëtare e Këshillit të Lartë të Prokurorisë (“KLP”). </w:t>
      </w:r>
    </w:p>
    <w:p w14:paraId="46F8D683" w14:textId="592A12C0"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II. PROCESI I RIVLERËSIMIT PËR KËRKUESEN </w:t>
      </w:r>
    </w:p>
    <w:p w14:paraId="5FFD547A" w14:textId="291F75A5"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A. Procesi përpara Komisionit të Pavarur të Kualifikimit </w:t>
      </w:r>
    </w:p>
    <w:p w14:paraId="2A050EC5" w14:textId="3397D669" w:rsidR="00C0711E" w:rsidRPr="006A1F4E" w:rsidRDefault="00C0711E" w:rsidP="00AF72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7. Më 18 </w:t>
      </w:r>
      <w:r w:rsidR="00D75A32" w:rsidRPr="006A1F4E">
        <w:rPr>
          <w:rFonts w:ascii="Garamond" w:hAnsi="Garamond" w:cs="Times New Roman"/>
          <w:color w:val="000000"/>
          <w:sz w:val="24"/>
          <w:szCs w:val="24"/>
          <w:lang w:val="sq-AL"/>
        </w:rPr>
        <w:t xml:space="preserve">korrik </w:t>
      </w:r>
      <w:r w:rsidRPr="006A1F4E">
        <w:rPr>
          <w:rFonts w:ascii="Garamond" w:hAnsi="Garamond" w:cs="Times New Roman"/>
          <w:color w:val="000000"/>
          <w:sz w:val="24"/>
          <w:szCs w:val="24"/>
          <w:lang w:val="sq-AL"/>
        </w:rPr>
        <w:t>2018, Komisioni i Pavarur i Kualifikimit (“KPK”), pas një seance publike, e konfirmoi unanimisht kërkuesen në postin e saj si prokurore pranë Gjykatës së Rrethit Tiranë. Në përputhje me parashikimet e zbatueshme për rivlerësimin (shih paragrafët 36</w:t>
      </w:r>
      <w:r w:rsidR="00D75A3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42 më poshtë), KPK</w:t>
      </w:r>
      <w:r w:rsidR="00D75A32">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e kishte vlerësuar kërkue</w:t>
      </w:r>
      <w:r w:rsidR="0073088C">
        <w:rPr>
          <w:rFonts w:ascii="Garamond" w:hAnsi="Garamond" w:cs="Times New Roman"/>
          <w:color w:val="000000"/>
          <w:sz w:val="24"/>
          <w:szCs w:val="24"/>
          <w:lang w:val="sq-AL"/>
        </w:rPr>
        <w:t>sen mbi bazën e tr</w:t>
      </w:r>
      <w:r w:rsidR="00AF72E6">
        <w:rPr>
          <w:rFonts w:ascii="Garamond" w:hAnsi="Garamond" w:cs="Times New Roman"/>
          <w:color w:val="000000"/>
          <w:sz w:val="24"/>
          <w:szCs w:val="24"/>
          <w:lang w:val="sq-AL"/>
        </w:rPr>
        <w:t>i</w:t>
      </w:r>
      <w:r w:rsidR="0073088C">
        <w:rPr>
          <w:rFonts w:ascii="Garamond" w:hAnsi="Garamond" w:cs="Times New Roman"/>
          <w:color w:val="000000"/>
          <w:sz w:val="24"/>
          <w:szCs w:val="24"/>
          <w:lang w:val="sq-AL"/>
        </w:rPr>
        <w:t xml:space="preserve"> kritereve: </w:t>
      </w:r>
      <w:r w:rsidRPr="006A1F4E">
        <w:rPr>
          <w:rFonts w:ascii="Garamond" w:hAnsi="Garamond" w:cs="Times New Roman"/>
          <w:color w:val="000000"/>
          <w:sz w:val="24"/>
          <w:szCs w:val="24"/>
          <w:lang w:val="sq-AL"/>
        </w:rPr>
        <w:t>i</w:t>
      </w:r>
      <w:r w:rsidR="0073088C">
        <w:rPr>
          <w:rFonts w:ascii="Garamond" w:hAnsi="Garamond" w:cs="Times New Roman"/>
          <w:color w:val="000000"/>
          <w:sz w:val="24"/>
          <w:szCs w:val="24"/>
          <w:lang w:val="sq-AL"/>
        </w:rPr>
        <w:t xml:space="preserve">. vlerësim i pasurive të saj; </w:t>
      </w:r>
      <w:r w:rsidRPr="006A1F4E">
        <w:rPr>
          <w:rFonts w:ascii="Garamond" w:hAnsi="Garamond" w:cs="Times New Roman"/>
          <w:color w:val="000000"/>
          <w:sz w:val="24"/>
          <w:szCs w:val="24"/>
          <w:lang w:val="sq-AL"/>
        </w:rPr>
        <w:t>ii</w:t>
      </w:r>
      <w:r w:rsidR="007308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kontroll i figurës dhe </w:t>
      </w:r>
      <w:r w:rsidR="00AF72E6">
        <w:rPr>
          <w:rFonts w:ascii="Garamond" w:hAnsi="Garamond" w:cs="Times New Roman"/>
          <w:color w:val="000000"/>
          <w:sz w:val="24"/>
          <w:szCs w:val="24"/>
          <w:lang w:val="sq-AL"/>
        </w:rPr>
        <w:t xml:space="preserve">i </w:t>
      </w:r>
      <w:r w:rsidRPr="006A1F4E">
        <w:rPr>
          <w:rFonts w:ascii="Garamond" w:hAnsi="Garamond" w:cs="Times New Roman"/>
          <w:color w:val="000000"/>
          <w:sz w:val="24"/>
          <w:szCs w:val="24"/>
          <w:lang w:val="sq-AL"/>
        </w:rPr>
        <w:t>integritetit</w:t>
      </w:r>
      <w:r w:rsidR="00AF72E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me qëllim konstatimin e çdo lidhje</w:t>
      </w:r>
      <w:r w:rsidR="00AF72E6">
        <w:rPr>
          <w:rFonts w:ascii="Garamond" w:hAnsi="Garamond" w:cs="Times New Roman"/>
          <w:color w:val="000000"/>
          <w:sz w:val="24"/>
          <w:szCs w:val="24"/>
          <w:lang w:val="sq-AL"/>
        </w:rPr>
        <w:t>je</w:t>
      </w:r>
      <w:r w:rsidRPr="006A1F4E">
        <w:rPr>
          <w:rFonts w:ascii="Garamond" w:hAnsi="Garamond" w:cs="Times New Roman"/>
          <w:color w:val="000000"/>
          <w:sz w:val="24"/>
          <w:szCs w:val="24"/>
          <w:lang w:val="sq-AL"/>
        </w:rPr>
        <w:t xml:space="preserve"> të mundsh</w:t>
      </w:r>
      <w:r w:rsidR="0073088C">
        <w:rPr>
          <w:rFonts w:ascii="Garamond" w:hAnsi="Garamond" w:cs="Times New Roman"/>
          <w:color w:val="000000"/>
          <w:sz w:val="24"/>
          <w:szCs w:val="24"/>
          <w:lang w:val="sq-AL"/>
        </w:rPr>
        <w:t>me me krimin e organizuar; dhe iii.</w:t>
      </w:r>
      <w:r w:rsidRPr="006A1F4E">
        <w:rPr>
          <w:rFonts w:ascii="Garamond" w:hAnsi="Garamond" w:cs="Times New Roman"/>
          <w:color w:val="000000"/>
          <w:sz w:val="24"/>
          <w:szCs w:val="24"/>
          <w:lang w:val="sq-AL"/>
        </w:rPr>
        <w:t xml:space="preserve"> vlerësim i kompetencës profesionale. </w:t>
      </w:r>
    </w:p>
    <w:p w14:paraId="1F145A95" w14:textId="15F2EF40" w:rsidR="00C0711E" w:rsidRPr="006A1F4E" w:rsidRDefault="00C0711E" w:rsidP="00646D6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 Në lidhje me vlerësimin e pasurive të kërkueses, mbështetur në deklarimin</w:t>
      </w:r>
      <w:r w:rsidR="00AF72E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dhe provave mbi pasuritë paraqitur prej saj në procesin e rivlerësimit , KPK</w:t>
      </w:r>
      <w:r w:rsidR="00AF72E6">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arriti në përfundimin se deklarimi i saj për pasuritë ishte i saktë dhe i plotë, dhe se pasuritë e saj dhe të bashkëshortit të saj ishin të ligjshme. As kontrolli i figurës dhe </w:t>
      </w:r>
      <w:r w:rsidR="00235AC9">
        <w:rPr>
          <w:rFonts w:ascii="Garamond" w:hAnsi="Garamond" w:cs="Times New Roman"/>
          <w:color w:val="000000"/>
          <w:sz w:val="24"/>
          <w:szCs w:val="24"/>
          <w:lang w:val="sq-AL"/>
        </w:rPr>
        <w:t xml:space="preserve">i </w:t>
      </w:r>
      <w:r w:rsidRPr="006A1F4E">
        <w:rPr>
          <w:rFonts w:ascii="Garamond" w:hAnsi="Garamond" w:cs="Times New Roman"/>
          <w:color w:val="000000"/>
          <w:sz w:val="24"/>
          <w:szCs w:val="24"/>
          <w:lang w:val="sq-AL"/>
        </w:rPr>
        <w:t>integritetit, i kryer mbështetur në deklaratën e paraqitur prej saj për figurën dhe integritetin, nuk përbë</w:t>
      </w:r>
      <w:r w:rsidR="00646D69">
        <w:rPr>
          <w:rFonts w:ascii="Garamond" w:hAnsi="Garamond" w:cs="Times New Roman"/>
          <w:color w:val="000000"/>
          <w:sz w:val="24"/>
          <w:szCs w:val="24"/>
          <w:lang w:val="sq-AL"/>
        </w:rPr>
        <w:t>n</w:t>
      </w:r>
      <w:r w:rsidRPr="006A1F4E">
        <w:rPr>
          <w:rFonts w:ascii="Garamond" w:hAnsi="Garamond" w:cs="Times New Roman"/>
          <w:color w:val="000000"/>
          <w:sz w:val="24"/>
          <w:szCs w:val="24"/>
          <w:lang w:val="sq-AL"/>
        </w:rPr>
        <w:t xml:space="preserve"> arsye për shqetësim. Për sa i përket vlerësimit të kompetencës profesionale të kërkueses, KPK</w:t>
      </w:r>
      <w:r w:rsidR="00C902C9">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në mbështetje të formularit të vetëvlerësimit profesional të paraqitur prej saj, dhe pasi shqyrtoi raportet si edhe denoncimet e publikut për performancën e saj, arriti në përfundimin se ajo ishte kompetente në aspektin profesional. </w:t>
      </w:r>
    </w:p>
    <w:p w14:paraId="41B26EAC" w14:textId="0DCA29A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b/>
          <w:bCs/>
          <w:color w:val="000000"/>
          <w:sz w:val="24"/>
          <w:szCs w:val="24"/>
          <w:lang w:val="sq-AL"/>
        </w:rPr>
        <w:t xml:space="preserve">B. Procesi përpara Kolegjit të Posaçëm të Apelimit </w:t>
      </w:r>
    </w:p>
    <w:p w14:paraId="175AB261" w14:textId="55D6BD62"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1. Zhvillimi i procesit nga Kolegji i Posaçëm i Apelimit</w:t>
      </w:r>
      <w:r w:rsidR="006A1F4E" w:rsidRPr="006A1F4E">
        <w:rPr>
          <w:rFonts w:ascii="Garamond" w:hAnsi="Garamond" w:cs="Times New Roman"/>
          <w:i/>
          <w:iCs/>
          <w:color w:val="000000"/>
          <w:sz w:val="24"/>
          <w:szCs w:val="24"/>
          <w:lang w:val="sq-AL"/>
        </w:rPr>
        <w:t xml:space="preserve"> </w:t>
      </w:r>
    </w:p>
    <w:p w14:paraId="0D79DFD3" w14:textId="3616958D"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9. Më 29 </w:t>
      </w:r>
      <w:r w:rsidR="00122CA4" w:rsidRPr="006A1F4E">
        <w:rPr>
          <w:rFonts w:ascii="Garamond" w:hAnsi="Garamond" w:cs="Times New Roman"/>
          <w:color w:val="000000"/>
          <w:sz w:val="24"/>
          <w:szCs w:val="24"/>
          <w:lang w:val="sq-AL"/>
        </w:rPr>
        <w:t xml:space="preserve">gusht </w:t>
      </w:r>
      <w:r w:rsidRPr="006A1F4E">
        <w:rPr>
          <w:rFonts w:ascii="Garamond" w:hAnsi="Garamond" w:cs="Times New Roman"/>
          <w:color w:val="000000"/>
          <w:sz w:val="24"/>
          <w:szCs w:val="24"/>
          <w:lang w:val="sq-AL"/>
        </w:rPr>
        <w:t>2018, Komisioneri Publik apeloi vendimin e KPK</w:t>
      </w:r>
      <w:r w:rsidR="00122CA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pranë Kolegjit të Posaçëm të Apelimit (“KPA”). Ai argumentoi se hetimet e KPK</w:t>
      </w:r>
      <w:r w:rsidR="00122CA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nuk provonin se kërkuesja përmbushte kërkesat e Ligjit për Rivlerësimin, si për vlerësimin e pasurive, edhe për vlerësimin e kompetencës së saj profesionale. </w:t>
      </w:r>
    </w:p>
    <w:p w14:paraId="178C580E" w14:textId="6163C2F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10. Në vijim, kërkueses iu lejua të kishte akses në dosjen e çështjes. </w:t>
      </w:r>
    </w:p>
    <w:p w14:paraId="7E1ABF9D" w14:textId="52B8CC19"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lastRenderedPageBreak/>
        <w:t xml:space="preserve">11. Më 17 </w:t>
      </w:r>
      <w:r w:rsidR="00F83A8F" w:rsidRPr="006A1F4E">
        <w:rPr>
          <w:rFonts w:ascii="Garamond" w:hAnsi="Garamond" w:cs="Times New Roman"/>
          <w:color w:val="000000"/>
          <w:sz w:val="24"/>
          <w:szCs w:val="24"/>
          <w:lang w:val="sq-AL"/>
        </w:rPr>
        <w:t xml:space="preserve">shtator </w:t>
      </w:r>
      <w:r w:rsidRPr="006A1F4E">
        <w:rPr>
          <w:rFonts w:ascii="Garamond" w:hAnsi="Garamond" w:cs="Times New Roman"/>
          <w:color w:val="000000"/>
          <w:sz w:val="24"/>
          <w:szCs w:val="24"/>
          <w:lang w:val="sq-AL"/>
        </w:rPr>
        <w:t>2018, gjyqtarët e çështjes së kërkueses u përzgjodhën me short dhe në vijim, kërkuesja u vu në dijeni për përbërjen e KPA</w:t>
      </w:r>
      <w:r w:rsidR="00F6096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(një kolegj i veçantë i Gjykatës Kushtetuese).</w:t>
      </w:r>
      <w:r w:rsidR="00F60964">
        <w:rPr>
          <w:rFonts w:ascii="Garamond" w:hAnsi="Garamond" w:cs="Times New Roman"/>
          <w:color w:val="000000"/>
          <w:sz w:val="24"/>
          <w:szCs w:val="24"/>
          <w:lang w:val="sq-AL"/>
        </w:rPr>
        <w:t xml:space="preserve"> Ajo nuk kërkoi as përjashtimin dhe as nuk pretendoi për papërshtatshmërinë</w:t>
      </w:r>
      <w:r w:rsidRPr="006A1F4E">
        <w:rPr>
          <w:rFonts w:ascii="Garamond" w:hAnsi="Garamond" w:cs="Times New Roman"/>
          <w:color w:val="000000"/>
          <w:sz w:val="24"/>
          <w:szCs w:val="24"/>
          <w:lang w:val="sq-AL"/>
        </w:rPr>
        <w:t xml:space="preserve"> e ndonjërit prej gjyqtarëve të KPA</w:t>
      </w:r>
      <w:r w:rsidR="00F6096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p>
    <w:p w14:paraId="6335E285" w14:textId="0ABE7598" w:rsidR="00C0711E" w:rsidRPr="006A1F4E" w:rsidRDefault="00C0711E" w:rsidP="006C219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12. KPA</w:t>
      </w:r>
      <w:r w:rsidR="006C2196">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i zhvilloi seancat publike në tr</w:t>
      </w:r>
      <w:r w:rsidR="006C2196">
        <w:rPr>
          <w:rFonts w:ascii="Garamond" w:hAnsi="Garamond" w:cs="Times New Roman"/>
          <w:color w:val="000000"/>
          <w:sz w:val="24"/>
          <w:szCs w:val="24"/>
          <w:lang w:val="sq-AL"/>
        </w:rPr>
        <w:t>i</w:t>
      </w:r>
      <w:r w:rsidRPr="006A1F4E">
        <w:rPr>
          <w:rFonts w:ascii="Garamond" w:hAnsi="Garamond" w:cs="Times New Roman"/>
          <w:color w:val="000000"/>
          <w:sz w:val="24"/>
          <w:szCs w:val="24"/>
          <w:lang w:val="sq-AL"/>
        </w:rPr>
        <w:t xml:space="preserve"> ditë të ndryshme (13, 19 dhe 25 </w:t>
      </w:r>
      <w:r w:rsidR="006C2196"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 xml:space="preserve">2019), përpara se shpallte vendimin më 28 </w:t>
      </w:r>
      <w:r w:rsidR="006C2196"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2019. Kërkueses iu dha mundësia të bënte parashtrime, të kërkonte që KPA</w:t>
      </w:r>
      <w:r w:rsidR="00F5620E">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të pranonte prova të reja, apo të kërkonte dëshmitarë. </w:t>
      </w:r>
    </w:p>
    <w:p w14:paraId="1F46E508" w14:textId="41DDFB77" w:rsidR="00C0711E" w:rsidRPr="006A1F4E" w:rsidRDefault="00C0711E" w:rsidP="00C0711E">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 xml:space="preserve">2. Vendimi i Kolegjit të Posaçëm të Apelimit </w:t>
      </w:r>
    </w:p>
    <w:p w14:paraId="44006E7E" w14:textId="470A8BF4" w:rsidR="00C0711E" w:rsidRPr="006A1F4E" w:rsidRDefault="00C0711E" w:rsidP="00436A4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 Më 28 </w:t>
      </w:r>
      <w:r w:rsidR="00436A4A"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2019, KPA</w:t>
      </w:r>
      <w:r w:rsidR="00436A4A">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ndryshoi vendimin e KPK</w:t>
      </w:r>
      <w:r w:rsidR="00436A4A">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dhe e shkarkoi kërkuesen nga detyra i saj si prokurore. Kolegji gjykoi se ajo kishte bërë një deklarim të pamjaftueshëm të pasurive sipas kuptimit të nenit 61(3) të lexuar së bashku me nenin 33(5) të Ligjit për Rivlerësimin dhe </w:t>
      </w:r>
      <w:r w:rsidR="00436A4A"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D §§ 1 dhe 3 të </w:t>
      </w:r>
      <w:r w:rsidR="00436A4A"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të Kushtetutës (shih paragrafët 42, 40 dhe 38 më poshtë), pasi ajo nuk kishte provuar ligjshmërinë e burimeve të saj financiare që ishin përdorur për të përftuar pasuritë e saj të paluajtshme, si edhe ligjshmërinë e disa prej të ardhurave të bashkëshortit të saj. Gjithashtu, pas një vlerësimi të përgjithshëm për të tr</w:t>
      </w:r>
      <w:r w:rsidR="00436A4A">
        <w:rPr>
          <w:rFonts w:ascii="Garamond" w:hAnsi="Garamond" w:cs="Times New Roman"/>
          <w:color w:val="000000"/>
          <w:sz w:val="24"/>
          <w:szCs w:val="24"/>
          <w:lang w:val="sq-AL"/>
        </w:rPr>
        <w:t>ia</w:t>
      </w:r>
      <w:r w:rsidRPr="006A1F4E">
        <w:rPr>
          <w:rFonts w:ascii="Garamond" w:hAnsi="Garamond" w:cs="Times New Roman"/>
          <w:color w:val="000000"/>
          <w:sz w:val="24"/>
          <w:szCs w:val="24"/>
          <w:lang w:val="sq-AL"/>
        </w:rPr>
        <w:t xml:space="preserve"> kriteret (neni 4(2) i Ligjit të Rivlerësimit, shih paragrafin 36 më poshtë), KPA</w:t>
      </w:r>
      <w:r w:rsidR="00CF6BF8">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arriti në përfundimin se kërkuesja kishte cenuar besimin e publikut në sistemin e drejtësisë (neni 61(5) i Ligjit të Rivlerësimit, shih paragrafin 42 më poshtë). </w:t>
      </w:r>
    </w:p>
    <w:p w14:paraId="72C0284A" w14:textId="0D5E04BD"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a) Vlerësim i pasurive të kërkueses</w:t>
      </w:r>
    </w:p>
    <w:p w14:paraId="50D6A454" w14:textId="39BC099A" w:rsidR="00C0711E" w:rsidRPr="006A1F4E" w:rsidRDefault="00C0711E" w:rsidP="0073088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i</w:t>
      </w:r>
      <w:r w:rsidR="0073088C">
        <w:rPr>
          <w:rFonts w:ascii="Garamond" w:hAnsi="Garamond" w:cs="Times New Roman"/>
          <w:i/>
          <w:iCs/>
          <w:color w:val="000000"/>
          <w:sz w:val="24"/>
          <w:szCs w:val="24"/>
          <w:lang w:val="sq-AL"/>
        </w:rPr>
        <w:t>.</w:t>
      </w:r>
      <w:r w:rsidRPr="006A1F4E">
        <w:rPr>
          <w:rFonts w:ascii="Garamond" w:hAnsi="Garamond" w:cs="Times New Roman"/>
          <w:i/>
          <w:iCs/>
          <w:color w:val="000000"/>
          <w:sz w:val="24"/>
          <w:szCs w:val="24"/>
          <w:lang w:val="sq-AL"/>
        </w:rPr>
        <w:t xml:space="preserve"> Ara dhe shtëpia në Yzberisht, Tiranë</w:t>
      </w:r>
    </w:p>
    <w:p w14:paraId="0878875E" w14:textId="2CC611A8" w:rsidR="00C0711E" w:rsidRPr="006A1F4E" w:rsidRDefault="00C0711E" w:rsidP="00D03CF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14. Ara dhe shtëpia në Yzberisht, Tiranë, ishin përftuar nga bashkëshorti – në atë kohë – i ardhshëm i kërkueses dhe të afërmit e tij nga viti 2000 deri në 2003, periudhë në të cilën kërkuesja nuk ishte ende prokurore. Për këtë arsye, KPK</w:t>
      </w:r>
      <w:r w:rsidR="00CC0AA4">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nuk e vlerësoi këtë pronë. Megjithatë, KPA</w:t>
      </w:r>
      <w:r w:rsidR="00D03CFC">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në të njëjtën linjë me Komisionerin Publik, ishte e mendimit se vlerësimi i pasurive brenda kuadrit të procesit të rivlerësimit duhej të shtrihej edhe te pasuria e përftuar përpara emërimit të kërkueses si prokurore dhe te ligjshmëria e burimeve të të ardhurave të përdorura për krijimin e tyre. Kërkuesja kishte argumentuar se pasuria e krijuar përpara emërimit të saj si prokurore nuk mund të konsiderohej se ishte krijuar me anë të akteve korruptive apo aktiviteteve të paligjshme, të cilat mund të kishin ndikim në integritetin e saj si prokurore.</w:t>
      </w:r>
      <w:r w:rsidR="006A1F4E" w:rsidRPr="006A1F4E">
        <w:rPr>
          <w:rFonts w:ascii="Garamond" w:hAnsi="Garamond" w:cs="Times New Roman"/>
          <w:color w:val="000000"/>
          <w:sz w:val="24"/>
          <w:szCs w:val="24"/>
          <w:lang w:val="sq-AL"/>
        </w:rPr>
        <w:t xml:space="preserve"> </w:t>
      </w:r>
    </w:p>
    <w:p w14:paraId="12EDDF1E" w14:textId="34832AD2"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15. Në deklaratën e saj të rivlerësimit, kërkuesja kishte deklaruar se ara dhe shtëpia ishin përftuar me anë të të ardhurave të bashkëshortit të saj prej 3,000,000 </w:t>
      </w:r>
      <w:r w:rsidR="0073088C" w:rsidRPr="006A1F4E">
        <w:rPr>
          <w:rFonts w:ascii="Garamond" w:hAnsi="Garamond" w:cs="Times New Roman"/>
          <w:color w:val="000000"/>
          <w:sz w:val="24"/>
          <w:szCs w:val="24"/>
          <w:lang w:val="sq-AL"/>
        </w:rPr>
        <w:t xml:space="preserve">lekë </w:t>
      </w:r>
      <w:r w:rsidRPr="006A1F4E">
        <w:rPr>
          <w:rFonts w:ascii="Garamond" w:hAnsi="Garamond" w:cs="Times New Roman"/>
          <w:color w:val="000000"/>
          <w:sz w:val="24"/>
          <w:szCs w:val="24"/>
          <w:lang w:val="sq-AL"/>
        </w:rPr>
        <w:t xml:space="preserve">(ALL – afërsisht 22,000 euro (EUR), në atë periudhë), të ardhura të cilat ai i kishte fituar si emigrant në Greqi nga viti 1997 deri në vitin 2000 (përpara se ajo të martohej me të), dhe me 12,000 euro, të cilat ai i kishte fituar me punën e tij si inxhinier në Arabinë Saudite në vitin 2003. </w:t>
      </w:r>
    </w:p>
    <w:p w14:paraId="4A953DB1" w14:textId="11112B1E" w:rsidR="00C0711E" w:rsidRPr="006A1F4E" w:rsidRDefault="00C0711E" w:rsidP="000F2C0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16. Në lidhje me këtë aspekt, KPA</w:t>
      </w:r>
      <w:r w:rsidR="00D03CFC">
        <w:rPr>
          <w:rFonts w:ascii="Garamond" w:hAnsi="Garamond" w:cs="Times New Roman"/>
          <w:color w:val="000000"/>
          <w:sz w:val="24"/>
          <w:szCs w:val="24"/>
          <w:lang w:val="sq-AL"/>
        </w:rPr>
        <w:t xml:space="preserve">-ja </w:t>
      </w:r>
      <w:r w:rsidRPr="006A1F4E">
        <w:rPr>
          <w:rFonts w:ascii="Garamond" w:hAnsi="Garamond" w:cs="Times New Roman"/>
          <w:color w:val="000000"/>
          <w:sz w:val="24"/>
          <w:szCs w:val="24"/>
          <w:lang w:val="sq-AL"/>
        </w:rPr>
        <w:t xml:space="preserve">gjykoi se kërkuesja kishte bërë një deklarim të pamjaftueshëm të pasurisë, sepse ajo nuk kishte mjete të mjaftueshme të ligjshme për të justifikuar arën dhe shtëpinë, për qëllimet e nenit 61(3) të Ligjit të Rivlerësimit të lexuar së bashku me </w:t>
      </w:r>
      <w:r w:rsidR="000F2C0A"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D § 3 të </w:t>
      </w:r>
      <w:r w:rsidR="000F2C0A"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të Kushtetutës. Për qëllimet e rivlerësimit, të ligjshme mund të konsiderohen vetëm të ardhurat të cilat janë deklaruar më herët dhe për të cilat janë paguar taksat. Për pasojë, kërkuesja mund t’</w:t>
      </w:r>
      <w:r w:rsidR="000F2C0A">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referohej vetëm të ardhurave që i përmbushnin të dy këto kushte për të justifikuar përftimin e pasurive të paluajtshme.</w:t>
      </w:r>
    </w:p>
    <w:p w14:paraId="5A6C8731" w14:textId="555F2B97" w:rsidR="00C0711E" w:rsidRPr="006A1F4E" w:rsidRDefault="00C0711E" w:rsidP="0073088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17. Për sa</w:t>
      </w:r>
      <w:r w:rsidR="0073088C">
        <w:rPr>
          <w:rFonts w:ascii="Garamond" w:hAnsi="Garamond" w:cs="Times New Roman"/>
          <w:color w:val="000000"/>
          <w:sz w:val="24"/>
          <w:szCs w:val="24"/>
          <w:lang w:val="sq-AL"/>
        </w:rPr>
        <w:t xml:space="preserve"> u</w:t>
      </w:r>
      <w:r w:rsidRPr="006A1F4E">
        <w:rPr>
          <w:rFonts w:ascii="Garamond" w:hAnsi="Garamond" w:cs="Times New Roman"/>
          <w:color w:val="000000"/>
          <w:sz w:val="24"/>
          <w:szCs w:val="24"/>
          <w:lang w:val="sq-AL"/>
        </w:rPr>
        <w:t xml:space="preserve"> përket të ardhurave që bashkëshorti i kërkueses i kishte fituar si emigrant në Greqi, KPA</w:t>
      </w:r>
      <w:r w:rsidR="00141128">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gjykoi se kërkuesja nuk kishte paraqitur mjaftueshëm dokumente mbështetëse, apo prova të tjera për të treguar se të ardhurat e transferuara nga Greqia në Shqipëri në formën e remitancave kishin qenë të ligjshme. Ajo nuk kishte provuar se bashkëshorti i saj kishte qenë i punësuar në Greqi gjatë periudhës konkrete, dhe nuk kishte specifikuar shumën ekzakte të të ardhurave të fituara dhe shumën ekzakte të transferuar në Shqipëri. </w:t>
      </w:r>
    </w:p>
    <w:p w14:paraId="108B3F1E" w14:textId="22870322" w:rsidR="00C0711E" w:rsidRPr="006A1F4E" w:rsidRDefault="00C0711E" w:rsidP="0073088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18. Për sa </w:t>
      </w:r>
      <w:r w:rsidR="0073088C">
        <w:rPr>
          <w:rFonts w:ascii="Garamond" w:hAnsi="Garamond" w:cs="Times New Roman"/>
          <w:color w:val="000000"/>
          <w:sz w:val="24"/>
          <w:szCs w:val="24"/>
          <w:lang w:val="sq-AL"/>
        </w:rPr>
        <w:t xml:space="preserve">u </w:t>
      </w:r>
      <w:r w:rsidRPr="006A1F4E">
        <w:rPr>
          <w:rFonts w:ascii="Garamond" w:hAnsi="Garamond" w:cs="Times New Roman"/>
          <w:color w:val="000000"/>
          <w:sz w:val="24"/>
          <w:szCs w:val="24"/>
          <w:lang w:val="sq-AL"/>
        </w:rPr>
        <w:t>përket të ardhurave të fituara nga bashkëshorti i kërkueses në Arabinë Saudite në vitin 2003, KPA</w:t>
      </w:r>
      <w:r w:rsidR="00141128">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konstatoi se kërkuesja dhe bashkëshorti i saj i kishin deklaruar këto të ardhura </w:t>
      </w:r>
      <w:r w:rsidRPr="006A1F4E">
        <w:rPr>
          <w:rFonts w:ascii="Garamond" w:hAnsi="Garamond" w:cs="Times New Roman"/>
          <w:color w:val="000000"/>
          <w:sz w:val="24"/>
          <w:szCs w:val="24"/>
          <w:lang w:val="sq-AL"/>
        </w:rPr>
        <w:lastRenderedPageBreak/>
        <w:t>për herë të parë në vitin 2016</w:t>
      </w:r>
      <w:r w:rsidR="0014112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kuadër të procesit të rivlerësimit, dhe se ata nuk kishin mundur të shpjegonin në mënyrë bindëse arsyet për mosdeklarimin e tyre në kohë. Në vijim, KPA</w:t>
      </w:r>
      <w:r w:rsidR="00141128">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arrit</w:t>
      </w:r>
      <w:r w:rsidR="00890455">
        <w:rPr>
          <w:rFonts w:ascii="Garamond" w:hAnsi="Garamond" w:cs="Times New Roman"/>
          <w:color w:val="000000"/>
          <w:sz w:val="24"/>
          <w:szCs w:val="24"/>
          <w:lang w:val="sq-AL"/>
        </w:rPr>
        <w:t>i</w:t>
      </w:r>
      <w:r w:rsidRPr="006A1F4E">
        <w:rPr>
          <w:rFonts w:ascii="Garamond" w:hAnsi="Garamond" w:cs="Times New Roman"/>
          <w:color w:val="000000"/>
          <w:sz w:val="24"/>
          <w:szCs w:val="24"/>
          <w:lang w:val="sq-AL"/>
        </w:rPr>
        <w:t xml:space="preserve"> në përfundimin se kërkuesja nuk kishte paraqitur prova të plota dhe të mjaftueshme për të treguar se burimi i të ardhurave të bashkëshortit të saj në këtë aspekt kishte qenë i ligjshëm. Dokumentet e paraqitura prej saj dhe deklaratat nga kompania e punësimit përmbanin “</w:t>
      </w:r>
      <w:r w:rsidR="0006654A" w:rsidRPr="006A1F4E">
        <w:rPr>
          <w:rFonts w:ascii="Garamond" w:hAnsi="Garamond" w:cs="Times New Roman"/>
          <w:color w:val="000000"/>
          <w:sz w:val="24"/>
          <w:szCs w:val="24"/>
          <w:lang w:val="sq-AL"/>
        </w:rPr>
        <w:t>Indicie</w:t>
      </w:r>
      <w:r w:rsidRPr="006A1F4E">
        <w:rPr>
          <w:rFonts w:ascii="Garamond" w:hAnsi="Garamond" w:cs="Times New Roman"/>
          <w:color w:val="000000"/>
          <w:sz w:val="24"/>
          <w:szCs w:val="24"/>
          <w:lang w:val="sq-AL"/>
        </w:rPr>
        <w:t xml:space="preserve">” për angazhimin profesional të personit të lidhur me kërkuesen (bashkëshorti i saj) dhe përftimin e të ardhurave për punën e bërë. Megjithatë, ajo nuk kishte paraqitur dokumentet e nevojshme që sqaronin plotësisht mënyrën sipas së cilës ishin paguar këto të ardhura dhe që provonin se taksat për këto të ardhura ishin paguar nga kompania. Në vijim, çifti nuk kishte mundur të demonstronte se ishte objektivisht e pamundur për ta që t’i paraqisnin këto dokumente. </w:t>
      </w:r>
    </w:p>
    <w:p w14:paraId="485BE408" w14:textId="41AD0710" w:rsidR="00C0711E" w:rsidRPr="006A1F4E" w:rsidRDefault="00C0711E" w:rsidP="0073088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ii</w:t>
      </w:r>
      <w:r w:rsidR="0073088C">
        <w:rPr>
          <w:rFonts w:ascii="Garamond" w:hAnsi="Garamond" w:cs="Times New Roman"/>
          <w:i/>
          <w:iCs/>
          <w:color w:val="000000"/>
          <w:sz w:val="24"/>
          <w:szCs w:val="24"/>
          <w:lang w:val="sq-AL"/>
        </w:rPr>
        <w:t>.</w:t>
      </w:r>
      <w:r w:rsidRPr="006A1F4E">
        <w:rPr>
          <w:rFonts w:ascii="Garamond" w:hAnsi="Garamond" w:cs="Times New Roman"/>
          <w:i/>
          <w:iCs/>
          <w:color w:val="000000"/>
          <w:sz w:val="24"/>
          <w:szCs w:val="24"/>
          <w:lang w:val="sq-AL"/>
        </w:rPr>
        <w:t xml:space="preserve"> Të ardhurat e bashkëshortit nga puna në Arabinë Saudite në vitin 2006</w:t>
      </w:r>
    </w:p>
    <w:p w14:paraId="48A28FC4" w14:textId="23C34760"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19. Në deklaratën e saj për rivlerësim, në vijim, kërkuesja kishte deklaruar asete financiare në shumën</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prej 20,000 dollarësh amerikanë (USD), të fituara nga bashkëshorti i saj në Arabinë Saudite në vitin 2006. Edhe për këtë aspekt, KPA</w:t>
      </w:r>
      <w:r w:rsidR="001429C1">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gjykoi se ajo nuk kishte deklaruar në mënyrë të mjaftueshme pasurinë, sipas interpretimit të nenit 61(3) të Ligjit të Rivlerësimit të lexuar së bashku me </w:t>
      </w:r>
      <w:r w:rsidR="001429C1"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D § 3 të </w:t>
      </w:r>
      <w:r w:rsidR="001429C1"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 xml:space="preserve">të Kushtetutës, pasi ajo nuk kishte provuar se bashkëshorti i saj kishte respektuar detyrimet përkatëse për tatimet mbi të ardhurat. </w:t>
      </w:r>
    </w:p>
    <w:p w14:paraId="1F7228BF" w14:textId="7FD2E573" w:rsidR="00C0711E" w:rsidRPr="006A1F4E" w:rsidRDefault="00C0711E" w:rsidP="009F32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20. KPA</w:t>
      </w:r>
      <w:r w:rsidR="001429C1">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gjykoi se dokumentet e paraqitura nga kërkuesja, të cilat provonin se bashkëshorti i saj kishte jetuar dhe kishte ofruar shërbime në Arabinë Saudite gjatë periudhës konkrete, ishin të besueshme, por ato nuk përbënin “provë të plotë” në mungesë të një kontrate punësi</w:t>
      </w:r>
      <w:r w:rsidR="009F328B">
        <w:rPr>
          <w:rFonts w:ascii="Garamond" w:hAnsi="Garamond" w:cs="Times New Roman"/>
          <w:color w:val="000000"/>
          <w:sz w:val="24"/>
          <w:szCs w:val="24"/>
          <w:lang w:val="sq-AL"/>
        </w:rPr>
        <w:t>mi</w:t>
      </w:r>
      <w:r w:rsidRPr="006A1F4E">
        <w:rPr>
          <w:rFonts w:ascii="Garamond" w:hAnsi="Garamond" w:cs="Times New Roman"/>
          <w:color w:val="000000"/>
          <w:sz w:val="24"/>
          <w:szCs w:val="24"/>
          <w:lang w:val="sq-AL"/>
        </w:rPr>
        <w:t xml:space="preserve"> apo prov</w:t>
      </w:r>
      <w:r w:rsidR="009F328B">
        <w:rPr>
          <w:rFonts w:ascii="Garamond" w:hAnsi="Garamond" w:cs="Times New Roman"/>
          <w:color w:val="000000"/>
          <w:sz w:val="24"/>
          <w:szCs w:val="24"/>
          <w:lang w:val="sq-AL"/>
        </w:rPr>
        <w:t>e,</w:t>
      </w:r>
      <w:r w:rsidRPr="006A1F4E">
        <w:rPr>
          <w:rFonts w:ascii="Garamond" w:hAnsi="Garamond" w:cs="Times New Roman"/>
          <w:color w:val="000000"/>
          <w:sz w:val="24"/>
          <w:szCs w:val="24"/>
          <w:lang w:val="sq-AL"/>
        </w:rPr>
        <w:t xml:space="preserve"> se transfertat përkatëse bankare ishin bërë nga Arabia Saudite në emër të kompanisë për të cilën ai kishte ofruar shërbime. </w:t>
      </w:r>
    </w:p>
    <w:p w14:paraId="7991F95B" w14:textId="58B976DE"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21. Në vijim, KPA</w:t>
      </w:r>
      <w:r w:rsidR="009F328B">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konstatoi se kërkuesja nuk kishte paraqitur dokumente mbështetëse për të provuar se bashkëshorti i saj kishte paguar tatimet në Shqipëri për këto të ardhura, apo prova se ai kishte paguar tatime në Arabinë Saudite, apo se objektivisht ishte e pamundur për të që të paraqiste dokumentet e nevojshme. </w:t>
      </w:r>
    </w:p>
    <w:p w14:paraId="65C3E6F7" w14:textId="2DF7A603" w:rsidR="00C0711E" w:rsidRPr="006A1F4E" w:rsidRDefault="00CD6EA9" w:rsidP="00703DA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i</w:t>
      </w:r>
      <w:r w:rsidR="00C0711E" w:rsidRPr="006A1F4E">
        <w:rPr>
          <w:rFonts w:ascii="Garamond" w:hAnsi="Garamond" w:cs="Times New Roman"/>
          <w:i/>
          <w:iCs/>
          <w:color w:val="000000"/>
          <w:sz w:val="24"/>
          <w:szCs w:val="24"/>
          <w:lang w:val="sq-AL"/>
        </w:rPr>
        <w:t>ii</w:t>
      </w:r>
      <w:r>
        <w:rPr>
          <w:rFonts w:ascii="Garamond" w:hAnsi="Garamond" w:cs="Times New Roman"/>
          <w:i/>
          <w:iCs/>
          <w:color w:val="000000"/>
          <w:sz w:val="24"/>
          <w:szCs w:val="24"/>
          <w:lang w:val="sq-AL"/>
        </w:rPr>
        <w:t>.</w:t>
      </w:r>
      <w:r w:rsidR="00C0711E" w:rsidRPr="006A1F4E">
        <w:rPr>
          <w:rFonts w:ascii="Garamond" w:hAnsi="Garamond" w:cs="Times New Roman"/>
          <w:i/>
          <w:iCs/>
          <w:color w:val="000000"/>
          <w:sz w:val="24"/>
          <w:szCs w:val="24"/>
          <w:lang w:val="sq-AL"/>
        </w:rPr>
        <w:t xml:space="preserve"> Pasuri të tjera</w:t>
      </w:r>
    </w:p>
    <w:p w14:paraId="09969912" w14:textId="3A95B03A"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22. Pronat e tjera të paluajtshme dhe të ardhurat e tjera të kërkueses dhe të bashkëshortit të saj nga burime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e të vlerësuara nga KPA</w:t>
      </w:r>
      <w:r w:rsidR="00703DAA">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u konsideruan të ligjshme. </w:t>
      </w:r>
    </w:p>
    <w:p w14:paraId="15A09E44" w14:textId="1B967870"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b/>
          <w:bCs/>
          <w:color w:val="000000"/>
          <w:sz w:val="24"/>
          <w:szCs w:val="24"/>
          <w:lang w:val="sq-AL"/>
        </w:rPr>
        <w:t>b) Vlerësimi i kompetencës profesionale të kërkueses</w:t>
      </w:r>
    </w:p>
    <w:p w14:paraId="4C76FBEE" w14:textId="25B0EA8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23. KPA</w:t>
      </w:r>
      <w:r w:rsidR="00570086">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konstatoi se asnjë prej denoncimeve të bëra nga publiku</w:t>
      </w:r>
      <w:r w:rsidR="0057008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lidhje me kompetencën profesionale të kërkueses</w:t>
      </w:r>
      <w:r w:rsidR="0057008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nuk paraqiste mungesë të kompetencës profesionale prej saj.</w:t>
      </w:r>
      <w:r w:rsidR="006A1F4E" w:rsidRPr="006A1F4E">
        <w:rPr>
          <w:rFonts w:ascii="Garamond" w:hAnsi="Garamond" w:cs="Times New Roman"/>
          <w:color w:val="000000"/>
          <w:sz w:val="24"/>
          <w:szCs w:val="24"/>
          <w:lang w:val="sq-AL"/>
        </w:rPr>
        <w:t xml:space="preserve"> </w:t>
      </w:r>
    </w:p>
    <w:p w14:paraId="0BABC0F1" w14:textId="43FFCA85"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24. Në lidhje me vlerësimin e një sërë çështjesh të trajtuara nga kërkuesja dhe të përzgjedhura për shqyrtim</w:t>
      </w:r>
      <w:r w:rsidR="0057008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kuadër të rivlerësimit, KPA</w:t>
      </w:r>
      <w:r w:rsidR="00570086">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konstatoi se në njërën prej këtyre çështjeve, e cila kishte të bënte me akuzat kundër një zyrtari publik për mosdeklarim të rregullt të pasurisë së tij, kërkuesja nuk kishte respektuar afatin për dorëzimin e një apelimi ndaj vendimit të gjykatës së shkallës së parë për rrëzim të akuzave. Kërkesa e saj e mëpasshme për të marrë leje për apelim jashtë afatit për shkak të vështirësive familjare ishte rrëzuar. Në lidhje me këtë aspekt, KPA</w:t>
      </w:r>
      <w:r w:rsidR="00696D64">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arriti në përfundimin se edhe nëse rezultatet e hetimit konfirmonin se kërkuesja kishte demonstruar mungesë njohurish të praktikës gjyqësore</w:t>
      </w:r>
      <w:r w:rsidR="00696D6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lidhje me një koncept specifik ligjor dhe mungesë efikasiteti në menaxhimin e situatave komplekse në ushtrimin e detyrave të saj, çështja konkrete ishte e izoluar, dhe për këtë arsye, e pamjaftueshme në vetvete për të gjykuar se ajo ishte e paaftë profesionalisht. Megjithatë, KPA</w:t>
      </w:r>
      <w:r w:rsidR="00696D64">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gjykoi se fakti se çështja kishte të bënte me deklarimin e pasurisë së një zyrtari publik, edhe pse një rast i izoluar, kishte ndikim në besimin e publikut në sistemin e drejtësisë. Si prokurore e specializuar në veprat që kanë lidhje me tatimet, një gjë e tillë cenonte besimin e publikut në sistemin e drejtësisë, nëse vet</w:t>
      </w:r>
      <w:r w:rsidR="00696D64">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anëtarët e familjes së saj nuk respektonin ligjet për tatimet. </w:t>
      </w:r>
    </w:p>
    <w:p w14:paraId="7086756E" w14:textId="7DC925E5"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c) Vlerësimi i përgjithshëm</w:t>
      </w:r>
    </w:p>
    <w:p w14:paraId="3B1EC8DE" w14:textId="4645BE76" w:rsidR="00C0711E" w:rsidRPr="006A1F4E" w:rsidRDefault="00C0711E" w:rsidP="0074123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lastRenderedPageBreak/>
        <w:t>25. Për këtë arsye, KPA</w:t>
      </w:r>
      <w:r w:rsidR="00741234">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arriti në përfundimin</w:t>
      </w:r>
      <w:r w:rsidR="0074123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se mbështetur në një vlerësim të përgjithshëm të tr</w:t>
      </w:r>
      <w:r w:rsidR="00741234">
        <w:rPr>
          <w:rFonts w:ascii="Garamond" w:hAnsi="Garamond" w:cs="Times New Roman"/>
          <w:color w:val="000000"/>
          <w:sz w:val="24"/>
          <w:szCs w:val="24"/>
          <w:lang w:val="sq-AL"/>
        </w:rPr>
        <w:t>i</w:t>
      </w:r>
      <w:r w:rsidRPr="006A1F4E">
        <w:rPr>
          <w:rFonts w:ascii="Garamond" w:hAnsi="Garamond" w:cs="Times New Roman"/>
          <w:color w:val="000000"/>
          <w:sz w:val="24"/>
          <w:szCs w:val="24"/>
          <w:lang w:val="sq-AL"/>
        </w:rPr>
        <w:t xml:space="preserve"> kritereve të vlerësimit, kërkuesja kishte cenuar edhe besimin e publikut në sistemin e drejtësisë, për qëllimet e nenit 61(5) të Ligjit të Rivlerësimit. </w:t>
      </w:r>
    </w:p>
    <w:p w14:paraId="31976A88" w14:textId="28BFB0F0"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d) Opinion mospajtues</w:t>
      </w:r>
    </w:p>
    <w:p w14:paraId="2FADDDFF" w14:textId="19FE7A15"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26. Njëri prej anëtarëve të trupit gjykues, I.R., paraqiti një opinion mospajtues, në mbështetje të pozicionit se kërkuesja nuk duhej të shkarkohej nga detyra si prokurore. I.R. mbështeti mendimin se kërkuesja nuk kishte bërë deklarim të pamjaftueshëm të pasurisë sipas neneve 61(3) dhe 33 të Ligjit të Rivlerësimit. Ajo kishte provuar burimet e ligjshme të pasurive të saj deri në atë moment, ashtu siç kishte provuar mjaftueshëm ekzistencën e të ardhurave të bashkëshortit të saj dhe faktin se pasuria vinte nga veprimtari f</w:t>
      </w:r>
      <w:r w:rsidR="00741234">
        <w:rPr>
          <w:rFonts w:ascii="Garamond" w:hAnsi="Garamond" w:cs="Times New Roman"/>
          <w:color w:val="000000"/>
          <w:sz w:val="24"/>
          <w:szCs w:val="24"/>
          <w:lang w:val="sq-AL"/>
        </w:rPr>
        <w:t>itimprurëse të ligjshme (dhe jo</w:t>
      </w:r>
      <w:r w:rsidRPr="006A1F4E">
        <w:rPr>
          <w:rFonts w:ascii="Garamond" w:hAnsi="Garamond" w:cs="Times New Roman"/>
          <w:color w:val="000000"/>
          <w:sz w:val="24"/>
          <w:szCs w:val="24"/>
          <w:lang w:val="sq-AL"/>
        </w:rPr>
        <w:t xml:space="preserve">kriminale). Në opinionin mospajtues të gjyqtares, fakti se nuk provohet shlyerja e tatimeve për këto të ardhura nuk duhet të çojë gjithmonë në përfundimin se ka pasur burime të pamjaftueshme të ligjshme për të </w:t>
      </w:r>
      <w:r w:rsidR="007B4B8C">
        <w:rPr>
          <w:rFonts w:ascii="Garamond" w:hAnsi="Garamond" w:cs="Times New Roman"/>
          <w:color w:val="000000"/>
          <w:sz w:val="24"/>
          <w:szCs w:val="24"/>
          <w:lang w:val="sq-AL"/>
        </w:rPr>
        <w:t>justifikuar pasurinë e personit</w:t>
      </w:r>
      <w:r w:rsidRPr="006A1F4E">
        <w:rPr>
          <w:rFonts w:ascii="Garamond" w:hAnsi="Garamond" w:cs="Times New Roman"/>
          <w:color w:val="000000"/>
          <w:sz w:val="24"/>
          <w:szCs w:val="24"/>
          <w:lang w:val="sq-AL"/>
        </w:rPr>
        <w:t xml:space="preserve"> dhe</w:t>
      </w:r>
      <w:r w:rsidR="007B4B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pasojë, deklarimi i pamjaftueshëm i pasurisë të çojë shkarkimin nga detyra sipas nenit 61(3) të Ligjit për Rivlerësimin. Në të tilla rrethana, neni 61(1) i Ligjit të Rivlerësimit duhet të zbatohet, si i tillë, vetëm në rastin kur pasuria e deklaruar e personit të rivlerësuar do të ishte më e madhe se</w:t>
      </w:r>
      <w:r w:rsidR="005B5143">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sa dyfishi i vlerës së pasurisë së përftuar</w:t>
      </w:r>
      <w:r w:rsidR="005B514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së bashku me të ardhurat e tatueshme, duke përbërë kështu shkak për shkarkim nga detyra. Megjithatë, ky nuk ishte rasti për kërkuesen; të ardhurat e kundërshtuara përbënin 9.5% të totalit të të ardhurave. Në vijim, I.R. shprehu opinionin se shkarkimi i kërkueses për cenim të besimit të publikut në sistemin e drejtësisë ishte joproporcional, pasi ajo kishte ndjekur penalisht në mënyrë të suksesshme shumë çështje të rëndësishme publike financiare. </w:t>
      </w:r>
    </w:p>
    <w:p w14:paraId="3F0AF6C1" w14:textId="5CF3ACA5"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c) Opinioni i Vëzhguesit Ndërkombëtar</w:t>
      </w:r>
    </w:p>
    <w:p w14:paraId="4A937ED1" w14:textId="4E86A99B"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27. Edhe Vëzhguesi Ndërkombëtar i Operacionit Ndërkombëtar të Monitorimit (“ONM”) – një organ ndërkombëtar i udhëhequr nga Komisioni Evropian, i krijuar në mbështetje të </w:t>
      </w:r>
      <w:r w:rsidR="005B5143"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B të </w:t>
      </w:r>
      <w:r w:rsidR="005B5143"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 xml:space="preserve">të Kushtetutës, për të mbështetur, monitoruar dhe mbikëqyrur procesin e rivlerësimit – dha një opinion mospajtues, më 25 </w:t>
      </w:r>
      <w:r w:rsidR="00CC70D4" w:rsidRPr="006A1F4E">
        <w:rPr>
          <w:rFonts w:ascii="Garamond" w:hAnsi="Garamond" w:cs="Times New Roman"/>
          <w:color w:val="000000"/>
          <w:sz w:val="24"/>
          <w:szCs w:val="24"/>
          <w:lang w:val="sq-AL"/>
        </w:rPr>
        <w:t xml:space="preserve">prill </w:t>
      </w:r>
      <w:r w:rsidRPr="006A1F4E">
        <w:rPr>
          <w:rFonts w:ascii="Garamond" w:hAnsi="Garamond" w:cs="Times New Roman"/>
          <w:color w:val="000000"/>
          <w:sz w:val="24"/>
          <w:szCs w:val="24"/>
          <w:lang w:val="sq-AL"/>
        </w:rPr>
        <w:t>2019. Ai u shpreh se ishte joproporcionale që kërkuesja të sanksionohej me shkarkim nga detyra. Ai iu referua konstatimit të KPA</w:t>
      </w:r>
      <w:r w:rsidR="00CC70D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se ajo kishte respektuar detyrimin për deklarim të pasurisë së saj dhe burimeve të lidhura të të ardhurave. Megjithatë, KPA</w:t>
      </w:r>
      <w:r w:rsidR="00CC70D4">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kishte gjykuar se (në kundërshtim me konstatimet e KPK</w:t>
      </w:r>
      <w:r w:rsidR="00D82230">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se ajo nuk kishte paraqitur justifikim të mjaftueshëm për pasuritë e saj, që do të thotë se ajo nuk kishte paraqitur mjaftueshëm dokumente për të provuar ligjshmërinë e burimeve të pretenduara të të ardhurave, veçanërisht prova për shlyerjen e tatimeve për ato të ardhura. </w:t>
      </w:r>
    </w:p>
    <w:p w14:paraId="1774F72A" w14:textId="0E70ED6E" w:rsidR="00C0711E" w:rsidRPr="006A1F4E" w:rsidRDefault="00C0711E" w:rsidP="00886E4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28. Vëzhguesi Ndërkombëtar shprehu mendimin se interpretimi i gjerë i KPA</w:t>
      </w:r>
      <w:r w:rsidR="0060366D">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r w:rsidR="0060366D" w:rsidRPr="006A1F4E">
        <w:rPr>
          <w:rFonts w:ascii="Garamond" w:hAnsi="Garamond" w:cs="Times New Roman"/>
          <w:color w:val="000000"/>
          <w:sz w:val="24"/>
          <w:szCs w:val="24"/>
          <w:lang w:val="sq-AL"/>
        </w:rPr>
        <w:t xml:space="preserve">i </w:t>
      </w:r>
      <w:r w:rsidRPr="006A1F4E">
        <w:rPr>
          <w:rFonts w:ascii="Garamond" w:hAnsi="Garamond" w:cs="Times New Roman"/>
          <w:color w:val="000000"/>
          <w:sz w:val="24"/>
          <w:szCs w:val="24"/>
          <w:lang w:val="sq-AL"/>
        </w:rPr>
        <w:t>deklarimit të pamjaftueshëm të të ardhurave” në nenin 61(3) të Ligjit të Rivlerësimit</w:t>
      </w:r>
      <w:r w:rsidR="0060366D">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shkak për shkarkim nga detyra binte në kundërshtim me </w:t>
      </w:r>
      <w:r w:rsidR="0060366D"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D §§ 4 dhe 5 të </w:t>
      </w:r>
      <w:r w:rsidR="0060366D"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 xml:space="preserve">të Kushtetutës, dhe jepte rezultate joproporcionale. Ai argumentoi veçanërisht se konstatimi për “deklarim të pamjaftueshëm”, në mbështetje të </w:t>
      </w:r>
      <w:r w:rsidR="0060366D"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61(3) të Ligjit të Rivlerësimit mund të përmbushej vetëm nëse personi i rivlerësuar kishte bërë një deklaratë false, veçanërisht, nëse kishte prova se ai ose ajo nuk e zotëronte burimin e pretenduar të të ardhurave (gjë të cilën KPA</w:t>
      </w:r>
      <w:r w:rsidR="0060366D">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nuk e kishte konstatuar në çështjen e kërkueses). Mosjustifikimi i pasurive të deklaruara mund të sanksionohej sipas nenit 61(1) të Ligjit të Rivlerësimit, në rast se nuk përmbusheshin parashikimet në këtë nen (që do të thotë, nëse pasuria e pajustifikuar ishte më shumë se</w:t>
      </w:r>
      <w:r w:rsidR="00886E4B">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sa gjysma e shumës së pasurisë në total), çka nuk ishte rasti i kërkueses. Nëse mosjustifikimi i pasurisë së deklaruar sanksionohej si deklaratë e pamjaftueshme, neni 61(1) i Ligjit të Rivlerësimit nuk do të ishte i vlefshëm për rastin konkret dhe parashikimi i pragut prej “dyfish” nuk do të ishte i zbatueshëm.</w:t>
      </w:r>
    </w:p>
    <w:p w14:paraId="7D3AB48F" w14:textId="07D9431B"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29. Për sa ka të bëjë me profesionalizmin, Vëzhguesi Ndërkombëtar ishte i mendimit se mosdorëzimit të një apelimi për një çështje brenda afatit nuk i duhej dhënë ndonjë peshë e rëndësishme. Ai theksoi se apelimi do të duhej të dorëzohej në përputhje me udhëzimet e përgjithshme sipas së cilave prokuroria duhej të vepronte në këtë mënyrë sa herë që gjykata merrte një vendim në kundërshtim me kërkesat e prokurorisë; apelimi konkret nuk kishte pasur ndonjë perspektivë të arsyeshme për sukses, kështu që kjo vonesë kishte qenë thjesht e natyrës formale. Aspektet e dobëta në tërësi nuk ishin të një rëndësie të tillë sa për të justifikuar përfundimin se kërkuesja kishte cenuar besimin e publikut në sistemin e drejtësisë për qëllime të </w:t>
      </w:r>
      <w:r w:rsidR="00684E98"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61(5) të Ligjit të Rivlerësimit. </w:t>
      </w:r>
    </w:p>
    <w:p w14:paraId="0A59A31B" w14:textId="7ED19792"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III. ZHVILLIME TË MËTEJSHME </w:t>
      </w:r>
    </w:p>
    <w:p w14:paraId="586CF29C" w14:textId="2239C1CF"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A. Jeta profesionale e kërkueses pas vendimit të KPA</w:t>
      </w:r>
      <w:r w:rsidR="000B1449">
        <w:rPr>
          <w:rFonts w:ascii="Garamond" w:hAnsi="Garamond" w:cs="Times New Roman"/>
          <w:b/>
          <w:bCs/>
          <w:color w:val="000000"/>
          <w:sz w:val="24"/>
          <w:szCs w:val="24"/>
          <w:lang w:val="sq-AL"/>
        </w:rPr>
        <w:t>-së</w:t>
      </w:r>
    </w:p>
    <w:p w14:paraId="462CF851" w14:textId="2BA20E18"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30. Më 19 </w:t>
      </w:r>
      <w:r w:rsidR="000B1449" w:rsidRPr="006A1F4E">
        <w:rPr>
          <w:rFonts w:ascii="Garamond" w:hAnsi="Garamond" w:cs="Times New Roman"/>
          <w:color w:val="000000"/>
          <w:sz w:val="24"/>
          <w:szCs w:val="24"/>
          <w:lang w:val="sq-AL"/>
        </w:rPr>
        <w:t xml:space="preserve">mars </w:t>
      </w:r>
      <w:r w:rsidRPr="006A1F4E">
        <w:rPr>
          <w:rFonts w:ascii="Garamond" w:hAnsi="Garamond" w:cs="Times New Roman"/>
          <w:color w:val="000000"/>
          <w:sz w:val="24"/>
          <w:szCs w:val="24"/>
          <w:lang w:val="sq-AL"/>
        </w:rPr>
        <w:t>2019, KLP, duke marrë në konsideratë shkarkimin e kërkueses nga pozicioni i prokurores, e shkarkoi atë si anëtare të KLP</w:t>
      </w:r>
      <w:r w:rsidR="002D7D17">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p>
    <w:p w14:paraId="463F150A" w14:textId="2CBD8D4B"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31. Kërkuesja, e cila kishte marrë një licencë për të praktikuar ligjin si avokate nga Dhoma Kombëtare e Avokatisë më 6 </w:t>
      </w:r>
      <w:r w:rsidR="00D96F4E" w:rsidRPr="006A1F4E">
        <w:rPr>
          <w:rFonts w:ascii="Garamond" w:hAnsi="Garamond" w:cs="Times New Roman"/>
          <w:color w:val="000000"/>
          <w:sz w:val="24"/>
          <w:szCs w:val="24"/>
          <w:lang w:val="sq-AL"/>
        </w:rPr>
        <w:t xml:space="preserve">maj </w:t>
      </w:r>
      <w:r w:rsidRPr="006A1F4E">
        <w:rPr>
          <w:rFonts w:ascii="Garamond" w:hAnsi="Garamond" w:cs="Times New Roman"/>
          <w:color w:val="000000"/>
          <w:sz w:val="24"/>
          <w:szCs w:val="24"/>
          <w:lang w:val="sq-AL"/>
        </w:rPr>
        <w:t xml:space="preserve">2016, u regjistrua në regjistrin e Dhomës Kombëtare të Avokatisë si avokate më 7 </w:t>
      </w:r>
      <w:r w:rsidR="00D96F4E" w:rsidRPr="006A1F4E">
        <w:rPr>
          <w:rFonts w:ascii="Garamond" w:hAnsi="Garamond" w:cs="Times New Roman"/>
          <w:color w:val="000000"/>
          <w:sz w:val="24"/>
          <w:szCs w:val="24"/>
          <w:lang w:val="sq-AL"/>
        </w:rPr>
        <w:t xml:space="preserve">mars </w:t>
      </w:r>
      <w:r w:rsidRPr="006A1F4E">
        <w:rPr>
          <w:rFonts w:ascii="Garamond" w:hAnsi="Garamond" w:cs="Times New Roman"/>
          <w:color w:val="000000"/>
          <w:sz w:val="24"/>
          <w:szCs w:val="24"/>
          <w:lang w:val="sq-AL"/>
        </w:rPr>
        <w:t xml:space="preserve">2019 për të ushtruar në mënyrë aktive profesionin, dhe në vijim nisi të praktikonte ligjin si avokate. </w:t>
      </w:r>
    </w:p>
    <w:p w14:paraId="76F83597" w14:textId="439AE941"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B. Procesi në lidhje me Gjyqtarët L.D. dhe A.H. </w:t>
      </w:r>
    </w:p>
    <w:p w14:paraId="720640EC" w14:textId="4BA12F40"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32. Më 4 </w:t>
      </w:r>
      <w:r w:rsidR="00D96F4E" w:rsidRPr="006A1F4E">
        <w:rPr>
          <w:rFonts w:ascii="Garamond" w:hAnsi="Garamond" w:cs="Times New Roman"/>
          <w:color w:val="000000"/>
          <w:sz w:val="24"/>
          <w:szCs w:val="24"/>
          <w:lang w:val="sq-AL"/>
        </w:rPr>
        <w:t xml:space="preserve">dhjetor </w:t>
      </w:r>
      <w:r w:rsidRPr="006A1F4E">
        <w:rPr>
          <w:rFonts w:ascii="Garamond" w:hAnsi="Garamond" w:cs="Times New Roman"/>
          <w:color w:val="000000"/>
          <w:sz w:val="24"/>
          <w:szCs w:val="24"/>
          <w:lang w:val="sq-AL"/>
        </w:rPr>
        <w:t>2019, KPA</w:t>
      </w:r>
      <w:r w:rsidR="00D96F4E">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rrëzoi kërkesën e paraqitur nga kërkuesja pas përfundimit të procesit të rivlerësimit ndaj saj (më 23 </w:t>
      </w:r>
      <w:r w:rsidR="00D96F4E" w:rsidRPr="006A1F4E">
        <w:rPr>
          <w:rFonts w:ascii="Garamond" w:hAnsi="Garamond" w:cs="Times New Roman"/>
          <w:color w:val="000000"/>
          <w:sz w:val="24"/>
          <w:szCs w:val="24"/>
          <w:lang w:val="sq-AL"/>
        </w:rPr>
        <w:t xml:space="preserve">maj </w:t>
      </w:r>
      <w:r w:rsidRPr="006A1F4E">
        <w:rPr>
          <w:rFonts w:ascii="Garamond" w:hAnsi="Garamond" w:cs="Times New Roman"/>
          <w:color w:val="000000"/>
          <w:sz w:val="24"/>
          <w:szCs w:val="24"/>
          <w:lang w:val="sq-AL"/>
        </w:rPr>
        <w:t>2019) për nisjen e një procedure disiplinore ndaj dy anëtarëve të KPA</w:t>
      </w:r>
      <w:r w:rsidR="00D96F4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L.D. dhe A.H., dhe për ndërprerjen e mandatit të tyre në mbështetje të parashikimeve kushtetuese dhe statutore për heqjen nga detyra të gjyqtarëve të Gjykatës Kushtetuese, tek të cilët ishte referuar kërkuesja. </w:t>
      </w:r>
    </w:p>
    <w:p w14:paraId="74F57FE3" w14:textId="16CEA44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33. Më 20 </w:t>
      </w:r>
      <w:r w:rsidR="00D96F4E" w:rsidRPr="006A1F4E">
        <w:rPr>
          <w:rFonts w:ascii="Garamond" w:hAnsi="Garamond" w:cs="Times New Roman"/>
          <w:color w:val="000000"/>
          <w:sz w:val="24"/>
          <w:szCs w:val="24"/>
          <w:lang w:val="sq-AL"/>
        </w:rPr>
        <w:t xml:space="preserve">nëntor </w:t>
      </w:r>
      <w:r w:rsidRPr="006A1F4E">
        <w:rPr>
          <w:rFonts w:ascii="Garamond" w:hAnsi="Garamond" w:cs="Times New Roman"/>
          <w:color w:val="000000"/>
          <w:sz w:val="24"/>
          <w:szCs w:val="24"/>
          <w:lang w:val="sq-AL"/>
        </w:rPr>
        <w:t>2019, ONM, që sipas nenit 17 të Ligjit të Rivlerësimit ishte organi kompetent për shqyrtimin e kërkesave për procese disiplinore nga publiku, e bëri me dijeni kërkuesen se pavarësisht pretendimeve të ngritura prej saj ndaj Gjyqtarëve L.D. dhe A.H., nuk mund të adresohej asnjë prej shkaqeve të parashikuar në nenin 16 të Ligjit të Rivlerësimit</w:t>
      </w:r>
      <w:r w:rsidR="00D96F4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së cilit anëtarët e ONM mund të ndërmerrnin procese disiplinore. </w:t>
      </w:r>
    </w:p>
    <w:p w14:paraId="093825DF" w14:textId="0126682E"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34. Më 24 </w:t>
      </w:r>
      <w:r w:rsidR="00A013D4" w:rsidRPr="006A1F4E">
        <w:rPr>
          <w:rFonts w:ascii="Garamond" w:hAnsi="Garamond" w:cs="Times New Roman"/>
          <w:color w:val="000000"/>
          <w:sz w:val="24"/>
          <w:szCs w:val="24"/>
          <w:lang w:val="sq-AL"/>
        </w:rPr>
        <w:t xml:space="preserve">korrik </w:t>
      </w:r>
      <w:r w:rsidRPr="006A1F4E">
        <w:rPr>
          <w:rFonts w:ascii="Garamond" w:hAnsi="Garamond" w:cs="Times New Roman"/>
          <w:color w:val="000000"/>
          <w:sz w:val="24"/>
          <w:szCs w:val="24"/>
          <w:lang w:val="sq-AL"/>
        </w:rPr>
        <w:t>2020, pas nisjes së procesit penal ndaj Gjyqtarit L.D., proces që kishte nisur në mbështetje të një an</w:t>
      </w:r>
      <w:r w:rsidR="00A013D4">
        <w:rPr>
          <w:rFonts w:ascii="Garamond" w:hAnsi="Garamond" w:cs="Times New Roman"/>
          <w:color w:val="000000"/>
          <w:sz w:val="24"/>
          <w:szCs w:val="24"/>
          <w:lang w:val="sq-AL"/>
        </w:rPr>
        <w:t>kese penale të paraqitur nga Z.</w:t>
      </w:r>
      <w:r w:rsidRPr="006A1F4E">
        <w:rPr>
          <w:rFonts w:ascii="Garamond" w:hAnsi="Garamond" w:cs="Times New Roman"/>
          <w:color w:val="000000"/>
          <w:sz w:val="24"/>
          <w:szCs w:val="24"/>
          <w:lang w:val="sq-AL"/>
        </w:rPr>
        <w:t>B. Cani (kërkues në kërkesën nr. 37474/20 përpara kësaj Gjykate), KPA</w:t>
      </w:r>
      <w:r w:rsidR="00A013D4">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vendosi ta pezullojë L.D</w:t>
      </w:r>
      <w:r w:rsidR="00E72EA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nga detyra. Më pas, L.D. u dënua për falsifikim dokumentesh. Rezultoi se ai kishte dorëzuar informacione false në aplikimin e tij për pozicionin e gjyqtarit në KPA, pasi nuk kishte deklaruar se ishte shkarkuar nga detyra si gjyqtar në vitin 1997 (shih, për më tepër informacione për këtë çështje, vendimin </w:t>
      </w:r>
      <w:r w:rsidRPr="006A1F4E">
        <w:rPr>
          <w:rFonts w:ascii="Garamond" w:hAnsi="Garamond" w:cs="Times New Roman"/>
          <w:i/>
          <w:iCs/>
          <w:color w:val="000000"/>
          <w:sz w:val="24"/>
          <w:szCs w:val="24"/>
          <w:lang w:val="sq-AL"/>
        </w:rPr>
        <w:t>Besnik Cani kundër Shqipërisë</w:t>
      </w:r>
      <w:r w:rsidRPr="006A1F4E">
        <w:rPr>
          <w:rFonts w:ascii="Garamond" w:hAnsi="Garamond" w:cs="Times New Roman"/>
          <w:color w:val="000000"/>
          <w:sz w:val="24"/>
          <w:szCs w:val="24"/>
          <w:lang w:val="sq-AL"/>
        </w:rPr>
        <w:t>, nr. 37474/20, §§ 8</w:t>
      </w:r>
      <w:r w:rsidR="006E3BF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31, 4 </w:t>
      </w:r>
      <w:r w:rsidR="00E72EA0"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 xml:space="preserve">2022 (jo i formës së prerë)). </w:t>
      </w:r>
    </w:p>
    <w:p w14:paraId="4A119FF9" w14:textId="5DCBFBDA"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35. Më 28 </w:t>
      </w:r>
      <w:r w:rsidR="00E72EA0"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 xml:space="preserve">2022, Gjykata Kushtetuese prishi, mbi shkaqet për gjykim të drejtë, vendimin e Gjykatës së Lartë duke konfirmuar dënimin penal ndaj L.D., dhe urdhëroi ridëgjimin e çështjes nga Gjykata e Lartë. </w:t>
      </w:r>
    </w:p>
    <w:p w14:paraId="782A4BB0" w14:textId="77777777" w:rsidR="006C7993" w:rsidRPr="006A1F4E" w:rsidRDefault="006C7993"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8537EF7"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KUADRI LIGJOR DHE PRAKTIKA LIGJORE PËRKATËSE </w:t>
      </w:r>
    </w:p>
    <w:p w14:paraId="41BED3EE" w14:textId="76A222BF"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I. MATERIALET PËRKATËSE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w:t>
      </w:r>
    </w:p>
    <w:p w14:paraId="19E89D4E" w14:textId="1DC2A40B"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A. Kuadri i përgjithshëm dhe funksionimi i procesit të rivlerësimit/</w:t>
      </w:r>
      <w:r w:rsidRPr="006A1F4E">
        <w:rPr>
          <w:rFonts w:ascii="Garamond" w:hAnsi="Garamond" w:cs="Times New Roman"/>
          <w:b/>
          <w:bCs/>
          <w:i/>
          <w:iCs/>
          <w:color w:val="000000"/>
          <w:sz w:val="24"/>
          <w:szCs w:val="24"/>
          <w:lang w:val="sq-AL"/>
        </w:rPr>
        <w:t>vetting-</w:t>
      </w:r>
      <w:r w:rsidRPr="00B81D7C">
        <w:rPr>
          <w:rFonts w:ascii="Garamond" w:hAnsi="Garamond" w:cs="Times New Roman"/>
          <w:b/>
          <w:bCs/>
          <w:color w:val="000000"/>
          <w:sz w:val="24"/>
          <w:szCs w:val="24"/>
          <w:lang w:val="sq-AL"/>
        </w:rPr>
        <w:t xml:space="preserve">ut </w:t>
      </w:r>
      <w:r w:rsidRPr="006A1F4E">
        <w:rPr>
          <w:rFonts w:ascii="Garamond" w:hAnsi="Garamond" w:cs="Times New Roman"/>
          <w:b/>
          <w:bCs/>
          <w:color w:val="000000"/>
          <w:sz w:val="24"/>
          <w:szCs w:val="24"/>
          <w:lang w:val="sq-AL"/>
        </w:rPr>
        <w:t>në Shqipëri</w:t>
      </w:r>
    </w:p>
    <w:p w14:paraId="4CBE45C3" w14:textId="2CF379BF"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36. Rivlerësimi tranzitor i gjyqtarëve dhe prokurorëve në Shqipëri udhëhiqet nga </w:t>
      </w:r>
      <w:r w:rsidR="00871CBC"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179/b i Kushtetutës, </w:t>
      </w:r>
      <w:r w:rsidR="00871CBC" w:rsidRPr="006A1F4E">
        <w:rPr>
          <w:rFonts w:ascii="Garamond" w:hAnsi="Garamond" w:cs="Times New Roman"/>
          <w:color w:val="000000"/>
          <w:sz w:val="24"/>
          <w:szCs w:val="24"/>
          <w:lang w:val="sq-AL"/>
        </w:rPr>
        <w:t xml:space="preserve">aneksi </w:t>
      </w:r>
      <w:r w:rsidRPr="006A1F4E">
        <w:rPr>
          <w:rFonts w:ascii="Garamond" w:hAnsi="Garamond" w:cs="Times New Roman"/>
          <w:color w:val="000000"/>
          <w:sz w:val="24"/>
          <w:szCs w:val="24"/>
          <w:lang w:val="sq-AL"/>
        </w:rPr>
        <w:t>i Kushtetutës dhe Ligji për Rivlerësimin e Gjyqtarëve dhe Prokurorëve (</w:t>
      </w:r>
      <w:r w:rsidR="00871CBC" w:rsidRPr="006A1F4E">
        <w:rPr>
          <w:rFonts w:ascii="Garamond" w:hAnsi="Garamond" w:cs="Times New Roman"/>
          <w:color w:val="000000"/>
          <w:sz w:val="24"/>
          <w:szCs w:val="24"/>
          <w:lang w:val="sq-AL"/>
        </w:rPr>
        <w:t xml:space="preserve">ligji </w:t>
      </w:r>
      <w:r w:rsidRPr="006A1F4E">
        <w:rPr>
          <w:rFonts w:ascii="Garamond" w:hAnsi="Garamond" w:cs="Times New Roman"/>
          <w:color w:val="000000"/>
          <w:sz w:val="24"/>
          <w:szCs w:val="24"/>
          <w:lang w:val="sq-AL"/>
        </w:rPr>
        <w:t>nr. 84/2016 – “Ligji i Rivlerësimit/</w:t>
      </w:r>
      <w:r w:rsidRPr="006A1F4E">
        <w:rPr>
          <w:rFonts w:ascii="Garamond" w:hAnsi="Garamond" w:cs="Times New Roman"/>
          <w:i/>
          <w:iCs/>
          <w:color w:val="000000"/>
          <w:sz w:val="24"/>
          <w:szCs w:val="24"/>
          <w:lang w:val="sq-AL"/>
        </w:rPr>
        <w:t>Vetting-</w:t>
      </w:r>
      <w:r w:rsidRPr="00871CBC">
        <w:rPr>
          <w:rFonts w:ascii="Garamond" w:hAnsi="Garamond" w:cs="Times New Roman"/>
          <w:color w:val="000000"/>
          <w:sz w:val="24"/>
          <w:szCs w:val="24"/>
          <w:lang w:val="sq-AL"/>
        </w:rPr>
        <w:t>ut”),</w:t>
      </w:r>
      <w:r w:rsidRPr="006A1F4E">
        <w:rPr>
          <w:rFonts w:ascii="Garamond" w:hAnsi="Garamond" w:cs="Times New Roman"/>
          <w:color w:val="000000"/>
          <w:sz w:val="24"/>
          <w:szCs w:val="24"/>
          <w:lang w:val="sq-AL"/>
        </w:rPr>
        <w:t xml:space="preserve"> i cili hyri në fuqi më 8 </w:t>
      </w:r>
      <w:r w:rsidR="00871CBC"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2016. Neni 179/b i Kushtetutës parashikon rivlerësimin e të gjithë gjyqtarëve dhe prokurorëve në detyrë, që bëhet një herë, me qëllim garantimin e funksionimit të shtetit të së drejtës, pavarësisë së sistemit gjyqësor dhe rikthimit të besimit të publikut në institucionet e atij sistemi. Rivlerësimi bëhet nga Komisioni i Pavarur i Kualifikimit (“KPK”) në shkallë të parë, dhe Kolegji i Posaçëm i Apelimit (“KPA”), si një kolegj i veçantë pranë Gjykatës Kushtetuese, në apel. Rivlerësimi konsiston në vlerësimin e pasurisë, në kontro</w:t>
      </w:r>
      <w:r w:rsidR="00871CBC">
        <w:rPr>
          <w:rFonts w:ascii="Garamond" w:hAnsi="Garamond" w:cs="Times New Roman"/>
          <w:color w:val="000000"/>
          <w:sz w:val="24"/>
          <w:szCs w:val="24"/>
          <w:lang w:val="sq-AL"/>
        </w:rPr>
        <w:t>llin e figurës dhe integritetit,</w:t>
      </w:r>
      <w:r w:rsidRPr="006A1F4E">
        <w:rPr>
          <w:rFonts w:ascii="Garamond" w:hAnsi="Garamond" w:cs="Times New Roman"/>
          <w:color w:val="000000"/>
          <w:sz w:val="24"/>
          <w:szCs w:val="24"/>
          <w:lang w:val="sq-AL"/>
        </w:rPr>
        <w:t xml:space="preserve"> dhe në vlerësimin e kompetencës profesionale (shih </w:t>
      </w:r>
      <w:r w:rsidR="005F5384"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Ç § 1 të Aneksit të Kushtetutës, dhe nenin 4(1) të Ligjit të Rivlerësimit). Vendimi për vlerësimin mbështetet vetëm në njërin ose në disa prej këtyre komponentëve, ose në një vlerësim të përgjithshëm të të tre komponentëve dhe në një vlerësim të përgjithshëm të procesit (neni 4(2) i Ligjit të Rivlerësimit). </w:t>
      </w:r>
    </w:p>
    <w:p w14:paraId="3A872CAC" w14:textId="2389FD9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37. Kuadri dhe praktika ligjore përkatëse, në lidhje me procesin e rivlerësimit/</w:t>
      </w:r>
      <w:r w:rsidRPr="006A1F4E">
        <w:rPr>
          <w:rFonts w:ascii="Garamond" w:hAnsi="Garamond" w:cs="Times New Roman"/>
          <w:i/>
          <w:iCs/>
          <w:color w:val="000000"/>
          <w:sz w:val="24"/>
          <w:szCs w:val="24"/>
          <w:lang w:val="sq-AL"/>
        </w:rPr>
        <w:t>vetting</w:t>
      </w:r>
      <w:r w:rsidRPr="005F5384">
        <w:rPr>
          <w:rFonts w:ascii="Garamond" w:hAnsi="Garamond" w:cs="Times New Roman"/>
          <w:color w:val="000000"/>
          <w:sz w:val="24"/>
          <w:szCs w:val="24"/>
          <w:lang w:val="sq-AL"/>
        </w:rPr>
        <w:t>-ut</w:t>
      </w:r>
      <w:r w:rsidRPr="006A1F4E">
        <w:rPr>
          <w:rFonts w:ascii="Garamond" w:hAnsi="Garamond" w:cs="Times New Roman"/>
          <w:color w:val="000000"/>
          <w:sz w:val="24"/>
          <w:szCs w:val="24"/>
          <w:lang w:val="sq-AL"/>
        </w:rPr>
        <w:t xml:space="preserve"> të prezantuar në Shqipëri në vitin 2016, përmblidhen në vendimin për çështjen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93</w:t>
      </w:r>
      <w:r w:rsidR="00AF738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226). Parashikimet dhe praktika referuar çështjes konkrete janë</w:t>
      </w:r>
      <w:r w:rsidR="00C775E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më poshtë. </w:t>
      </w:r>
    </w:p>
    <w:p w14:paraId="451AA95F" w14:textId="56AF3588"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b/>
          <w:bCs/>
          <w:color w:val="000000"/>
          <w:sz w:val="24"/>
          <w:szCs w:val="24"/>
          <w:lang w:val="sq-AL"/>
        </w:rPr>
        <w:t xml:space="preserve">B. Parashikimet për vlerësimin e pasurive </w:t>
      </w:r>
    </w:p>
    <w:p w14:paraId="002B45E8" w14:textId="5C766DB5"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38. Neni D i Aneksit të Kushtetutës, i cili rregullon vlerësimin e pasurive, parashikon si më poshtë: </w:t>
      </w:r>
    </w:p>
    <w:p w14:paraId="166F46FB" w14:textId="77777777" w:rsidR="00C0711E" w:rsidRDefault="00C0711E" w:rsidP="00C0711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Neni D – Vlerësimi i pasurive</w:t>
      </w:r>
    </w:p>
    <w:p w14:paraId="7FD1B735" w14:textId="77777777" w:rsidR="00C775EC" w:rsidRPr="006A1F4E" w:rsidRDefault="00C775EC" w:rsidP="00C0711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602C130"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 Subjektet e rivlerësimit i nënshtrohen deklarimit dhe kontrollit të pasurive të tyre, me qëllim që të identifikohen ata që kanë në pronësi ose në përdorim pasuri më të mëdha nga sa mund të justifikohen ligjërisht, ose ata që nuk i kanë deklaruar saktësisht dhe plotësisht pasuritë e tyre dhe të personave të lidhur. </w:t>
      </w:r>
    </w:p>
    <w:p w14:paraId="6B9E7A64"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 Subjekti i rivlerësimit dorëzon një deklaratë të re dhe të detajuar të pasurisë në përputhje me ligjin. Inspektorati i Lartë i Deklarimit dhe Kontrollit të Pasurive dhe Konfliktit të Interesave kontrollon deklaratën e pasurisë dhe i dorëzon Komisionit një raport për ligjshmërinë e pasurive, për saktësinë dhe plotësinë e deklarimit, sipas ligjit. </w:t>
      </w:r>
    </w:p>
    <w:p w14:paraId="2030D4CB" w14:textId="2701540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3. Subjekti i rivlerësimit duhet të shpjegojë bindshëm burimin e ligjshëm të pasurive dhe të të ardhurave. Pasuri të ligjshme</w:t>
      </w:r>
      <w:r w:rsidR="00C7774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qëllimet e këtij ligji konsiderohen të ardhurat që janë deklaruar dhe për të cilat janë paguar detyrimet tatimore. Elemente të tjera të pasurisë së ligjshme përcaktohen me ligj. </w:t>
      </w:r>
    </w:p>
    <w:p w14:paraId="64053BE5"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 Nëse subjekti i rivlerësimit ka një pasuri më të madhe se dyfishi i pasurisë së ligjshme, ai prezumohet fajtor për shkeljen disiplinore, përveçse kur ai paraqet prova që vërtetojnë të kundërtën. </w:t>
      </w:r>
    </w:p>
    <w:p w14:paraId="6A6FDAB3" w14:textId="290A6D54"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5. Nëse subjekti i rivlerësimit nuk e dorëzon deklaratën e pasurisë në kohë sipas ligjit, ai shkarkohet nga detyra. Nëse subjekti i rivlerësimit përpiqet të fshehë ose të paraqesë në mënyrë të pasaktë pasuritë në pronësi, posedim ose në përdorim të tij, zbatohet parimi i prezumimit në favor të masës disiplinore të shkarkimit dhe subjekti ka detyrimin të provojë të kundërtën</w:t>
      </w:r>
      <w:r w:rsidR="00C7774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w:t>
      </w:r>
    </w:p>
    <w:p w14:paraId="29568BA4" w14:textId="461E7455"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39. Neni 3 i Ligjit të Rivlerësimit/</w:t>
      </w:r>
      <w:r w:rsidRPr="006A1F4E">
        <w:rPr>
          <w:rFonts w:ascii="Garamond" w:hAnsi="Garamond" w:cs="Times New Roman"/>
          <w:i/>
          <w:iCs/>
          <w:color w:val="000000"/>
          <w:sz w:val="24"/>
          <w:szCs w:val="24"/>
          <w:lang w:val="sq-AL"/>
        </w:rPr>
        <w:t>Vetting</w:t>
      </w:r>
      <w:r w:rsidRPr="00822ED2">
        <w:rPr>
          <w:rFonts w:ascii="Garamond" w:hAnsi="Garamond" w:cs="Times New Roman"/>
          <w:color w:val="000000"/>
          <w:sz w:val="24"/>
          <w:szCs w:val="24"/>
          <w:lang w:val="sq-AL"/>
        </w:rPr>
        <w:t>-ut</w:t>
      </w:r>
      <w:r w:rsidRPr="006A1F4E">
        <w:rPr>
          <w:rFonts w:ascii="Garamond" w:hAnsi="Garamond" w:cs="Times New Roman"/>
          <w:color w:val="000000"/>
          <w:sz w:val="24"/>
          <w:szCs w:val="24"/>
          <w:lang w:val="sq-AL"/>
        </w:rPr>
        <w:t xml:space="preserve"> përmban përkufizimin e mëposhtëm për termin “persona të lidhur”: </w:t>
      </w:r>
    </w:p>
    <w:p w14:paraId="0F767019" w14:textId="23F92FDD" w:rsidR="00C0711E" w:rsidRPr="006A1F4E" w:rsidRDefault="00DF440D" w:rsidP="003401C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r w:rsidR="00C0711E" w:rsidRPr="006A1F4E">
        <w:rPr>
          <w:rFonts w:ascii="Garamond" w:hAnsi="Garamond" w:cs="Times New Roman"/>
          <w:color w:val="000000"/>
          <w:sz w:val="24"/>
          <w:szCs w:val="24"/>
          <w:lang w:val="sq-AL"/>
        </w:rPr>
        <w:t>13</w:t>
      </w:r>
      <w:r>
        <w:rPr>
          <w:rFonts w:ascii="Garamond" w:hAnsi="Garamond" w:cs="Times New Roman"/>
          <w:color w:val="000000"/>
          <w:sz w:val="24"/>
          <w:szCs w:val="24"/>
          <w:lang w:val="sq-AL"/>
        </w:rPr>
        <w:t>.</w:t>
      </w:r>
      <w:r w:rsidR="00C0711E" w:rsidRPr="006A1F4E">
        <w:rPr>
          <w:rFonts w:ascii="Garamond" w:hAnsi="Garamond" w:cs="Times New Roman"/>
          <w:color w:val="000000"/>
          <w:sz w:val="24"/>
          <w:szCs w:val="24"/>
          <w:lang w:val="sq-AL"/>
        </w:rPr>
        <w:t xml:space="preserve"> “Person i lidhur” është rrethi i personave që kanë marrëdhënie me subjektin e rivlerësimit, komisionerin, gjyqtarin dhe komisionerin publik, i përbërë nga bashkëshorti/ja, bashkëjetuesi/ja, fëmijët madhorë, si dhe çdo person tjetër të përmendur në certifikatën familjare të lëshuar nga zyra e gjendjes civile për subjektin e rivlerësimit, komisionerët, gjyqtarët dhe komisionerët publikë për periudhën e rivlerësimit</w:t>
      </w:r>
      <w:r w:rsidR="003401CA">
        <w:rPr>
          <w:rFonts w:ascii="Garamond" w:hAnsi="Garamond" w:cs="Times New Roman"/>
          <w:color w:val="000000"/>
          <w:sz w:val="24"/>
          <w:szCs w:val="24"/>
          <w:lang w:val="sq-AL"/>
        </w:rPr>
        <w:t>...</w:t>
      </w:r>
      <w:r w:rsidR="00C0711E" w:rsidRPr="006A1F4E">
        <w:rPr>
          <w:rFonts w:ascii="Garamond" w:hAnsi="Garamond" w:cs="Times New Roman"/>
          <w:color w:val="000000"/>
          <w:sz w:val="24"/>
          <w:szCs w:val="24"/>
          <w:lang w:val="sq-AL"/>
        </w:rPr>
        <w:t>”</w:t>
      </w:r>
    </w:p>
    <w:p w14:paraId="0484E755" w14:textId="48EC7B3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40. Pjesa përkatëse për procedurën e rivlerësimit, në nenin 33 të </w:t>
      </w:r>
      <w:r w:rsidR="003401CA" w:rsidRPr="006A1F4E">
        <w:rPr>
          <w:rFonts w:ascii="Garamond" w:hAnsi="Garamond" w:cs="Times New Roman"/>
          <w:color w:val="000000"/>
          <w:sz w:val="24"/>
          <w:szCs w:val="24"/>
          <w:lang w:val="sq-AL"/>
        </w:rPr>
        <w:t xml:space="preserve">ligjit </w:t>
      </w:r>
      <w:r w:rsidRPr="006A1F4E">
        <w:rPr>
          <w:rFonts w:ascii="Garamond" w:hAnsi="Garamond" w:cs="Times New Roman"/>
          <w:color w:val="000000"/>
          <w:sz w:val="24"/>
          <w:szCs w:val="24"/>
          <w:lang w:val="sq-AL"/>
        </w:rPr>
        <w:t xml:space="preserve">të </w:t>
      </w:r>
      <w:r w:rsidR="000F68BB" w:rsidRPr="006A1F4E">
        <w:rPr>
          <w:rFonts w:ascii="Garamond" w:hAnsi="Garamond" w:cs="Times New Roman"/>
          <w:i/>
          <w:iCs/>
          <w:color w:val="000000"/>
          <w:sz w:val="24"/>
          <w:szCs w:val="24"/>
          <w:lang w:val="sq-AL"/>
        </w:rPr>
        <w:t>vetting</w:t>
      </w:r>
      <w:r w:rsidRPr="003401CA">
        <w:rPr>
          <w:rFonts w:ascii="Garamond" w:hAnsi="Garamond" w:cs="Times New Roman"/>
          <w:color w:val="000000"/>
          <w:sz w:val="24"/>
          <w:szCs w:val="24"/>
          <w:lang w:val="sq-AL"/>
        </w:rPr>
        <w:t>-ut,</w:t>
      </w:r>
      <w:r w:rsidRPr="006A1F4E">
        <w:rPr>
          <w:rFonts w:ascii="Garamond" w:hAnsi="Garamond" w:cs="Times New Roman"/>
          <w:color w:val="000000"/>
          <w:sz w:val="24"/>
          <w:szCs w:val="24"/>
          <w:lang w:val="sq-AL"/>
        </w:rPr>
        <w:t xml:space="preserve"> parashikon si më poshtë: </w:t>
      </w:r>
    </w:p>
    <w:p w14:paraId="40046AE6"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 Në përfundimin të kontrollit, Inspektori i Përgjithshëm i ILDKPKI-së përgatit një raport të hollësishëm dhe të arsyetuar, sipas rastit, konstaton se: </w:t>
      </w:r>
    </w:p>
    <w:p w14:paraId="1F28030D"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a) deklarimi është i saktë në përputhje me ligjin, me burimet e ligjshme financiare dhe që nuk gjendet në situatë konflikti interesi; </w:t>
      </w:r>
    </w:p>
    <w:p w14:paraId="5E3B2AB1"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b) ka mungesë të burimeve financiare të ligjshme për të justifikuar pasuritë; </w:t>
      </w:r>
    </w:p>
    <w:p w14:paraId="533DF7EB"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c) është kryer fshehje e pasurisë; </w:t>
      </w:r>
    </w:p>
    <w:p w14:paraId="0429AD3D"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ç) është kryer deklarim i rremë; </w:t>
      </w:r>
    </w:p>
    <w:p w14:paraId="4C7BAE5E" w14:textId="11A42B97" w:rsidR="00C0711E" w:rsidRPr="006A1F4E" w:rsidRDefault="00C0711E" w:rsidP="003401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d) subjekti [personi i rivlerësuar]</w:t>
      </w:r>
      <w:r w:rsidR="003401CA">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gjendet në situatën e konfliktit të interesit.”</w:t>
      </w:r>
      <w:r w:rsidR="00256BAD">
        <w:rPr>
          <w:rFonts w:ascii="Garamond" w:hAnsi="Garamond" w:cs="Times New Roman"/>
          <w:color w:val="000000"/>
          <w:sz w:val="24"/>
          <w:szCs w:val="24"/>
          <w:lang w:val="sq-AL"/>
        </w:rPr>
        <w:t>.</w:t>
      </w:r>
    </w:p>
    <w:p w14:paraId="253D4799" w14:textId="4AE8620B"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C. Sanksionet disiplinore </w:t>
      </w:r>
    </w:p>
    <w:p w14:paraId="35F53B89" w14:textId="3374111E"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41. Neni Ë § 1 i Aneksit të Kushtetutës, dhe nenet 58 dhe 66 të Ligjit të Rivlerësimit parashikojnë</w:t>
      </w:r>
      <w:r w:rsidR="00256BAD">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se në përfundim të procesit, organet e </w:t>
      </w:r>
      <w:r w:rsidRPr="006A1F4E">
        <w:rPr>
          <w:rFonts w:ascii="Garamond" w:hAnsi="Garamond" w:cs="Times New Roman"/>
          <w:i/>
          <w:iCs/>
          <w:color w:val="000000"/>
          <w:sz w:val="24"/>
          <w:szCs w:val="24"/>
          <w:lang w:val="sq-AL"/>
        </w:rPr>
        <w:t>vetting</w:t>
      </w:r>
      <w:r w:rsidRPr="00256BAD">
        <w:rPr>
          <w:rFonts w:ascii="Garamond" w:hAnsi="Garamond" w:cs="Times New Roman"/>
          <w:color w:val="000000"/>
          <w:sz w:val="24"/>
          <w:szCs w:val="24"/>
          <w:lang w:val="sq-AL"/>
        </w:rPr>
        <w:t>-ut</w:t>
      </w:r>
      <w:r w:rsidRPr="006A1F4E">
        <w:rPr>
          <w:rFonts w:ascii="Garamond" w:hAnsi="Garamond" w:cs="Times New Roman"/>
          <w:color w:val="000000"/>
          <w:sz w:val="24"/>
          <w:szCs w:val="24"/>
          <w:lang w:val="sq-AL"/>
        </w:rPr>
        <w:t xml:space="preserve"> mund ta konfirmojnë n</w:t>
      </w:r>
      <w:r w:rsidR="00256BAD">
        <w:rPr>
          <w:rFonts w:ascii="Garamond" w:hAnsi="Garamond" w:cs="Times New Roman"/>
          <w:color w:val="000000"/>
          <w:sz w:val="24"/>
          <w:szCs w:val="24"/>
          <w:lang w:val="sq-AL"/>
        </w:rPr>
        <w:t>ë detyrë personin e rivlerësuar</w:t>
      </w:r>
      <w:r w:rsidRPr="006A1F4E">
        <w:rPr>
          <w:rFonts w:ascii="Garamond" w:hAnsi="Garamond" w:cs="Times New Roman"/>
          <w:color w:val="000000"/>
          <w:sz w:val="24"/>
          <w:szCs w:val="24"/>
          <w:lang w:val="sq-AL"/>
        </w:rPr>
        <w:t xml:space="preserve"> ose të vendosin njërin prej sanksioneve të mëposhtme disiplinore: pezullim nga detyra për një vit shoqëruar me detyrimin për të ndjekur një program trajnimi të organizuar nga Shkolla e Magjistraturës, ose shkarkim nga detyra. </w:t>
      </w:r>
    </w:p>
    <w:p w14:paraId="1BF9B8C9" w14:textId="77C43711"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42. Sipas </w:t>
      </w:r>
      <w:r w:rsidR="0073088C"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61 të Ligjit të Rivlerësimit, shkarkimi nga detyra mund të urdhërohet nëse rezulton</w:t>
      </w:r>
      <w:r w:rsidR="0015567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se: </w:t>
      </w:r>
    </w:p>
    <w:p w14:paraId="70E8FA20" w14:textId="2EB1B4B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 </w:t>
      </w:r>
      <w:r w:rsidR="00155678" w:rsidRPr="006A1F4E">
        <w:rPr>
          <w:rFonts w:ascii="Garamond" w:hAnsi="Garamond" w:cs="Times New Roman"/>
          <w:color w:val="000000"/>
          <w:sz w:val="24"/>
          <w:szCs w:val="24"/>
          <w:lang w:val="sq-AL"/>
        </w:rPr>
        <w:t xml:space="preserve">Subjekti </w:t>
      </w:r>
      <w:r w:rsidRPr="006A1F4E">
        <w:rPr>
          <w:rFonts w:ascii="Garamond" w:hAnsi="Garamond" w:cs="Times New Roman"/>
          <w:color w:val="000000"/>
          <w:sz w:val="24"/>
          <w:szCs w:val="24"/>
          <w:lang w:val="sq-AL"/>
        </w:rPr>
        <w:t xml:space="preserve">i rivlerësimit ka deklaruar më shumë se dyfishi i pasurisë së ligjshme gjatë vlerësimit të pasurisë, përfshirë edhe personat e lidhur me të. </w:t>
      </w:r>
    </w:p>
    <w:p w14:paraId="3FEADADE" w14:textId="131153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 </w:t>
      </w:r>
      <w:r w:rsidR="00155678" w:rsidRPr="006A1F4E">
        <w:rPr>
          <w:rFonts w:ascii="Garamond" w:hAnsi="Garamond" w:cs="Times New Roman"/>
          <w:color w:val="000000"/>
          <w:sz w:val="24"/>
          <w:szCs w:val="24"/>
          <w:lang w:val="sq-AL"/>
        </w:rPr>
        <w:t xml:space="preserve">Ka </w:t>
      </w:r>
      <w:r w:rsidRPr="006A1F4E">
        <w:rPr>
          <w:rFonts w:ascii="Garamond" w:hAnsi="Garamond" w:cs="Times New Roman"/>
          <w:color w:val="000000"/>
          <w:sz w:val="24"/>
          <w:szCs w:val="24"/>
          <w:lang w:val="sq-AL"/>
        </w:rPr>
        <w:t xml:space="preserve">probleme serioze gjatë kontrollit të figurës, sepse subjekti i rivlerësimit ka kontakte të papërshtatshme me personat e përfshirë në krimin e organizuar që bën të pamundur vazhdimin e detyrës. </w:t>
      </w:r>
    </w:p>
    <w:p w14:paraId="0A894A26" w14:textId="2FC3283C"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 </w:t>
      </w:r>
      <w:r w:rsidR="00155678" w:rsidRPr="006A1F4E">
        <w:rPr>
          <w:rFonts w:ascii="Garamond" w:hAnsi="Garamond" w:cs="Times New Roman"/>
          <w:color w:val="000000"/>
          <w:sz w:val="24"/>
          <w:szCs w:val="24"/>
          <w:lang w:val="sq-AL"/>
        </w:rPr>
        <w:t xml:space="preserve">Subjekti </w:t>
      </w:r>
      <w:r w:rsidRPr="006A1F4E">
        <w:rPr>
          <w:rFonts w:ascii="Garamond" w:hAnsi="Garamond" w:cs="Times New Roman"/>
          <w:color w:val="000000"/>
          <w:sz w:val="24"/>
          <w:szCs w:val="24"/>
          <w:lang w:val="sq-AL"/>
        </w:rPr>
        <w:t xml:space="preserve">i rivlerësimit ka bërë deklarim të pamjaftueshëm për kriterin e kontrollit të figurës dhe pasurisë, sipas parashikimeve të neneve 39 dhe 33 të këtij ligji. </w:t>
      </w:r>
    </w:p>
    <w:p w14:paraId="0242D191" w14:textId="782BB65F"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 </w:t>
      </w:r>
      <w:r w:rsidR="00155678" w:rsidRPr="006A1F4E">
        <w:rPr>
          <w:rFonts w:ascii="Garamond" w:hAnsi="Garamond" w:cs="Times New Roman"/>
          <w:color w:val="000000"/>
          <w:sz w:val="24"/>
          <w:szCs w:val="24"/>
          <w:lang w:val="sq-AL"/>
        </w:rPr>
        <w:t xml:space="preserve">Kur </w:t>
      </w:r>
      <w:r w:rsidRPr="006A1F4E">
        <w:rPr>
          <w:rFonts w:ascii="Garamond" w:hAnsi="Garamond" w:cs="Times New Roman"/>
          <w:color w:val="000000"/>
          <w:sz w:val="24"/>
          <w:szCs w:val="24"/>
          <w:lang w:val="sq-AL"/>
        </w:rPr>
        <w:t xml:space="preserve">rezulton se subjekti i rivlerësimit është i papërshtatshëm nga aspekti </w:t>
      </w:r>
      <w:r w:rsidR="0073088C" w:rsidRPr="006A1F4E">
        <w:rPr>
          <w:rFonts w:ascii="Garamond" w:hAnsi="Garamond" w:cs="Times New Roman"/>
          <w:color w:val="000000"/>
          <w:sz w:val="24"/>
          <w:szCs w:val="24"/>
          <w:lang w:val="sq-AL"/>
        </w:rPr>
        <w:t>profesional</w:t>
      </w:r>
      <w:r w:rsidRPr="006A1F4E">
        <w:rPr>
          <w:rFonts w:ascii="Garamond" w:hAnsi="Garamond" w:cs="Times New Roman"/>
          <w:color w:val="000000"/>
          <w:sz w:val="24"/>
          <w:szCs w:val="24"/>
          <w:lang w:val="sq-AL"/>
        </w:rPr>
        <w:t>, për sa ka të bëjë me vlerësimin e kompetencës profesionale</w:t>
      </w:r>
      <w:r w:rsidR="0015567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w:t>
      </w:r>
    </w:p>
    <w:p w14:paraId="1C1EDF2E" w14:textId="7B4744EA" w:rsidR="00C0711E" w:rsidRPr="006A1F4E" w:rsidRDefault="00C0711E" w:rsidP="0073088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 </w:t>
      </w:r>
      <w:r w:rsidR="00155678" w:rsidRPr="006A1F4E">
        <w:rPr>
          <w:rFonts w:ascii="Garamond" w:hAnsi="Garamond" w:cs="Times New Roman"/>
          <w:color w:val="000000"/>
          <w:sz w:val="24"/>
          <w:szCs w:val="24"/>
          <w:lang w:val="sq-AL"/>
        </w:rPr>
        <w:t xml:space="preserve">Në </w:t>
      </w:r>
      <w:r w:rsidRPr="006A1F4E">
        <w:rPr>
          <w:rFonts w:ascii="Garamond" w:hAnsi="Garamond" w:cs="Times New Roman"/>
          <w:color w:val="000000"/>
          <w:sz w:val="24"/>
          <w:szCs w:val="24"/>
          <w:lang w:val="sq-AL"/>
        </w:rPr>
        <w:t xml:space="preserve">rast se nga vlerësimi tërësor, në kuptim të nenit 4(2) </w:t>
      </w:r>
      <w:r w:rsidR="007308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rezulton se subjekti i rivlerësimit ka cenuar besimin e publikut te sistemi i drejtësisë dhe ndodhet në kushtet e pamundësisë për plotësimin e mangësive nëpërmjet programit të trajnimit.”</w:t>
      </w:r>
      <w:r w:rsidR="0073088C">
        <w:rPr>
          <w:rFonts w:ascii="Garamond" w:hAnsi="Garamond" w:cs="Times New Roman"/>
          <w:color w:val="000000"/>
          <w:sz w:val="24"/>
          <w:szCs w:val="24"/>
          <w:lang w:val="sq-AL"/>
        </w:rPr>
        <w:t>.</w:t>
      </w:r>
    </w:p>
    <w:p w14:paraId="1E8799BA" w14:textId="55DF8744" w:rsidR="00C0711E" w:rsidRPr="006A1F4E" w:rsidRDefault="00C0711E" w:rsidP="00C0711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D. Parashikimet dhe praktika në lidhje me kundërshtimet për përbërjen e KPA</w:t>
      </w:r>
      <w:r w:rsidR="00155678">
        <w:rPr>
          <w:rFonts w:ascii="Garamond" w:hAnsi="Garamond" w:cs="Times New Roman"/>
          <w:b/>
          <w:bCs/>
          <w:color w:val="000000"/>
          <w:sz w:val="24"/>
          <w:szCs w:val="24"/>
          <w:lang w:val="sq-AL"/>
        </w:rPr>
        <w:t>-së</w:t>
      </w:r>
    </w:p>
    <w:p w14:paraId="3AEA5BF2" w14:textId="5494E04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43. Në lidhje me garancitë për paanshmëri, pjesët përkatëse të nenit 27 të Ligjit të Rivlerësimit parashikojnë</w:t>
      </w:r>
      <w:r w:rsidR="005D2DC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më poshtë: </w:t>
      </w:r>
    </w:p>
    <w:p w14:paraId="7040D3A6"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 Anëtari i institucioneve të rivlerësimit deklaron dhe shmang çdo situatë konflikti interesi, në respektim të ligjit “Mbi parandalimin e konfliktit të interesit”. Çdo vendim i marrë në një situatë konflikti interesi, përveç pasojave ligjore në procesin e vendimmarrjes, përbën shkelje disiplinore, sipas këtij ligji. </w:t>
      </w:r>
    </w:p>
    <w:p w14:paraId="7FC73AE3"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 Në rast se anëtari i institucioneve të rivlerësimit nuk mund të shqyrtojë një çështje që i është caktuar për shkaqet e përmendura në nenin 30 të Kodit të Procedurave Administrative ose të ligjit “Mbi parandalimin e konfliktit të interesit në ushtrimin e funksioneve publike”, ai njofton me shkrim menjëherë trupin gjykues. Përjashtimi i komisionerit, gjyqtarit ose Komisionerit Publik nga shqyrtimi i çështjes vendoset nga një tjetër trup gjykues që caktohet me short.</w:t>
      </w:r>
    </w:p>
    <w:p w14:paraId="26115B5D" w14:textId="6E6CBD09"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w:t>
      </w:r>
      <w:r w:rsidR="005D2DC3">
        <w:rPr>
          <w:rFonts w:ascii="Garamond" w:hAnsi="Garamond" w:cs="Times New Roman"/>
          <w:color w:val="000000"/>
          <w:sz w:val="24"/>
          <w:szCs w:val="24"/>
          <w:lang w:val="sq-AL"/>
        </w:rPr>
        <w:t>.</w:t>
      </w:r>
    </w:p>
    <w:p w14:paraId="02EA8D51" w14:textId="3B8C4D6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44. Në mbështetje të praktikës së Gjykatës Kushtetuese në lidhje me ankesat për mosrespektim të kritereve statutore të përzgjedhshmërisë nga ana e anëtarëve të organeve të </w:t>
      </w:r>
      <w:r w:rsidRPr="006A1F4E">
        <w:rPr>
          <w:rFonts w:ascii="Garamond" w:hAnsi="Garamond" w:cs="Times New Roman"/>
          <w:i/>
          <w:iCs/>
          <w:color w:val="000000"/>
          <w:sz w:val="24"/>
          <w:szCs w:val="24"/>
          <w:lang w:val="sq-AL"/>
        </w:rPr>
        <w:t>vetting-</w:t>
      </w:r>
      <w:r w:rsidRPr="00507498">
        <w:rPr>
          <w:rFonts w:ascii="Garamond" w:hAnsi="Garamond" w:cs="Times New Roman"/>
          <w:color w:val="000000"/>
          <w:sz w:val="24"/>
          <w:szCs w:val="24"/>
          <w:lang w:val="sq-AL"/>
        </w:rPr>
        <w:t>ut</w:t>
      </w:r>
      <w:r w:rsidRPr="006A1F4E">
        <w:rPr>
          <w:rFonts w:ascii="Garamond" w:hAnsi="Garamond" w:cs="Times New Roman"/>
          <w:color w:val="000000"/>
          <w:sz w:val="24"/>
          <w:szCs w:val="24"/>
          <w:lang w:val="sq-AL"/>
        </w:rPr>
        <w:t xml:space="preserve">, më 20 </w:t>
      </w:r>
      <w:r w:rsidR="00507498" w:rsidRPr="006A1F4E">
        <w:rPr>
          <w:rFonts w:ascii="Garamond" w:hAnsi="Garamond" w:cs="Times New Roman"/>
          <w:color w:val="000000"/>
          <w:sz w:val="24"/>
          <w:szCs w:val="24"/>
          <w:lang w:val="sq-AL"/>
        </w:rPr>
        <w:t xml:space="preserve">prill </w:t>
      </w:r>
      <w:r w:rsidRPr="006A1F4E">
        <w:rPr>
          <w:rFonts w:ascii="Garamond" w:hAnsi="Garamond" w:cs="Times New Roman"/>
          <w:color w:val="000000"/>
          <w:sz w:val="24"/>
          <w:szCs w:val="24"/>
          <w:lang w:val="sq-AL"/>
        </w:rPr>
        <w:t xml:space="preserve">2020, kjo gjykatë rrëzoi si të papranueshme ankesën e paraqitur nga </w:t>
      </w:r>
      <w:r w:rsidR="00507498" w:rsidRPr="006A1F4E">
        <w:rPr>
          <w:rFonts w:ascii="Garamond" w:hAnsi="Garamond" w:cs="Times New Roman"/>
          <w:color w:val="000000"/>
          <w:sz w:val="24"/>
          <w:szCs w:val="24"/>
          <w:lang w:val="sq-AL"/>
        </w:rPr>
        <w:t>z</w:t>
      </w:r>
      <w:r w:rsidRPr="006A1F4E">
        <w:rPr>
          <w:rFonts w:ascii="Garamond" w:hAnsi="Garamond" w:cs="Times New Roman"/>
          <w:color w:val="000000"/>
          <w:sz w:val="24"/>
          <w:szCs w:val="24"/>
          <w:lang w:val="sq-AL"/>
        </w:rPr>
        <w:t>. B. Cani (shih paragrafin 34 më sipër)</w:t>
      </w:r>
      <w:r w:rsidR="0050749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i cili kërkonte që vendimi i Parlamentit për emërimin e L.D. në KPA të deklarohej jokushtetues. </w:t>
      </w:r>
    </w:p>
    <w:p w14:paraId="7B3BFB98" w14:textId="6448AD2A"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45. Për sa ka të bëjë me ankesën e </w:t>
      </w:r>
      <w:r w:rsidR="00507498" w:rsidRPr="006A1F4E">
        <w:rPr>
          <w:rFonts w:ascii="Garamond" w:hAnsi="Garamond" w:cs="Times New Roman"/>
          <w:color w:val="000000"/>
          <w:sz w:val="24"/>
          <w:szCs w:val="24"/>
          <w:lang w:val="sq-AL"/>
        </w:rPr>
        <w:t>z</w:t>
      </w:r>
      <w:r w:rsidRPr="006A1F4E">
        <w:rPr>
          <w:rFonts w:ascii="Garamond" w:hAnsi="Garamond" w:cs="Times New Roman"/>
          <w:color w:val="000000"/>
          <w:sz w:val="24"/>
          <w:szCs w:val="24"/>
          <w:lang w:val="sq-AL"/>
        </w:rPr>
        <w:t xml:space="preserve">. Cani bërë në mbështetje të </w:t>
      </w:r>
      <w:r w:rsidR="00507498"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131 § 1 (f) të Kushtetutës, me argumentin se emërimi i L.D. në KPA në shkelje me ligjin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kishte shkelur të drejtën e tij individuale për një “gjykatë të krijuar nga ligji” gjatë procesit të rivlerësimit, Gjykata Kushtetuese e rrëzoi këtë ankesë</w:t>
      </w:r>
      <w:r w:rsidR="0050749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duke arsyetuar si më poshtë: </w:t>
      </w:r>
    </w:p>
    <w:p w14:paraId="16FBC652" w14:textId="3B91233C" w:rsidR="00C0711E" w:rsidRPr="006A1F4E" w:rsidRDefault="00C0711E" w:rsidP="00F16BC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Calibri"/>
          <w:color w:val="000000"/>
          <w:sz w:val="24"/>
          <w:szCs w:val="24"/>
          <w:lang w:val="sq-AL"/>
        </w:rPr>
        <w:t>“</w:t>
      </w:r>
      <w:r w:rsidRPr="006A1F4E">
        <w:rPr>
          <w:rFonts w:ascii="Garamond" w:hAnsi="Garamond" w:cs="Times New Roman"/>
          <w:color w:val="000000"/>
          <w:sz w:val="24"/>
          <w:szCs w:val="24"/>
          <w:lang w:val="sq-AL"/>
        </w:rPr>
        <w:t xml:space="preserve">20. Në çështjen konkrete, Kolegji [i Gjykatës Kushtetuese] vëren se ankuesi pretendon të jetë cenuar e drejta e tij për një gjykim të drejtë për shkak të një veprimi të ndërmarrë nga një autoritet publik përpara përfundimit të procedurave në KPA, dhe, për pasojë nuk ngre asnjë pretendim kundër rezultatit përfundimtar të procesit [të </w:t>
      </w:r>
      <w:r w:rsidRPr="006A1F4E">
        <w:rPr>
          <w:rFonts w:ascii="Garamond" w:hAnsi="Garamond" w:cs="Times New Roman"/>
          <w:i/>
          <w:iCs/>
          <w:color w:val="000000"/>
          <w:sz w:val="24"/>
          <w:szCs w:val="24"/>
          <w:lang w:val="sq-AL"/>
        </w:rPr>
        <w:t>vetting</w:t>
      </w:r>
      <w:r w:rsidRPr="006A1F4E">
        <w:rPr>
          <w:rFonts w:ascii="Garamond" w:hAnsi="Garamond" w:cs="Times New Roman"/>
          <w:color w:val="000000"/>
          <w:sz w:val="24"/>
          <w:szCs w:val="24"/>
          <w:lang w:val="sq-AL"/>
        </w:rPr>
        <w:t>-ut]. Ai ka kundërshtuar</w:t>
      </w:r>
      <w:r w:rsidR="00F16BC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emërimin [e L.D. në KPA] dhe [ka kërkuar] pavlefshmërinë e pjesshme të vendimit të Parlamentit që caktonte L.D. si anëtar të KPA-së. </w:t>
      </w:r>
    </w:p>
    <w:p w14:paraId="4F0E4774"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21. Gjykata Kushtetuese ka theksuar se e drejta për një gjykim të drejtë, duke përfshirë ankesat në lidhje me gjykatën e krijuar me ligj, garantohet gjatë një procesi ligjor ose gjyqësor në funksion të rezultatit përfundimtar, i cili sjell pasoja konkrete dhe të drejtpërdrejta për ankuesit si mbajtës i të drejtave kushtetuese procedurale dhe thelbësore. Kolegji vlerëson se edhe në procesin e rivlerësimit kalimtar, në procesin gjyqësor të kryer nga Kolegji i Posaçëm i Apelimit duhet të garantohen të drejtat procedurale të subjekteve të rivlerësuar, në përputhje me kompetencat që përcaktohen nga Kushtetuta dhe ligji. </w:t>
      </w:r>
    </w:p>
    <w:p w14:paraId="71D80867"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w:t>
      </w:r>
    </w:p>
    <w:p w14:paraId="07C73A67" w14:textId="074D32E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23. Për më tepër, Kolegji vëren se juridiksioni i Gjykatës Kushtetuese për shqyrtimin e ankimit individual kushtetues të kërkuesit, që lidhet me kryerjen e rivlerësimit kalimtar të tij</w:t>
      </w:r>
      <w:r w:rsidR="000067F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shkak të detyrës së prokurorit, është i kufizuar nga juridiksioni që vetë Kushtetuta, në aneksin e saj, u ka dhënë organeve të rivlerësimit. Kështu, neni 179/b, paragrafi 2, i Kushtetutës parashikon se procesi i rivlerësimit, që realizohet nga KPK-ja dhe KPA-ja, do të kryhet mbi bazën e parimeve të procesit të rregullt ligjor, si dhe duke respektuar të drejtat themelore të subjektit të vlerësimit.</w:t>
      </w:r>
    </w:p>
    <w:p w14:paraId="011832F3"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w:t>
      </w:r>
    </w:p>
    <w:p w14:paraId="18674A3A" w14:textId="40D291D8" w:rsidR="00C0711E" w:rsidRPr="006A1F4E" w:rsidRDefault="00C0711E" w:rsidP="000C6316">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24. Kolegji thekson se të drejtat procedurale kushtetuese të subjekteve të rivlerësimit [</w:t>
      </w:r>
      <w:r w:rsidR="000C631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duke përfshirë të drejtën për një “gjykatë të krijuar me ligj”, garantohen nga Kushtetuta, me anë të një procesi gjyqësor të kryer nga KPA</w:t>
      </w:r>
      <w:r w:rsidR="000C6316">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dhe më pas, me anë të mundësisë për të ushtruar të drejtën ankim në Gjykatën Evropiane të të Drejtave të Njeriut. Duke pasur parasysh pushtetin e KPA-së për të gjykuar apelimet kundër vendimeve të KPK-së, gjykata vlerëson se ky proces [apelimi] përfshin shqyrtimin e pajtueshmërisë së procedurave me Kushtetutën...” </w:t>
      </w:r>
    </w:p>
    <w:p w14:paraId="43F8124D" w14:textId="067ECFC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6A1F4E">
        <w:rPr>
          <w:rFonts w:ascii="Garamond" w:hAnsi="Garamond" w:cs="Times New Roman"/>
          <w:b/>
          <w:bCs/>
          <w:color w:val="000000"/>
          <w:sz w:val="24"/>
          <w:szCs w:val="24"/>
          <w:lang w:val="sq-AL"/>
        </w:rPr>
        <w:t>E. Parashikimet për rishikimin e vendimeve të formës së prerë</w:t>
      </w:r>
    </w:p>
    <w:p w14:paraId="05175BBA" w14:textId="1973D2D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6A1F4E">
        <w:rPr>
          <w:rFonts w:ascii="Garamond" w:hAnsi="Garamond" w:cs="Times New Roman"/>
          <w:color w:val="000000"/>
          <w:sz w:val="24"/>
          <w:szCs w:val="24"/>
          <w:lang w:val="sq-AL"/>
        </w:rPr>
        <w:t>46. Në mbështetje të nenit 4(6) të Ligjit të Rivlerësimit, lexuar së bashku me nenin 1(2) të Ligjit për Gjykatat Administrative (</w:t>
      </w:r>
      <w:r w:rsidR="000D0CA5" w:rsidRPr="006A1F4E">
        <w:rPr>
          <w:rFonts w:ascii="Garamond" w:hAnsi="Garamond" w:cs="Times New Roman"/>
          <w:color w:val="000000"/>
          <w:sz w:val="24"/>
          <w:szCs w:val="24"/>
          <w:lang w:val="sq-AL"/>
        </w:rPr>
        <w:t xml:space="preserve">ligji </w:t>
      </w:r>
      <w:r w:rsidRPr="006A1F4E">
        <w:rPr>
          <w:rFonts w:ascii="Garamond" w:hAnsi="Garamond" w:cs="Times New Roman"/>
          <w:color w:val="000000"/>
          <w:sz w:val="24"/>
          <w:szCs w:val="24"/>
          <w:lang w:val="sq-AL"/>
        </w:rPr>
        <w:t xml:space="preserve">nr. 49/2012, </w:t>
      </w:r>
      <w:r w:rsidR="000D0CA5">
        <w:rPr>
          <w:rFonts w:ascii="Garamond" w:hAnsi="Garamond" w:cs="Times New Roman"/>
          <w:color w:val="000000"/>
          <w:sz w:val="24"/>
          <w:szCs w:val="24"/>
          <w:lang w:val="sq-AL"/>
        </w:rPr>
        <w:t>“</w:t>
      </w:r>
      <w:r w:rsidR="000D0CA5" w:rsidRPr="006A1F4E">
        <w:rPr>
          <w:rFonts w:ascii="Garamond" w:hAnsi="Garamond" w:cs="Times New Roman"/>
          <w:color w:val="000000"/>
          <w:sz w:val="24"/>
          <w:szCs w:val="24"/>
          <w:lang w:val="sq-AL"/>
        </w:rPr>
        <w:t>P</w:t>
      </w:r>
      <w:r w:rsidRPr="006A1F4E">
        <w:rPr>
          <w:rFonts w:ascii="Garamond" w:hAnsi="Garamond" w:cs="Times New Roman"/>
          <w:color w:val="000000"/>
          <w:sz w:val="24"/>
          <w:szCs w:val="24"/>
          <w:lang w:val="sq-AL"/>
        </w:rPr>
        <w:t xml:space="preserve">ër </w:t>
      </w:r>
      <w:r w:rsidR="000D0CA5" w:rsidRPr="006A1F4E">
        <w:rPr>
          <w:rFonts w:ascii="Garamond" w:hAnsi="Garamond" w:cs="Times New Roman"/>
          <w:color w:val="000000"/>
          <w:sz w:val="24"/>
          <w:szCs w:val="24"/>
          <w:lang w:val="sq-AL"/>
        </w:rPr>
        <w:t>organizimin dhe funksionimin e gjykatave administrative</w:t>
      </w:r>
      <w:r w:rsidR="000D0CA5">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organet e rivlerësimit, në rrethana të caktuara, mund të zbatojnë parashikimet e Kodit të Procedurës Civile. Neni 494 i Kodit të Procedurës Civile parashikon se një palë mund të kërkojë rishikimin e një vendimi i cili është bërë i formës së prerë në rrethana të caktuara, më konkretisht</w:t>
      </w:r>
      <w:r w:rsidR="00E1599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kur: </w:t>
      </w:r>
    </w:p>
    <w:p w14:paraId="20F29A3B"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“a) zbulohen rrethana të reja apo prova të reja me shkresë që kanë rëndësi për çështjen, të cilat nuk mund të diheshin nga pala gjatë shqyrtimit të saj; </w:t>
      </w:r>
    </w:p>
    <w:p w14:paraId="095D5243"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b) vërtetohet se thëniet e dëshmitarëve apo mendimet e ekspertëve, mbi të cilat është bazuar vendimi, kanë qenë të rreme; </w:t>
      </w:r>
    </w:p>
    <w:p w14:paraId="40CAA8E8"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c) palët ose përfaqësuesit e tyre apo ndonjë anëtar i trupit gjykues, që ka marrë pjesë në gjykimin e çështjes, kanë kryer vepra 214 të dënueshme penalisht, të cilat kanë ndikuar në dhënien e vendimit; </w:t>
      </w:r>
    </w:p>
    <w:p w14:paraId="6378F39A"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ç) vërtetohet se vendimi i dhënë është bazuar në dokumente të falsifikuara; </w:t>
      </w:r>
    </w:p>
    <w:p w14:paraId="022DAD61"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d) vendimi është bazuar në një vendim të gjykatës ose të një institucioni tjetër që më pas është prishur; </w:t>
      </w:r>
    </w:p>
    <w:p w14:paraId="0273892C"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dh) vendimi është në kundërshtim të hapur me një vendim tjetër të formës së prerë të dhënë midis po atyre palëve, për të njëjtin objekt dhe për të njëjtin shkak. </w:t>
      </w:r>
    </w:p>
    <w:p w14:paraId="3FFE5AF2" w14:textId="6FE4736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e) kur Gjykata </w:t>
      </w:r>
      <w:r w:rsidR="00306168" w:rsidRPr="006A1F4E">
        <w:rPr>
          <w:rFonts w:ascii="Garamond" w:hAnsi="Garamond" w:cs="Times New Roman"/>
          <w:color w:val="000000"/>
          <w:sz w:val="24"/>
          <w:szCs w:val="24"/>
          <w:lang w:val="sq-AL"/>
        </w:rPr>
        <w:t>Evropiane</w:t>
      </w:r>
      <w:r w:rsidRPr="006A1F4E">
        <w:rPr>
          <w:rFonts w:ascii="Garamond" w:hAnsi="Garamond" w:cs="Times New Roman"/>
          <w:color w:val="000000"/>
          <w:sz w:val="24"/>
          <w:szCs w:val="24"/>
          <w:lang w:val="sq-AL"/>
        </w:rPr>
        <w:t xml:space="preserve"> e të Drejtave të Njeriut gjen shkelje të Konventës Evropiane</w:t>
      </w:r>
      <w:r w:rsidR="0030616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mbrojtjen e të drejtave të njeriut dhe lirive themelore”</w:t>
      </w:r>
      <w:r w:rsidR="00306168">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dhe të protokolleve të saj, të ratifikuara nga Republika e Shqipërisë</w:t>
      </w:r>
      <w:r w:rsidRPr="006A1F4E">
        <w:rPr>
          <w:rFonts w:ascii="Garamond" w:hAnsi="Garamond" w:cs="Calibri"/>
          <w:color w:val="000000"/>
          <w:sz w:val="24"/>
          <w:szCs w:val="24"/>
          <w:lang w:val="sq-AL"/>
        </w:rPr>
        <w:t>.</w:t>
      </w:r>
      <w:r w:rsidRPr="006A1F4E">
        <w:rPr>
          <w:rFonts w:ascii="Garamond" w:hAnsi="Garamond" w:cs="Times New Roman"/>
          <w:color w:val="000000"/>
          <w:sz w:val="24"/>
          <w:szCs w:val="24"/>
          <w:lang w:val="sq-AL"/>
        </w:rPr>
        <w:t>”</w:t>
      </w:r>
      <w:r w:rsidR="00306168">
        <w:rPr>
          <w:rFonts w:ascii="Garamond" w:hAnsi="Garamond" w:cs="Times New Roman"/>
          <w:color w:val="000000"/>
          <w:sz w:val="24"/>
          <w:szCs w:val="24"/>
          <w:lang w:val="sq-AL"/>
        </w:rPr>
        <w:t>.</w:t>
      </w:r>
    </w:p>
    <w:p w14:paraId="71708810" w14:textId="73365DF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6A1F4E">
        <w:rPr>
          <w:rFonts w:ascii="Garamond" w:hAnsi="Garamond" w:cs="Times New Roman"/>
          <w:b/>
          <w:bCs/>
          <w:color w:val="000000"/>
          <w:sz w:val="24"/>
          <w:szCs w:val="24"/>
          <w:lang w:val="sq-AL"/>
        </w:rPr>
        <w:t>F. Parashikime në lidhje me statusin e prokurorëve</w:t>
      </w:r>
    </w:p>
    <w:p w14:paraId="52A9ADF2" w14:textId="64C28B53" w:rsidR="00C0711E" w:rsidRPr="006A1F4E" w:rsidRDefault="00C0711E" w:rsidP="008A29AA">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6A1F4E">
        <w:rPr>
          <w:rFonts w:ascii="Garamond" w:hAnsi="Garamond" w:cs="Times New Roman"/>
          <w:color w:val="000000"/>
          <w:sz w:val="24"/>
          <w:szCs w:val="24"/>
          <w:lang w:val="sq-AL"/>
        </w:rPr>
        <w:t xml:space="preserve">47. Sipas nenit 32 të </w:t>
      </w:r>
      <w:r w:rsidR="008A29AA" w:rsidRPr="006A1F4E">
        <w:rPr>
          <w:rFonts w:ascii="Garamond" w:hAnsi="Garamond" w:cs="Times New Roman"/>
          <w:color w:val="000000"/>
          <w:sz w:val="24"/>
          <w:szCs w:val="24"/>
          <w:lang w:val="sq-AL"/>
        </w:rPr>
        <w:t xml:space="preserve">ligjit </w:t>
      </w:r>
      <w:r w:rsidRPr="006A1F4E">
        <w:rPr>
          <w:rFonts w:ascii="Garamond" w:hAnsi="Garamond" w:cs="Times New Roman"/>
          <w:color w:val="000000"/>
          <w:sz w:val="24"/>
          <w:szCs w:val="24"/>
          <w:lang w:val="sq-AL"/>
        </w:rPr>
        <w:t xml:space="preserve">të mëparshëm për Prokurorinë, i datës 12 </w:t>
      </w:r>
      <w:r w:rsidR="008A29AA"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2001 (</w:t>
      </w:r>
      <w:r w:rsidR="008A29AA" w:rsidRPr="006A1F4E">
        <w:rPr>
          <w:rFonts w:ascii="Garamond" w:hAnsi="Garamond" w:cs="Times New Roman"/>
          <w:color w:val="000000"/>
          <w:sz w:val="24"/>
          <w:szCs w:val="24"/>
          <w:lang w:val="sq-AL"/>
        </w:rPr>
        <w:t xml:space="preserve">ligji </w:t>
      </w:r>
      <w:r w:rsidRPr="006A1F4E">
        <w:rPr>
          <w:rFonts w:ascii="Garamond" w:hAnsi="Garamond" w:cs="Times New Roman"/>
          <w:color w:val="000000"/>
          <w:sz w:val="24"/>
          <w:szCs w:val="24"/>
          <w:lang w:val="sq-AL"/>
        </w:rPr>
        <w:t>nr. 8737/2001</w:t>
      </w:r>
      <w:r w:rsidR="008A29AA">
        <w:rPr>
          <w:rFonts w:ascii="Garamond" w:hAnsi="Garamond" w:cs="Times New Roman"/>
          <w:color w:val="000000"/>
          <w:sz w:val="24"/>
          <w:szCs w:val="24"/>
          <w:lang w:val="sq-AL"/>
        </w:rPr>
        <w:t>, “</w:t>
      </w:r>
      <w:r w:rsidRPr="006A1F4E">
        <w:rPr>
          <w:rFonts w:ascii="Garamond" w:hAnsi="Garamond" w:cs="Times New Roman"/>
          <w:color w:val="000000"/>
          <w:sz w:val="24"/>
          <w:szCs w:val="24"/>
          <w:lang w:val="sq-AL"/>
        </w:rPr>
        <w:t xml:space="preserve">Për </w:t>
      </w:r>
      <w:r w:rsidR="008A29AA" w:rsidRPr="006A1F4E">
        <w:rPr>
          <w:rFonts w:ascii="Garamond" w:hAnsi="Garamond" w:cs="Times New Roman"/>
          <w:color w:val="000000"/>
          <w:sz w:val="24"/>
          <w:szCs w:val="24"/>
          <w:lang w:val="sq-AL"/>
        </w:rPr>
        <w:t>organizimin dhe funksionimin e prokurorisë</w:t>
      </w:r>
      <w:r w:rsidR="008A29AA">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w:t>
      </w:r>
      <w:r w:rsidR="008A29AA">
        <w:rPr>
          <w:rFonts w:ascii="Garamond" w:hAnsi="Garamond" w:cs="Times New Roman"/>
          <w:color w:val="000000"/>
          <w:sz w:val="24"/>
          <w:szCs w:val="24"/>
          <w:lang w:val="sq-AL"/>
        </w:rPr>
        <w:t>të</w:t>
      </w:r>
      <w:r w:rsidRPr="006A1F4E">
        <w:rPr>
          <w:rFonts w:ascii="Garamond" w:hAnsi="Garamond" w:cs="Times New Roman"/>
          <w:color w:val="000000"/>
          <w:sz w:val="24"/>
          <w:szCs w:val="24"/>
          <w:lang w:val="sq-AL"/>
        </w:rPr>
        <w:t xml:space="preserve"> ndryshuar, shkeljet disiplinore përfshinin, </w:t>
      </w:r>
      <w:r w:rsidRPr="006A1F4E">
        <w:rPr>
          <w:rFonts w:ascii="Garamond" w:hAnsi="Garamond" w:cs="Times New Roman"/>
          <w:i/>
          <w:iCs/>
          <w:color w:val="000000"/>
          <w:sz w:val="24"/>
          <w:szCs w:val="24"/>
          <w:lang w:val="sq-AL"/>
        </w:rPr>
        <w:t xml:space="preserve">inter alia, </w:t>
      </w:r>
      <w:r w:rsidRPr="006A1F4E">
        <w:rPr>
          <w:rFonts w:ascii="Garamond" w:hAnsi="Garamond" w:cs="Times New Roman"/>
          <w:color w:val="000000"/>
          <w:sz w:val="24"/>
          <w:szCs w:val="24"/>
          <w:lang w:val="sq-AL"/>
        </w:rPr>
        <w:t xml:space="preserve">veprime që diskreditonin seriozisht funksionin e prokurorit, ose veprime, që sipas ligjit, nuk ishin të pajtueshme me të. Sipas nenit 33 të atij </w:t>
      </w:r>
      <w:r w:rsidR="008A29AA" w:rsidRPr="006A1F4E">
        <w:rPr>
          <w:rFonts w:ascii="Garamond" w:hAnsi="Garamond" w:cs="Times New Roman"/>
          <w:color w:val="000000"/>
          <w:sz w:val="24"/>
          <w:szCs w:val="24"/>
          <w:lang w:val="sq-AL"/>
        </w:rPr>
        <w:t>ligji</w:t>
      </w:r>
      <w:r w:rsidRPr="006A1F4E">
        <w:rPr>
          <w:rFonts w:ascii="Garamond" w:hAnsi="Garamond" w:cs="Times New Roman"/>
          <w:color w:val="000000"/>
          <w:sz w:val="24"/>
          <w:szCs w:val="24"/>
          <w:lang w:val="sq-AL"/>
        </w:rPr>
        <w:t>, shkelje të tilla ishin të dënueshme me anë të një vërejtjeje, paralajmërimi për shkarkim nga detyra, transf</w:t>
      </w:r>
      <w:r w:rsidR="008A29AA">
        <w:rPr>
          <w:rFonts w:ascii="Garamond" w:hAnsi="Garamond" w:cs="Times New Roman"/>
          <w:color w:val="000000"/>
          <w:sz w:val="24"/>
          <w:szCs w:val="24"/>
          <w:lang w:val="sq-AL"/>
        </w:rPr>
        <w:t xml:space="preserve">erim në një pozicion më të ulët </w:t>
      </w:r>
      <w:r w:rsidRPr="006A1F4E">
        <w:rPr>
          <w:rFonts w:ascii="Garamond" w:hAnsi="Garamond" w:cs="Times New Roman"/>
          <w:color w:val="000000"/>
          <w:sz w:val="24"/>
          <w:szCs w:val="24"/>
          <w:lang w:val="sq-AL"/>
        </w:rPr>
        <w:t xml:space="preserve">ose shkarkim nga detyra. </w:t>
      </w:r>
    </w:p>
    <w:p w14:paraId="528303B7" w14:textId="60F6FA82"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6A1F4E">
        <w:rPr>
          <w:rFonts w:ascii="Garamond" w:hAnsi="Garamond" w:cs="Times New Roman"/>
          <w:color w:val="000000"/>
          <w:sz w:val="24"/>
          <w:szCs w:val="24"/>
          <w:lang w:val="sq-AL"/>
        </w:rPr>
        <w:t xml:space="preserve">48. Gjykata Kushtetuese deklaroi se aktet serioze që diskreditonin funksionin zyrtar përfshinin sjelljen e papërshtatshme dhe të padenjë gjatë kryerjes së detyrave zyrtare ose jashtë atyre detyrave (vendimi nr. 75/2002). </w:t>
      </w:r>
    </w:p>
    <w:p w14:paraId="0732656A" w14:textId="6DE0A8A0" w:rsidR="00C0711E" w:rsidRPr="006A1F4E" w:rsidRDefault="00C0711E" w:rsidP="00DD2C9E">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6A1F4E">
        <w:rPr>
          <w:rFonts w:ascii="Garamond" w:hAnsi="Garamond" w:cs="Times New Roman"/>
          <w:color w:val="000000"/>
          <w:sz w:val="24"/>
          <w:szCs w:val="24"/>
          <w:lang w:val="sq-AL"/>
        </w:rPr>
        <w:t xml:space="preserve">49. Ligji </w:t>
      </w:r>
      <w:r w:rsidR="00AC7D86">
        <w:rPr>
          <w:rFonts w:ascii="Garamond" w:hAnsi="Garamond" w:cs="Times New Roman"/>
          <w:color w:val="000000"/>
          <w:sz w:val="24"/>
          <w:szCs w:val="24"/>
          <w:lang w:val="sq-AL"/>
        </w:rPr>
        <w:t>“</w:t>
      </w:r>
      <w:r w:rsidR="00AC7D86" w:rsidRPr="006A1F4E">
        <w:rPr>
          <w:rFonts w:ascii="Garamond" w:hAnsi="Garamond" w:cs="Times New Roman"/>
          <w:color w:val="000000"/>
          <w:sz w:val="24"/>
          <w:szCs w:val="24"/>
          <w:lang w:val="sq-AL"/>
        </w:rPr>
        <w:t>Për statusin e gjyqtarëve dhe prokurorëve</w:t>
      </w:r>
      <w:r w:rsidR="00AC7D86">
        <w:rPr>
          <w:rFonts w:ascii="Garamond" w:hAnsi="Garamond" w:cs="Times New Roman"/>
          <w:color w:val="000000"/>
          <w:sz w:val="24"/>
          <w:szCs w:val="24"/>
          <w:lang w:val="sq-AL"/>
        </w:rPr>
        <w:t>”,</w:t>
      </w:r>
      <w:r w:rsidR="00AC7D86"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i datës 6 </w:t>
      </w:r>
      <w:r w:rsidR="00AC7D86"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2016 (ligji nr. 96/2016</w:t>
      </w:r>
      <w:r w:rsidR="00DD2C9E">
        <w:rPr>
          <w:rFonts w:ascii="Garamond" w:hAnsi="Garamond" w:cs="Times New Roman"/>
          <w:color w:val="000000"/>
          <w:sz w:val="24"/>
          <w:szCs w:val="24"/>
          <w:lang w:val="sq-AL"/>
        </w:rPr>
        <w:t>, “</w:t>
      </w:r>
      <w:r w:rsidRPr="006A1F4E">
        <w:rPr>
          <w:rFonts w:ascii="Garamond" w:hAnsi="Garamond" w:cs="Times New Roman"/>
          <w:color w:val="000000"/>
          <w:sz w:val="24"/>
          <w:szCs w:val="24"/>
          <w:lang w:val="sq-AL"/>
        </w:rPr>
        <w:t xml:space="preserve">Për </w:t>
      </w:r>
      <w:r w:rsidR="00DD2C9E" w:rsidRPr="006A1F4E">
        <w:rPr>
          <w:rFonts w:ascii="Garamond" w:hAnsi="Garamond" w:cs="Times New Roman"/>
          <w:color w:val="000000"/>
          <w:sz w:val="24"/>
          <w:szCs w:val="24"/>
          <w:lang w:val="sq-AL"/>
        </w:rPr>
        <w:t>statusin e gjyqtarëve dhe prokurorëve</w:t>
      </w:r>
      <w:r w:rsidR="00DD2C9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përcakton statusin e “magjistratëve”, më konkretisht të gjyqtarëve dhe prokurorëve (neni 2</w:t>
      </w:r>
      <w:r w:rsidR="006F4984">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(gj)). Pjesa përkatëse e nenit 3 të këtij </w:t>
      </w:r>
      <w:r w:rsidR="00AB3A9F" w:rsidRPr="006A1F4E">
        <w:rPr>
          <w:rFonts w:ascii="Garamond" w:hAnsi="Garamond" w:cs="Times New Roman"/>
          <w:color w:val="000000"/>
          <w:sz w:val="24"/>
          <w:szCs w:val="24"/>
          <w:lang w:val="sq-AL"/>
        </w:rPr>
        <w:t>ligji</w:t>
      </w:r>
      <w:r w:rsidRPr="006A1F4E">
        <w:rPr>
          <w:rFonts w:ascii="Garamond" w:hAnsi="Garamond" w:cs="Times New Roman"/>
          <w:color w:val="000000"/>
          <w:sz w:val="24"/>
          <w:szCs w:val="24"/>
          <w:lang w:val="sq-AL"/>
        </w:rPr>
        <w:t>, parashikon</w:t>
      </w:r>
      <w:r w:rsidR="00AB3A9F">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më poshtë për vlerat themelore: </w:t>
      </w:r>
    </w:p>
    <w:p w14:paraId="6B280872" w14:textId="5EB1E15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r w:rsidRPr="006A1F4E">
        <w:rPr>
          <w:rFonts w:ascii="Garamond" w:hAnsi="Garamond" w:cs="Calibri"/>
          <w:color w:val="000000"/>
          <w:sz w:val="24"/>
          <w:szCs w:val="24"/>
          <w:lang w:val="sq-AL"/>
        </w:rPr>
        <w:t>.</w:t>
      </w:r>
      <w:r w:rsidRPr="006A1F4E">
        <w:rPr>
          <w:rFonts w:ascii="Garamond" w:hAnsi="Garamond" w:cs="Times New Roman"/>
          <w:color w:val="000000"/>
          <w:sz w:val="24"/>
          <w:szCs w:val="24"/>
          <w:lang w:val="sq-AL"/>
        </w:rPr>
        <w:t>”</w:t>
      </w:r>
      <w:r w:rsidR="00AB3A9F">
        <w:rPr>
          <w:rFonts w:ascii="Garamond" w:hAnsi="Garamond" w:cs="Times New Roman"/>
          <w:color w:val="000000"/>
          <w:sz w:val="24"/>
          <w:szCs w:val="24"/>
          <w:lang w:val="sq-AL"/>
        </w:rPr>
        <w:t>.</w:t>
      </w:r>
    </w:p>
    <w:p w14:paraId="1319587F" w14:textId="3F98ED4F"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G. Parashikimet në lidhje me ushtrimin e profesionit të avokatëve </w:t>
      </w:r>
    </w:p>
    <w:p w14:paraId="0BEEB5CF" w14:textId="420E5BF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50. Sipas nenit 13(1) të Ligjit për Profesionin e Avokatit (</w:t>
      </w:r>
      <w:r w:rsidR="00D001F2" w:rsidRPr="006A1F4E">
        <w:rPr>
          <w:rFonts w:ascii="Garamond" w:hAnsi="Garamond" w:cs="Times New Roman"/>
          <w:color w:val="000000"/>
          <w:sz w:val="24"/>
          <w:szCs w:val="24"/>
          <w:lang w:val="sq-AL"/>
        </w:rPr>
        <w:t xml:space="preserve">ligji </w:t>
      </w:r>
      <w:r w:rsidRPr="006A1F4E">
        <w:rPr>
          <w:rFonts w:ascii="Garamond" w:hAnsi="Garamond" w:cs="Times New Roman"/>
          <w:color w:val="000000"/>
          <w:sz w:val="24"/>
          <w:szCs w:val="24"/>
          <w:lang w:val="sq-AL"/>
        </w:rPr>
        <w:t>nr. 55/2018</w:t>
      </w:r>
      <w:r w:rsidR="00D001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i datës 23 </w:t>
      </w:r>
      <w:r w:rsidR="00D001F2" w:rsidRPr="006A1F4E">
        <w:rPr>
          <w:rFonts w:ascii="Garamond" w:hAnsi="Garamond" w:cs="Times New Roman"/>
          <w:color w:val="000000"/>
          <w:sz w:val="24"/>
          <w:szCs w:val="24"/>
          <w:lang w:val="sq-AL"/>
        </w:rPr>
        <w:t xml:space="preserve">korrik </w:t>
      </w:r>
      <w:r w:rsidRPr="006A1F4E">
        <w:rPr>
          <w:rFonts w:ascii="Garamond" w:hAnsi="Garamond" w:cs="Times New Roman"/>
          <w:color w:val="000000"/>
          <w:sz w:val="24"/>
          <w:szCs w:val="24"/>
          <w:lang w:val="sq-AL"/>
        </w:rPr>
        <w:t>2018</w:t>
      </w:r>
      <w:r w:rsidR="00D001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profesionin e avokatit), një person është i kualifikuar për të vepruar si avokat</w:t>
      </w:r>
      <w:r w:rsidR="00D001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kur ai ose ajo ka fituar titullin “avokat” dhe është pranuar si avokat</w:t>
      </w:r>
      <w:r w:rsidR="00D001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fuqisë së një certifikate (licence) të lëshuar nga Dhoma Kombëtare e Avokatisë (më konkretisht </w:t>
      </w:r>
      <w:r w:rsidR="00D001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Shoqata e Avokatëve</w:t>
      </w:r>
      <w:r w:rsidR="00D001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Neni 13(2) liston një sërë kërkesash të përgjithshme të cilat duhet të përmbushen në mënyrë që një person të pranohet si avokat, midis të cilave, më afër qëllimeve të kësaj çështjeje, është kërkesa që “një person të mos jetë shkarkuar nga ushtrimi i detyrës ose funksionit publik, për arsye të integritetit etik, me vendim të organit kompetent, që ka marrë formë të prerë, me përjashtim të rasteve kur masa disiplinore është shuar sipas legjislacionit të posaçëm”.</w:t>
      </w:r>
    </w:p>
    <w:p w14:paraId="1D73E75E" w14:textId="6BCCDE2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II. MATERIALET PËRKATËSE NDËRKOMBËTARE</w:t>
      </w:r>
    </w:p>
    <w:p w14:paraId="77A03709" w14:textId="6502E0DE"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51. Pjesët përkatëse të Udhëzimeve Evropiane për Etikën dhe Sjelljen për Prokurorët Publikë (“Udhëzimet e Budapestit”), të miratuara nga Konferenca e Prokurorëve të Përgjithshëm të Evropës, Këshilli i Evropës, e datës 31 </w:t>
      </w:r>
      <w:r w:rsidR="00D001F2" w:rsidRPr="006A1F4E">
        <w:rPr>
          <w:rFonts w:ascii="Garamond" w:hAnsi="Garamond" w:cs="Times New Roman"/>
          <w:color w:val="000000"/>
          <w:sz w:val="24"/>
          <w:szCs w:val="24"/>
          <w:lang w:val="sq-AL"/>
        </w:rPr>
        <w:t xml:space="preserve">maj </w:t>
      </w:r>
      <w:r w:rsidRPr="006A1F4E">
        <w:rPr>
          <w:rFonts w:ascii="Garamond" w:hAnsi="Garamond" w:cs="Times New Roman"/>
          <w:color w:val="000000"/>
          <w:sz w:val="24"/>
          <w:szCs w:val="24"/>
          <w:lang w:val="sq-AL"/>
        </w:rPr>
        <w:t xml:space="preserve">2005, parashikon: </w:t>
      </w:r>
    </w:p>
    <w:p w14:paraId="586C549F"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EF74E5F" w14:textId="6218D187" w:rsidR="00C0711E" w:rsidRDefault="00C0711E" w:rsidP="00C0711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IV.</w:t>
      </w:r>
      <w:r w:rsidR="00D001F2">
        <w:rPr>
          <w:rFonts w:ascii="Garamond" w:hAnsi="Garamond" w:cs="Times New Roman"/>
          <w:b/>
          <w:bCs/>
          <w:color w:val="000000"/>
          <w:sz w:val="24"/>
          <w:szCs w:val="24"/>
          <w:lang w:val="sq-AL"/>
        </w:rPr>
        <w:t xml:space="preserve"> </w:t>
      </w:r>
      <w:r w:rsidRPr="006A1F4E">
        <w:rPr>
          <w:rFonts w:ascii="Garamond" w:hAnsi="Garamond" w:cs="Times New Roman"/>
          <w:b/>
          <w:bCs/>
          <w:color w:val="000000"/>
          <w:sz w:val="24"/>
          <w:szCs w:val="24"/>
          <w:lang w:val="sq-AL"/>
        </w:rPr>
        <w:t>Sjellja private</w:t>
      </w:r>
    </w:p>
    <w:p w14:paraId="3A797F63" w14:textId="77777777" w:rsidR="00D001F2" w:rsidRPr="006A1F4E" w:rsidRDefault="00D001F2" w:rsidP="00C0711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8680F6" w14:textId="6C2C3BBC" w:rsidR="00C0711E" w:rsidRPr="006A1F4E" w:rsidRDefault="00C0711E" w:rsidP="0073088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“a</w:t>
      </w:r>
      <w:r w:rsidR="007308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Prokurorët publikë nuk duhet të kompromentojnë integritetin, drej</w:t>
      </w:r>
      <w:r w:rsidR="0012537A">
        <w:rPr>
          <w:rFonts w:ascii="Garamond" w:hAnsi="Garamond" w:cs="Times New Roman"/>
          <w:color w:val="000000"/>
          <w:sz w:val="24"/>
          <w:szCs w:val="24"/>
          <w:lang w:val="sq-AL"/>
        </w:rPr>
        <w:t>tësinë dhe paanshmërinë aktuale</w:t>
      </w:r>
      <w:r w:rsidRPr="006A1F4E">
        <w:rPr>
          <w:rFonts w:ascii="Garamond" w:hAnsi="Garamond" w:cs="Times New Roman"/>
          <w:color w:val="000000"/>
          <w:sz w:val="24"/>
          <w:szCs w:val="24"/>
          <w:lang w:val="sq-AL"/>
        </w:rPr>
        <w:t xml:space="preserve"> ose të perceptuar në mënyrë të arsyeshme, të shërbimit të prokurorisë publike me anë të aktiviteteve në jetën e tyre private.</w:t>
      </w:r>
    </w:p>
    <w:p w14:paraId="0C27D17A" w14:textId="73F27919" w:rsidR="00C0711E" w:rsidRPr="006A1F4E" w:rsidRDefault="00C0711E" w:rsidP="0073088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b</w:t>
      </w:r>
      <w:r w:rsidR="007308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Prokurorët publikë respektojnë dhe i binden ligjit gjatë gjithë kohës. </w:t>
      </w:r>
    </w:p>
    <w:p w14:paraId="6C6A20DC" w14:textId="413FDAA1" w:rsidR="00C0711E" w:rsidRPr="006A1F4E" w:rsidRDefault="00C0711E" w:rsidP="0073088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c</w:t>
      </w:r>
      <w:r w:rsidR="007308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Prokurorët publikë duhet të sillen në mënyrë të tillë që të përforcojnë dhe të ruajnë besimin e publikut në profesionin e tyre.</w:t>
      </w:r>
    </w:p>
    <w:p w14:paraId="23A7F67B" w14:textId="77FC8E9C"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w:t>
      </w:r>
      <w:r w:rsidR="0012537A">
        <w:rPr>
          <w:rFonts w:ascii="Garamond" w:hAnsi="Garamond" w:cs="Times New Roman"/>
          <w:color w:val="000000"/>
          <w:sz w:val="24"/>
          <w:szCs w:val="24"/>
          <w:lang w:val="sq-AL"/>
        </w:rPr>
        <w:t>.</w:t>
      </w:r>
    </w:p>
    <w:p w14:paraId="21C66A36" w14:textId="0B984684"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52. Pjesët përkatëse të </w:t>
      </w:r>
      <w:r w:rsidR="001A65A0" w:rsidRPr="006A1F4E">
        <w:rPr>
          <w:rFonts w:ascii="Garamond" w:hAnsi="Garamond" w:cs="Times New Roman"/>
          <w:color w:val="000000"/>
          <w:sz w:val="24"/>
          <w:szCs w:val="24"/>
          <w:lang w:val="sq-AL"/>
        </w:rPr>
        <w:t xml:space="preserve">opinionit </w:t>
      </w:r>
      <w:r w:rsidRPr="006A1F4E">
        <w:rPr>
          <w:rFonts w:ascii="Garamond" w:hAnsi="Garamond" w:cs="Times New Roman"/>
          <w:color w:val="000000"/>
          <w:sz w:val="24"/>
          <w:szCs w:val="24"/>
          <w:lang w:val="sq-AL"/>
        </w:rPr>
        <w:t>nr. 13 (2018) për pavarësinë, llogaridhënien dhe etikën e prokurorëve, lëshuar nga Këshilli Konsultativ i Prokurorëve të Evropës, të Këshillit Evropian (CCPE) parashikojn</w:t>
      </w:r>
      <w:r w:rsidRPr="006A1F4E">
        <w:rPr>
          <w:rFonts w:ascii="Garamond" w:hAnsi="Garamond" w:cs="Calibri"/>
          <w:color w:val="000000"/>
          <w:sz w:val="24"/>
          <w:szCs w:val="24"/>
          <w:lang w:val="sq-AL"/>
        </w:rPr>
        <w:t>ë</w:t>
      </w:r>
      <w:r w:rsidRPr="006A1F4E">
        <w:rPr>
          <w:rFonts w:ascii="Garamond" w:hAnsi="Garamond" w:cs="Times New Roman"/>
          <w:color w:val="000000"/>
          <w:sz w:val="24"/>
          <w:szCs w:val="24"/>
          <w:lang w:val="sq-AL"/>
        </w:rPr>
        <w:t xml:space="preserve">: </w:t>
      </w:r>
    </w:p>
    <w:p w14:paraId="1FA019D3"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“22. Sjellja e prokurorëve, ashtu si edhe e gjyqtarëve, nuk mund të lihet vetëm në diskrecionin e tyre, si brenda edhe jashtë detyrës së tyre. Kjo është veçanërisht e rëndësishme kur vlerësohen veprimtaritë e prokurorëve dhe në proceset disiplinore ndaj tyre.</w:t>
      </w:r>
    </w:p>
    <w:p w14:paraId="3CB9AC13" w14:textId="04985B7F"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w:t>
      </w:r>
      <w:r w:rsidR="001F4819">
        <w:rPr>
          <w:rFonts w:ascii="Garamond" w:hAnsi="Garamond" w:cs="Times New Roman"/>
          <w:color w:val="000000"/>
          <w:sz w:val="24"/>
          <w:szCs w:val="24"/>
          <w:lang w:val="sq-AL"/>
        </w:rPr>
        <w:t>”.</w:t>
      </w:r>
    </w:p>
    <w:p w14:paraId="59214B4C" w14:textId="5AD56E76" w:rsidR="00C0711E" w:rsidRPr="006A1F4E" w:rsidRDefault="00C0711E" w:rsidP="00B77E8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51. Respektimi i shtetit të së drejtës kërkon standardet më të larta etike dhe profesionale në sjellje të prokurorëve, edhe të gjyqtarëve, si gjatë detyrës edhe jashtë saj, çka mundëson besimin e shoqërisë te drejtësia. Prokurorët veprojnë në emër të njerëzve dhe në interes të publikut. Për këtë arsye, ata duhet të ruajnë gjithmonë integritetin personal dhe të veprojnë në përputhje me ligjin në mënyrë të drejtë, të paanshme dhe objektive, duke respektuar dhe ruajtur të drejtat dhe liritë themelore, duke përfshirë prezumimin e pafajësisë, të drejtën për gjykim të drejtë, dhe parimet e barazisë së armëve, ndarjes së pushteteve, dhe forcën detyruese të vendimeve të gjykatës. Ata kanë detyrën të jenë të pavarur nga ndikimet politike, apo ndikime të tjera.”</w:t>
      </w:r>
    </w:p>
    <w:p w14:paraId="1511E4B0"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LIGJI </w:t>
      </w:r>
    </w:p>
    <w:p w14:paraId="22721452" w14:textId="49B3193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w:t>
      </w:r>
      <w:r w:rsidR="0073088C">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KUNDËRSHTIMI PARAPRAK I QEVERISË</w:t>
      </w:r>
    </w:p>
    <w:p w14:paraId="58DAE1B4" w14:textId="5E6AE632"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53. Qeveria parashtroi se kërkuesja kishte shpërdorur të drejtën e saj për të paraqitur një kërkesë pasi ankesa e saj se ajo nuk e kishte pasur të mundur të ushtronte profesionin e saj pas përfundimit të procesit të rivlerësimit mbështetej në fakte të pavërteta. Veçanërisht, Qeveria argumentoi se ndryshe nga parashtrimet në kërkesën e saj pranë Gjykatës, aktualisht, ajo e ushtronte profesionin si avokate. </w:t>
      </w:r>
    </w:p>
    <w:p w14:paraId="60118D3B" w14:textId="227EF50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54. Kërkuesja e kundërshtoi këtë këndvështrim. Ajo pretendoi se kishte parashtruar në kërkesën e saj, dhe kishte mbështetur qëndrimin se, si rezultat i shkarkimit të saj në procesin e rivlerësimit ajo ndalohej në mënyrë të përhershme të praktikonte ligjin si avokate, në mbështetje të nenit 13(2) të Ligjit për Avokatët (shih paragrafin më sipër). Për këtë arsye, ajo rrezikonte t’i hiqej e drejta e avokatisë në çdo moment pa pasur mundësinë që të regjistrohej përsëri. </w:t>
      </w:r>
    </w:p>
    <w:p w14:paraId="1C63FE48" w14:textId="4E0E5618" w:rsidR="00C0711E" w:rsidRPr="006A1F4E" w:rsidRDefault="00C0711E" w:rsidP="0053200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20DB">
        <w:rPr>
          <w:rFonts w:ascii="Garamond" w:hAnsi="Garamond" w:cs="Times New Roman"/>
          <w:color w:val="000000"/>
          <w:sz w:val="24"/>
          <w:szCs w:val="24"/>
          <w:lang w:val="sq-AL"/>
        </w:rPr>
        <w:t xml:space="preserve">55. Gjykata përsërit se sipas </w:t>
      </w:r>
      <w:r w:rsidR="002E589C" w:rsidRPr="007D20DB">
        <w:rPr>
          <w:rFonts w:ascii="Garamond" w:hAnsi="Garamond" w:cs="Times New Roman"/>
          <w:color w:val="000000"/>
          <w:sz w:val="24"/>
          <w:szCs w:val="24"/>
          <w:lang w:val="sq-AL"/>
        </w:rPr>
        <w:t xml:space="preserve">nenit </w:t>
      </w:r>
      <w:r w:rsidRPr="007D20DB">
        <w:rPr>
          <w:rFonts w:ascii="Garamond" w:hAnsi="Garamond" w:cs="Times New Roman"/>
          <w:color w:val="000000"/>
          <w:sz w:val="24"/>
          <w:szCs w:val="24"/>
          <w:lang w:val="sq-AL"/>
        </w:rPr>
        <w:t xml:space="preserve">35 § 3 (a) të Konventës, një kërkesë mund të kundërshtohet si shpërdorim i </w:t>
      </w:r>
      <w:r w:rsidR="00532007">
        <w:rPr>
          <w:rFonts w:ascii="Garamond" w:hAnsi="Garamond" w:cs="Times New Roman"/>
          <w:color w:val="000000"/>
          <w:sz w:val="24"/>
          <w:szCs w:val="24"/>
          <w:lang w:val="sq-AL"/>
        </w:rPr>
        <w:t>s</w:t>
      </w:r>
      <w:r w:rsidRPr="007D20DB">
        <w:rPr>
          <w:rFonts w:ascii="Garamond" w:hAnsi="Garamond" w:cs="Times New Roman"/>
          <w:color w:val="000000"/>
          <w:sz w:val="24"/>
          <w:szCs w:val="24"/>
          <w:lang w:val="sq-AL"/>
        </w:rPr>
        <w:t xml:space="preserve">ë drejtës për kërkesë individuale, nëse, midis të tjerash, ajo mbështetet me dashje në fakte të pavërteta (shih </w:t>
      </w:r>
      <w:r w:rsidRPr="007D20DB">
        <w:rPr>
          <w:rFonts w:ascii="Garamond" w:hAnsi="Garamond" w:cs="Times New Roman"/>
          <w:i/>
          <w:iCs/>
          <w:color w:val="000000"/>
          <w:sz w:val="24"/>
          <w:szCs w:val="24"/>
          <w:lang w:val="sq-AL"/>
        </w:rPr>
        <w:t>Akdivar dhe të Tjerët kundër Turqisë</w:t>
      </w:r>
      <w:r w:rsidRPr="007D20DB">
        <w:rPr>
          <w:rFonts w:ascii="Garamond" w:hAnsi="Garamond" w:cs="Times New Roman"/>
          <w:color w:val="000000"/>
          <w:sz w:val="24"/>
          <w:szCs w:val="24"/>
          <w:lang w:val="sq-AL"/>
        </w:rPr>
        <w:t xml:space="preserve">, 16 </w:t>
      </w:r>
      <w:r w:rsidR="00532007" w:rsidRPr="007D20DB">
        <w:rPr>
          <w:rFonts w:ascii="Garamond" w:hAnsi="Garamond" w:cs="Times New Roman"/>
          <w:color w:val="000000"/>
          <w:sz w:val="24"/>
          <w:szCs w:val="24"/>
          <w:lang w:val="sq-AL"/>
        </w:rPr>
        <w:t xml:space="preserve">shtator </w:t>
      </w:r>
      <w:r w:rsidRPr="007D20DB">
        <w:rPr>
          <w:rFonts w:ascii="Garamond" w:hAnsi="Garamond" w:cs="Times New Roman"/>
          <w:color w:val="000000"/>
          <w:sz w:val="24"/>
          <w:szCs w:val="24"/>
          <w:lang w:val="sq-AL"/>
        </w:rPr>
        <w:t>1996, §§ 53</w:t>
      </w:r>
      <w:r w:rsidR="00532007">
        <w:rPr>
          <w:rFonts w:ascii="Garamond" w:hAnsi="Garamond" w:cs="Times New Roman"/>
          <w:color w:val="000000"/>
          <w:sz w:val="24"/>
          <w:szCs w:val="24"/>
          <w:lang w:val="sq-AL"/>
        </w:rPr>
        <w:t>–</w:t>
      </w:r>
      <w:r w:rsidRPr="007D20DB">
        <w:rPr>
          <w:rFonts w:ascii="Garamond" w:hAnsi="Garamond" w:cs="Times New Roman"/>
          <w:color w:val="000000"/>
          <w:sz w:val="24"/>
          <w:szCs w:val="24"/>
          <w:lang w:val="sq-AL"/>
        </w:rPr>
        <w:t xml:space="preserve">54, </w:t>
      </w:r>
      <w:r w:rsidRPr="007D20DB">
        <w:rPr>
          <w:rFonts w:ascii="Garamond" w:hAnsi="Garamond" w:cs="Times New Roman"/>
          <w:i/>
          <w:iCs/>
          <w:color w:val="000000"/>
          <w:sz w:val="24"/>
          <w:szCs w:val="24"/>
          <w:lang w:val="sq-AL"/>
        </w:rPr>
        <w:t>Raportet e Gjykimeve dhe Vendimeve</w:t>
      </w:r>
      <w:r w:rsidRPr="007D20DB">
        <w:rPr>
          <w:rFonts w:ascii="Garamond" w:hAnsi="Garamond" w:cs="Times New Roman"/>
          <w:color w:val="000000"/>
          <w:sz w:val="24"/>
          <w:szCs w:val="24"/>
          <w:lang w:val="sq-AL"/>
        </w:rPr>
        <w:t xml:space="preserve"> 1996-IV, dhe </w:t>
      </w:r>
      <w:r w:rsidRPr="007D20DB">
        <w:rPr>
          <w:rFonts w:ascii="Garamond" w:hAnsi="Garamond" w:cs="Times New Roman"/>
          <w:i/>
          <w:iCs/>
          <w:color w:val="000000"/>
          <w:sz w:val="24"/>
          <w:szCs w:val="24"/>
          <w:lang w:val="sq-AL"/>
        </w:rPr>
        <w:t>Varbanov kundër Bullgarisë</w:t>
      </w:r>
      <w:r w:rsidRPr="007D20DB">
        <w:rPr>
          <w:rFonts w:ascii="Garamond" w:hAnsi="Garamond" w:cs="Times New Roman"/>
          <w:color w:val="000000"/>
          <w:sz w:val="24"/>
          <w:szCs w:val="24"/>
          <w:lang w:val="sq-AL"/>
        </w:rPr>
        <w:t>, nr. 31365/96, § 36, GJEDNJ 2000-</w:t>
      </w:r>
      <w:r w:rsidRPr="006A1F4E">
        <w:rPr>
          <w:rFonts w:ascii="Garamond" w:hAnsi="Garamond" w:cs="Times New Roman"/>
          <w:color w:val="000000"/>
          <w:sz w:val="24"/>
          <w:szCs w:val="24"/>
          <w:lang w:val="sq-AL"/>
        </w:rPr>
        <w:t>X). Parashtrimi i informacioneve të paplota, dhe për pasojë mashtruese, mund të shkaktojnë shpërdorim të së drejtës për të bërë një kërkesë, veçanërisht nëse informacionet kanë të bëjnë me vet</w:t>
      </w:r>
      <w:r w:rsidR="009A2926">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thelbin e çështjes dhe nëse nuk ofrohen shpjegime të mjaftueshme për mosdeklarimin e atyre informacioneve (shih </w:t>
      </w:r>
      <w:r w:rsidRPr="006A1F4E">
        <w:rPr>
          <w:rFonts w:ascii="Garamond" w:hAnsi="Garamond" w:cs="Times New Roman"/>
          <w:i/>
          <w:iCs/>
          <w:color w:val="000000"/>
          <w:sz w:val="24"/>
          <w:szCs w:val="24"/>
          <w:lang w:val="sq-AL"/>
        </w:rPr>
        <w:t>Gross kundër Zvicrës</w:t>
      </w:r>
      <w:r w:rsidRPr="006A1F4E">
        <w:rPr>
          <w:rFonts w:ascii="Garamond" w:hAnsi="Garamond" w:cs="Times New Roman"/>
          <w:color w:val="000000"/>
          <w:sz w:val="24"/>
          <w:szCs w:val="24"/>
          <w:lang w:val="sq-AL"/>
        </w:rPr>
        <w:t xml:space="preserve"> [DHM], nr. 67810/10, § 28, GJEDNJ 2014). E njëjta gjë zbatohet nëse kanë ndodhur zhvillime të reja dhe të rëndësishme gjatë procesit përpara Gjykatës, dhe në rastin kur, pavarësisht se kjo gjë kërkohet shprehimisht në </w:t>
      </w:r>
      <w:r w:rsidR="009A2926" w:rsidRPr="006A1F4E">
        <w:rPr>
          <w:rFonts w:ascii="Garamond" w:hAnsi="Garamond" w:cs="Times New Roman"/>
          <w:color w:val="000000"/>
          <w:sz w:val="24"/>
          <w:szCs w:val="24"/>
          <w:lang w:val="sq-AL"/>
        </w:rPr>
        <w:t xml:space="preserve">rregullin </w:t>
      </w:r>
      <w:r w:rsidRPr="006A1F4E">
        <w:rPr>
          <w:rFonts w:ascii="Garamond" w:hAnsi="Garamond" w:cs="Times New Roman"/>
          <w:color w:val="000000"/>
          <w:sz w:val="24"/>
          <w:szCs w:val="24"/>
          <w:lang w:val="sq-AL"/>
        </w:rPr>
        <w:t xml:space="preserve">47 § 7 (më herët </w:t>
      </w:r>
      <w:r w:rsidR="009A2926" w:rsidRPr="006A1F4E">
        <w:rPr>
          <w:rFonts w:ascii="Garamond" w:hAnsi="Garamond" w:cs="Times New Roman"/>
          <w:color w:val="000000"/>
          <w:sz w:val="24"/>
          <w:szCs w:val="24"/>
          <w:lang w:val="sq-AL"/>
        </w:rPr>
        <w:t xml:space="preserve">rregulli </w:t>
      </w:r>
      <w:r w:rsidRPr="006A1F4E">
        <w:rPr>
          <w:rFonts w:ascii="Garamond" w:hAnsi="Garamond" w:cs="Times New Roman"/>
          <w:color w:val="000000"/>
          <w:sz w:val="24"/>
          <w:szCs w:val="24"/>
          <w:lang w:val="sq-AL"/>
        </w:rPr>
        <w:t xml:space="preserve">47 § 6) i Rregullores së Gjykatës, kërkuesi nuk deklaron informacionet e kërkuara në Gjykatë, në këtë mënyrë duke e penguar atë të gjykojë për çështjen në dijeni të plotë të fakteve (shih </w:t>
      </w:r>
      <w:r w:rsidRPr="006A1F4E">
        <w:rPr>
          <w:rFonts w:ascii="Garamond" w:hAnsi="Garamond" w:cs="Times New Roman"/>
          <w:i/>
          <w:iCs/>
          <w:color w:val="000000"/>
          <w:sz w:val="24"/>
          <w:szCs w:val="24"/>
          <w:lang w:val="sq-AL"/>
        </w:rPr>
        <w:t>Mirolubovs dhe të Tjerët kundër Letonisë</w:t>
      </w:r>
      <w:r w:rsidRPr="006A1F4E">
        <w:rPr>
          <w:rFonts w:ascii="Garamond" w:hAnsi="Garamond" w:cs="Times New Roman"/>
          <w:color w:val="000000"/>
          <w:sz w:val="24"/>
          <w:szCs w:val="24"/>
          <w:lang w:val="sq-AL"/>
        </w:rPr>
        <w:t xml:space="preserve">, nr. 798/05, § 63, 15 </w:t>
      </w:r>
      <w:r w:rsidR="00706A94" w:rsidRPr="006A1F4E">
        <w:rPr>
          <w:rFonts w:ascii="Garamond" w:hAnsi="Garamond" w:cs="Times New Roman"/>
          <w:color w:val="000000"/>
          <w:sz w:val="24"/>
          <w:szCs w:val="24"/>
          <w:lang w:val="sq-AL"/>
        </w:rPr>
        <w:t xml:space="preserve">shtator </w:t>
      </w:r>
      <w:r w:rsidRPr="006A1F4E">
        <w:rPr>
          <w:rFonts w:ascii="Garamond" w:hAnsi="Garamond" w:cs="Times New Roman"/>
          <w:color w:val="000000"/>
          <w:sz w:val="24"/>
          <w:szCs w:val="24"/>
          <w:lang w:val="sq-AL"/>
        </w:rPr>
        <w:t xml:space="preserve">2009, dhe </w:t>
      </w:r>
      <w:r w:rsidRPr="006A1F4E">
        <w:rPr>
          <w:rFonts w:ascii="Garamond" w:hAnsi="Garamond" w:cs="Times New Roman"/>
          <w:i/>
          <w:iCs/>
          <w:color w:val="000000"/>
          <w:sz w:val="24"/>
          <w:szCs w:val="24"/>
          <w:lang w:val="sq-AL"/>
        </w:rPr>
        <w:t>Centro Europa 7 S.r.l. dhe Di Stefano kundër Italisë</w:t>
      </w:r>
      <w:r w:rsidRPr="006A1F4E">
        <w:rPr>
          <w:rFonts w:ascii="Garamond" w:hAnsi="Garamond" w:cs="Times New Roman"/>
          <w:color w:val="000000"/>
          <w:sz w:val="24"/>
          <w:szCs w:val="24"/>
          <w:lang w:val="sq-AL"/>
        </w:rPr>
        <w:t xml:space="preserve"> [DHM], nr. 38433/09, § 97, GJEDNJ 2012). Megjithatë, edhe në këto raste, qëllimi i kërkuesit për të mashtruar Gjykatën duhet të provohet me siguri të mjaftueshme (shih </w:t>
      </w:r>
      <w:r w:rsidRPr="006A1F4E">
        <w:rPr>
          <w:rFonts w:ascii="Garamond" w:hAnsi="Garamond" w:cs="Times New Roman"/>
          <w:i/>
          <w:iCs/>
          <w:color w:val="000000"/>
          <w:sz w:val="24"/>
          <w:szCs w:val="24"/>
          <w:lang w:val="sq-AL"/>
        </w:rPr>
        <w:t>Centro Europa 7 S.r.l. dhe Di Stefano</w:t>
      </w:r>
      <w:r w:rsidRPr="006A1F4E">
        <w:rPr>
          <w:rFonts w:ascii="Garamond" w:hAnsi="Garamond" w:cs="Times New Roman"/>
          <w:color w:val="000000"/>
          <w:sz w:val="24"/>
          <w:szCs w:val="24"/>
          <w:lang w:val="sq-AL"/>
        </w:rPr>
        <w:t xml:space="preserve">, § 97, dhe </w:t>
      </w:r>
      <w:r w:rsidRPr="006A1F4E">
        <w:rPr>
          <w:rFonts w:ascii="Garamond" w:hAnsi="Garamond" w:cs="Times New Roman"/>
          <w:i/>
          <w:iCs/>
          <w:color w:val="000000"/>
          <w:sz w:val="24"/>
          <w:szCs w:val="24"/>
          <w:lang w:val="sq-AL"/>
        </w:rPr>
        <w:t>Gross</w:t>
      </w:r>
      <w:r w:rsidRPr="006A1F4E">
        <w:rPr>
          <w:rFonts w:ascii="Garamond" w:hAnsi="Garamond" w:cs="Times New Roman"/>
          <w:color w:val="000000"/>
          <w:sz w:val="24"/>
          <w:szCs w:val="24"/>
          <w:lang w:val="sq-AL"/>
        </w:rPr>
        <w:t xml:space="preserve">, § 28, të dy cituar më sipër). </w:t>
      </w:r>
    </w:p>
    <w:p w14:paraId="431ECE92" w14:textId="32388D5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56. Pas shqyrtimit të dosjes së çështjes dhe të parashtrimeve të palëve në respektim të parimeve mësipërme, Gjykata shprehet se parashtrimet e kërkueses mund të kishin qenë më të qarta për sa ka të bëjë me faktin se në praktikë, ajo kishte filluar të punonte si avokate pas shkarkimit të saj si prokurore. Megjithatë, duke iu referuar shpjegimeve të dhëna prej saj, Gjykata nuk e gjykon si të provuar faktin se ajo nuk e dha atë informacion, i cili nuk përbën esencën e çështjes për shkarkimin e saj në procesin e rivlerësimit, si përpjekje të qëllimshme për të mashtruar Gjykatën. Për këtë arsye, në lidhje me këtë aspekt, kundërshtimi i Qeverisë duhet të rrëzohet. </w:t>
      </w:r>
    </w:p>
    <w:p w14:paraId="4371251B" w14:textId="76DB652A"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II.</w:t>
      </w:r>
      <w:r w:rsidR="0073088C">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SHKELJE E PRETENDUAR E NENIT 8 TË KONVENTËS</w:t>
      </w:r>
    </w:p>
    <w:p w14:paraId="0A2307D5" w14:textId="2BF7CA7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57. Kërkuesja u ankua se shkarkimi i saj nga detyra si prokurore dhe më pas, ndalimi i përhershëm për të praktikuar ligjin si avokate kishin shkelur të drejtën për respektimin e jetës së saj private</w:t>
      </w:r>
      <w:r w:rsidR="00706A9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parashikimit të </w:t>
      </w:r>
      <w:r w:rsidR="00706A94"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të Konventës, i cili parashikon</w:t>
      </w:r>
      <w:r w:rsidR="00706A9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më poshtë: </w:t>
      </w:r>
    </w:p>
    <w:p w14:paraId="25C7599E" w14:textId="59BB8017" w:rsidR="00C0711E" w:rsidRPr="006A1F4E" w:rsidRDefault="00C0711E" w:rsidP="00706A94">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 Çdokush ka të drejtën e respektimit të jetës së tij private</w:t>
      </w:r>
      <w:r w:rsidR="00706A9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w:t>
      </w:r>
    </w:p>
    <w:p w14:paraId="1FC46BAA"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të tjerëve</w:t>
      </w:r>
      <w:r w:rsidRPr="006A1F4E">
        <w:rPr>
          <w:rFonts w:ascii="Garamond" w:hAnsi="Garamond" w:cs="Calibri"/>
          <w:color w:val="000000"/>
          <w:sz w:val="24"/>
          <w:szCs w:val="24"/>
          <w:lang w:val="sq-AL"/>
        </w:rPr>
        <w:t>.</w:t>
      </w:r>
      <w:r w:rsidRPr="006A1F4E">
        <w:rPr>
          <w:rFonts w:ascii="Garamond" w:hAnsi="Garamond" w:cs="Times New Roman"/>
          <w:color w:val="000000"/>
          <w:sz w:val="24"/>
          <w:szCs w:val="24"/>
          <w:lang w:val="sq-AL"/>
        </w:rPr>
        <w:t>”</w:t>
      </w:r>
    </w:p>
    <w:p w14:paraId="6CBF211F" w14:textId="1E11364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A. Pranueshmëria </w:t>
      </w:r>
    </w:p>
    <w:p w14:paraId="27F86912" w14:textId="62F6E4A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 xml:space="preserve">1. Ankesa në lidhje me shkarkimin e kërkueses nga detyra </w:t>
      </w:r>
    </w:p>
    <w:p w14:paraId="5A108AD4" w14:textId="463D8A4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58. Duke iu referuar kritereve të përcaktuara në vendimin e Gjykatës në çështjen </w:t>
      </w:r>
      <w:r w:rsidRPr="006A1F4E">
        <w:rPr>
          <w:rFonts w:ascii="Garamond" w:hAnsi="Garamond" w:cs="Times New Roman"/>
          <w:i/>
          <w:iCs/>
          <w:color w:val="000000"/>
          <w:sz w:val="24"/>
          <w:szCs w:val="24"/>
          <w:lang w:val="sq-AL"/>
        </w:rPr>
        <w:t xml:space="preserve">Denisov kundër Ukrainës </w:t>
      </w:r>
      <w:r w:rsidRPr="006A1F4E">
        <w:rPr>
          <w:rFonts w:ascii="Garamond" w:hAnsi="Garamond" w:cs="Times New Roman"/>
          <w:color w:val="000000"/>
          <w:sz w:val="24"/>
          <w:szCs w:val="24"/>
          <w:lang w:val="sq-AL"/>
        </w:rPr>
        <w:t xml:space="preserve">([DHM], nr. 76639/11, §§ 123 dhe 125, 25 Shtator 2018), Qeveria parashtroi se </w:t>
      </w:r>
      <w:r w:rsidR="00272814"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8 nuk ishte i zbatueshëm në rastin e ankesës së kërkueses për shkarkimin e saj. Ajo nuk kishte provuar se shkarkimi i saj nga detyra publike si prokurore kishte ndikuar në jetën e saj private në një masë mjaftueshëm serioze përderisa ajo tashmë po praktikonte ligjin si avokate. </w:t>
      </w:r>
    </w:p>
    <w:p w14:paraId="47AAC08E" w14:textId="281F8F2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59. Kërkuesja argumentoi se shkarkimi i saj si prokurore kishte ndikuar në mënyrë të konsiderueshme jetën e saj private dhe se, duke mbajtur në konsideratë kriteret e përcaktuara në çështjen </w:t>
      </w:r>
      <w:r w:rsidRPr="006A1F4E">
        <w:rPr>
          <w:rFonts w:ascii="Garamond" w:hAnsi="Garamond" w:cs="Times New Roman"/>
          <w:i/>
          <w:iCs/>
          <w:color w:val="000000"/>
          <w:sz w:val="24"/>
          <w:szCs w:val="24"/>
          <w:lang w:val="sq-AL"/>
        </w:rPr>
        <w:t xml:space="preserve">Denisov </w:t>
      </w:r>
      <w:r w:rsidRPr="006A1F4E">
        <w:rPr>
          <w:rFonts w:ascii="Garamond" w:hAnsi="Garamond" w:cs="Times New Roman"/>
          <w:color w:val="000000"/>
          <w:sz w:val="24"/>
          <w:szCs w:val="24"/>
          <w:lang w:val="sq-AL"/>
        </w:rPr>
        <w:t xml:space="preserve">(cituar më sipër, §§ 107 dhe 114), </w:t>
      </w:r>
      <w:r w:rsidR="00272814"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8 do të ishte i zbatueshëm. Humbja e punës dhe e pagës kishte shkaktuar përkeqësimin e mirëqenies materiale të saj dhe të familjes së saj. Më pas, ajo kishte humbur mundësitë profesionale; reputacioni i saj ishte dëmtuar dhe ajo ishte stigmatizuar në sytë e shoqërisë për shkak të largimit të saj nga gjyqësori. </w:t>
      </w:r>
    </w:p>
    <w:p w14:paraId="7CA9E3BF" w14:textId="295F950C" w:rsidR="00C0711E" w:rsidRPr="006A1F4E" w:rsidRDefault="00C0711E" w:rsidP="0056422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60. Gjykata </w:t>
      </w:r>
      <w:r w:rsidR="0021223D">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referohet kritereve të përcaktuara në praktikën gjyqësore për mosmarrëveshjet për punësimin që përfshihen në fushën e veprimit të jetës private sipas kuptimit të </w:t>
      </w:r>
      <w:r w:rsidR="009F6CD1"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duke përfshirë nevojën e një kërkuesi të tregojë se është arritur pragu i gjendjes serioze të situatës në rastin kur, sipas </w:t>
      </w:r>
      <w:r w:rsidR="009F6CD1"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lind një problematik</w:t>
      </w:r>
      <w:r w:rsidR="009F6CD1">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për shkak të pasojave të shkaktuara nga masa e kundërshtuar p</w:t>
      </w:r>
      <w:r w:rsidRPr="006A1F4E">
        <w:rPr>
          <w:rFonts w:ascii="Garamond" w:hAnsi="Garamond" w:cs="Calibri"/>
          <w:color w:val="000000"/>
          <w:sz w:val="24"/>
          <w:szCs w:val="24"/>
          <w:lang w:val="sq-AL"/>
        </w:rPr>
        <w:t>ër</w:t>
      </w:r>
      <w:r w:rsidRPr="006A1F4E">
        <w:rPr>
          <w:rFonts w:ascii="Garamond" w:hAnsi="Garamond" w:cs="Times New Roman"/>
          <w:color w:val="000000"/>
          <w:sz w:val="24"/>
          <w:szCs w:val="24"/>
          <w:lang w:val="sq-AL"/>
        </w:rPr>
        <w:t xml:space="preserve"> punësimin ndaj jetës së tij/saj private (“qasja me bazë pasojat”, shih </w:t>
      </w:r>
      <w:r w:rsidRPr="006A1F4E">
        <w:rPr>
          <w:rFonts w:ascii="Garamond" w:hAnsi="Garamond" w:cs="Times New Roman"/>
          <w:i/>
          <w:iCs/>
          <w:color w:val="000000"/>
          <w:sz w:val="24"/>
          <w:szCs w:val="24"/>
          <w:lang w:val="sq-AL"/>
        </w:rPr>
        <w:t>Denisov</w:t>
      </w:r>
      <w:r w:rsidRPr="006A1F4E">
        <w:rPr>
          <w:rFonts w:ascii="Garamond" w:hAnsi="Garamond" w:cs="Times New Roman"/>
          <w:color w:val="000000"/>
          <w:sz w:val="24"/>
          <w:szCs w:val="24"/>
          <w:lang w:val="sq-AL"/>
        </w:rPr>
        <w:t>, cituar më sipër, §§ 115</w:t>
      </w:r>
      <w:r w:rsidR="009F6CD1">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17). Në vijim, Gjykata </w:t>
      </w:r>
      <w:r w:rsidR="00564220">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referohet përfundimeve të saj në çështjen </w:t>
      </w:r>
      <w:r w:rsidRPr="006A1F4E">
        <w:rPr>
          <w:rFonts w:ascii="Garamond" w:hAnsi="Garamond" w:cs="Times New Roman"/>
          <w:i/>
          <w:iCs/>
          <w:color w:val="000000"/>
          <w:sz w:val="24"/>
          <w:szCs w:val="24"/>
          <w:lang w:val="sq-AL"/>
        </w:rPr>
        <w:t xml:space="preserve">Xhoxhaj </w:t>
      </w:r>
      <w:r w:rsidRPr="006A1F4E">
        <w:rPr>
          <w:rFonts w:ascii="Garamond" w:hAnsi="Garamond" w:cs="Times New Roman"/>
          <w:color w:val="000000"/>
          <w:sz w:val="24"/>
          <w:szCs w:val="24"/>
          <w:lang w:val="sq-AL"/>
        </w:rPr>
        <w:t xml:space="preserve">(cituar më sipër), ku konstatoi se </w:t>
      </w:r>
      <w:r w:rsidR="00564220"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8 ishte i zbatueshëm për shkarkimin nga pozicioni në gjyqësor i kërkuesit, në mbështetje të Ligjit të Rivlerësimit (ibid., §§ 362</w:t>
      </w:r>
      <w:r w:rsidR="0073088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64). </w:t>
      </w:r>
    </w:p>
    <w:p w14:paraId="1C930043" w14:textId="52E5B4D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61. Në çështjen konkrete, Gjykata vëren se kërkuesja ishte shkarkuar nga detyra si prokurore karriere në mbështetje të Ligjit të Rivlerësimit, duke humbur me efekt të menjëhershëm funksionin e saj në sistemin e drejtësisë dhe pagën e saj. Pa dyshim që një gjë e tillë kishte pasoja serioze për “rrethin e saj të brendshëm”, që do të thotë, për mirëqenien e saj dhe të familjarëve të saj. Sipas këndvështrimit të Gjykatës, fakti se në vijim, ajo pati mundësi të bënte një profesion tjetër ligjor dhe të praktikonte ligjin si avokate nuk vë në pikëpyetje këtë konstatim. Për më tepër, organet e rivlerësimit shqyrtuan kompetencën e saj profesionale dhe arritën në përfundimin se ajo kishte cenuar besimin e publikut në sistemin e drejtësisë (shih paragrafin 13 më sipër). Shkarkimi i saj</w:t>
      </w:r>
      <w:r w:rsidR="0056422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veçanërisht për atë shkak, dhe mbështetur në Ligjin e Rivlerësimit, që ishte miratuar për të luftuar korrupsionin, nënkuptonte se në sytë e shoqërisë, ajo ishte stigmatizuar si e padenjë për të kryer funksionin e prokurores. </w:t>
      </w:r>
    </w:p>
    <w:p w14:paraId="4E7DD724" w14:textId="310356EF"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62. Gjykata arrin në përfundimin se shkarkimi i saj nga detyra në prokurori kishte ndikim në jetën e saj private në një shkallë të konsiderueshme. Për këtë arsye, </w:t>
      </w:r>
      <w:r w:rsidR="00564220"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8 është i zbatueshëm dhe kundërshtimi i Qeverisë në këtë aspekt duhet të rrëzohet. </w:t>
      </w:r>
    </w:p>
    <w:p w14:paraId="4CB360E3" w14:textId="56B83E7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63. Gjykata vëren se kjo pjesë e kërkesës nuk është as e pambështetur qartazi në fakte dhe as e papranueshme për ndonjë nga shkaqet e tjera të listuara në </w:t>
      </w:r>
      <w:r w:rsidR="0073088C"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35 të Konventës. Për këtë arsye, ajo duhet të deklarohet e pranueshme. </w:t>
      </w:r>
    </w:p>
    <w:p w14:paraId="34F21D38" w14:textId="2EABBF6A"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2. Ankesa në lidhje me ndalimin e përhershëm të kërkueses për të praktikuar ligjin si avokate</w:t>
      </w:r>
    </w:p>
    <w:p w14:paraId="0B3C81E0" w14:textId="2654D8CA"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64. Qeveria parashtroi se ankesa e kërkueses se ajo nuk kishte mundësi të ushtronte profesionin e saj pas përfundimit të procesit të rivlerësimit ishte qartazi i pambështetur në fakte. Aktualisht, ajo po praktikonte ligjin si avokate ne Tiranë, pasi Dhoma Kombëtare e Avokatisë e kishte regjistruar me kërkesën e saj (shih paragrafin 31 më sipër). As Ligji i Rivlerësimit dhe as ndonjë nga vendimet e marra nga organet e rivlerësimit nuk e kishin ndaluar atë të bënte këtë gjë. Qeveria konfirmoi se neni 13(2) i Ligjit për Avokatinë (shih paragrafin 50 më sipër) parashikonte se personat e shkarkuar me anë të një vendimi të formës së prerë nga një detyrë publike për probleme të lidhura me etikën në marrëdhëniet e punësimit nuk mund të praktikonin ligjin si avokatë. Megjithatë, kërkuesja nuk ishte shkarkuar për kryerjen e ndonjë krimi dhe as për arsye etike për qëllimet e atij parashikimi. </w:t>
      </w:r>
    </w:p>
    <w:p w14:paraId="2B4F15DD" w14:textId="7EF2B08F"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65. Kërkuesja parashtroi se ajo kishte një licencë nga Dhoma Kombëtare e Avokatisë që prej datës 6 </w:t>
      </w:r>
      <w:r w:rsidR="00AD3020" w:rsidRPr="006A1F4E">
        <w:rPr>
          <w:rFonts w:ascii="Garamond" w:hAnsi="Garamond" w:cs="Times New Roman"/>
          <w:color w:val="000000"/>
          <w:sz w:val="24"/>
          <w:szCs w:val="24"/>
          <w:lang w:val="sq-AL"/>
        </w:rPr>
        <w:t xml:space="preserve">maj </w:t>
      </w:r>
      <w:r w:rsidRPr="006A1F4E">
        <w:rPr>
          <w:rFonts w:ascii="Garamond" w:hAnsi="Garamond" w:cs="Times New Roman"/>
          <w:color w:val="000000"/>
          <w:sz w:val="24"/>
          <w:szCs w:val="24"/>
          <w:lang w:val="sq-AL"/>
        </w:rPr>
        <w:t>2016, të cilën nuk e kishte fshehur, dhe se kishte filluar të praktikonte ligjin si avokate pas shkarkimit të saj si prokurore. Megjithatë, sipas nenit 13(2) të Ligjit të Avokatisë, ajo rrezikonte t’i hiqej e drejta për kryerjen e profesionit të avokatisë në çdo moment si rezultat i shkarkimit të saj në procesin e rivlerësimit pa mundësi për t’u regjistruar përsëri, dhe për këtë arsye ajo kishte statusin e viktimës</w:t>
      </w:r>
      <w:r w:rsidR="00AD302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shkak se ndikohej në mënyrë të drejtpërdrejtë nga ai </w:t>
      </w:r>
      <w:r w:rsidR="00AD3020" w:rsidRPr="006A1F4E">
        <w:rPr>
          <w:rFonts w:ascii="Garamond" w:hAnsi="Garamond" w:cs="Times New Roman"/>
          <w:color w:val="000000"/>
          <w:sz w:val="24"/>
          <w:szCs w:val="24"/>
          <w:lang w:val="sq-AL"/>
        </w:rPr>
        <w:t>ligj</w:t>
      </w:r>
      <w:r w:rsidRPr="006A1F4E">
        <w:rPr>
          <w:rFonts w:ascii="Garamond" w:hAnsi="Garamond" w:cs="Times New Roman"/>
          <w:color w:val="000000"/>
          <w:sz w:val="24"/>
          <w:szCs w:val="24"/>
          <w:lang w:val="sq-AL"/>
        </w:rPr>
        <w:t xml:space="preserve">. Sipas debateve në Parlament, neni 13(2) do të zbatohej për gjyqtarët dhe prokurorët e shkaktuar nga proceset e rivlerësimit. Në vijim, ajo iu referua shembullit të një prokurori tjetër, </w:t>
      </w:r>
      <w:r w:rsidR="0073088C" w:rsidRPr="006A1F4E">
        <w:rPr>
          <w:rFonts w:ascii="Garamond" w:hAnsi="Garamond" w:cs="Times New Roman"/>
          <w:color w:val="000000"/>
          <w:sz w:val="24"/>
          <w:szCs w:val="24"/>
          <w:lang w:val="sq-AL"/>
        </w:rPr>
        <w:t>z</w:t>
      </w:r>
      <w:r w:rsidR="0073088C">
        <w:rPr>
          <w:rFonts w:ascii="Garamond" w:hAnsi="Garamond" w:cs="Times New Roman"/>
          <w:color w:val="000000"/>
          <w:sz w:val="24"/>
          <w:szCs w:val="24"/>
          <w:lang w:val="sq-AL"/>
        </w:rPr>
        <w:t>n</w:t>
      </w:r>
      <w:r w:rsidR="0073088C" w:rsidRPr="006A1F4E">
        <w:rPr>
          <w:rFonts w:ascii="Garamond" w:hAnsi="Garamond" w:cs="Times New Roman"/>
          <w:color w:val="000000"/>
          <w:sz w:val="24"/>
          <w:szCs w:val="24"/>
          <w:lang w:val="sq-AL"/>
        </w:rPr>
        <w:t xml:space="preserve">j. </w:t>
      </w:r>
      <w:r w:rsidRPr="006A1F4E">
        <w:rPr>
          <w:rFonts w:ascii="Garamond" w:hAnsi="Garamond" w:cs="Times New Roman"/>
          <w:color w:val="000000"/>
          <w:sz w:val="24"/>
          <w:szCs w:val="24"/>
          <w:lang w:val="sq-AL"/>
        </w:rPr>
        <w:t xml:space="preserve">B. Nikehasani (kërkuesja në kërkesën nr. 58997/18 përpara kësaj Gjykate), kërkesa e së cilës për të nisur procesin për marrjen e licencës për të praktikuar ligjin si avokate, ishte refuzuar nga Dhoma Kombëtare e Avokatisë për shkak të shkarkimit të saj në procesin e rivlerësimit. </w:t>
      </w:r>
    </w:p>
    <w:p w14:paraId="14068E90" w14:textId="5D6033F4" w:rsidR="00C0711E" w:rsidRPr="006A1F4E" w:rsidRDefault="00C0711E" w:rsidP="00AD302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66. Gjykata </w:t>
      </w:r>
      <w:r w:rsidR="00AD3020">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referohet kërkesave të parashikuara në praktikën e saj gjyqësore</w:t>
      </w:r>
      <w:r w:rsidR="008D07C1">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mënyrë që një kërkues të mund të pretendojë të jetë viktimë e shkeljes së një të drejte të Konventës</w:t>
      </w:r>
      <w:r w:rsidR="008D07C1">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kuptimit të </w:t>
      </w:r>
      <w:r w:rsidR="008D07C1"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34 të Konventës (shih, </w:t>
      </w:r>
      <w:r w:rsidRPr="006A1F4E">
        <w:rPr>
          <w:rFonts w:ascii="Garamond" w:hAnsi="Garamond" w:cs="Times New Roman"/>
          <w:i/>
          <w:iCs/>
          <w:color w:val="000000"/>
          <w:sz w:val="24"/>
          <w:szCs w:val="24"/>
          <w:lang w:val="sq-AL"/>
        </w:rPr>
        <w:t>inter alia</w:t>
      </w:r>
      <w:r w:rsidRPr="006A1F4E">
        <w:rPr>
          <w:rFonts w:ascii="Garamond" w:hAnsi="Garamond" w:cs="Times New Roman"/>
          <w:color w:val="000000"/>
          <w:sz w:val="24"/>
          <w:szCs w:val="24"/>
          <w:lang w:val="sq-AL"/>
        </w:rPr>
        <w:t xml:space="preserve">, </w:t>
      </w:r>
      <w:r w:rsidRPr="006A1F4E">
        <w:rPr>
          <w:rFonts w:ascii="Garamond" w:hAnsi="Garamond" w:cs="Times New Roman"/>
          <w:i/>
          <w:iCs/>
          <w:color w:val="000000"/>
          <w:sz w:val="24"/>
          <w:szCs w:val="24"/>
          <w:lang w:val="sq-AL"/>
        </w:rPr>
        <w:t>Tănase kundër Moldavisë</w:t>
      </w:r>
      <w:r w:rsidRPr="006A1F4E">
        <w:rPr>
          <w:rFonts w:ascii="Garamond" w:hAnsi="Garamond" w:cs="Times New Roman"/>
          <w:color w:val="000000"/>
          <w:sz w:val="24"/>
          <w:szCs w:val="24"/>
          <w:lang w:val="sq-AL"/>
        </w:rPr>
        <w:t xml:space="preserve"> [DHM], nr. 7/08, § 104, GJEDNJ 2010, me referenca të tjera, dhe </w:t>
      </w:r>
      <w:r w:rsidRPr="006A1F4E">
        <w:rPr>
          <w:rFonts w:ascii="Garamond" w:hAnsi="Garamond" w:cs="Times New Roman"/>
          <w:i/>
          <w:iCs/>
          <w:color w:val="000000"/>
          <w:sz w:val="24"/>
          <w:szCs w:val="24"/>
          <w:lang w:val="sq-AL"/>
        </w:rPr>
        <w:t>Michaud kundër Francës</w:t>
      </w:r>
      <w:r w:rsidRPr="006A1F4E">
        <w:rPr>
          <w:rFonts w:ascii="Garamond" w:hAnsi="Garamond" w:cs="Times New Roman"/>
          <w:color w:val="000000"/>
          <w:sz w:val="24"/>
          <w:szCs w:val="24"/>
          <w:lang w:val="sq-AL"/>
        </w:rPr>
        <w:t>, nr. 12323/11, § 51, GJEDNJ 2012). Ajo vëren se në çështjen konkrete, është i pakundërshtueshëm fakti se kërkuesja jo vetëm që kishte një licencë që e lejonte atë të praktikonte ligjin si avokate, por ajo edhe u regjistrua pas shkarkimit të saj si prokurore, dhe që prej atij momenti ka praktikuar ligjin si avokate (shih edhe paragrafin 31 më sipër). Organet e rivlerësimit nuk morën asnjë vendim në lidhje me të drejtën e saj për të praktikuar ligjin si avokate. Frika e saj se mund të bëhej viktimë e një shkelje</w:t>
      </w:r>
      <w:r w:rsidR="008D07C1">
        <w:rPr>
          <w:rFonts w:ascii="Garamond" w:hAnsi="Garamond" w:cs="Times New Roman"/>
          <w:color w:val="000000"/>
          <w:sz w:val="24"/>
          <w:szCs w:val="24"/>
          <w:lang w:val="sq-AL"/>
        </w:rPr>
        <w:t>je</w:t>
      </w:r>
      <w:r w:rsidRPr="006A1F4E">
        <w:rPr>
          <w:rFonts w:ascii="Garamond" w:hAnsi="Garamond" w:cs="Times New Roman"/>
          <w:color w:val="000000"/>
          <w:sz w:val="24"/>
          <w:szCs w:val="24"/>
          <w:lang w:val="sq-AL"/>
        </w:rPr>
        <w:t xml:space="preserve"> të Konventës</w:t>
      </w:r>
      <w:r w:rsidR="00CB45CF">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duke iu hequr e drejta e avokatisë në të ardhmen nga Dhoma Kombëtare e Avokatisë nuk është mjaftueshëm që ajo të pretendojë se rrezikon të ndikohet në mënyrë të drejtpërdrejtë nga neni 13(2) i Ligjit të Avokatëve, dhe se ajo ishte viktimë e shkeljes së të drejtave të saj të Konventës në këtë aspekt (krahaso edhe me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cituar më sipër, §§ 370</w:t>
      </w:r>
      <w:r w:rsidR="001F712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73). </w:t>
      </w:r>
    </w:p>
    <w:p w14:paraId="5A97E488" w14:textId="3EEB697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67. Për këtë arsye</w:t>
      </w:r>
      <w:r w:rsidRPr="00465665">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kjo pjesë e kërkesës është </w:t>
      </w:r>
      <w:r w:rsidRPr="006A1F4E">
        <w:rPr>
          <w:rFonts w:ascii="Garamond" w:hAnsi="Garamond" w:cs="Times New Roman"/>
          <w:i/>
          <w:iCs/>
          <w:color w:val="000000"/>
          <w:sz w:val="24"/>
          <w:szCs w:val="24"/>
          <w:lang w:val="sq-AL"/>
        </w:rPr>
        <w:t>ratione personae</w:t>
      </w:r>
      <w:r w:rsidRPr="006A1F4E">
        <w:rPr>
          <w:rFonts w:ascii="Garamond" w:hAnsi="Garamond" w:cs="Times New Roman"/>
          <w:color w:val="000000"/>
          <w:sz w:val="24"/>
          <w:szCs w:val="24"/>
          <w:lang w:val="sq-AL"/>
        </w:rPr>
        <w:t xml:space="preserve"> e papajtueshme me parashikimet e Konventës dhe duhet të rrëzohet në mbështetje të </w:t>
      </w:r>
      <w:r w:rsidR="00254F5F"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3 (a) dhe 4. </w:t>
      </w:r>
    </w:p>
    <w:p w14:paraId="46470CA3" w14:textId="235BBAD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B. Meritat </w:t>
      </w:r>
    </w:p>
    <w:p w14:paraId="13585DD3" w14:textId="690373E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 xml:space="preserve">1. Nëse shkarkimi i kërkueses nga detyra përbente një ndërhyrje </w:t>
      </w:r>
    </w:p>
    <w:p w14:paraId="60195EDF" w14:textId="15C7FD6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68. Duke përsëritur në esencë parashtrimet në lidhje me zbatueshmërinë e </w:t>
      </w:r>
      <w:r w:rsidR="00254F5F"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të shkarkimit të kërkueses nga detyra (shih paragrafët 58</w:t>
      </w:r>
      <w:r w:rsidR="00254F5F">
        <w:rPr>
          <w:rFonts w:ascii="Garamond" w:hAnsi="Garamond" w:cs="Times New Roman"/>
          <w:color w:val="000000"/>
          <w:sz w:val="24"/>
          <w:szCs w:val="24"/>
          <w:lang w:val="sq-AL"/>
        </w:rPr>
        <w:t>–</w:t>
      </w:r>
      <w:r w:rsidRPr="006A1F4E">
        <w:rPr>
          <w:rFonts w:ascii="Garamond" w:hAnsi="Garamond" w:cs="Times New Roman"/>
          <w:color w:val="000000"/>
          <w:sz w:val="24"/>
          <w:szCs w:val="24"/>
          <w:lang w:val="sq-AL"/>
        </w:rPr>
        <w:t>59 më sipër), kërkuesja argumentoi se shkarkimi i saj kishte ndërhyrë n</w:t>
      </w:r>
      <w:r w:rsidRPr="006A1F4E">
        <w:rPr>
          <w:rFonts w:ascii="Garamond" w:hAnsi="Garamond" w:cs="Calibri"/>
          <w:color w:val="000000"/>
          <w:sz w:val="24"/>
          <w:szCs w:val="24"/>
          <w:lang w:val="sq-AL"/>
        </w:rPr>
        <w:t>ë</w:t>
      </w:r>
      <w:r w:rsidRPr="006A1F4E">
        <w:rPr>
          <w:rFonts w:ascii="Garamond" w:hAnsi="Garamond" w:cs="Times New Roman"/>
          <w:color w:val="000000"/>
          <w:sz w:val="24"/>
          <w:szCs w:val="24"/>
          <w:lang w:val="sq-AL"/>
        </w:rPr>
        <w:t xml:space="preserve"> të drejtën e saj për respektim t</w:t>
      </w:r>
      <w:r w:rsidRPr="006A1F4E">
        <w:rPr>
          <w:rFonts w:ascii="Garamond" w:hAnsi="Garamond" w:cs="Calibri"/>
          <w:color w:val="000000"/>
          <w:sz w:val="24"/>
          <w:szCs w:val="24"/>
          <w:lang w:val="sq-AL"/>
        </w:rPr>
        <w:t>ë</w:t>
      </w:r>
      <w:r w:rsidRPr="006A1F4E">
        <w:rPr>
          <w:rFonts w:ascii="Garamond" w:hAnsi="Garamond" w:cs="Times New Roman"/>
          <w:color w:val="000000"/>
          <w:sz w:val="24"/>
          <w:szCs w:val="24"/>
          <w:lang w:val="sq-AL"/>
        </w:rPr>
        <w:t xml:space="preserve"> jetës s</w:t>
      </w:r>
      <w:r w:rsidRPr="006A1F4E">
        <w:rPr>
          <w:rFonts w:ascii="Garamond" w:hAnsi="Garamond" w:cs="Calibri"/>
          <w:color w:val="000000"/>
          <w:sz w:val="24"/>
          <w:szCs w:val="24"/>
          <w:lang w:val="sq-AL"/>
        </w:rPr>
        <w:t>ë</w:t>
      </w:r>
      <w:r w:rsidRPr="006A1F4E">
        <w:rPr>
          <w:rFonts w:ascii="Garamond" w:hAnsi="Garamond" w:cs="Times New Roman"/>
          <w:color w:val="000000"/>
          <w:sz w:val="24"/>
          <w:szCs w:val="24"/>
          <w:lang w:val="sq-AL"/>
        </w:rPr>
        <w:t xml:space="preserve"> saj private, ndërsa Qeveria parashtroi se nuk kishte ndodhur një ndërhyrje e tillë. </w:t>
      </w:r>
    </w:p>
    <w:p w14:paraId="4859800E" w14:textId="666A6EC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69. Gjykata është e mendimit se, sipas konstatimeve në lidhje me zbatueshmërinë e </w:t>
      </w:r>
      <w:r w:rsidR="00092647"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(shih paragrafët 61</w:t>
      </w:r>
      <w:r w:rsidR="00092647">
        <w:rPr>
          <w:rFonts w:ascii="Garamond" w:hAnsi="Garamond" w:cs="Times New Roman"/>
          <w:color w:val="000000"/>
          <w:sz w:val="24"/>
          <w:szCs w:val="24"/>
          <w:lang w:val="sq-AL"/>
        </w:rPr>
        <w:t>–</w:t>
      </w:r>
      <w:r w:rsidRPr="006A1F4E">
        <w:rPr>
          <w:rFonts w:ascii="Garamond" w:hAnsi="Garamond" w:cs="Times New Roman"/>
          <w:color w:val="000000"/>
          <w:sz w:val="24"/>
          <w:szCs w:val="24"/>
          <w:lang w:val="sq-AL"/>
        </w:rPr>
        <w:t>62 më sipër), shkarkimi i kërkueses nga detyra, në fakt, përbënte një ndërhyrje në të drejtën e saj për respektim t</w:t>
      </w:r>
      <w:r w:rsidRPr="006A1F4E">
        <w:rPr>
          <w:rFonts w:ascii="Garamond" w:hAnsi="Garamond" w:cs="Calibri"/>
          <w:color w:val="000000"/>
          <w:sz w:val="24"/>
          <w:szCs w:val="24"/>
          <w:lang w:val="sq-AL"/>
        </w:rPr>
        <w:t>ë</w:t>
      </w:r>
      <w:r w:rsidRPr="006A1F4E">
        <w:rPr>
          <w:rFonts w:ascii="Garamond" w:hAnsi="Garamond" w:cs="Times New Roman"/>
          <w:color w:val="000000"/>
          <w:sz w:val="24"/>
          <w:szCs w:val="24"/>
          <w:lang w:val="sq-AL"/>
        </w:rPr>
        <w:t xml:space="preserve"> jetës s</w:t>
      </w:r>
      <w:r w:rsidRPr="006A1F4E">
        <w:rPr>
          <w:rFonts w:ascii="Garamond" w:hAnsi="Garamond" w:cs="Calibri"/>
          <w:color w:val="000000"/>
          <w:sz w:val="24"/>
          <w:szCs w:val="24"/>
          <w:lang w:val="sq-AL"/>
        </w:rPr>
        <w:t>ë</w:t>
      </w:r>
      <w:r w:rsidRPr="006A1F4E">
        <w:rPr>
          <w:rFonts w:ascii="Garamond" w:hAnsi="Garamond" w:cs="Times New Roman"/>
          <w:color w:val="000000"/>
          <w:sz w:val="24"/>
          <w:szCs w:val="24"/>
          <w:lang w:val="sq-AL"/>
        </w:rPr>
        <w:t xml:space="preserve"> saj private (krahaso edhe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377, me referenca të tjera). </w:t>
      </w:r>
    </w:p>
    <w:p w14:paraId="0A697319" w14:textId="6134B56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 xml:space="preserve">2. Nëse ndërhyrja ishte e justifikuar </w:t>
      </w:r>
    </w:p>
    <w:p w14:paraId="0A714B3F" w14:textId="41BDD5AC"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a) Në përputhje me ligjin</w:t>
      </w:r>
    </w:p>
    <w:p w14:paraId="05D3EF5A" w14:textId="5C31DDDE"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70. Kërkuesja parashtroi se vendimi për ta shkarkuar nga detyra nuk ishte në “përputhje me ligjin”. Parashikimet ligjore mbi të cilat mbështetej ai vendim shpreheshin në terma aq të gjerë saqë ata nuk përmbushnin kërkesën për parashikueshmëri. Veçanërisht, autoritetet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e kishin interpretuar në mënyrë të gjerë nenin 61(3) të Ligjit të Rivlerësimit (shih paragrafin 42 më sipër) mbi të cilin ishte mbështetur shkarkimi i saj. Konstatimi për “deklarim të pamjaftueshëm”</w:t>
      </w:r>
      <w:r w:rsidR="00151D1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nenit 61(3) të Ligjit të Rivlerësimit, </w:t>
      </w:r>
      <w:r w:rsidR="00151D12">
        <w:rPr>
          <w:rFonts w:ascii="Garamond" w:hAnsi="Garamond" w:cs="Times New Roman"/>
          <w:color w:val="000000"/>
          <w:sz w:val="24"/>
          <w:szCs w:val="24"/>
          <w:lang w:val="sq-AL"/>
        </w:rPr>
        <w:t>lexuar së bashku me nenin 33, ç</w:t>
      </w:r>
      <w:r w:rsidRPr="006A1F4E">
        <w:rPr>
          <w:rFonts w:ascii="Garamond" w:hAnsi="Garamond" w:cs="Times New Roman"/>
          <w:color w:val="000000"/>
          <w:sz w:val="24"/>
          <w:szCs w:val="24"/>
          <w:lang w:val="sq-AL"/>
        </w:rPr>
        <w:t>ka çonte në shkarkimin nga detyra, duhej të bëhej nëse një person nuk deklaronte plotësisht pasuritë e tij/saj – një konstatim të cilin autoritetet nuk e kishin bërë në çështjen e saj. Në çështjet në të cilat një person nuk justifikon plotësisht vetëm pasuritë e deklaruara – gjë të cilën autoritetet e kishin konstatuar në rastin e saj</w:t>
      </w:r>
      <w:r w:rsidR="00AF58B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pasi ajo nuk kishte mundur të paraqiste prova se bashkëshorti i saj kishte paguar tatimet për disa nga fitimet e tij në të shkuarën – duhet të zbatohet neni 61(1) i Ligjit të Rivlerësimit. Sipas këtij parashikimi, personi i rivlerësuar ishte subjekt shkarkimi nga detyra nëse ai ose ajo kishte deklaruar pasuri në total sa dyfishi i vl</w:t>
      </w:r>
      <w:r w:rsidR="00AF58B2">
        <w:rPr>
          <w:rFonts w:ascii="Garamond" w:hAnsi="Garamond" w:cs="Times New Roman"/>
          <w:color w:val="000000"/>
          <w:sz w:val="24"/>
          <w:szCs w:val="24"/>
          <w:lang w:val="sq-AL"/>
        </w:rPr>
        <w:t>erës së pasurive të ligjshme, ç</w:t>
      </w:r>
      <w:r w:rsidRPr="006A1F4E">
        <w:rPr>
          <w:rFonts w:ascii="Garamond" w:hAnsi="Garamond" w:cs="Times New Roman"/>
          <w:color w:val="000000"/>
          <w:sz w:val="24"/>
          <w:szCs w:val="24"/>
          <w:lang w:val="sq-AL"/>
        </w:rPr>
        <w:t>ka nuk kishte qenë rasti me të. Gjithashtu, neni 61(3) i Ligjit të Rivlerësimit nuk parashikonte se kur deklarimi i pasurive ishte “i pamjaftueshëm”</w:t>
      </w:r>
      <w:r w:rsidR="00AF58B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duke arritur në këtë mënyrë pragun e caktuar si një situatë serioze për të justifikuar shkarkimin nga detyra. Interpretimi i KPA</w:t>
      </w:r>
      <w:r w:rsidR="00AF58B2">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i nenit 61(3) të Ligjit të Rivlerësimit nënkuptonte se çdo mangësi mund të interpretohej si “deklarim i pamjaftueshëm”. Kërkuesja iu referua edhe opinionit kundërshtues të Vëzhguesit Ndërkombëtar</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të ONM</w:t>
      </w:r>
      <w:r w:rsidR="00AF58B2">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në lidhje me këtë aspekt (shih paragrafët 27</w:t>
      </w:r>
      <w:r w:rsidR="00AF58B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28 më sipër). </w:t>
      </w:r>
    </w:p>
    <w:p w14:paraId="2E92033F" w14:textId="6AEE893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71. Në vijim, kërkuesja argumentoi se neni 61(5) i Ligjit të Rivlerësimit, mbi të cilin ishte mbështetur shkarkimi i saj, ishte</w:t>
      </w:r>
      <w:r w:rsidR="00AF58B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gjithashtu</w:t>
      </w:r>
      <w:r w:rsidR="00AF58B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i paqartë, duke u dhënë në këtë mënyrë organeve të rivlerësimit diskrecion të pakufizuar për të shkarkuar nga detyra një person që rivlerësohej. Nuk ekzistonte një përcaktim për parashikimin që një person i rivlerësuar “cenonte besimin e publikut në sistemin e drejtësisë” dhe asnjë tregues se çfarë të metash profesionale arrinin nivelin e caktuar të seriozitetit të situatës për të justifikuar shkarkimin nga detyra. Ishte konstatuar se ajo i kishte përmbushur këto kërkesa pasi nuk kishte respektuar afatin për apelim në një çështje për arsye shëndetësore. </w:t>
      </w:r>
    </w:p>
    <w:p w14:paraId="32936087" w14:textId="7962B9D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72. Qeveria mbështeti qëndrimin se edhe nëse supozohej se shkarkimi kishte ndërhyrë në të drejtën e kërkueses</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për respektim të jetës së saj private, ajo ndërhyrje ishte parashikuar nga Kushtetuta dhe Ligji i Rivlerësimit, ku parashikohej qartë procedura e rivlerësimit dhe pasojat e mundshme, duke qenë në këtë mënyrë “në përputhje me ligjin” sipas kuptimit të </w:t>
      </w:r>
      <w:r w:rsidR="00AF58B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 2. </w:t>
      </w:r>
    </w:p>
    <w:p w14:paraId="5AEAF04F" w14:textId="721AB7B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73. Gjykata i referohet praktikës së saj gjyqësore të mirëpërcaktuar në lidhje me kushtet që nevojiten që një masë t</w:t>
      </w:r>
      <w:r w:rsidR="00AF58B2">
        <w:rPr>
          <w:rFonts w:ascii="Garamond" w:hAnsi="Garamond" w:cs="Times New Roman"/>
          <w:color w:val="000000"/>
          <w:sz w:val="24"/>
          <w:szCs w:val="24"/>
          <w:lang w:val="sq-AL"/>
        </w:rPr>
        <w:t>ë jetë “në përputhje me ligjin”</w:t>
      </w:r>
      <w:r w:rsidRPr="006A1F4E">
        <w:rPr>
          <w:rFonts w:ascii="Garamond" w:hAnsi="Garamond" w:cs="Times New Roman"/>
          <w:color w:val="000000"/>
          <w:sz w:val="24"/>
          <w:szCs w:val="24"/>
          <w:lang w:val="sq-AL"/>
        </w:rPr>
        <w:t xml:space="preserve">, duke përfshirë veçanërisht, kërkesën e parashikueshmërisë, që do të thotë se ligji konkret duhet të parashikojë me saktësi të mjaftueshme kushtet sipas të cilave mund të zbatohet masa (shih, </w:t>
      </w:r>
      <w:r w:rsidRPr="006A1F4E">
        <w:rPr>
          <w:rFonts w:ascii="Garamond" w:hAnsi="Garamond" w:cs="Times New Roman"/>
          <w:i/>
          <w:iCs/>
          <w:color w:val="000000"/>
          <w:sz w:val="24"/>
          <w:szCs w:val="24"/>
          <w:lang w:val="sq-AL"/>
        </w:rPr>
        <w:t xml:space="preserve">inter alia, Maestri kundër Italisë </w:t>
      </w:r>
      <w:r w:rsidRPr="006A1F4E">
        <w:rPr>
          <w:rFonts w:ascii="Garamond" w:hAnsi="Garamond" w:cs="Times New Roman"/>
          <w:color w:val="000000"/>
          <w:sz w:val="24"/>
          <w:szCs w:val="24"/>
          <w:lang w:val="sq-AL"/>
        </w:rPr>
        <w:t xml:space="preserve">[DHM], nr. 39748/98, § 30, GJEDNJ 2004-I, dhe </w:t>
      </w:r>
      <w:r w:rsidRPr="006A1F4E">
        <w:rPr>
          <w:rFonts w:ascii="Garamond" w:hAnsi="Garamond" w:cs="Times New Roman"/>
          <w:i/>
          <w:iCs/>
          <w:color w:val="000000"/>
          <w:sz w:val="24"/>
          <w:szCs w:val="24"/>
          <w:lang w:val="sq-AL"/>
        </w:rPr>
        <w:t>Fernández Martínez kundër Spanjës</w:t>
      </w:r>
      <w:r w:rsidRPr="006A1F4E">
        <w:rPr>
          <w:rFonts w:ascii="Garamond" w:hAnsi="Garamond" w:cs="Times New Roman"/>
          <w:color w:val="000000"/>
          <w:sz w:val="24"/>
          <w:szCs w:val="24"/>
          <w:lang w:val="sq-AL"/>
        </w:rPr>
        <w:t xml:space="preserve"> [DHM], nr. 56030/07, § 117, GJEDNJ 2014 (ekstrakte)). </w:t>
      </w:r>
    </w:p>
    <w:p w14:paraId="0211FBAB" w14:textId="54891142"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74. Në vendimin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385</w:t>
      </w:r>
      <w:r w:rsidR="00AF58B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88), Gjykata vendosi se shkarkimi i kërkuesit në atë çështje, mbështetur në nenin 61(3) dhe (5) të Ligjit të Rivlerësimit, ishte në mbështetje të ligjit sipas kuptimit të </w:t>
      </w:r>
      <w:r w:rsidR="00AF58B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 2. </w:t>
      </w:r>
    </w:p>
    <w:p w14:paraId="06F070FE" w14:textId="014B7E9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75. Gjykata vëren se në çështjen konkrete</w:t>
      </w:r>
      <w:r w:rsidR="00CC238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shkarkimi i kërkueses ishte mbështetur në të njëjtat parashikime të Ligjit të Rivlerësimit. Në vijim, ajo konstaton se sipas praktikës gjyqësore të mirëpërcaktuar të organeve të rivlerësimit, neni 61(3) i Ligjit të Rivlerësimit</w:t>
      </w:r>
      <w:r w:rsidR="00CC238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duhet të lexohet së bashku me </w:t>
      </w:r>
      <w:r w:rsidR="00CC2386"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33(5) dhe </w:t>
      </w:r>
      <w:r w:rsidR="00CC2386"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D §§ 1 dhe 3 të </w:t>
      </w:r>
      <w:r w:rsidR="00CC2386" w:rsidRPr="006A1F4E">
        <w:rPr>
          <w:rFonts w:ascii="Garamond" w:hAnsi="Garamond" w:cs="Times New Roman"/>
          <w:color w:val="000000"/>
          <w:sz w:val="24"/>
          <w:szCs w:val="24"/>
          <w:lang w:val="sq-AL"/>
        </w:rPr>
        <w:t xml:space="preserve">aneksit </w:t>
      </w:r>
      <w:r w:rsidRPr="006A1F4E">
        <w:rPr>
          <w:rFonts w:ascii="Garamond" w:hAnsi="Garamond" w:cs="Times New Roman"/>
          <w:color w:val="000000"/>
          <w:sz w:val="24"/>
          <w:szCs w:val="24"/>
          <w:lang w:val="sq-AL"/>
        </w:rPr>
        <w:t xml:space="preserve">të Kushtetutës (shih paragrafët 40 dhe 38 më sipër). Nga këto parashikime, është e qartë se për qëllime të rivlerësimit, të ardhurat ose burimet e fitimeve të një individi do të konsiderohen të ligjshme vetëm nëse deklarohen në mënyrën e duhur, dhe nëse për to janë paguar tatimet. Në këto rrethana, Gjykata vlerëson se parashikimet ligjore tek të cilat ishte mbështetur shkarkimi i kërkueses përmbushnin kërkesën e parashikueshmërisë. Për këtë arsye, vendimi për ta shkarkuar atë ishte “në përputhje me ligjin”. </w:t>
      </w:r>
    </w:p>
    <w:p w14:paraId="0B99EEB2" w14:textId="2ABB0DB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b/>
          <w:bCs/>
          <w:color w:val="000000"/>
          <w:sz w:val="24"/>
          <w:szCs w:val="24"/>
          <w:lang w:val="sq-AL"/>
        </w:rPr>
        <w:t xml:space="preserve">b) Qëllim legjitim </w:t>
      </w:r>
    </w:p>
    <w:p w14:paraId="21DBE424" w14:textId="7F8782D3" w:rsidR="00C0711E" w:rsidRPr="006A1F4E" w:rsidRDefault="00C0711E" w:rsidP="00913C8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76. Sipas këndvështrimit të kërkueses, ndërhyrja në të drejtën e saj për respektim të jetës së saj private, nuk kishte shërbyer për ndonjë qëllim legjitim për qëllime të </w:t>
      </w:r>
      <w:r w:rsidR="008858E0"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 2. Ajo parashtroi</w:t>
      </w:r>
      <w:r w:rsidR="00872E7F">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se</w:t>
      </w:r>
      <w:r w:rsidR="00872E7F">
        <w:rPr>
          <w:rFonts w:ascii="Garamond" w:hAnsi="Garamond" w:cs="Times New Roman"/>
          <w:color w:val="000000"/>
          <w:sz w:val="24"/>
          <w:szCs w:val="24"/>
          <w:lang w:val="sq-AL"/>
        </w:rPr>
        <w:t xml:space="preserve"> në praktikë</w:t>
      </w:r>
      <w:r w:rsidRPr="006A1F4E">
        <w:rPr>
          <w:rFonts w:ascii="Garamond" w:hAnsi="Garamond" w:cs="Times New Roman"/>
          <w:color w:val="000000"/>
          <w:sz w:val="24"/>
          <w:szCs w:val="24"/>
          <w:lang w:val="sq-AL"/>
        </w:rPr>
        <w:t xml:space="preserve"> procesi i rivlerësimit ishte përdorur si mjet për t’i shërbyer interesave politik</w:t>
      </w:r>
      <w:r w:rsidR="00913C8E">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duke i frikësuar në mënyrë konstante gjyqtarët dhe prokurorët, gjë e cila dobësonte pavarësinë e tyre. </w:t>
      </w:r>
    </w:p>
    <w:p w14:paraId="0BCC0A27" w14:textId="1E81067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77. Qeveria argumentoi se ndërhyrja kishte ndjekur qëllimin legjitim për të luftuar korrupsionin në sistemin gjyqësor. </w:t>
      </w:r>
    </w:p>
    <w:p w14:paraId="2DAE422D" w14:textId="429D006C" w:rsidR="00C0711E" w:rsidRPr="006A1F4E" w:rsidRDefault="00C0711E" w:rsidP="00E5657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78. Në çështjen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Gjykata konstatoi se masat e parashikuara nga Ligji i Rivlerësimit, i cili ishte miratuar për të siguruar funksionimin e shtetit të së drejtës, pavarësinë e sistemit gjyqësor dhe rikthimin e besimit të publikut në atë sistem (shih paragrafin 36 më sipër), në përgjithësi </w:t>
      </w:r>
      <w:r w:rsidR="00E56575">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shërbente interesave të sigurisë kombëtare, sigurisë publike dhe mbrojtjes të së drejtave dhe lirive të të tjerëve</w:t>
      </w:r>
      <w:r w:rsidR="00F0323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kuptimit të </w:t>
      </w:r>
      <w:r w:rsidR="00F0323C"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 2. Për të arritur në atë përfundim, Gjykata iu referua si raporteve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e</w:t>
      </w:r>
      <w:r w:rsidR="004E6ACF">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edhe atyre ndërkombëtare (veçanërisht atyre të Grupit të Shteteve kundër Korrupsionit (GRECO)), duke arritur në përfundimin se ekzistonte një nivel i lartë korrupsioni në sistemin e drejtësisë. Në vijim, ajo mori në konsideratë konstatimet e Gjykatës Kushtetuese dhe të Komisionit Evropian për Demokraci me anë të Ligjit (“Komisioni i Venecias”), se rivlerësimi i gjyqtarëve dhe prokurorëve ishte i nevojshëm për të mbrojtur sistemin e drejtësisë në Shqipëri nga korrupsioni dhe sfidat e tjera të integritetit dhe profesionalizmit (ibid., §§ 391</w:t>
      </w:r>
      <w:r w:rsidR="004E6ACF">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93, me referenca të tjera). </w:t>
      </w:r>
    </w:p>
    <w:p w14:paraId="112D812E" w14:textId="0CB5528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79. Gjykata nuk gjen asnjë arsye për të dyshuar se ndërhyrja në të drejtën e kërkueses për të respektuar jetën e saj private duke e shkarkuar atë nga detyra, kishte objektiva të ngjash</w:t>
      </w:r>
      <w:r w:rsidR="00445503">
        <w:rPr>
          <w:rFonts w:ascii="Garamond" w:hAnsi="Garamond" w:cs="Times New Roman"/>
          <w:color w:val="000000"/>
          <w:sz w:val="24"/>
          <w:szCs w:val="24"/>
          <w:lang w:val="sq-AL"/>
        </w:rPr>
        <w:t>ëm</w:t>
      </w:r>
      <w:r w:rsidRPr="006A1F4E">
        <w:rPr>
          <w:rFonts w:ascii="Garamond" w:hAnsi="Garamond" w:cs="Times New Roman"/>
          <w:color w:val="000000"/>
          <w:sz w:val="24"/>
          <w:szCs w:val="24"/>
          <w:lang w:val="sq-AL"/>
        </w:rPr>
        <w:t xml:space="preserve"> dhe në kë</w:t>
      </w:r>
      <w:r w:rsidR="00445503">
        <w:rPr>
          <w:rFonts w:ascii="Garamond" w:hAnsi="Garamond" w:cs="Times New Roman"/>
          <w:color w:val="000000"/>
          <w:sz w:val="24"/>
          <w:szCs w:val="24"/>
          <w:lang w:val="sq-AL"/>
        </w:rPr>
        <w:t>të mënyrë</w:t>
      </w:r>
      <w:r w:rsidRPr="006A1F4E">
        <w:rPr>
          <w:rFonts w:ascii="Garamond" w:hAnsi="Garamond" w:cs="Times New Roman"/>
          <w:color w:val="000000"/>
          <w:sz w:val="24"/>
          <w:szCs w:val="24"/>
          <w:lang w:val="sq-AL"/>
        </w:rPr>
        <w:t xml:space="preserve"> ndiqte qëllimet e mbrojtjes së sigurisë kombëtare, sigurisë publike dhe të drejtave dhe lirive të të tjerëve sipas kuptimit të </w:t>
      </w:r>
      <w:r w:rsidR="00445503"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 2.</w:t>
      </w:r>
    </w:p>
    <w:p w14:paraId="30E9DF62" w14:textId="4A9AE40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c) I nevojshëm në një shoqëri demokratike </w:t>
      </w:r>
    </w:p>
    <w:p w14:paraId="79BAFF1F" w14:textId="338CED64" w:rsidR="00C0711E" w:rsidRPr="006A1F4E" w:rsidRDefault="00C0711E" w:rsidP="00E1022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i</w:t>
      </w:r>
      <w:r w:rsidR="00E10224">
        <w:rPr>
          <w:rFonts w:ascii="Garamond" w:hAnsi="Garamond" w:cs="Times New Roman"/>
          <w:i/>
          <w:iCs/>
          <w:color w:val="000000"/>
          <w:sz w:val="24"/>
          <w:szCs w:val="24"/>
          <w:lang w:val="sq-AL"/>
        </w:rPr>
        <w:t>.</w:t>
      </w:r>
      <w:r w:rsidRPr="006A1F4E">
        <w:rPr>
          <w:rFonts w:ascii="Garamond" w:hAnsi="Garamond" w:cs="Times New Roman"/>
          <w:i/>
          <w:iCs/>
          <w:color w:val="000000"/>
          <w:sz w:val="24"/>
          <w:szCs w:val="24"/>
          <w:lang w:val="sq-AL"/>
        </w:rPr>
        <w:t xml:space="preserve"> Parashtrimet e palëve dhe ndërhyrësi si palë e tretë</w:t>
      </w:r>
    </w:p>
    <w:p w14:paraId="6F96EBF2" w14:textId="4C7108C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80. Kërkuesja parashtroi se shkarkimi i saj ishte qartazi joproporcional me qëllimin e ndjekur. Ligji i Rivlerësimit (veçanërisht neni 58, shih paragrafin 41 më sipër) nuk parashikonte një nivel sanksionesh dhe rregullash për të garantuar se sanksioni i shkarkimit nga detyra ishte zbatuar</w:t>
      </w:r>
      <w:r w:rsidR="00E10224">
        <w:rPr>
          <w:rFonts w:ascii="Garamond" w:hAnsi="Garamond" w:cs="Times New Roman"/>
          <w:color w:val="000000"/>
          <w:sz w:val="24"/>
          <w:szCs w:val="24"/>
          <w:lang w:val="sq-AL"/>
        </w:rPr>
        <w:t xml:space="preserve"> në përputhje me parimin e proporcional</w:t>
      </w:r>
      <w:r w:rsidRPr="006A1F4E">
        <w:rPr>
          <w:rFonts w:ascii="Garamond" w:hAnsi="Garamond" w:cs="Times New Roman"/>
          <w:color w:val="000000"/>
          <w:sz w:val="24"/>
          <w:szCs w:val="24"/>
          <w:lang w:val="sq-AL"/>
        </w:rPr>
        <w:t xml:space="preserve">itetit (ajo u referua </w:t>
      </w:r>
      <w:r w:rsidRPr="006A1F4E">
        <w:rPr>
          <w:rFonts w:ascii="Garamond" w:hAnsi="Garamond" w:cs="Times New Roman"/>
          <w:i/>
          <w:iCs/>
          <w:color w:val="000000"/>
          <w:sz w:val="24"/>
          <w:szCs w:val="24"/>
          <w:lang w:val="sq-AL"/>
        </w:rPr>
        <w:t>Oleksandr Volkov kundër Ukrainës</w:t>
      </w:r>
      <w:r w:rsidRPr="006A1F4E">
        <w:rPr>
          <w:rFonts w:ascii="Garamond" w:hAnsi="Garamond" w:cs="Times New Roman"/>
          <w:color w:val="000000"/>
          <w:sz w:val="24"/>
          <w:szCs w:val="24"/>
          <w:lang w:val="sq-AL"/>
        </w:rPr>
        <w:t xml:space="preserve">, nr. 21722/11, § 182, GJEDNJ 2013). Për më tepër, nuk ekzistonte asnjë masë mbrojtëse procedurale për të parandaluar zbatimin arbitrar të Ligjit të Rivlerësimit (ajo iu referua </w:t>
      </w:r>
      <w:r w:rsidRPr="006A1F4E">
        <w:rPr>
          <w:rFonts w:ascii="Garamond" w:hAnsi="Garamond" w:cs="Times New Roman"/>
          <w:i/>
          <w:iCs/>
          <w:color w:val="000000"/>
          <w:sz w:val="24"/>
          <w:szCs w:val="24"/>
          <w:lang w:val="sq-AL"/>
        </w:rPr>
        <w:t>Oleksandr Volkov</w:t>
      </w:r>
      <w:r w:rsidRPr="006A1F4E">
        <w:rPr>
          <w:rFonts w:ascii="Garamond" w:hAnsi="Garamond" w:cs="Times New Roman"/>
          <w:color w:val="000000"/>
          <w:sz w:val="24"/>
          <w:szCs w:val="24"/>
          <w:lang w:val="sq-AL"/>
        </w:rPr>
        <w:t xml:space="preserve">, cituar më sipër, § 170). Shkarkimi i saj kishte qenë joproporcional në rrethanat e çështjes, duke pasur parasysh argumentet në të cilat ishte mbështetur. Vlerësimi i pasurive ishte mbështetur në faktin se ajo nuk kishte mundur jepte të dhëna se bashkëshorti i saj kishte paguar rregullisht tatimet mbi fitimet e tij në Greqi dhe në Arabinë Saudite, duke përfshirë edhe periudhat në të cilat ajo nuk kishte qenë në marrëdhënie martesore me të. Gjithashtu, në lidhje me këtë aspekt, duhej të mbahej në konsideratë fakti se ligjet shqiptare për tatimet mbi të ardhurat e fituara jashtë vendit nuk kishin qenë të qartë në periudhën përkatëse dhe se bashkëshorti i saj kishte vepruar në mirëbesim. Në lidhje me vlerësimin e kompetencës profesionale, ajo ishte qortuar për mosrespektimin e afatit për apelim në një çështje për arsye shëndetësore. </w:t>
      </w:r>
    </w:p>
    <w:p w14:paraId="0BE685AC" w14:textId="0ECADACA"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81. Qeveria argumentoi se shkarkimi i kërkueses nga detyra kishte qenë i nevojshëm në një shoqëri demokratike. Qeveria theksoi se në lidhje me vlerësimin e pasurive, kërkuesja nuk kishte mundur të provonte burimin e ligjshëm të ALL 3,000,000 dhe EUR 12,000, pasi ajo nuk mund të tregonte se paratë kishin ardhur nga punësimi legjitim dhe se detyrimet e tatimeve ishin shlyer. Në vijim, ajo nuk kishte provuar burimin e ligjshëm të USD 20,000 pasi bashkëshorti i saj nuk kishte paguar tatimet përkatëse. Në vijim, për sa i përket vlerësimit të kompetencës profesionale, ajo nuk kishte apeluar ndaj një vendimi gjykate për të rrëzuar akuzat ndaj një zyrtari të lartë i cili ishte pezulluar për mosdeklarim të pasurive. Në atë kontekst, duhej të mbahej në konsideratë fakti se kërkuesja, si prokurore, kishte qenë drejtuesja e seksionit të krimit ekonomik me fokus evazionin fiskal. Në këtë mënyrë cenohej besimi në sistemin e drejtësisë, nëse një prokurore që akuzonte të tjerët për evazion fiskal apo që nuk apelonte ndaj një vendimi për shfajësimin e një zyrtari të lartë për evazion fiskal, konstatohej të mos kishte shlyer detyrimet e saj të taksave. </w:t>
      </w:r>
    </w:p>
    <w:p w14:paraId="25A2DA8C" w14:textId="2CEA870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82. </w:t>
      </w:r>
      <w:r w:rsidRPr="009C673B">
        <w:rPr>
          <w:rFonts w:ascii="Garamond" w:hAnsi="Garamond" w:cs="Times New Roman"/>
          <w:i/>
          <w:iCs/>
          <w:color w:val="000000"/>
          <w:sz w:val="24"/>
          <w:szCs w:val="24"/>
          <w:lang w:val="sq-AL"/>
        </w:rPr>
        <w:t>Res Publica,</w:t>
      </w:r>
      <w:r w:rsidRPr="006A1F4E">
        <w:rPr>
          <w:rFonts w:ascii="Garamond" w:hAnsi="Garamond" w:cs="Times New Roman"/>
          <w:color w:val="000000"/>
          <w:sz w:val="24"/>
          <w:szCs w:val="24"/>
          <w:lang w:val="sq-AL"/>
        </w:rPr>
        <w:t xml:space="preserve"> një organizatë joqeveritare e cila promovonte mbrojtjen dhe respektimin e të drejtave të njeriut, argumentonte, veçanërisht, se parashikimi i vetëm dy masave disiplinore në Ligjin e Rivlerësimit, konkretisht shkarkimi nga detyra ose detyrimi për të ndjekur një trajnim, demonstronte mungesën strukturore të proporcionalitetit të sanksioneve disiplinore. Gjithashtu, ndërhyrësi si palë e tretë theksoi se interpretimi i KPA</w:t>
      </w:r>
      <w:r w:rsidR="00865346">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i Ligjit të Rivlerësimit nuk linte vend për vlerësimin e proporcionalitetit të sanksioneve në rastin e deklarimeve të parregullta të pasurisë, krahasuar me deklarimet në të cilat pasuritë fshiheshin me qëllim. </w:t>
      </w:r>
    </w:p>
    <w:p w14:paraId="673D8F47" w14:textId="2408FC30" w:rsidR="00C0711E" w:rsidRPr="006A1F4E" w:rsidRDefault="00C0711E" w:rsidP="008A4F1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ii</w:t>
      </w:r>
      <w:r w:rsidR="008A4F14">
        <w:rPr>
          <w:rFonts w:ascii="Garamond" w:hAnsi="Garamond" w:cs="Times New Roman"/>
          <w:i/>
          <w:iCs/>
          <w:color w:val="000000"/>
          <w:sz w:val="24"/>
          <w:szCs w:val="24"/>
          <w:lang w:val="sq-AL"/>
        </w:rPr>
        <w:t>.</w:t>
      </w:r>
      <w:r w:rsidRPr="006A1F4E">
        <w:rPr>
          <w:rFonts w:ascii="Garamond" w:hAnsi="Garamond" w:cs="Times New Roman"/>
          <w:i/>
          <w:iCs/>
          <w:color w:val="000000"/>
          <w:sz w:val="24"/>
          <w:szCs w:val="24"/>
          <w:lang w:val="sq-AL"/>
        </w:rPr>
        <w:t xml:space="preserve"> Vlerësimi i Gjykatës</w:t>
      </w:r>
    </w:p>
    <w:p w14:paraId="2656D828" w14:textId="173760EF" w:rsidR="00C0711E" w:rsidRPr="006A1F4E" w:rsidRDefault="00C0711E" w:rsidP="008A4F14">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83. Gjykata përsërit se çdo ndërhyrje me të drejtën për të respektuar jetën private do të konsiderohej “e nevojshme në një shoqëri demokratike”</w:t>
      </w:r>
      <w:r w:rsidR="008A4F1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një qëllim legjitim</w:t>
      </w:r>
      <w:r w:rsidR="008A4F1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nëse i përgjigje</w:t>
      </w:r>
      <w:r w:rsidR="008A4F14">
        <w:rPr>
          <w:rFonts w:ascii="Garamond" w:hAnsi="Garamond" w:cs="Times New Roman"/>
          <w:color w:val="000000"/>
          <w:sz w:val="24"/>
          <w:szCs w:val="24"/>
          <w:lang w:val="sq-AL"/>
        </w:rPr>
        <w:t>t “një nevoje sociale urgjente”</w:t>
      </w:r>
      <w:r w:rsidRPr="006A1F4E">
        <w:rPr>
          <w:rFonts w:ascii="Garamond" w:hAnsi="Garamond" w:cs="Times New Roman"/>
          <w:color w:val="000000"/>
          <w:sz w:val="24"/>
          <w:szCs w:val="24"/>
          <w:lang w:val="sq-AL"/>
        </w:rPr>
        <w:t xml:space="preserve"> dhe, veçanërisht, nëse është proporcionale me qëllimin legjitim të ndjekur, dhe nëse arsyet e dhëna nga autoritetet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për ta justifikuar atë janë “relevante dhe të mjaftueshme” (shih, për shembull, </w:t>
      </w:r>
      <w:r w:rsidRPr="006A1F4E">
        <w:rPr>
          <w:rFonts w:ascii="Garamond" w:hAnsi="Garamond" w:cs="Times New Roman"/>
          <w:i/>
          <w:iCs/>
          <w:color w:val="000000"/>
          <w:sz w:val="24"/>
          <w:szCs w:val="24"/>
          <w:lang w:val="sq-AL"/>
        </w:rPr>
        <w:t>Fernández Martínez</w:t>
      </w:r>
      <w:r w:rsidRPr="006A1F4E">
        <w:rPr>
          <w:rFonts w:ascii="Garamond" w:hAnsi="Garamond" w:cs="Times New Roman"/>
          <w:color w:val="000000"/>
          <w:sz w:val="24"/>
          <w:szCs w:val="24"/>
          <w:lang w:val="sq-AL"/>
        </w:rPr>
        <w:t xml:space="preserve">, cituar më sipër, § 124, dhe </w:t>
      </w:r>
      <w:r w:rsidRPr="006A1F4E">
        <w:rPr>
          <w:rFonts w:ascii="Garamond" w:hAnsi="Garamond" w:cs="Times New Roman"/>
          <w:i/>
          <w:iCs/>
          <w:color w:val="000000"/>
          <w:sz w:val="24"/>
          <w:szCs w:val="24"/>
          <w:lang w:val="sq-AL"/>
        </w:rPr>
        <w:t>Ivanovski kundër ish-Republikës Jugosllave të Maqedonisë</w:t>
      </w:r>
      <w:r w:rsidRPr="006A1F4E">
        <w:rPr>
          <w:rFonts w:ascii="Garamond" w:hAnsi="Garamond" w:cs="Times New Roman"/>
          <w:color w:val="000000"/>
          <w:sz w:val="24"/>
          <w:szCs w:val="24"/>
          <w:lang w:val="sq-AL"/>
        </w:rPr>
        <w:t xml:space="preserve">, nr. 29908/11, § 180, 21 </w:t>
      </w:r>
      <w:r w:rsidR="008A4F14" w:rsidRPr="006A1F4E">
        <w:rPr>
          <w:rFonts w:ascii="Garamond" w:hAnsi="Garamond" w:cs="Times New Roman"/>
          <w:color w:val="000000"/>
          <w:sz w:val="24"/>
          <w:szCs w:val="24"/>
          <w:lang w:val="sq-AL"/>
        </w:rPr>
        <w:t xml:space="preserve">janar </w:t>
      </w:r>
      <w:r w:rsidRPr="006A1F4E">
        <w:rPr>
          <w:rFonts w:ascii="Garamond" w:hAnsi="Garamond" w:cs="Times New Roman"/>
          <w:color w:val="000000"/>
          <w:sz w:val="24"/>
          <w:szCs w:val="24"/>
          <w:lang w:val="sq-AL"/>
        </w:rPr>
        <w:t>2016).</w:t>
      </w:r>
    </w:p>
    <w:p w14:paraId="6CAF492D" w14:textId="44C740E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84. Duke iu referuar konstatimeve të organeve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dhe ndërkombëtare, të cilat arrinin në përfundimin se ekzistonte një nivel i lartë korrupsioni në sistemin shqiptar të drejtësisë (shih paragrafin 78 më sipër dhe referencat cituar në të), Gjykata thekson se reforma në sistemin e drejtësisë, e cila solli rivlerësimin e jashtëzakonshëm të të gjithë gjyqtarëve dhe prokurorëve në detyrë, dhe potencialisht shkarkimin e tyre, erdhi si përgjigje ndaj një “nevoje sociale urgjente” (krahaso edhe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404). </w:t>
      </w:r>
    </w:p>
    <w:p w14:paraId="1B972A9A" w14:textId="682B1821" w:rsidR="00C0711E" w:rsidRPr="006A1F4E" w:rsidRDefault="00C0711E" w:rsidP="00D41BA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85. Gjykata vëren se dështime të caktuara nga ana e zyrtarëve publikë për të respektuar detyrimet në lidhje me deklarimet e pasurive, përgjithësisht, mund të konsiderohen serioze. Këto mund të përfshijnë, midis të tjerash, mosdeklarimet e pasurive të mëdha ose të burimeve të të ardhurave, ose përpjekjet e qëllimshme për t’i fshehur ato nga autoritetet; pamundësinë për të justifikuar blerjet e mëdha të bëra me kursime dhe burime legjitime dhe të mjaftueshme në zotërim gjatë kohës së përvetësimit; apo pamundësinë për të justifikuar një stil jetese të tepruar apo shpenzime ekstravagante që janë qartazi përtej mjeteve të ligjshme të deklaruara të zyrtarit përkatës dhe të familjes së tij. Gjithashtu, në lidhje me këtë aspekt, Gjykata pranoi se mund të jetë legjitime që të merren në konsideratë edhe të ardhurat dhe deklarimet e bashkëshortit, partnerit apo anëtarëve të tjerë të familjes së ngusht</w:t>
      </w:r>
      <w:r w:rsidR="00566390">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të zyrtarit/zyrtares gjatë vlerësimit të respektimit nga ana e zyrtarit/zyrtares të ligjeve antikorrupsion (shih </w:t>
      </w:r>
      <w:r w:rsidRPr="006A1F4E">
        <w:rPr>
          <w:rFonts w:ascii="Garamond" w:hAnsi="Garamond" w:cs="Times New Roman"/>
          <w:i/>
          <w:iCs/>
          <w:color w:val="000000"/>
          <w:sz w:val="24"/>
          <w:szCs w:val="24"/>
          <w:lang w:val="sq-AL"/>
        </w:rPr>
        <w:t>Samoylova kundër Rusisë</w:t>
      </w:r>
      <w:r w:rsidRPr="006A1F4E">
        <w:rPr>
          <w:rFonts w:ascii="Garamond" w:hAnsi="Garamond" w:cs="Times New Roman"/>
          <w:color w:val="000000"/>
          <w:sz w:val="24"/>
          <w:szCs w:val="24"/>
          <w:lang w:val="sq-AL"/>
        </w:rPr>
        <w:t>, nr. 491088/11, §§ 85</w:t>
      </w:r>
      <w:r w:rsidR="00F46B4D">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86, 14 </w:t>
      </w:r>
      <w:r w:rsidR="00F46B4D" w:rsidRPr="006A1F4E">
        <w:rPr>
          <w:rFonts w:ascii="Garamond" w:hAnsi="Garamond" w:cs="Times New Roman"/>
          <w:color w:val="000000"/>
          <w:sz w:val="24"/>
          <w:szCs w:val="24"/>
          <w:lang w:val="sq-AL"/>
        </w:rPr>
        <w:t xml:space="preserve">dhjetor </w:t>
      </w:r>
      <w:r w:rsidRPr="006A1F4E">
        <w:rPr>
          <w:rFonts w:ascii="Garamond" w:hAnsi="Garamond" w:cs="Times New Roman"/>
          <w:color w:val="000000"/>
          <w:sz w:val="24"/>
          <w:szCs w:val="24"/>
          <w:lang w:val="sq-AL"/>
        </w:rPr>
        <w:t>2021). Në të njëjtën kohë, jo çdo rast i vogël mosrespektimi i regjimeve të deklaratave të pasurive, apo çdo mospërputhje e parëndësishme midis shpenzimeve dhe burimeve të ligjshme duhet t’</w:t>
      </w:r>
      <w:r w:rsidR="00D41BA7">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japë jetë sanksioneve disiplinore të rënda, të tilla si shkarkimi nga detyra. </w:t>
      </w:r>
    </w:p>
    <w:p w14:paraId="114A151D" w14:textId="68F1602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86. Për sa ka të bëjë me proporcionalitetin midis shkarkimit të kërkueses dhe qëllimeve legjitime të ndjekura, Gjykata thekson se shkarkimi i saj nga detyra – kryesisht i gjyqtarëve ose </w:t>
      </w:r>
      <w:r w:rsidR="00FC410A">
        <w:rPr>
          <w:rFonts w:ascii="Garamond" w:hAnsi="Garamond" w:cs="Times New Roman"/>
          <w:color w:val="000000"/>
          <w:sz w:val="24"/>
          <w:szCs w:val="24"/>
          <w:lang w:val="sq-AL"/>
        </w:rPr>
        <w:t xml:space="preserve">i </w:t>
      </w:r>
      <w:r w:rsidRPr="006A1F4E">
        <w:rPr>
          <w:rFonts w:ascii="Garamond" w:hAnsi="Garamond" w:cs="Times New Roman"/>
          <w:color w:val="000000"/>
          <w:sz w:val="24"/>
          <w:szCs w:val="24"/>
          <w:lang w:val="sq-AL"/>
        </w:rPr>
        <w:t xml:space="preserve">prokurorëve me status jetëgjatë në sistem – është një sanksion i rëndë, në mos më seriozi, që mund të merret ndaj një individi. Vendosja e një mase të tillë, e cila ndikon negativisht në jetën private të një individi, kërkon marrjen në konsideratë të provave të forta në lidhje me etikën, integritetin dhe kompetencën profesionale të individit (krahaso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403). </w:t>
      </w:r>
    </w:p>
    <w:p w14:paraId="6218B1BB" w14:textId="18DFEC28" w:rsidR="00C0711E" w:rsidRPr="006A1F4E" w:rsidRDefault="00C0711E" w:rsidP="003707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87. Në lidhje me argumentin e kërkueses se Ligji i Rivlerësimit</w:t>
      </w:r>
      <w:r w:rsidR="00522F5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përgjithësi nuk parashikonte një normë sanksionesh dhe rregullash për të garantuar se sanksioni i shkarkimit nga detyra zbatohej në përputhje me parimin e proporcionalitetit, Gjykata vëren se </w:t>
      </w:r>
      <w:r w:rsidR="00522F52"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Ë § 1 i Aneksit të Kushtetutës dhe nenet 58 dhe 66 të Ligjit të Rivlerësimit në të vërtetë parashikonin vetëm dy lloje sanksionesh dis</w:t>
      </w:r>
      <w:r w:rsidR="0037075B">
        <w:rPr>
          <w:rFonts w:ascii="Garamond" w:hAnsi="Garamond" w:cs="Times New Roman"/>
          <w:color w:val="000000"/>
          <w:sz w:val="24"/>
          <w:szCs w:val="24"/>
          <w:lang w:val="sq-AL"/>
        </w:rPr>
        <w:t>iplinore: shkarkimin nga detyra</w:t>
      </w:r>
      <w:r w:rsidRPr="006A1F4E">
        <w:rPr>
          <w:rFonts w:ascii="Garamond" w:hAnsi="Garamond" w:cs="Times New Roman"/>
          <w:color w:val="000000"/>
          <w:sz w:val="24"/>
          <w:szCs w:val="24"/>
          <w:lang w:val="sq-AL"/>
        </w:rPr>
        <w:t xml:space="preserve"> ose pezullimin me detyrimin për të ndjekur një program trajnimi (shih paragrafin 41 më sipër). Në këtë mënyrë, Gjykata i referohet gjykimit të saj në vendimin </w:t>
      </w:r>
      <w:r w:rsidRPr="006A1F4E">
        <w:rPr>
          <w:rFonts w:ascii="Garamond" w:hAnsi="Garamond" w:cs="Times New Roman"/>
          <w:i/>
          <w:iCs/>
          <w:color w:val="000000"/>
          <w:sz w:val="24"/>
          <w:szCs w:val="24"/>
          <w:lang w:val="sq-AL"/>
        </w:rPr>
        <w:t xml:space="preserve">Xhoxhaj </w:t>
      </w:r>
      <w:r w:rsidRPr="006A1F4E">
        <w:rPr>
          <w:rFonts w:ascii="Garamond" w:hAnsi="Garamond" w:cs="Times New Roman"/>
          <w:color w:val="000000"/>
          <w:sz w:val="24"/>
          <w:szCs w:val="24"/>
          <w:lang w:val="sq-AL"/>
        </w:rPr>
        <w:t>(cituar më sipër, § 412) se, duke marrë në konsideratë rrethanat e jashtëzakonshme të cilat paraprinë hyrjen në fuqi të Ligjit të Rivlerësimit, është në harmoni me frymën e procesit të rivlerësimit që të ekzistonte një normë më e kufizuar sanksionesh në rastin kur një person nuk përmbushte një nga tr</w:t>
      </w:r>
      <w:r w:rsidR="0037075B">
        <w:rPr>
          <w:rFonts w:ascii="Garamond" w:hAnsi="Garamond" w:cs="Times New Roman"/>
          <w:color w:val="000000"/>
          <w:sz w:val="24"/>
          <w:szCs w:val="24"/>
          <w:lang w:val="sq-AL"/>
        </w:rPr>
        <w:t>i</w:t>
      </w:r>
      <w:r w:rsidRPr="006A1F4E">
        <w:rPr>
          <w:rFonts w:ascii="Garamond" w:hAnsi="Garamond" w:cs="Times New Roman"/>
          <w:color w:val="000000"/>
          <w:sz w:val="24"/>
          <w:szCs w:val="24"/>
          <w:lang w:val="sq-AL"/>
        </w:rPr>
        <w:t xml:space="preserve"> kriteret e vlerësimit të parashikuara në Ligjin e Rivlerësimit. Megjithatë, Gjykata duhet të shqyrtojë nëse në rrethanat konkrete të çështjes së kërkueses, zbatimi i këtyre parashikimeve</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që çonin në vendosjen e sanksionit më të rëndë, ishte proporcional me qëllimet e ndjekura. </w:t>
      </w:r>
    </w:p>
    <w:p w14:paraId="6867359D" w14:textId="24D16E9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88. Shkarkimi i kërkueses mbështetej në vlerësimin e pasurive të saj dhe në vlerësimin e kompetencës së saj profesionale. Në lidhje me vlerësimin e pasurive, në fillim Gjykata vëren se të gjitha rastet e mosdeklarimit të mjaftueshëm ose të mosjustifikimit të pasurive për qëllime të nenit 61(3) të Ligjit të Rivlerësimit të konstatuara nga KPA</w:t>
      </w:r>
      <w:r w:rsidR="0037075B">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kishin lidhje në mënyrë ekskluzive me të ardhurat e fituara nga bashkëshorti i saj nga punësimi jashtë vendit dhe jo me të ardhurat e saj personale. Ajo gjykon se në këto rrethana, është i nevojshëm një kujdes i veçantë për vlerësimin e proporcionalitetit në shkarkimin e saj. </w:t>
      </w:r>
    </w:p>
    <w:p w14:paraId="5A80AA57" w14:textId="798B454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89. Gjykata vëren</w:t>
      </w:r>
      <w:r w:rsidR="009D0BCA">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se KPA</w:t>
      </w:r>
      <w:r w:rsidR="00595B57">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gjykonte se kërkuesja nuk kishte deklaruar mjaftueshëm pasuritë sipas kuptimit të nenit 61(3) të lexuar së bashku me nenin 33(5)(b) të Ligjit të Rivlerësimit (shih paragrafët 42 dhe 40 më sipër), pasi ajo nuk kishte provuar ligjshmërinë e burimeve financiare të përdorura për të përftuar një pjesë të pasurive të paluajtshme të çiftit (shih paragrafët 13</w:t>
      </w:r>
      <w:r w:rsidR="009D0BCA">
        <w:rPr>
          <w:rFonts w:ascii="Garamond" w:hAnsi="Garamond" w:cs="Times New Roman"/>
          <w:color w:val="000000"/>
          <w:sz w:val="24"/>
          <w:szCs w:val="24"/>
          <w:lang w:val="sq-AL"/>
        </w:rPr>
        <w:t>–</w:t>
      </w:r>
      <w:r w:rsidRPr="006A1F4E">
        <w:rPr>
          <w:rFonts w:ascii="Garamond" w:hAnsi="Garamond" w:cs="Times New Roman"/>
          <w:color w:val="000000"/>
          <w:sz w:val="24"/>
          <w:szCs w:val="24"/>
          <w:lang w:val="sq-AL"/>
        </w:rPr>
        <w:t>22 më sipër). Sipas gjykimit të KPA</w:t>
      </w:r>
      <w:r w:rsidR="009D0BCA">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ajo nuk kishte mundur të provonte ligjshmërinë e burimeve të mëposhtme të të ardhurave të përdorura për të blerë një pronë të paluajtshme: ALL 3,000,000 (rreth EUR 22,000 në atë kohë) të fituara nga bashkëshorti i saj i ardhshëm si emigrant në Greqi nga viti 1997 në vitin 2000; EUR 12,000 të fituara nga bashkëshorti i saj në Arabinë Saudite në vitin 2003; dhe USD 20,000 të fituara nga bashkëshorti i saj në Arabinë Sauditë ne vitin 2006. </w:t>
      </w:r>
    </w:p>
    <w:p w14:paraId="1513B170" w14:textId="4C25F115" w:rsidR="00C0711E" w:rsidRPr="006A1F4E" w:rsidRDefault="00C0711E" w:rsidP="008447F6">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90. Për sa </w:t>
      </w:r>
      <w:r w:rsidR="00500DD2">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përket parregullsive në lidhje me ALL 3,000,000 të fituara nga bashkëshorti i ardhshëm i kërkueses si emigrant në Greqi gjatë viteve 1997</w:t>
      </w:r>
      <w:r w:rsidR="00216F0A">
        <w:rPr>
          <w:rFonts w:ascii="Garamond" w:hAnsi="Garamond" w:cs="Times New Roman"/>
          <w:color w:val="000000"/>
          <w:sz w:val="24"/>
          <w:szCs w:val="24"/>
          <w:lang w:val="sq-AL"/>
        </w:rPr>
        <w:t>–</w:t>
      </w:r>
      <w:r w:rsidRPr="006A1F4E">
        <w:rPr>
          <w:rFonts w:ascii="Garamond" w:hAnsi="Garamond" w:cs="Times New Roman"/>
          <w:color w:val="000000"/>
          <w:sz w:val="24"/>
          <w:szCs w:val="24"/>
          <w:lang w:val="sq-AL"/>
        </w:rPr>
        <w:t>2000, sipas gjykimit të KPA</w:t>
      </w:r>
      <w:r w:rsidR="00216F0A">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kërkuesja nuk kishte paraqitur prova për punësimin e tij në Greqi në atë kohë, dhe as nuk kishte paraqitur shumën e saktë të të ardhurave të gjeneruara nga puna e tij (shih paragrafët 15</w:t>
      </w:r>
      <w:r w:rsidR="00216F0A">
        <w:rPr>
          <w:rFonts w:ascii="Garamond" w:hAnsi="Garamond" w:cs="Times New Roman"/>
          <w:color w:val="000000"/>
          <w:sz w:val="24"/>
          <w:szCs w:val="24"/>
          <w:lang w:val="sq-AL"/>
        </w:rPr>
        <w:t>–</w:t>
      </w:r>
      <w:r w:rsidRPr="006A1F4E">
        <w:rPr>
          <w:rFonts w:ascii="Garamond" w:hAnsi="Garamond" w:cs="Times New Roman"/>
          <w:color w:val="000000"/>
          <w:sz w:val="24"/>
          <w:szCs w:val="24"/>
          <w:lang w:val="sq-AL"/>
        </w:rPr>
        <w:t>17 më sipër). Në lidhje me këtë aspekt, Gjykata vëren se ndryshe nga KPK</w:t>
      </w:r>
      <w:r w:rsidR="00216F0A">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KPA</w:t>
      </w:r>
      <w:r w:rsidR="00216F0A">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shqyrtoi të ardhurat që bashkëshorti i ardhshëm i kërkueses </w:t>
      </w:r>
      <w:r w:rsidR="00216F0A">
        <w:rPr>
          <w:rFonts w:ascii="Garamond" w:hAnsi="Garamond" w:cs="Times New Roman"/>
          <w:color w:val="000000"/>
          <w:sz w:val="24"/>
          <w:szCs w:val="24"/>
          <w:lang w:val="sq-AL"/>
        </w:rPr>
        <w:t>i kishte fituar pesëmbëdhjetë–</w:t>
      </w:r>
      <w:r w:rsidRPr="006A1F4E">
        <w:rPr>
          <w:rFonts w:ascii="Garamond" w:hAnsi="Garamond" w:cs="Times New Roman"/>
          <w:color w:val="000000"/>
          <w:sz w:val="24"/>
          <w:szCs w:val="24"/>
          <w:lang w:val="sq-AL"/>
        </w:rPr>
        <w:t>njëzet v</w:t>
      </w:r>
      <w:r w:rsidR="00216F0A">
        <w:rPr>
          <w:rFonts w:ascii="Garamond" w:hAnsi="Garamond" w:cs="Times New Roman"/>
          <w:color w:val="000000"/>
          <w:sz w:val="24"/>
          <w:szCs w:val="24"/>
          <w:lang w:val="sq-AL"/>
        </w:rPr>
        <w:t>jet</w:t>
      </w:r>
      <w:r w:rsidRPr="006A1F4E">
        <w:rPr>
          <w:rFonts w:ascii="Garamond" w:hAnsi="Garamond" w:cs="Times New Roman"/>
          <w:color w:val="000000"/>
          <w:sz w:val="24"/>
          <w:szCs w:val="24"/>
          <w:lang w:val="sq-AL"/>
        </w:rPr>
        <w:t xml:space="preserve"> përpara deklarimit të saj në procesin e rivlerësimit, në një periudhë kur a</w:t>
      </w:r>
      <w:r w:rsidR="00CC33CB">
        <w:rPr>
          <w:rFonts w:ascii="Garamond" w:hAnsi="Garamond" w:cs="Times New Roman"/>
          <w:color w:val="000000"/>
          <w:sz w:val="24"/>
          <w:szCs w:val="24"/>
          <w:lang w:val="sq-AL"/>
        </w:rPr>
        <w:t xml:space="preserve">i nuk ishte martuar ende me të, </w:t>
      </w:r>
      <w:r w:rsidRPr="006A1F4E">
        <w:rPr>
          <w:rFonts w:ascii="Garamond" w:hAnsi="Garamond" w:cs="Times New Roman"/>
          <w:color w:val="000000"/>
          <w:sz w:val="24"/>
          <w:szCs w:val="24"/>
          <w:lang w:val="sq-AL"/>
        </w:rPr>
        <w:t>gjithashtu, Gjykata vëren se është i rëndësishëm fakti se ajo nuk ishte bërë ende prokurore apo zyrtare publike i një roli tjetër që t’</w:t>
      </w:r>
      <w:r w:rsidR="008447F6">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nënshtrohej ligjeve për deklarimin e pasurive. </w:t>
      </w:r>
    </w:p>
    <w:p w14:paraId="2F8AC365" w14:textId="1CA9593F" w:rsidR="00C0711E" w:rsidRPr="006A1F4E" w:rsidRDefault="00C0711E" w:rsidP="00BC74D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91. Për sa </w:t>
      </w:r>
      <w:r w:rsidR="00BC74D3">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përket parregullsive në lidhje me EUR 12,000 të fituara nga bashkëshorti i kërkueses në Arabinë Saudite në vitin 2003, sipas gjykimit të KPA</w:t>
      </w:r>
      <w:r w:rsidR="00BC74D3">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kishte indicie për punësimin e tij në Arabinë Saudite në atë periudhë. Megjithatë, kërkuesja nuk i kishte deklaruar këto të ardhura më herët në deklaratën e saj të rivlerësimit dhe as nuk kishte provuar se bashkëshorti i saj kishte paguar tatimet për këto të ardhura (shih paragrafin 18 më sipër). Gjykata mban në konsideratë faktin se kërkuesja nuk e kishte deklaruar këtë shumë në vitin 2004 në deklaratën e përvitshme të pasurisë, përpara se ta deklaronte në deklaratën e rivlerësimit. Në lidhje me këtë aspekt, ajo gjykon se ky mosdeklarim ka të bëjë me deklarimin e parë të pasurisë së kërkueses, e cila kishte nisur të praktikonte ligjin si prokurore vetëm në </w:t>
      </w:r>
      <w:r w:rsidR="000635AD"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 xml:space="preserve">2003. Në lidhje me materialet përpara saj, në vijim, ajo gjykon se nuk ekziston asgjë që të tregojë se të ardhurat e bashkëshortit nuk vinin nga një aktivitet fitimprurës i ligjshëm. </w:t>
      </w:r>
    </w:p>
    <w:p w14:paraId="7976CBE2" w14:textId="261736D8" w:rsidR="00C0711E" w:rsidRPr="006A1F4E" w:rsidRDefault="00C0711E" w:rsidP="000635A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92. Në lidhje me parregullsitë me paratë e fituara nga bashkëshorti i ankueses në Arabinë Saudite në vitin 2006 (USD 20,000), kërkuesja ofroi prova të besueshme se ai kishte qenë i punësuar në atë periudhë në Arabinë Saudite dhe deklaroi shumën e fituar në deklaratën e saj të përvitshme të pasurisë për vitin 2006 dhe në deklaratën e saj të rivlerësimit, por nuk ofroi prova të dokumentuara se ai i kishte paguar tatimet mbi të ardhurat në Shqipëri ose në Arabinë Saudite (shih paragrafët 19</w:t>
      </w:r>
      <w:r w:rsidR="000635AD">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21 më sipër). Gjithashtu, Gjykata vëren se në lidhje me këto të ardhura nuk ka asgjë për të treguar se ato nuk vinin nga një aktivitet i ligjshëm fitimprurës. </w:t>
      </w:r>
    </w:p>
    <w:p w14:paraId="5D78A745" w14:textId="0050270A"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93. Në lidhje me konstatimet e mësipërme, Gjykata thekson se kërkuesja ishte shkarkuar nga detyra</w:t>
      </w:r>
      <w:r w:rsidR="000635AD">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pasi ishte konstatuar se ajo nuk kishte mjaftueshëm burime të ligjshme për të justifikuar përvetësimin e pasurisë së paluajtshme. Vlerësimi i burimeve – ekskluzivisht të ardhurat e bashkëshortit të saj – përfshinin të ardhurat e fituara prej tij në kohën kur kërkuesja nuk ishte as e martuar me të dhe as një prokurore. Burimet e tjera nuk ishin konsideruar të ligjshme</w:t>
      </w:r>
      <w:r w:rsidR="000635AD">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kryesisht pasi kërkuesja nuk kishte mundur të provonte se bashkëshorti i saj kishte paguar taksat për të ardhurat e tij nga një punësim i ligjshëm jashtë vendit. Gjykata vëren se, teksa evazioni i mundshëm fiskal është një çështje serioze, për qëllimet e procedurave të rivlerësimit të kërkueses, është me rëndësi për çështjen që shumat e të ardhurave të bashkëshortit për të cilat nuk u provua nëse tatimet ishin paguar, përfaqësonin një përqindje relativisht të vogël të shumës në total të të ardhurave të bashkëshortit në periudhën konkrete, dhe se nuk u konstatua asnjë parregullsi në lidhje me të ardhurat e bashkëshortit nga burimet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gjatë një sërë vitesh. </w:t>
      </w:r>
    </w:p>
    <w:p w14:paraId="78B5D9CE" w14:textId="300D3EC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94. Në lidhje me vlerësimin e kompetencës profesionale të kërkueses, qasja e vetme që KPA</w:t>
      </w:r>
      <w:r w:rsidR="00474CD6">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kishte kundër saj ishte fakti se ajo nuk kishte respektuar një afat për dorëzimin e apelimit në një çështje. E teksa vet</w:t>
      </w:r>
      <w:r w:rsidR="007468CC">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KPA</w:t>
      </w:r>
      <w:r w:rsidR="007468CC">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e kishte konsideruar këtë rast një incident të izoluar në karrierën e kërkueses, sidoqoftë, ajo gjykoi se duke qenë se çështja konkrete kishte të bënte me deklarimin e pasurive të një zyrtari publik, mosdorëzimi nga ana e saj i një apelimi ndikonte në cenimin e besimit të publikut në sistemin e drejtësisë, për qëllimet e nenit 61(5) të Ligjit të Rivlerësimit (shih paragrafët 23</w:t>
      </w:r>
      <w:r w:rsidR="0005092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25 më sipër). Gjykata nuk nënvlerëson në këtë këndvështrim rëndësinë e ndjekjes penale të veprave penale të pretenduara me natyrë ekonomike nga zyrtarët publikë për ruajtjen e besimit të publikut në sistemin e drejtësisë. Megjithatë, ajo gjykon se, për sa më sipër, në këndvështrimin e KPA</w:t>
      </w:r>
      <w:r w:rsidR="0005092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mosdorëzimi nga ana e kërkueses e një apelimi kishte qenë një incident i izoluar në karrierën e saj si prokurore</w:t>
      </w:r>
      <w:r w:rsidR="0005092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e cila kryesisht trajtonte rastet e krimeve ekonomike. Nuk është argumentuar nëse çështja konkrete, e cila përfshinte një ish-zyrtar të qeverisë lokale, ishte e një profili veçanërisht të lartë. Gjithashtu, në lidhje me këtë aspekt, Gjykata i referohet opinionit të vëzhguesit ndërkombëtar, se apelimi konkret do të duhej të dorëzohej duke pasur në konsideratë udhëzimet e përgjithshme për paraqitjen e apelimeve të prokurorisë, por ky apelim nuk kishte pasur ndonjë perspektiv</w:t>
      </w:r>
      <w:r w:rsidR="0005092E">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të arsyeshme për të pasur sukses. </w:t>
      </w:r>
    </w:p>
    <w:p w14:paraId="7371A892" w14:textId="3E5ACD32"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95. Në vijim, Gjykata i referohet faktit se sipas ligjit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(krahaso paragrafët 47</w:t>
      </w:r>
      <w:r w:rsidR="005E07E9">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49 më sipër) dhe standardeve evropiane, duke përfshirë Udhëzimet Evropiane për Etikën dhe Sjelljen për Prokurorët Publikë (“Udhëzimet e Budapestit”, shih paragrafin 51 më sipër) si edhe </w:t>
      </w:r>
      <w:r w:rsidR="005E07E9" w:rsidRPr="006A1F4E">
        <w:rPr>
          <w:rFonts w:ascii="Garamond" w:hAnsi="Garamond" w:cs="Times New Roman"/>
          <w:color w:val="000000"/>
          <w:sz w:val="24"/>
          <w:szCs w:val="24"/>
          <w:lang w:val="sq-AL"/>
        </w:rPr>
        <w:t xml:space="preserve">opinioni </w:t>
      </w:r>
      <w:r w:rsidRPr="006A1F4E">
        <w:rPr>
          <w:rFonts w:ascii="Garamond" w:hAnsi="Garamond" w:cs="Times New Roman"/>
          <w:color w:val="000000"/>
          <w:sz w:val="24"/>
          <w:szCs w:val="24"/>
          <w:lang w:val="sq-AL"/>
        </w:rPr>
        <w:t xml:space="preserve">vijues </w:t>
      </w:r>
      <w:r w:rsidR="005E07E9" w:rsidRPr="006A1F4E">
        <w:rPr>
          <w:rFonts w:ascii="Garamond" w:hAnsi="Garamond" w:cs="Times New Roman"/>
          <w:color w:val="000000"/>
          <w:sz w:val="24"/>
          <w:szCs w:val="24"/>
          <w:lang w:val="sq-AL"/>
        </w:rPr>
        <w:t>nr</w:t>
      </w:r>
      <w:r w:rsidRPr="006A1F4E">
        <w:rPr>
          <w:rFonts w:ascii="Garamond" w:hAnsi="Garamond" w:cs="Times New Roman"/>
          <w:color w:val="000000"/>
          <w:sz w:val="24"/>
          <w:szCs w:val="24"/>
          <w:lang w:val="sq-AL"/>
        </w:rPr>
        <w:t xml:space="preserve">. 13 (2018) për pavarësinë, llogaridhënien dhe etikën e profesorëve, lëshuar nga Këshilli Konsultativ i Prokurorëve të Evropës, të Këshillit të Evropës (CCPE) (shih paragrafin 52 më sipër), prokurorët duhet të përmbushin standarde të larta integriteti në trajtimin e çështjeve të tyre private jashtë profesionit për të ruajtur besimin e publikut në integritetin e sistemit të drejtësisë. Për këtë arsye, është e rëndësishme që kërkuesja, si prokurore përgjegjëse për ndjekjen penale, </w:t>
      </w:r>
      <w:r w:rsidRPr="006A1F4E">
        <w:rPr>
          <w:rFonts w:ascii="Garamond" w:hAnsi="Garamond" w:cs="Times New Roman"/>
          <w:i/>
          <w:iCs/>
          <w:color w:val="000000"/>
          <w:sz w:val="24"/>
          <w:szCs w:val="24"/>
          <w:lang w:val="sq-AL"/>
        </w:rPr>
        <w:t>inter alia</w:t>
      </w:r>
      <w:r w:rsidRPr="006A1F4E">
        <w:rPr>
          <w:rFonts w:ascii="Garamond" w:hAnsi="Garamond" w:cs="Times New Roman"/>
          <w:color w:val="000000"/>
          <w:sz w:val="24"/>
          <w:szCs w:val="24"/>
          <w:lang w:val="sq-AL"/>
        </w:rPr>
        <w:t xml:space="preserve">, të kundërvajtjeve tatimore, të provojë se pjesëtarët e familjes së saj të ngushtë kishin respektuar legjislacionin e zbatueshëm tatimor. Gjykata nuk mund të anashkalojë faktin se një formë më pak e rëndë për përgjegjësinë tatimore, jashtë procesit të rivlerësimit, mund të ishte marrë në konsideratë në një rast të tillë. Për më tepër, çdo indicie për evazion fiskal do të ishte hetuar nga autoritetet përkatëse. Megjithatë, rrethanat konkrete të çështjes duhet të merren në konsideratë për të vlerësuar proporcionalitetin e sanksionit më të rëndë: shkarkim nga detyra. Në rastin e kërkueses, sanksioni konkret, sipas Ligjit për Statusin e Gjyqtarëve dhe Prokurorëve, sillte edhe ndalimin e përhershëm për t’u rikthyer në sistemin e drejtësisë (krahaso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413, 245 dhe 206-07). </w:t>
      </w:r>
    </w:p>
    <w:p w14:paraId="6A5CE93D" w14:textId="3374160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96. Për sa më sipër, Gjykata gjykon se referuar një vlerësimi të përgjithshëm të rrethanave specifike të çështjes, shkarkimi i kërkueses, mbështetur kryesisht në faktin se ajo nuk kishte mundur të provonte se bashkëshorti i saj i kishte paguar tatimet për një pjesë të të ardhurave të tij nga aktivitete të ligjshme gjatë dy dekadave të mëparshme, dhe në mungesë të ndonjë indicie të keqbesimit apo të shkeljeve të qëllimshme nga vet</w:t>
      </w:r>
      <w:r w:rsidR="009E59F0">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 xml:space="preserve"> kërkuesja, ishte joproporcional me qëllimet legjitime të procesit të rivlerësimit. </w:t>
      </w:r>
    </w:p>
    <w:p w14:paraId="096CC146" w14:textId="50E63FDE"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97. Sipas këtyre rrethanave, me shkarkimin e kërkueses nga detyra është shkelur </w:t>
      </w:r>
      <w:r w:rsidR="009E59F0"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8 i Konventës. </w:t>
      </w:r>
    </w:p>
    <w:p w14:paraId="1496A3B4" w14:textId="4134B89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III. SHKELJE E PRETENDUAR E NENIT 6 TË KONVENTËS</w:t>
      </w:r>
    </w:p>
    <w:p w14:paraId="5D6E42C5" w14:textId="6AF1F6F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98. Kërkuesja u ankua se procedurat e rivlerësimit që kishin rezultuar në shkarkimin e saj nga posti i prokurores kishin qenë të padrejta. Ajo argumentoi se çështja e saj nuk ishte gjykuar nga një “gjykatë e krijuar nga ligji” për shkak të mospërshtatshmërisë së njërit apo më shumë anëtarëve të KPA</w:t>
      </w:r>
      <w:r w:rsidR="007C7D2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se KPA</w:t>
      </w:r>
      <w:r w:rsidR="007C7D2E">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që kishte gjykuar çështjen e saj nuk kishte pavarësi dhe </w:t>
      </w:r>
      <w:r w:rsidR="008858E0" w:rsidRPr="006A1F4E">
        <w:rPr>
          <w:rFonts w:ascii="Garamond" w:hAnsi="Garamond" w:cs="Times New Roman"/>
          <w:color w:val="000000"/>
          <w:sz w:val="24"/>
          <w:szCs w:val="24"/>
          <w:lang w:val="sq-AL"/>
        </w:rPr>
        <w:t>paanshmëri</w:t>
      </w:r>
      <w:r w:rsidRPr="006A1F4E">
        <w:rPr>
          <w:rFonts w:ascii="Garamond" w:hAnsi="Garamond" w:cs="Times New Roman"/>
          <w:color w:val="000000"/>
          <w:sz w:val="24"/>
          <w:szCs w:val="24"/>
          <w:lang w:val="sq-AL"/>
        </w:rPr>
        <w:t xml:space="preserve">, dhe se të meta të rënda procedurale kishin ndikuar në drejtësinë e procesit. Ajo u mbështet në </w:t>
      </w:r>
      <w:r w:rsidR="000832BC"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6 të Konventës, pjesët përkatëse të të cilit parashikojnë</w:t>
      </w:r>
      <w:r w:rsidR="000832B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më poshtë: </w:t>
      </w:r>
    </w:p>
    <w:p w14:paraId="47A11184" w14:textId="340FF848" w:rsidR="00C0711E" w:rsidRPr="006A1F4E" w:rsidRDefault="00C0711E" w:rsidP="000832B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 Çdo person ka të drejtë që çështja e tij të dëgjohet drejtësisht, publikisht dhe brenda një afati të arsyeshëm nga një gjykatë e pavarur dhe e paanshme, e krijuar me ligj, e cila do të vendosë si për mosmarrëveshjet në lidhje me të drejtat dhe detyrimet e tij të natyrës civile, ashtu edhe për bazueshmërinë e çdo akuze penale në ngarkim të tij</w:t>
      </w:r>
      <w:r w:rsidR="000832B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w:t>
      </w:r>
    </w:p>
    <w:p w14:paraId="25CC3DF4" w14:textId="06660CC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A. Zbatueshmëria e </w:t>
      </w:r>
      <w:r w:rsidR="00771FB5" w:rsidRPr="006A1F4E">
        <w:rPr>
          <w:rFonts w:ascii="Garamond" w:hAnsi="Garamond" w:cs="Times New Roman"/>
          <w:b/>
          <w:bCs/>
          <w:color w:val="000000"/>
          <w:sz w:val="24"/>
          <w:szCs w:val="24"/>
          <w:lang w:val="sq-AL"/>
        </w:rPr>
        <w:t xml:space="preserve">nenit </w:t>
      </w:r>
      <w:r w:rsidRPr="006A1F4E">
        <w:rPr>
          <w:rFonts w:ascii="Garamond" w:hAnsi="Garamond" w:cs="Times New Roman"/>
          <w:b/>
          <w:bCs/>
          <w:color w:val="000000"/>
          <w:sz w:val="24"/>
          <w:szCs w:val="24"/>
          <w:lang w:val="sq-AL"/>
        </w:rPr>
        <w:t xml:space="preserve">6 </w:t>
      </w:r>
    </w:p>
    <w:p w14:paraId="4659DF39" w14:textId="4FFC451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99. Qeveria pranoi se </w:t>
      </w:r>
      <w:r w:rsidR="000D6B61"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6 § 1 i Konventës ishte i zbatueshëm për proceset e rivlerësimit në aspektin e tij civil. Kërkuesja ishte e mendimit se </w:t>
      </w:r>
      <w:r w:rsidR="000D6B61"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6 ishte i zbatueshëm për ato procese si në aspektin e tij civil edhe atë penal. </w:t>
      </w:r>
    </w:p>
    <w:p w14:paraId="00D576B0" w14:textId="66201D7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100. Në vendimin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Gjykata konstatoi se </w:t>
      </w:r>
      <w:r w:rsidR="00A44D89"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6 ishte i zbatueshëm në procesin e rivlerësimit të prezantuar në Shqipëri në vitin 2016, në aspektin e tij civil (ibid., §§ 236-39 dhe 288), por jo në aspektin e tij penal (ibid., §§ 240-46). Ajo nuk sheh asnjë arsye të arrijë një përfundim ndryshe në këtë çështje. </w:t>
      </w:r>
    </w:p>
    <w:p w14:paraId="0BD8C3B7" w14:textId="2AA6E66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B. Ankesa në lidhje me përcaktimin e të drejtave nga një “gjykatë e krijuar nga ligji”</w:t>
      </w:r>
    </w:p>
    <w:p w14:paraId="3F5A58AE" w14:textId="14AA8FF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A1F4E">
        <w:rPr>
          <w:rFonts w:ascii="Garamond" w:hAnsi="Garamond" w:cs="Times New Roman"/>
          <w:i/>
          <w:iCs/>
          <w:color w:val="000000"/>
          <w:sz w:val="24"/>
          <w:szCs w:val="24"/>
          <w:lang w:val="sq-AL"/>
        </w:rPr>
        <w:t>1. Parashtrimet e palëve</w:t>
      </w:r>
    </w:p>
    <w:p w14:paraId="59299B34" w14:textId="658CD672"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101. Qeveria parashtroi se ankesa e kërkueses ku pretendohej për papërshtatshmërinë e një sërë gjyqtarësh të KPA</w:t>
      </w:r>
      <w:r w:rsidR="00ED591B">
        <w:rPr>
          <w:rFonts w:ascii="Garamond" w:hAnsi="Garamond" w:cs="Times New Roman"/>
          <w:color w:val="000000"/>
          <w:sz w:val="24"/>
          <w:szCs w:val="24"/>
          <w:lang w:val="sq-AL"/>
        </w:rPr>
        <w:t>-së</w:t>
      </w:r>
      <w:r w:rsidR="0079028A">
        <w:rPr>
          <w:rFonts w:ascii="Garamond" w:hAnsi="Garamond" w:cs="Times New Roman"/>
          <w:color w:val="000000"/>
          <w:sz w:val="24"/>
          <w:szCs w:val="24"/>
          <w:lang w:val="sq-AL"/>
        </w:rPr>
        <w:t xml:space="preserve"> për detyrën e gjyqtarit</w:t>
      </w:r>
      <w:r w:rsidRPr="006A1F4E">
        <w:rPr>
          <w:rFonts w:ascii="Garamond" w:hAnsi="Garamond" w:cs="Times New Roman"/>
          <w:color w:val="000000"/>
          <w:sz w:val="24"/>
          <w:szCs w:val="24"/>
          <w:lang w:val="sq-AL"/>
        </w:rPr>
        <w:t xml:space="preserve"> dhe</w:t>
      </w:r>
      <w:r w:rsidR="0079028A">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për pasojë, për mungesën e një “gjykate të krijuar nga ligji”, duhet të rrëzohej për mosshfrytëzim të mjeteve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në përputhje me </w:t>
      </w:r>
      <w:r w:rsidR="0079028A"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35 § 1 të Konventës. Qeveria parashtroi se ajo nuk kishte paraqitur asnjë kundërshtim për përbërjen e KPA</w:t>
      </w:r>
      <w:r w:rsidR="00193041">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gjatë procesit përpara atij kolegji, dhe për këtë arsye, nuk u kishte dhënë gjykatave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mundësinë të korrigjonin një gabim të mundshëm. </w:t>
      </w:r>
    </w:p>
    <w:p w14:paraId="2C340590" w14:textId="45B64AD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102. Qeveria argumentoi se sipas nenit 27 të Ligjit të Rivlerësimit (shih paragrafin 43 më sipër), kërkuesja kishte pasur mundësinë të kundërshtonte praninë në proces të gjyqtarëve, të cilët ishin në konflikt interesi ose nuk kishin mundësi të ushtronin detyrën për shkak të ndalimeve të caktuara. Sipas nenit 27(2) të Ligjit të Rivlerësimit, në rastin e një kundërshtimi, vendimi do të merrej nga një tjetër trup gjykues i KPA. Në vijim, Qeveria argumentoi se edhe një person tjetër subjekt i procesit të rivlerësimit kishte paraqitur një ankesë penale ndaj njërit prej gjyqtarëve të KPA, L.D., i cili ishte pezulluar nga detyra nga KPA pasi ishte akuzuar për falsifikim të dokumenteve (shih paragrafin 34 më sipër). </w:t>
      </w:r>
    </w:p>
    <w:p w14:paraId="62C63FD3" w14:textId="5999DD38" w:rsidR="00C0711E" w:rsidRPr="006A1F4E" w:rsidRDefault="00C0711E" w:rsidP="0019304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103. Kërkuesja parashtroi se ajo nuk kishte pasur mjete efektiv</w:t>
      </w:r>
      <w:r w:rsidR="00193041">
        <w:rPr>
          <w:rFonts w:ascii="Garamond" w:hAnsi="Garamond" w:cs="Times New Roman"/>
          <w:color w:val="000000"/>
          <w:sz w:val="24"/>
          <w:szCs w:val="24"/>
          <w:lang w:val="sq-AL"/>
        </w:rPr>
        <w:t>e</w:t>
      </w:r>
      <w:r w:rsidRPr="006A1F4E">
        <w:rPr>
          <w:rFonts w:ascii="Garamond" w:hAnsi="Garamond" w:cs="Times New Roman"/>
          <w:color w:val="000000"/>
          <w:sz w:val="24"/>
          <w:szCs w:val="24"/>
          <w:lang w:val="sq-AL"/>
        </w:rPr>
        <w:t xml:space="preserve"> në dispozicion për të kundërshtuar përbërjen e KPA</w:t>
      </w:r>
      <w:r w:rsidR="003B4C60">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gjatë procesit të rivlerësimit. Vendimet e KPA</w:t>
      </w:r>
      <w:r w:rsidR="000C15E3">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ishin të formës së prerë. Vetëm tre muaj pas vendimit të KPA</w:t>
      </w:r>
      <w:r w:rsidR="000C15E3">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për ta shkarkuar nga detyra, u zbulua se dy ose më shumë gjyqtarë të KPA nuk kishin qenë të kualifikueshëm për të shërbyer si gjyqtarë të këtij kolegji. Njëri prej gjyqtarëve, L.D. më pas ishte shpallur fajtor pasi kishte fshehur faktin që çonte në papërshtatshmërinë e tij, më konkretisht faktin se ishte shkarkuar nga detyra si gjyqtar nga Këshilli i Lartë i Drejtësisë në vitin 1997. Në vijim, ai ishte skualifikuar nga kandidimi për një tjetër pozicion në gjyqësor nga Këshilli i Lartë i Drejtësisë në fund të vitit 2016. </w:t>
      </w:r>
    </w:p>
    <w:p w14:paraId="6A8B6BAC" w14:textId="07C36F7F" w:rsidR="00C0711E" w:rsidRPr="005F33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104. Në vijim, kërkuesja parashtroi se nuk kishte pasur asnjë mjet efektiv për të kundërshtuar mosrespektimin e kritereve të kualifikimit nga ana e anëtarëve të KPA</w:t>
      </w:r>
      <w:r w:rsidR="000C15E3">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Një person tjetër, subjekt i procesit të rivlerësimit, kishte kundërshtuar pjesëmarrjen e </w:t>
      </w:r>
      <w:r w:rsidR="00A439CC" w:rsidRPr="006A1F4E">
        <w:rPr>
          <w:rFonts w:ascii="Garamond" w:hAnsi="Garamond" w:cs="Times New Roman"/>
          <w:color w:val="000000"/>
          <w:sz w:val="24"/>
          <w:szCs w:val="24"/>
          <w:lang w:val="sq-AL"/>
        </w:rPr>
        <w:t xml:space="preserve">gjyqtarëve </w:t>
      </w:r>
      <w:r w:rsidRPr="006A1F4E">
        <w:rPr>
          <w:rFonts w:ascii="Garamond" w:hAnsi="Garamond" w:cs="Times New Roman"/>
          <w:color w:val="000000"/>
          <w:sz w:val="24"/>
          <w:szCs w:val="24"/>
          <w:lang w:val="sq-AL"/>
        </w:rPr>
        <w:t>L.D. dhe A.H. në çështjen e tij pasi ata nuk përmbushnin kriteret përzgjedhëse për të qenë anëtarë të KPA. Megjithatë, KPA</w:t>
      </w:r>
      <w:r w:rsidR="00A439CC">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kishte gjykuar se pyetjet në lidhje me mandatin e këtyre gjyqtarëve nuk ishin në juridiksionin e saj</w:t>
      </w:r>
      <w:r w:rsidR="003B04A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parashikimeve kushtetuese të zbatueshme. Edhe ankesa kushtetuese e këtij personi nuk kishte </w:t>
      </w:r>
      <w:r w:rsidRPr="005F334E">
        <w:rPr>
          <w:rFonts w:ascii="Garamond" w:hAnsi="Garamond" w:cs="Times New Roman"/>
          <w:color w:val="000000"/>
          <w:sz w:val="24"/>
          <w:szCs w:val="24"/>
          <w:lang w:val="sq-AL"/>
        </w:rPr>
        <w:t>pasur ndonjë dobi (shih paragrafët 44</w:t>
      </w:r>
      <w:r w:rsidR="003B04A0" w:rsidRPr="005F334E">
        <w:rPr>
          <w:rFonts w:ascii="Garamond" w:hAnsi="Garamond" w:cs="Times New Roman"/>
          <w:color w:val="000000"/>
          <w:sz w:val="24"/>
          <w:szCs w:val="24"/>
          <w:lang w:val="sq-AL"/>
        </w:rPr>
        <w:t>–</w:t>
      </w:r>
      <w:r w:rsidRPr="005F334E">
        <w:rPr>
          <w:rFonts w:ascii="Garamond" w:hAnsi="Garamond" w:cs="Times New Roman"/>
          <w:color w:val="000000"/>
          <w:sz w:val="24"/>
          <w:szCs w:val="24"/>
          <w:lang w:val="sq-AL"/>
        </w:rPr>
        <w:t xml:space="preserve">45 më sipër). Kërkesat e saj për hapjen e një procesi disiplinor ndaj </w:t>
      </w:r>
      <w:r w:rsidR="005F334E" w:rsidRPr="005F334E">
        <w:rPr>
          <w:rFonts w:ascii="Garamond" w:hAnsi="Garamond" w:cs="Times New Roman"/>
          <w:color w:val="000000"/>
          <w:sz w:val="24"/>
          <w:szCs w:val="24"/>
          <w:lang w:val="sq-AL"/>
        </w:rPr>
        <w:t xml:space="preserve">gjyqtarëve </w:t>
      </w:r>
      <w:r w:rsidRPr="005F334E">
        <w:rPr>
          <w:rFonts w:ascii="Garamond" w:hAnsi="Garamond" w:cs="Times New Roman"/>
          <w:color w:val="000000"/>
          <w:sz w:val="24"/>
          <w:szCs w:val="24"/>
          <w:lang w:val="sq-AL"/>
        </w:rPr>
        <w:t>L.D. dhe A.H., dhe heqja e tyre nga detyra për arsye mospërshtatshmërie në KPA dhe ONM, pasi ajo ishte vërë në dijeni për problemet me mospërshtatshmërinë e tyre, nuk kishin pasur dobi (shih paragrafët 32</w:t>
      </w:r>
      <w:r w:rsidR="005F334E">
        <w:rPr>
          <w:rFonts w:ascii="Garamond" w:hAnsi="Garamond" w:cs="Times New Roman"/>
          <w:color w:val="000000"/>
          <w:sz w:val="24"/>
          <w:szCs w:val="24"/>
          <w:lang w:val="sq-AL"/>
        </w:rPr>
        <w:t>–</w:t>
      </w:r>
      <w:r w:rsidRPr="005F334E">
        <w:rPr>
          <w:rFonts w:ascii="Garamond" w:hAnsi="Garamond" w:cs="Times New Roman"/>
          <w:color w:val="000000"/>
          <w:sz w:val="24"/>
          <w:szCs w:val="24"/>
          <w:lang w:val="sq-AL"/>
        </w:rPr>
        <w:t xml:space="preserve">33 më sipër). </w:t>
      </w:r>
    </w:p>
    <w:p w14:paraId="2436C130" w14:textId="7FCF5B00" w:rsidR="00C0711E" w:rsidRPr="005F334E" w:rsidRDefault="00C0711E" w:rsidP="00C0711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F334E">
        <w:rPr>
          <w:rFonts w:ascii="Garamond" w:hAnsi="Garamond" w:cs="Times New Roman"/>
          <w:i/>
          <w:iCs/>
          <w:color w:val="000000"/>
          <w:sz w:val="24"/>
          <w:szCs w:val="24"/>
          <w:lang w:val="sq-AL"/>
        </w:rPr>
        <w:t xml:space="preserve">2. Vlerësimi i Gjykatës </w:t>
      </w:r>
    </w:p>
    <w:p w14:paraId="445F8145" w14:textId="1F6CFF9C"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334E">
        <w:rPr>
          <w:rFonts w:ascii="Garamond" w:hAnsi="Garamond" w:cs="Times New Roman"/>
          <w:color w:val="000000"/>
          <w:sz w:val="24"/>
          <w:szCs w:val="24"/>
          <w:lang w:val="sq-AL"/>
        </w:rPr>
        <w:t>105. Gjykata përsërit se një tipar themelor i mekanizmit për mbrojtjen e krijuar nga Konventa</w:t>
      </w:r>
      <w:r w:rsidRPr="006A1F4E">
        <w:rPr>
          <w:rFonts w:ascii="Garamond" w:hAnsi="Garamond" w:cs="Times New Roman"/>
          <w:color w:val="000000"/>
          <w:sz w:val="24"/>
          <w:szCs w:val="24"/>
          <w:lang w:val="sq-AL"/>
        </w:rPr>
        <w:t xml:space="preserve"> është delegimi te sistemet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e që të ruajnë të drejtat e njeriut. Gjykata nuk duhet të marrë rolin e Shteteve Kontraktuese, përgjegjësia e të cilave është të garantojnë</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respektimin dhe mbrojtjen në nivel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të të drejtave dhe lirive themelore të parashikuara në Konventë. Rregulli për shterimin e mjeteve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mbështetet në prezumimin – reflektuar në </w:t>
      </w:r>
      <w:r w:rsidR="00874E28"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13 të Konventës, me të cilin ka më shumë ngjashmëri – se ekziston një mjet efektiv i disponueshëm për shkeljen e pretenduar. Për këtë arsye, rregulli është një pjesë e rëndësishme e funksionimit të këtij sistemi mbrojtjeje (shih </w:t>
      </w:r>
      <w:r w:rsidRPr="006A1F4E">
        <w:rPr>
          <w:rFonts w:ascii="Garamond" w:hAnsi="Garamond" w:cs="Times New Roman"/>
          <w:i/>
          <w:iCs/>
          <w:color w:val="000000"/>
          <w:sz w:val="24"/>
          <w:szCs w:val="24"/>
          <w:lang w:val="sq-AL"/>
        </w:rPr>
        <w:t>Vučković dhe të Tjerët kundër Serbisë</w:t>
      </w:r>
      <w:r w:rsidRPr="006A1F4E">
        <w:rPr>
          <w:rFonts w:ascii="Garamond" w:hAnsi="Garamond" w:cs="Times New Roman"/>
          <w:color w:val="000000"/>
          <w:sz w:val="24"/>
          <w:szCs w:val="24"/>
          <w:lang w:val="sq-AL"/>
        </w:rPr>
        <w:t xml:space="preserve"> (kundërshtimi paraprak) [DHM], nr. 17153/11 dhe 29 të tjerë, § 69, 25 </w:t>
      </w:r>
      <w:r w:rsidR="00874E28" w:rsidRPr="006A1F4E">
        <w:rPr>
          <w:rFonts w:ascii="Garamond" w:hAnsi="Garamond" w:cs="Times New Roman"/>
          <w:color w:val="000000"/>
          <w:sz w:val="24"/>
          <w:szCs w:val="24"/>
          <w:lang w:val="sq-AL"/>
        </w:rPr>
        <w:t xml:space="preserve">mars </w:t>
      </w:r>
      <w:r w:rsidRPr="006A1F4E">
        <w:rPr>
          <w:rFonts w:ascii="Garamond" w:hAnsi="Garamond" w:cs="Times New Roman"/>
          <w:color w:val="000000"/>
          <w:sz w:val="24"/>
          <w:szCs w:val="24"/>
          <w:lang w:val="sq-AL"/>
        </w:rPr>
        <w:t>2014).</w:t>
      </w:r>
    </w:p>
    <w:p w14:paraId="1EEF1CBE" w14:textId="028175FD" w:rsidR="00C0711E" w:rsidRPr="00D55974" w:rsidRDefault="00C0711E" w:rsidP="00647EDA">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106. Shtetet nuk përgjigjen përpara një organi ndërkombëtar për veprimet e tyre përpara se të kenë pasur mundësinë t’i zgjidhin problemet me anë të sistemit të tyre ligjor, dhe ato shtete që dëshirojnë të kërkojnë juridiksionin mbikëqyrës të Gjykatës për sa </w:t>
      </w:r>
      <w:r w:rsidR="00647EDA">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përket ankesave kundër një </w:t>
      </w:r>
      <w:r w:rsidRPr="00D55974">
        <w:rPr>
          <w:rFonts w:ascii="Garamond" w:hAnsi="Garamond" w:cs="Times New Roman"/>
          <w:color w:val="000000"/>
          <w:sz w:val="24"/>
          <w:szCs w:val="24"/>
          <w:lang w:val="sq-AL"/>
        </w:rPr>
        <w:t xml:space="preserve">Shteti kanë detyrimin të përdorin fillimisht mjetet e ofruara nga sistemi </w:t>
      </w:r>
      <w:r w:rsidR="008858E0" w:rsidRPr="00D55974">
        <w:rPr>
          <w:rFonts w:ascii="Garamond" w:hAnsi="Garamond" w:cs="Times New Roman"/>
          <w:color w:val="000000"/>
          <w:sz w:val="24"/>
          <w:szCs w:val="24"/>
          <w:lang w:val="sq-AL"/>
        </w:rPr>
        <w:t>vendës</w:t>
      </w:r>
      <w:r w:rsidRPr="00D55974">
        <w:rPr>
          <w:rFonts w:ascii="Garamond" w:hAnsi="Garamond" w:cs="Times New Roman"/>
          <w:color w:val="000000"/>
          <w:sz w:val="24"/>
          <w:szCs w:val="24"/>
          <w:lang w:val="sq-AL"/>
        </w:rPr>
        <w:t xml:space="preserve"> ligjor (shih, midis shumë autoritetesh, </w:t>
      </w:r>
      <w:r w:rsidRPr="00D55974">
        <w:rPr>
          <w:rFonts w:ascii="Garamond" w:hAnsi="Garamond" w:cs="Times New Roman"/>
          <w:i/>
          <w:iCs/>
          <w:color w:val="000000"/>
          <w:sz w:val="24"/>
          <w:szCs w:val="24"/>
          <w:lang w:val="sq-AL"/>
        </w:rPr>
        <w:t>Akdivar dhe të Tjerët</w:t>
      </w:r>
      <w:r w:rsidRPr="00D55974">
        <w:rPr>
          <w:rFonts w:ascii="Garamond" w:hAnsi="Garamond" w:cs="Times New Roman"/>
          <w:color w:val="000000"/>
          <w:sz w:val="24"/>
          <w:szCs w:val="24"/>
          <w:lang w:val="sq-AL"/>
        </w:rPr>
        <w:t xml:space="preserve">, § 65, dhe </w:t>
      </w:r>
      <w:r w:rsidRPr="00D55974">
        <w:rPr>
          <w:rFonts w:ascii="Garamond" w:hAnsi="Garamond" w:cs="Times New Roman"/>
          <w:i/>
          <w:iCs/>
          <w:color w:val="000000"/>
          <w:sz w:val="24"/>
          <w:szCs w:val="24"/>
          <w:lang w:val="sq-AL"/>
        </w:rPr>
        <w:t>Vučković dhe të Tjerët</w:t>
      </w:r>
      <w:r w:rsidRPr="00D55974">
        <w:rPr>
          <w:rFonts w:ascii="Garamond" w:hAnsi="Garamond" w:cs="Times New Roman"/>
          <w:color w:val="000000"/>
          <w:sz w:val="24"/>
          <w:szCs w:val="24"/>
          <w:lang w:val="sq-AL"/>
        </w:rPr>
        <w:t xml:space="preserve">, § 70, të dy cituar më sipër). </w:t>
      </w:r>
    </w:p>
    <w:p w14:paraId="562E7558" w14:textId="27ACE61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55974">
        <w:rPr>
          <w:rFonts w:ascii="Garamond" w:hAnsi="Garamond" w:cs="Times New Roman"/>
          <w:color w:val="000000"/>
          <w:sz w:val="24"/>
          <w:szCs w:val="24"/>
          <w:lang w:val="sq-AL"/>
        </w:rPr>
        <w:t xml:space="preserve">107. Dyshimet mbi rolin e kërkuesit/kërkueses në lidhje me efikasitetin e një mjeti të caktuar nuk e çlirojnë atë nga detyrimi që ta provojë atë (shih </w:t>
      </w:r>
      <w:r w:rsidRPr="00D55974">
        <w:rPr>
          <w:rFonts w:ascii="Garamond" w:hAnsi="Garamond" w:cs="Times New Roman"/>
          <w:i/>
          <w:iCs/>
          <w:color w:val="000000"/>
          <w:sz w:val="24"/>
          <w:szCs w:val="24"/>
          <w:lang w:val="sq-AL"/>
        </w:rPr>
        <w:t xml:space="preserve">Milošević kundër Holandës </w:t>
      </w:r>
      <w:r w:rsidR="00D55974">
        <w:rPr>
          <w:rFonts w:ascii="Garamond" w:hAnsi="Garamond" w:cs="Times New Roman"/>
          <w:color w:val="000000"/>
          <w:sz w:val="24"/>
          <w:szCs w:val="24"/>
          <w:lang w:val="sq-AL"/>
        </w:rPr>
        <w:t>(vendim)</w:t>
      </w:r>
      <w:r w:rsidRPr="00D55974">
        <w:rPr>
          <w:rFonts w:ascii="Garamond" w:hAnsi="Garamond" w:cs="Times New Roman"/>
          <w:color w:val="000000"/>
          <w:sz w:val="24"/>
          <w:szCs w:val="24"/>
          <w:lang w:val="sq-AL"/>
        </w:rPr>
        <w:t xml:space="preserve"> nr. 77631/01, 19 Mars 2002; </w:t>
      </w:r>
      <w:r w:rsidRPr="00D55974">
        <w:rPr>
          <w:rFonts w:ascii="Garamond" w:hAnsi="Garamond" w:cs="Times New Roman"/>
          <w:i/>
          <w:iCs/>
          <w:color w:val="000000"/>
          <w:sz w:val="24"/>
          <w:szCs w:val="24"/>
          <w:lang w:val="sq-AL"/>
        </w:rPr>
        <w:t>Vučković dhe të Tjerët</w:t>
      </w:r>
      <w:r w:rsidRPr="00D55974">
        <w:rPr>
          <w:rFonts w:ascii="Garamond" w:hAnsi="Garamond" w:cs="Times New Roman"/>
          <w:color w:val="000000"/>
          <w:sz w:val="24"/>
          <w:szCs w:val="24"/>
          <w:lang w:val="sq-AL"/>
        </w:rPr>
        <w:t xml:space="preserve">, cituar më sipër, §§ 74 dhe 84; dhe </w:t>
      </w:r>
      <w:r w:rsidRPr="00D55974">
        <w:rPr>
          <w:rFonts w:ascii="Garamond" w:hAnsi="Garamond" w:cs="Times New Roman"/>
          <w:i/>
          <w:iCs/>
          <w:color w:val="000000"/>
          <w:sz w:val="24"/>
          <w:szCs w:val="24"/>
          <w:lang w:val="sq-AL"/>
        </w:rPr>
        <w:t>Zihni kundër Turqisë</w:t>
      </w:r>
      <w:r w:rsidRPr="00D55974">
        <w:rPr>
          <w:rFonts w:ascii="Garamond" w:hAnsi="Garamond" w:cs="Times New Roman"/>
          <w:color w:val="000000"/>
          <w:sz w:val="24"/>
          <w:szCs w:val="24"/>
          <w:lang w:val="sq-AL"/>
        </w:rPr>
        <w:t xml:space="preserve"> (vendim), nr. 59061/16, §§ 23 dhe 30, 29 </w:t>
      </w:r>
      <w:r w:rsidR="008858E0" w:rsidRPr="00D55974">
        <w:rPr>
          <w:rFonts w:ascii="Garamond" w:hAnsi="Garamond" w:cs="Times New Roman"/>
          <w:color w:val="000000"/>
          <w:sz w:val="24"/>
          <w:szCs w:val="24"/>
          <w:lang w:val="sq-AL"/>
        </w:rPr>
        <w:t xml:space="preserve">nëntor </w:t>
      </w:r>
      <w:r w:rsidRPr="00D55974">
        <w:rPr>
          <w:rFonts w:ascii="Garamond" w:hAnsi="Garamond" w:cs="Times New Roman"/>
          <w:color w:val="000000"/>
          <w:sz w:val="24"/>
          <w:szCs w:val="24"/>
          <w:lang w:val="sq-AL"/>
        </w:rPr>
        <w:t>2016). Kjo është e vërtetë veçanërisht në kontekstin në të cilin</w:t>
      </w:r>
      <w:r w:rsidRPr="006A1F4E">
        <w:rPr>
          <w:rFonts w:ascii="Garamond" w:hAnsi="Garamond" w:cs="Times New Roman"/>
          <w:color w:val="000000"/>
          <w:sz w:val="24"/>
          <w:szCs w:val="24"/>
          <w:lang w:val="sq-AL"/>
        </w:rPr>
        <w:t xml:space="preserve"> efikasiteti i një mjeti nuk është testuar ende ose testohet rrallë përpara gjykatave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dhe në kontekstin në të cilin Gjykata ka vendosur se kërkuesit do të duhej të shteronin mjetet të cilat ishin të aksesueshme dhe që ofronin perspektiva të arsyeshme suksesi (krahaso </w:t>
      </w:r>
      <w:r w:rsidRPr="006A1F4E">
        <w:rPr>
          <w:rFonts w:ascii="Garamond" w:hAnsi="Garamond" w:cs="Times New Roman"/>
          <w:i/>
          <w:iCs/>
          <w:color w:val="000000"/>
          <w:sz w:val="24"/>
          <w:szCs w:val="24"/>
          <w:lang w:val="sq-AL"/>
        </w:rPr>
        <w:t>Zihni</w:t>
      </w:r>
      <w:r w:rsidRPr="006A1F4E">
        <w:rPr>
          <w:rFonts w:ascii="Garamond" w:hAnsi="Garamond" w:cs="Times New Roman"/>
          <w:color w:val="000000"/>
          <w:sz w:val="24"/>
          <w:szCs w:val="24"/>
          <w:lang w:val="sq-AL"/>
        </w:rPr>
        <w:t>, cituar më sipër, §§ 24</w:t>
      </w:r>
      <w:r w:rsidR="008858E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31). Në një sistem ligjor ku ofrohet mbrojtje nga Kushtetuta ose ligji për të drejtat themelore, është detyra e individit të dëmtuar të testojë atë mbrojtje dhe t’i lejojë gjykatat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t’i mbrojnë ato të drejta me anë të interpretimit (krahaso, </w:t>
      </w:r>
      <w:r w:rsidRPr="006A1F4E">
        <w:rPr>
          <w:rFonts w:ascii="Garamond" w:hAnsi="Garamond" w:cs="Times New Roman"/>
          <w:i/>
          <w:iCs/>
          <w:color w:val="000000"/>
          <w:sz w:val="24"/>
          <w:szCs w:val="24"/>
          <w:lang w:val="sq-AL"/>
        </w:rPr>
        <w:t>A, B dhe C kundër Irlandës</w:t>
      </w:r>
      <w:r w:rsidR="004B10B0">
        <w:rPr>
          <w:rFonts w:ascii="Garamond" w:hAnsi="Garamond" w:cs="Times New Roman"/>
          <w:i/>
          <w:iCs/>
          <w:color w:val="000000"/>
          <w:sz w:val="24"/>
          <w:szCs w:val="24"/>
          <w:lang w:val="sq-AL"/>
        </w:rPr>
        <w:t xml:space="preserve"> </w:t>
      </w:r>
      <w:r w:rsidRPr="006A1F4E">
        <w:rPr>
          <w:rFonts w:ascii="Garamond" w:hAnsi="Garamond" w:cs="Times New Roman"/>
          <w:color w:val="000000"/>
          <w:sz w:val="24"/>
          <w:szCs w:val="24"/>
          <w:lang w:val="sq-AL"/>
        </w:rPr>
        <w:t xml:space="preserve">[DHM], nr. 25579/09, § 142, GJEDNJ 2010; shih edhe </w:t>
      </w:r>
      <w:r w:rsidRPr="006A1F4E">
        <w:rPr>
          <w:rFonts w:ascii="Garamond" w:hAnsi="Garamond" w:cs="Times New Roman"/>
          <w:i/>
          <w:iCs/>
          <w:color w:val="000000"/>
          <w:sz w:val="24"/>
          <w:szCs w:val="24"/>
          <w:lang w:val="sq-AL"/>
        </w:rPr>
        <w:t>Vučković dhe të Tjerët</w:t>
      </w:r>
      <w:r w:rsidRPr="006A1F4E">
        <w:rPr>
          <w:rFonts w:ascii="Garamond" w:hAnsi="Garamond" w:cs="Times New Roman"/>
          <w:color w:val="000000"/>
          <w:sz w:val="24"/>
          <w:szCs w:val="24"/>
          <w:lang w:val="sq-AL"/>
        </w:rPr>
        <w:t xml:space="preserve">, § 84, dhe </w:t>
      </w:r>
      <w:r w:rsidRPr="006A1F4E">
        <w:rPr>
          <w:rFonts w:ascii="Garamond" w:hAnsi="Garamond" w:cs="Times New Roman"/>
          <w:i/>
          <w:iCs/>
          <w:color w:val="000000"/>
          <w:sz w:val="24"/>
          <w:szCs w:val="24"/>
          <w:lang w:val="sq-AL"/>
        </w:rPr>
        <w:t>Zini</w:t>
      </w:r>
      <w:r w:rsidRPr="006A1F4E">
        <w:rPr>
          <w:rFonts w:ascii="Garamond" w:hAnsi="Garamond" w:cs="Times New Roman"/>
          <w:color w:val="000000"/>
          <w:sz w:val="24"/>
          <w:szCs w:val="24"/>
          <w:lang w:val="sq-AL"/>
        </w:rPr>
        <w:t xml:space="preserve">, § 30, të dy cituar më sipër). </w:t>
      </w:r>
    </w:p>
    <w:p w14:paraId="4F58A661" w14:textId="75A536F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108. Në lidhje me vendimet e formës së prerë shpallur nga gjykatat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Gjykata ka vendosur vazhdimisht se një kërkesë për rihapjen e proceseve mbi bazën e fakteve të reja nuk është një mjet efektiv për qëllimet e respektimit të kritereve të pranueshmërisë sipas </w:t>
      </w:r>
      <w:r w:rsidR="00D55974"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1 të Konventës (shih </w:t>
      </w:r>
      <w:r w:rsidRPr="006A1F4E">
        <w:rPr>
          <w:rFonts w:ascii="Garamond" w:hAnsi="Garamond" w:cs="Times New Roman"/>
          <w:i/>
          <w:iCs/>
          <w:color w:val="000000"/>
          <w:sz w:val="24"/>
          <w:szCs w:val="24"/>
          <w:lang w:val="sq-AL"/>
        </w:rPr>
        <w:t>Vainio kundër Finlandës</w:t>
      </w:r>
      <w:r w:rsidR="006A1F4E" w:rsidRPr="006A1F4E">
        <w:rPr>
          <w:rFonts w:ascii="Garamond" w:hAnsi="Garamond" w:cs="Times New Roman"/>
          <w:i/>
          <w:iCs/>
          <w:color w:val="000000"/>
          <w:sz w:val="24"/>
          <w:szCs w:val="24"/>
          <w:lang w:val="sq-AL"/>
        </w:rPr>
        <w:t xml:space="preserve"> </w:t>
      </w:r>
      <w:r w:rsidRPr="006A1F4E">
        <w:rPr>
          <w:rFonts w:ascii="Garamond" w:hAnsi="Garamond" w:cs="Times New Roman"/>
          <w:color w:val="000000"/>
          <w:sz w:val="24"/>
          <w:szCs w:val="24"/>
          <w:lang w:val="sq-AL"/>
        </w:rPr>
        <w:t xml:space="preserve">(vendim), nr. 62123/09, 3 </w:t>
      </w:r>
      <w:r w:rsidR="00D55974" w:rsidRPr="006A1F4E">
        <w:rPr>
          <w:rFonts w:ascii="Garamond" w:hAnsi="Garamond" w:cs="Times New Roman"/>
          <w:color w:val="000000"/>
          <w:sz w:val="24"/>
          <w:szCs w:val="24"/>
          <w:lang w:val="sq-AL"/>
        </w:rPr>
        <w:t xml:space="preserve">maj </w:t>
      </w:r>
      <w:r w:rsidRPr="006A1F4E">
        <w:rPr>
          <w:rFonts w:ascii="Garamond" w:hAnsi="Garamond" w:cs="Times New Roman"/>
          <w:color w:val="000000"/>
          <w:sz w:val="24"/>
          <w:szCs w:val="24"/>
          <w:lang w:val="sq-AL"/>
        </w:rPr>
        <w:t xml:space="preserve">2011; </w:t>
      </w:r>
      <w:r w:rsidRPr="006A1F4E">
        <w:rPr>
          <w:rFonts w:ascii="Garamond" w:hAnsi="Garamond" w:cs="Times New Roman"/>
          <w:i/>
          <w:iCs/>
          <w:color w:val="000000"/>
          <w:sz w:val="24"/>
          <w:szCs w:val="24"/>
          <w:lang w:val="sq-AL"/>
        </w:rPr>
        <w:t xml:space="preserve">Riedl-Riedenstein dhe të Tjerët kundër Gjermanisë </w:t>
      </w:r>
      <w:r w:rsidRPr="006A1F4E">
        <w:rPr>
          <w:rFonts w:ascii="Garamond" w:hAnsi="Garamond" w:cs="Times New Roman"/>
          <w:color w:val="000000"/>
          <w:sz w:val="24"/>
          <w:szCs w:val="24"/>
          <w:lang w:val="sq-AL"/>
        </w:rPr>
        <w:t xml:space="preserve">(vendim), nr. 48662/99, 22 </w:t>
      </w:r>
      <w:r w:rsidR="00FA4E33" w:rsidRPr="006A1F4E">
        <w:rPr>
          <w:rFonts w:ascii="Garamond" w:hAnsi="Garamond" w:cs="Times New Roman"/>
          <w:color w:val="000000"/>
          <w:sz w:val="24"/>
          <w:szCs w:val="24"/>
          <w:lang w:val="sq-AL"/>
        </w:rPr>
        <w:t xml:space="preserve">janar </w:t>
      </w:r>
      <w:r w:rsidRPr="006A1F4E">
        <w:rPr>
          <w:rFonts w:ascii="Garamond" w:hAnsi="Garamond" w:cs="Times New Roman"/>
          <w:color w:val="000000"/>
          <w:sz w:val="24"/>
          <w:szCs w:val="24"/>
          <w:lang w:val="sq-AL"/>
        </w:rPr>
        <w:t xml:space="preserve">2002; dhe </w:t>
      </w:r>
      <w:r w:rsidRPr="006A1F4E">
        <w:rPr>
          <w:rFonts w:ascii="Garamond" w:hAnsi="Garamond" w:cs="Times New Roman"/>
          <w:i/>
          <w:iCs/>
          <w:color w:val="000000"/>
          <w:sz w:val="24"/>
          <w:szCs w:val="24"/>
          <w:lang w:val="sq-AL"/>
        </w:rPr>
        <w:t xml:space="preserve">Dinchev kundër Bullgarisë </w:t>
      </w:r>
      <w:r w:rsidRPr="006A1F4E">
        <w:rPr>
          <w:rFonts w:ascii="Garamond" w:hAnsi="Garamond" w:cs="Times New Roman"/>
          <w:color w:val="000000"/>
          <w:sz w:val="24"/>
          <w:szCs w:val="24"/>
          <w:lang w:val="sq-AL"/>
        </w:rPr>
        <w:t xml:space="preserve">(vendim), nr. 17220/09, § 27, 21 </w:t>
      </w:r>
      <w:r w:rsidR="00FA4E33" w:rsidRPr="006A1F4E">
        <w:rPr>
          <w:rFonts w:ascii="Garamond" w:hAnsi="Garamond" w:cs="Times New Roman"/>
          <w:color w:val="000000"/>
          <w:sz w:val="24"/>
          <w:szCs w:val="24"/>
          <w:lang w:val="sq-AL"/>
        </w:rPr>
        <w:t xml:space="preserve">nëntor </w:t>
      </w:r>
      <w:r w:rsidRPr="006A1F4E">
        <w:rPr>
          <w:rFonts w:ascii="Garamond" w:hAnsi="Garamond" w:cs="Times New Roman"/>
          <w:color w:val="000000"/>
          <w:sz w:val="24"/>
          <w:szCs w:val="24"/>
          <w:lang w:val="sq-AL"/>
        </w:rPr>
        <w:t xml:space="preserve">2017). Megjithatë, Gjykata ka vendosur edhe se në disa situata të caktuara përjashtuese, duhet të rivendosen mjete të jashtëzakonshme, për shembull, në rastin kur rrëzimi i një vendimi i cili ka hyrë në fuqi, është i vetmi mjet me anë të të cilit Shteti përgjegjës mund të zgjidhë çështjet me anë të sistemit të tij ligjor (shih </w:t>
      </w:r>
      <w:r w:rsidRPr="006A1F4E">
        <w:rPr>
          <w:rFonts w:ascii="Garamond" w:hAnsi="Garamond" w:cs="Times New Roman"/>
          <w:i/>
          <w:iCs/>
          <w:color w:val="000000"/>
          <w:sz w:val="24"/>
          <w:szCs w:val="24"/>
          <w:lang w:val="sq-AL"/>
        </w:rPr>
        <w:t xml:space="preserve">Kiiskinen dhe Kovalainen kundër Finlandës </w:t>
      </w:r>
      <w:r w:rsidRPr="006A1F4E">
        <w:rPr>
          <w:rFonts w:ascii="Garamond" w:hAnsi="Garamond" w:cs="Times New Roman"/>
          <w:color w:val="000000"/>
          <w:sz w:val="24"/>
          <w:szCs w:val="24"/>
          <w:lang w:val="sq-AL"/>
        </w:rPr>
        <w:t xml:space="preserve">(vendim), nr. 26323/95, 1 </w:t>
      </w:r>
      <w:r w:rsidR="009B77E3" w:rsidRPr="006A1F4E">
        <w:rPr>
          <w:rFonts w:ascii="Garamond" w:hAnsi="Garamond" w:cs="Times New Roman"/>
          <w:color w:val="000000"/>
          <w:sz w:val="24"/>
          <w:szCs w:val="24"/>
          <w:lang w:val="sq-AL"/>
        </w:rPr>
        <w:t xml:space="preserve">qershor </w:t>
      </w:r>
      <w:r w:rsidRPr="006A1F4E">
        <w:rPr>
          <w:rFonts w:ascii="Garamond" w:hAnsi="Garamond" w:cs="Times New Roman"/>
          <w:color w:val="000000"/>
          <w:sz w:val="24"/>
          <w:szCs w:val="24"/>
          <w:lang w:val="sq-AL"/>
        </w:rPr>
        <w:t xml:space="preserve">1999, ku ankimi përpara Gjykatës kishte të bënte me paanshmërinë e një gjyqtari dhe nuk do të mund të ishte bërë përpara përfundimit të procesit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dhe </w:t>
      </w:r>
      <w:r w:rsidRPr="006A1F4E">
        <w:rPr>
          <w:rFonts w:ascii="Garamond" w:hAnsi="Garamond" w:cs="Times New Roman"/>
          <w:i/>
          <w:iCs/>
          <w:color w:val="000000"/>
          <w:sz w:val="24"/>
          <w:szCs w:val="24"/>
          <w:lang w:val="sq-AL"/>
        </w:rPr>
        <w:t xml:space="preserve">Nikula kundër Finlandës </w:t>
      </w:r>
      <w:r w:rsidRPr="006A1F4E">
        <w:rPr>
          <w:rFonts w:ascii="Garamond" w:hAnsi="Garamond" w:cs="Times New Roman"/>
          <w:color w:val="000000"/>
          <w:sz w:val="24"/>
          <w:szCs w:val="24"/>
          <w:lang w:val="sq-AL"/>
        </w:rPr>
        <w:t xml:space="preserve">(vendim), nr. 31611/96, 30 </w:t>
      </w:r>
      <w:r w:rsidR="009B77E3" w:rsidRPr="006A1F4E">
        <w:rPr>
          <w:rFonts w:ascii="Garamond" w:hAnsi="Garamond" w:cs="Times New Roman"/>
          <w:color w:val="000000"/>
          <w:sz w:val="24"/>
          <w:szCs w:val="24"/>
          <w:lang w:val="sq-AL"/>
        </w:rPr>
        <w:t xml:space="preserve">nëntor </w:t>
      </w:r>
      <w:r w:rsidRPr="006A1F4E">
        <w:rPr>
          <w:rFonts w:ascii="Garamond" w:hAnsi="Garamond" w:cs="Times New Roman"/>
          <w:color w:val="000000"/>
          <w:sz w:val="24"/>
          <w:szCs w:val="24"/>
          <w:lang w:val="sq-AL"/>
        </w:rPr>
        <w:t xml:space="preserve">2000). Në mënyrë të ngjashme, në rrethana specifike, Gjykata ka vendosur se një kërkesë për rihapjen e proceseve mund të jetë i vetmi mjet përmes së cilit ankesa specifike mund të ngrihet përpara gjykatave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dhe në rrethana të tilla, kjo do të përbënte një mjet efektiv (shih </w:t>
      </w:r>
      <w:r w:rsidRPr="006A1F4E">
        <w:rPr>
          <w:rFonts w:ascii="Garamond" w:hAnsi="Garamond" w:cs="Times New Roman"/>
          <w:i/>
          <w:iCs/>
          <w:color w:val="000000"/>
          <w:sz w:val="24"/>
          <w:szCs w:val="24"/>
          <w:lang w:val="sq-AL"/>
        </w:rPr>
        <w:t xml:space="preserve">Sobczyk kundër Polonisë </w:t>
      </w:r>
      <w:r w:rsidRPr="006A1F4E">
        <w:rPr>
          <w:rFonts w:ascii="Garamond" w:hAnsi="Garamond" w:cs="Times New Roman"/>
          <w:color w:val="000000"/>
          <w:sz w:val="24"/>
          <w:szCs w:val="24"/>
          <w:lang w:val="sq-AL"/>
        </w:rPr>
        <w:t xml:space="preserve">(vendim), nr. 73446/10, §§ 40 dhe 48, 25 </w:t>
      </w:r>
      <w:r w:rsidR="00FA4E33" w:rsidRPr="006A1F4E">
        <w:rPr>
          <w:rFonts w:ascii="Garamond" w:hAnsi="Garamond" w:cs="Times New Roman"/>
          <w:color w:val="000000"/>
          <w:sz w:val="24"/>
          <w:szCs w:val="24"/>
          <w:lang w:val="sq-AL"/>
        </w:rPr>
        <w:t xml:space="preserve">gusht </w:t>
      </w:r>
      <w:r w:rsidRPr="006A1F4E">
        <w:rPr>
          <w:rFonts w:ascii="Garamond" w:hAnsi="Garamond" w:cs="Times New Roman"/>
          <w:color w:val="000000"/>
          <w:sz w:val="24"/>
          <w:szCs w:val="24"/>
          <w:lang w:val="sq-AL"/>
        </w:rPr>
        <w:t xml:space="preserve">2015, dhe </w:t>
      </w:r>
      <w:r w:rsidRPr="006A1F4E">
        <w:rPr>
          <w:rFonts w:ascii="Garamond" w:hAnsi="Garamond" w:cs="Times New Roman"/>
          <w:i/>
          <w:iCs/>
          <w:color w:val="000000"/>
          <w:sz w:val="24"/>
          <w:szCs w:val="24"/>
          <w:lang w:val="sq-AL"/>
        </w:rPr>
        <w:t>Dinchev</w:t>
      </w:r>
      <w:r w:rsidRPr="006A1F4E">
        <w:rPr>
          <w:rFonts w:ascii="Garamond" w:hAnsi="Garamond" w:cs="Times New Roman"/>
          <w:color w:val="000000"/>
          <w:sz w:val="24"/>
          <w:szCs w:val="24"/>
          <w:lang w:val="sq-AL"/>
        </w:rPr>
        <w:t xml:space="preserve">, cituar më sipër, § 28). </w:t>
      </w:r>
    </w:p>
    <w:p w14:paraId="16F3C948" w14:textId="019C3D5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109. Gjykata vëren se është i pakundërshtueshëm fakti se ankuesja nuk e bëri ankesën e saj në lidhje me faktin se një apo më shumë gjyqtarë të KPA</w:t>
      </w:r>
      <w:r w:rsidR="00FA4E33">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nuk përmbushnin kriteret kualifikuese për të shërbyer si gjyqtarë të atij kolegji në procesin e rivlerësimit përpara atij kolegji. Në lidhje me këtë aspekt, Gjykata gjykon se Gjykata Kushtetuese, në vendimin e saj të datës 29 </w:t>
      </w:r>
      <w:r w:rsidR="0099379F" w:rsidRPr="006A1F4E">
        <w:rPr>
          <w:rFonts w:ascii="Garamond" w:hAnsi="Garamond" w:cs="Times New Roman"/>
          <w:color w:val="000000"/>
          <w:sz w:val="24"/>
          <w:szCs w:val="24"/>
          <w:lang w:val="sq-AL"/>
        </w:rPr>
        <w:t xml:space="preserve">prill </w:t>
      </w:r>
      <w:r w:rsidRPr="006A1F4E">
        <w:rPr>
          <w:rFonts w:ascii="Garamond" w:hAnsi="Garamond" w:cs="Times New Roman"/>
          <w:color w:val="000000"/>
          <w:sz w:val="24"/>
          <w:szCs w:val="24"/>
          <w:lang w:val="sq-AL"/>
        </w:rPr>
        <w:t xml:space="preserve">2020, në çështjen </w:t>
      </w:r>
      <w:r w:rsidRPr="006A1F4E">
        <w:rPr>
          <w:rFonts w:ascii="Garamond" w:hAnsi="Garamond" w:cs="Times New Roman"/>
          <w:i/>
          <w:iCs/>
          <w:color w:val="000000"/>
          <w:sz w:val="24"/>
          <w:szCs w:val="24"/>
          <w:lang w:val="sq-AL"/>
        </w:rPr>
        <w:t xml:space="preserve">Besnik Cani </w:t>
      </w:r>
      <w:r w:rsidRPr="006A1F4E">
        <w:rPr>
          <w:rFonts w:ascii="Garamond" w:hAnsi="Garamond" w:cs="Times New Roman"/>
          <w:color w:val="000000"/>
          <w:sz w:val="24"/>
          <w:szCs w:val="24"/>
          <w:lang w:val="sq-AL"/>
        </w:rPr>
        <w:t>(shih paragrafët 44</w:t>
      </w:r>
      <w:r w:rsidR="009B77E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45 më sipër), konfirmoi se e drejta kushtetuese për “një gjykatë të krijuar nga ligji” duhej të garantohej nga KPA</w:t>
      </w:r>
      <w:r w:rsidR="002B3073">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gjatë proceseve përpara tij (ibid,</w:t>
      </w:r>
      <w:r w:rsidR="00621D44">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m §§ 21 dhe 24). Në vijim, ajo vëren se diku pas vendimit të KPA</w:t>
      </w:r>
      <w:r w:rsidR="00621D4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për çështjen e saj, KPA</w:t>
      </w:r>
      <w:r w:rsidR="00621D4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e pezulloi Gjyqtarin L.D. nga detyra, kur ndaj tij nisi procesi penal për falsifikim dokumentesh në lidhje me aplikimin e tij për pozicionin në KPA, pas një ankese penale nga një person tjetër që po rivlerësohej (shih paragrafin 34 më sipër). </w:t>
      </w:r>
    </w:p>
    <w:p w14:paraId="217D942B" w14:textId="47E2340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110. Gjykata vëren se një palë në një proces gjyqësor e cila ka dyshime për ligjshmërinë e emërimit të një gjyqtari që merr pjesë në s</w:t>
      </w:r>
      <w:r w:rsidR="009B77E3">
        <w:rPr>
          <w:rFonts w:ascii="Garamond" w:hAnsi="Garamond" w:cs="Times New Roman"/>
          <w:color w:val="000000"/>
          <w:sz w:val="24"/>
          <w:szCs w:val="24"/>
          <w:lang w:val="sq-AL"/>
        </w:rPr>
        <w:t>eancën e çështjes së tij/saj, ç</w:t>
      </w:r>
      <w:r w:rsidRPr="006A1F4E">
        <w:rPr>
          <w:rFonts w:ascii="Garamond" w:hAnsi="Garamond" w:cs="Times New Roman"/>
          <w:color w:val="000000"/>
          <w:sz w:val="24"/>
          <w:szCs w:val="24"/>
          <w:lang w:val="sq-AL"/>
        </w:rPr>
        <w:t xml:space="preserve">ka mund të ndikojë negativisht në cilësinë e parimit “të themeluar nga ligji” të asaj gjykate, përgjithësisht pritet t’i drejtojë ato pyetje përpara gjykatës dhe/ose të ndjekë çdo mjet tjetër efektiv të parashikuar nga ligji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teksa procesi është ende në pritje (krahaso faktet në vendimin </w:t>
      </w:r>
      <w:r w:rsidRPr="006A1F4E">
        <w:rPr>
          <w:rFonts w:ascii="Garamond" w:hAnsi="Garamond" w:cs="Times New Roman"/>
          <w:i/>
          <w:iCs/>
          <w:color w:val="000000"/>
          <w:sz w:val="24"/>
          <w:szCs w:val="24"/>
          <w:lang w:val="sq-AL"/>
        </w:rPr>
        <w:t>Besnik Cani</w:t>
      </w:r>
      <w:r w:rsidRPr="006A1F4E">
        <w:rPr>
          <w:rFonts w:ascii="Garamond" w:hAnsi="Garamond" w:cs="Times New Roman"/>
          <w:color w:val="000000"/>
          <w:sz w:val="24"/>
          <w:szCs w:val="24"/>
          <w:lang w:val="sq-AL"/>
        </w:rPr>
        <w:t>, cituar më sipër, §§ 35</w:t>
      </w:r>
      <w:r w:rsidR="00073211">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42). Faktet referuar nga kërkuesja në fjalë në lidhje me përshtatshmërinë e L.D. për të shërbyer si gjyqtar i KPA, dhe veçanërisht shkarkimi i tij i mëparshëm nga detyra në gjyqësor, ishin publike. Kërkuesja ka referuar vendimet e Këshillit të Lartë të Drejtësisë, i cili e shkarkoi L.D. nga detyra në vitin 1997 dhe, gjithashtu, e skualifikonte atë nga kandidimi për një pozicion tjetër në gjyqësor në fund të vitit 2016, dokumente të cilat ajo i mori brenda disa muajsh pas shkarkimit të saj në procesin e rivlerësimit. Edhe anëtarët e komisionit parlamentar që shqyrtuan aplikimin e L.D. për pozicionin në KPA ngritën pyetje gjatë seancës parlamentare për situatat e tij të mëparshme (shih </w:t>
      </w:r>
      <w:r w:rsidRPr="006A1F4E">
        <w:rPr>
          <w:rFonts w:ascii="Garamond" w:hAnsi="Garamond" w:cs="Times New Roman"/>
          <w:i/>
          <w:iCs/>
          <w:color w:val="000000"/>
          <w:sz w:val="24"/>
          <w:szCs w:val="24"/>
          <w:lang w:val="sq-AL"/>
        </w:rPr>
        <w:t>Besnik Cani</w:t>
      </w:r>
      <w:r w:rsidRPr="006A1F4E">
        <w:rPr>
          <w:rFonts w:ascii="Garamond" w:hAnsi="Garamond" w:cs="Times New Roman"/>
          <w:color w:val="000000"/>
          <w:sz w:val="24"/>
          <w:szCs w:val="24"/>
          <w:lang w:val="sq-AL"/>
        </w:rPr>
        <w:t xml:space="preserve">, cituar më sipër, § 13). Në këto rrethana, kërkuesja nuk provoi bindshëm se nuk mund të kishte dijeni gjatë procesit të saj të rivlerësimit për faktet kyçe në lidhje me largimin e mëparshëm të L.D. nga gjyqësori. </w:t>
      </w:r>
    </w:p>
    <w:p w14:paraId="69A9F442" w14:textId="5CA160F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111. Gjithashtu, si konsideratë shtesë, kërkuesja nuk paraqiti, pas vënies në dijeni për dyshimet në lidhje me përshtatshmërinë e L.D. për pozicionin e tij, një kërkesë për rishikim përjashtimor të vendimit të formës së prerë të KPA</w:t>
      </w:r>
      <w:r w:rsidR="008F0722">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në çështjen e saj mbështetur në faktet e zbuluara rishtazi, apo për ndonjë shkak tjetër të parashikuar në </w:t>
      </w:r>
      <w:r w:rsidR="008F0722"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494 të Kodit të Procedurës Civile (shih paragrafin 46 më sipër dhe vendimin </w:t>
      </w:r>
      <w:r w:rsidRPr="006A1F4E">
        <w:rPr>
          <w:rFonts w:ascii="Garamond" w:hAnsi="Garamond" w:cs="Times New Roman"/>
          <w:i/>
          <w:iCs/>
          <w:color w:val="000000"/>
          <w:sz w:val="24"/>
          <w:szCs w:val="24"/>
          <w:lang w:val="sq-AL"/>
        </w:rPr>
        <w:t>Besnik Cani</w:t>
      </w:r>
      <w:r w:rsidRPr="006A1F4E">
        <w:rPr>
          <w:rFonts w:ascii="Garamond" w:hAnsi="Garamond" w:cs="Times New Roman"/>
          <w:color w:val="000000"/>
          <w:sz w:val="24"/>
          <w:szCs w:val="24"/>
          <w:lang w:val="sq-AL"/>
        </w:rPr>
        <w:t>, cituar më sipër, §§ 148</w:t>
      </w:r>
      <w:r w:rsidR="001C7FC9">
        <w:rPr>
          <w:rFonts w:ascii="Garamond" w:hAnsi="Garamond" w:cs="Times New Roman"/>
          <w:color w:val="000000"/>
          <w:sz w:val="24"/>
          <w:szCs w:val="24"/>
          <w:lang w:val="sq-AL"/>
        </w:rPr>
        <w:t>–</w:t>
      </w:r>
      <w:r w:rsidRPr="006A1F4E">
        <w:rPr>
          <w:rFonts w:ascii="Garamond" w:hAnsi="Garamond" w:cs="Times New Roman"/>
          <w:color w:val="000000"/>
          <w:sz w:val="24"/>
          <w:szCs w:val="24"/>
          <w:lang w:val="sq-AL"/>
        </w:rPr>
        <w:t>49). Kjo do t’i kishte dhënë kërkueses një mundësi për të bërë parashtrime përpara KPA pas hedhjes dritë mbi të dhënat e reja dhe vendimtare, dhe për të shprehur vëmendjen ndaj këtij aspekt (më konkretisht, se këto fakte “nuk mund të ishin bërë të njohura nga pala gjatë shqyrtimit të çështjes”), si edhe për t’i dhënë KPA</w:t>
      </w:r>
      <w:r w:rsidR="00E12EA9">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një mundësi për t’i marrë në konsideratë ato parashtrime. </w:t>
      </w:r>
    </w:p>
    <w:p w14:paraId="380C827C" w14:textId="28F3F22D" w:rsidR="00C0711E" w:rsidRPr="006A1F4E" w:rsidRDefault="00C0711E" w:rsidP="00A36C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112. Gjykata nuk e anashkalon faktin se përderisa çështja e kundërshtimit të përshtatshmërisë së gjyqtarëve të KPA ishte një çështje e re në proceset e rivlerësimit, nuk ekzistonte ende ndonjë praktikë e mirëpërcaktuar gjyqësore</w:t>
      </w:r>
      <w:r w:rsidR="00E12EA9">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së cilës kërkuesi mund të përdorte ndonjë mjet apo mjete. Për më tepër, Gjykata i referohet konstatimeve të saj në çështjen </w:t>
      </w:r>
      <w:r w:rsidRPr="006A1F4E">
        <w:rPr>
          <w:rFonts w:ascii="Garamond" w:hAnsi="Garamond" w:cs="Times New Roman"/>
          <w:i/>
          <w:iCs/>
          <w:color w:val="000000"/>
          <w:sz w:val="24"/>
          <w:szCs w:val="24"/>
          <w:lang w:val="sq-AL"/>
        </w:rPr>
        <w:t>Besnik Cani</w:t>
      </w:r>
      <w:r w:rsidRPr="006A1F4E">
        <w:rPr>
          <w:rFonts w:ascii="Garamond" w:hAnsi="Garamond" w:cs="Times New Roman"/>
          <w:color w:val="000000"/>
          <w:sz w:val="24"/>
          <w:szCs w:val="24"/>
          <w:lang w:val="sq-AL"/>
        </w:rPr>
        <w:t xml:space="preserve"> (cituar më sipër, §§ 35</w:t>
      </w:r>
      <w:r w:rsidR="00A0646C">
        <w:rPr>
          <w:rFonts w:ascii="Garamond" w:hAnsi="Garamond" w:cs="Times New Roman"/>
          <w:color w:val="000000"/>
          <w:sz w:val="24"/>
          <w:szCs w:val="24"/>
          <w:lang w:val="sq-AL"/>
        </w:rPr>
        <w:t>–</w:t>
      </w:r>
      <w:r w:rsidRPr="006A1F4E">
        <w:rPr>
          <w:rFonts w:ascii="Garamond" w:hAnsi="Garamond" w:cs="Times New Roman"/>
          <w:color w:val="000000"/>
          <w:sz w:val="24"/>
          <w:szCs w:val="24"/>
          <w:lang w:val="sq-AL"/>
        </w:rPr>
        <w:t>36)</w:t>
      </w:r>
      <w:r w:rsidR="00B5173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ku </w:t>
      </w:r>
      <w:r w:rsidR="00B5173E">
        <w:rPr>
          <w:rFonts w:ascii="Garamond" w:hAnsi="Garamond" w:cs="Times New Roman"/>
          <w:color w:val="000000"/>
          <w:sz w:val="24"/>
          <w:szCs w:val="24"/>
          <w:lang w:val="sq-AL"/>
        </w:rPr>
        <w:t>KPA u vetëdeklarua jo</w:t>
      </w:r>
      <w:r w:rsidRPr="006A1F4E">
        <w:rPr>
          <w:rFonts w:ascii="Garamond" w:hAnsi="Garamond" w:cs="Times New Roman"/>
          <w:color w:val="000000"/>
          <w:sz w:val="24"/>
          <w:szCs w:val="24"/>
          <w:lang w:val="sq-AL"/>
        </w:rPr>
        <w:t>kompetente për të marrë një vendim për ankesën e kërkuesit – një çështje e paraqitur pasi vendimi i KPA</w:t>
      </w:r>
      <w:r w:rsidR="00B5173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për të shkarkuar kërkuesen nga detyra e saj ishte bërë i formës së prerë – se mandati i L.D. duhet të ndërpritet për shkak të papërshtatshmërisë së tij për detyrën në KPA. Megjithatë, Gjykata është e mendimit</w:t>
      </w:r>
      <w:r w:rsidR="00214D19">
        <w:rPr>
          <w:rFonts w:ascii="Garamond" w:hAnsi="Garamond" w:cs="Times New Roman"/>
          <w:color w:val="000000"/>
          <w:sz w:val="24"/>
          <w:szCs w:val="24"/>
          <w:lang w:val="sq-AL"/>
        </w:rPr>
        <w:t xml:space="preserve"> se këto zhvillime të mëpasshme</w:t>
      </w:r>
      <w:r w:rsidRPr="006A1F4E">
        <w:rPr>
          <w:rFonts w:ascii="Garamond" w:hAnsi="Garamond" w:cs="Times New Roman"/>
          <w:color w:val="000000"/>
          <w:sz w:val="24"/>
          <w:szCs w:val="24"/>
          <w:lang w:val="sq-AL"/>
        </w:rPr>
        <w:t>, për të cilat ankuesja nuk kishte dijeni në kohën përkatëse, nuk e përjashtonin atë nga detyra për të ngritur pikëpyetjet përkatëse ose gjatë procesit të saj të rivlerësimit, apo nëse kjo nuk ishte e mundur objektivisht pavarësisht kujdesit të saj, me anë të nisjes së procesit për rishikim të vendimit të formës së prerë të KPA</w:t>
      </w:r>
      <w:r w:rsidR="00B5173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Në këtë aspekt, Gjykata nuk mund të përjashtojë se pas vendimit të Gjykatës Kushtetuese të datës 29 </w:t>
      </w:r>
      <w:r w:rsidR="00A36C54" w:rsidRPr="006A1F4E">
        <w:rPr>
          <w:rFonts w:ascii="Garamond" w:hAnsi="Garamond" w:cs="Times New Roman"/>
          <w:color w:val="000000"/>
          <w:sz w:val="24"/>
          <w:szCs w:val="24"/>
          <w:lang w:val="sq-AL"/>
        </w:rPr>
        <w:t xml:space="preserve">prill </w:t>
      </w:r>
      <w:r w:rsidRPr="006A1F4E">
        <w:rPr>
          <w:rFonts w:ascii="Garamond" w:hAnsi="Garamond" w:cs="Times New Roman"/>
          <w:color w:val="000000"/>
          <w:sz w:val="24"/>
          <w:szCs w:val="24"/>
          <w:lang w:val="sq-AL"/>
        </w:rPr>
        <w:t>2020 (shih paragrafët 44</w:t>
      </w:r>
      <w:r w:rsidR="00A36C54" w:rsidRPr="006A1F4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45 më sipër), KPA</w:t>
      </w:r>
      <w:r w:rsidR="00A36C54">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do të mund ta kishte rishqyrtuar </w:t>
      </w:r>
      <w:r w:rsidR="004414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nëse do t’i kërkohej ta bënte këtë gjë në proces formal </w:t>
      </w:r>
      <w:r w:rsidR="004414F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pozicionin e saj të mëparshëm për mungesën e kompetencës për të dëgjuar kundërshtimet ndaj përshtatshmërisë së njërit prej anëtarëve të saj për një pozicion në gjyqësor. Si përfundim, kërkuesja nuk përdori ndonjë mjet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për garantimin e të drejtës së saj që procesi i saj i rivlerësimit të gjykohej nga një “gjykatë e krijuar nga ligji”. Gjatë procesit përpara KPA</w:t>
      </w:r>
      <w:r w:rsidR="00BE3380">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ajo nuk e ngriti kundërshtimin e saj për përbërjen e KPA, sipas rregullave të zakonshëm të procedurës civile, apo mbi ndonjë shkak tjetër (krahaso faktet në vendimin </w:t>
      </w:r>
      <w:r w:rsidRPr="006A1F4E">
        <w:rPr>
          <w:rFonts w:ascii="Garamond" w:hAnsi="Garamond" w:cs="Times New Roman"/>
          <w:i/>
          <w:iCs/>
          <w:color w:val="000000"/>
          <w:sz w:val="24"/>
          <w:szCs w:val="24"/>
          <w:lang w:val="sq-AL"/>
        </w:rPr>
        <w:t>Besnik Cani</w:t>
      </w:r>
      <w:r w:rsidRPr="006A1F4E">
        <w:rPr>
          <w:rFonts w:ascii="Garamond" w:hAnsi="Garamond" w:cs="Times New Roman"/>
          <w:color w:val="000000"/>
          <w:sz w:val="24"/>
          <w:szCs w:val="24"/>
          <w:lang w:val="sq-AL"/>
        </w:rPr>
        <w:t>, cituar më sipër, § 35</w:t>
      </w:r>
      <w:r w:rsidR="00BE338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39). Në vijim, Gjykata vlerëson se kërkesat e dorëzuara për informacion dhe procedurat disiplinore të kërkuara nga kërkuesja ndaj gjyqtarëve në fjalë pas përfundimit të procesit të rivlerësimit ndaj saj me anë të një vendimi të formës së prerë nuk ishin një mjet efektiv për të garantuar se çështja e saj do të gjykohej nga një “gjykatë e krijuar me ligj”. </w:t>
      </w:r>
    </w:p>
    <w:p w14:paraId="52F6A836" w14:textId="573B5F5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113. Në këto rrethana, kundërshtimi i Qeverisë duhet të lejohet dhe kjo pjesë e kërkesës duhet të rrëzohet për mosshfrytëzim të mjeteve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sipas </w:t>
      </w:r>
      <w:r w:rsidR="00A0646C"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1 dhe 4 të Konventës. </w:t>
      </w:r>
    </w:p>
    <w:p w14:paraId="24120517" w14:textId="44B1BE5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b/>
          <w:bCs/>
          <w:color w:val="000000"/>
          <w:sz w:val="24"/>
          <w:szCs w:val="24"/>
          <w:lang w:val="sq-AL"/>
        </w:rPr>
        <w:t>C. Ankesat në lidhje me pavarësinë dhe paanshmërinë e KPA</w:t>
      </w:r>
      <w:r w:rsidR="001C2459">
        <w:rPr>
          <w:rFonts w:ascii="Garamond" w:hAnsi="Garamond" w:cs="Times New Roman"/>
          <w:b/>
          <w:bCs/>
          <w:color w:val="000000"/>
          <w:sz w:val="24"/>
          <w:szCs w:val="24"/>
          <w:lang w:val="sq-AL"/>
        </w:rPr>
        <w:t>-së</w:t>
      </w:r>
    </w:p>
    <w:p w14:paraId="33DFF2B4" w14:textId="260D18C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114.</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Qeveria parashtroi se kërkuesja nuk ishte ankuar për mungesë pavarësie dhe paanshmërie të KPA</w:t>
      </w:r>
      <w:r w:rsidR="00702BEF">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në vendimmarrjen ndaj çështjes së saj në procesin përpara gjykatës, dhe në këtë mënyrë nuk kishte shteruar mjetet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për këtë aspekt sipas qëllimeve të </w:t>
      </w:r>
      <w:r w:rsidR="00702BEF"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35. Në vijim, Qeveria parashtroi se, për çdo rast, për sa i përket mënyrës së zgjedhjes, përbërjes dhe garancive procedurale, KPA</w:t>
      </w:r>
      <w:r w:rsidR="0006206B">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kishte përmbushur kërkesat për një gjykatë të pavarur dhe të paanshme. Shumica e anëtarëve të KPA</w:t>
      </w:r>
      <w:r w:rsidR="00142955">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të përzgjedhur si gjyqtarë të nivelit të Gjykatës Kushtetuese nga Parlamenti shqiptar, në të shkuarën kishin ushtruar funksione gjyqësore. </w:t>
      </w:r>
    </w:p>
    <w:p w14:paraId="316EA900" w14:textId="674842BD" w:rsidR="00C0711E" w:rsidRPr="006A1F4E" w:rsidRDefault="00C0711E" w:rsidP="00496B2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115. Kërkuesja parashtroi se KPA-së i mungonte pavarësia dhe paanshmëria kryesisht për tr</w:t>
      </w:r>
      <w:r w:rsidR="00496B20">
        <w:rPr>
          <w:rFonts w:ascii="Garamond" w:hAnsi="Garamond" w:cs="Times New Roman"/>
          <w:color w:val="000000"/>
          <w:sz w:val="24"/>
          <w:szCs w:val="24"/>
          <w:lang w:val="sq-AL"/>
        </w:rPr>
        <w:t>i</w:t>
      </w:r>
      <w:r w:rsidRPr="006A1F4E">
        <w:rPr>
          <w:rFonts w:ascii="Garamond" w:hAnsi="Garamond" w:cs="Times New Roman"/>
          <w:color w:val="000000"/>
          <w:sz w:val="24"/>
          <w:szCs w:val="24"/>
          <w:lang w:val="sq-AL"/>
        </w:rPr>
        <w:t xml:space="preserve"> arsye: </w:t>
      </w:r>
      <w:r w:rsidR="00496B20" w:rsidRPr="006A1F4E">
        <w:rPr>
          <w:rFonts w:ascii="Garamond" w:hAnsi="Garamond" w:cs="Times New Roman"/>
          <w:color w:val="000000"/>
          <w:sz w:val="24"/>
          <w:szCs w:val="24"/>
          <w:lang w:val="sq-AL"/>
        </w:rPr>
        <w:t xml:space="preserve">së </w:t>
      </w:r>
      <w:r w:rsidRPr="006A1F4E">
        <w:rPr>
          <w:rFonts w:ascii="Garamond" w:hAnsi="Garamond" w:cs="Times New Roman"/>
          <w:color w:val="000000"/>
          <w:sz w:val="24"/>
          <w:szCs w:val="24"/>
          <w:lang w:val="sq-AL"/>
        </w:rPr>
        <w:t>pari, nuk kishte përfaqësim substancial të gjyqtarëve në KPA, dhe anëtarët e KPA</w:t>
      </w:r>
      <w:r w:rsidR="00496B20">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nuk ishin mjaftueshëm të kualifikuar për të trajtuar proceset komplekse të rivlerësimit</w:t>
      </w:r>
      <w:r w:rsidR="00496B2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w:t>
      </w:r>
      <w:r w:rsidR="00496B20" w:rsidRPr="006A1F4E">
        <w:rPr>
          <w:rFonts w:ascii="Garamond" w:hAnsi="Garamond" w:cs="Times New Roman"/>
          <w:color w:val="000000"/>
          <w:sz w:val="24"/>
          <w:szCs w:val="24"/>
          <w:lang w:val="sq-AL"/>
        </w:rPr>
        <w:t xml:space="preserve">së </w:t>
      </w:r>
      <w:r w:rsidRPr="006A1F4E">
        <w:rPr>
          <w:rFonts w:ascii="Garamond" w:hAnsi="Garamond" w:cs="Times New Roman"/>
          <w:color w:val="000000"/>
          <w:sz w:val="24"/>
          <w:szCs w:val="24"/>
          <w:lang w:val="sq-AL"/>
        </w:rPr>
        <w:t>dyti, për sa ka të bëjë me procesin e emërimit, KPA</w:t>
      </w:r>
      <w:r w:rsidR="00496B20">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përbëhej nga anëtarë të përzgjedhur nga një organ parlamentar i posaçëm dhe të emëruar nga Parlamenti, pa përfshirjen e gjyqësorit, dhe për këtë arsye, ishin të ekspozuar ndaj presionit politik. Së treti, ekzistonte një konfuzion midis rolit të organeve të rivlerësimit në hetime dhe rolit të tyre në vendimin pasues për meritat e akuzave, gjë e cila krijonte pasiguri objektivisht të justifikueshme për paanshmërinë e KPA</w:t>
      </w:r>
      <w:r w:rsidR="00C1384A">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p>
    <w:p w14:paraId="7D563505" w14:textId="5FC1449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116. Edhe ndërhyrësi si palë e tretë, </w:t>
      </w:r>
      <w:r w:rsidRPr="00A0646C">
        <w:rPr>
          <w:rFonts w:ascii="Garamond" w:hAnsi="Garamond" w:cs="Times New Roman"/>
          <w:i/>
          <w:iCs/>
          <w:color w:val="000000"/>
          <w:sz w:val="24"/>
          <w:szCs w:val="24"/>
          <w:lang w:val="sq-AL"/>
        </w:rPr>
        <w:t>Res Publica</w:t>
      </w:r>
      <w:r w:rsidRPr="006A1F4E">
        <w:rPr>
          <w:rFonts w:ascii="Garamond" w:hAnsi="Garamond" w:cs="Times New Roman"/>
          <w:color w:val="000000"/>
          <w:sz w:val="24"/>
          <w:szCs w:val="24"/>
          <w:lang w:val="sq-AL"/>
        </w:rPr>
        <w:t xml:space="preserve">, ishte i mendimit se anëtarët e organeve të rivlerësimit nuk kishin të gjithë trajnimin juridik dhe eksperiencën e nevojshme për të trajtuar procese disiplinore shumë komplekse ndaj gjyqtarëve. </w:t>
      </w:r>
    </w:p>
    <w:p w14:paraId="6F3D00B7" w14:textId="2556E560" w:rsidR="00C0711E" w:rsidRPr="006A1F4E" w:rsidRDefault="00C0711E" w:rsidP="000D61C6">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117. Në vendimin e saj udhëheqës, në çështjen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Gjykata vendosi, së pari, se mospërfaqësimi i gjyqtarëve në detyrë në KPA, duke marrë në konsideratë natyrën e jashtëzakonshme të proceseve të rivlerësimit</w:t>
      </w:r>
      <w:r w:rsidR="00F47F5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ku shenjestrohen të gjithë gjyqtarët dhe prokurorët në detyrë për të luftuar korrupsionin, si edhe masat statutore mbrojtëse</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për pavarësinë e anëtarëve të KPA, nuk përbënte mungesë pavarësie në atë kolegj (shih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cituar më sipër, §§ 314 dhe 316, lexuar së bashku me §§ 299</w:t>
      </w:r>
      <w:r w:rsidR="00F47F5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300). Së dyti, Gjykata arriti në përfundimin se përgjithësisht nuk kishte arsye për të dyshuar në pavarësinë e organeve të rivlerësimit duke iu referuar mënyrës së emërimit të anëtarëve të tyre, më konkretisht zgjedhja e tyre nga Parlamenti (ibid., §§ 311 dhe 295</w:t>
      </w:r>
      <w:r w:rsidR="00F47F5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96). Së treti, Gjykata arriti në përfundimin se, duke marrë në konsideratë funksionimin e proceseve të rivlerësimit, nuk kishte konfuzion midis detyrimit të organeve të rivlerësimit (dhe veçanërisht të KPK</w:t>
      </w:r>
      <w:r w:rsidR="008604CC">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për të nisur një hetim, dhe detyrës së tyre për të marrë një vendim për përgjegjësinë disiplinore të personit të rivlerësuar, dhe për pasojë, nuk kishte pasiguri të justifikuara objektivisht në lidhje me paanshmërinë e organeve të rivlerësimit (shih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cituar më sipër, §§ 315 dhe 305</w:t>
      </w:r>
      <w:r w:rsidR="000D61C6">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308). </w:t>
      </w:r>
    </w:p>
    <w:p w14:paraId="12516F15" w14:textId="3A32C5D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118. Duke pasur parasysh këto konstatime, rrethanat e çështjes së kërkuesit dhe parashtrimet e saj, të cilat janë të krahasueshme me ato të bëra në çështjen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Gjykata, duke marrë në konsideratë edhe shterimin e mjeteve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në këtë aspekt, gjykon se nuk rezulton të ketë mungesë të pavarësisë dhe paanshmërisë në KPA në rastin e çështjes së kërkueses. </w:t>
      </w:r>
    </w:p>
    <w:p w14:paraId="591F432E" w14:textId="633117A3"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119. Për pasojë, kjo pjesë e kërkesës duhet të kundërshtohet si qartazi e pambështetur në fakte, në mbështetje të </w:t>
      </w:r>
      <w:r w:rsidR="00F51C46"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3 (a) dhe 4 të Konventës. </w:t>
      </w:r>
    </w:p>
    <w:p w14:paraId="6EBA8365" w14:textId="62B45F6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D. Ankesë në lidhje me kohën e nevojshme dhe lehtësitë për të paraqitur çështjen</w:t>
      </w:r>
    </w:p>
    <w:p w14:paraId="7FE94B63" w14:textId="0F6C07E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120. Në vijim, kërkuesja u ankua se kishte pasur mangësi të rënda procedurale në procesin e rivlerësimit ndaj saj. Veçanërisht, asaj nuk i ishte ofruar mjaftueshëm mundësi dhe kohë për ta paraqitur çështjen dhe provat e saj përpara KPA</w:t>
      </w:r>
      <w:r w:rsidR="009729D0">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për të kundërshtuar shkarkimin. </w:t>
      </w:r>
    </w:p>
    <w:p w14:paraId="33FE1D30" w14:textId="153DB66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121. Qeveria e kontestoi këtë qëndrim. Ajo parashtroi veçanërisht se kërkuesja kishte pasur mundësi ta paraqiste çështjen e saj, të caktonte dëshmitarë apo ekspertë dhe të dorëzonte prova të reja në seancat përpara KPA</w:t>
      </w:r>
      <w:r w:rsidR="00514655">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Ajo nuk kishte kërkuar kohë shtesë apo shtyrje të seancës për të paraqitur argumentet e saj. </w:t>
      </w:r>
    </w:p>
    <w:p w14:paraId="36B2769B" w14:textId="36F7EEC1"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122. Në lidhje me këtë aspekt, Gjykata vëren se pas apelimit të Komisionerit Publik ndaj vendimit të KPK</w:t>
      </w:r>
      <w:r w:rsidR="00EF7671">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kërkueses i ishte ofruar akses në dosjen e çështjes dhe kishte pasur mundësi të bënte parashtrime dhe të paraqiste prova gjatë seancave dëgjimore publike përpara KPA</w:t>
      </w:r>
      <w:r w:rsidR="00626FC5">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(shih paragrafin 12 më sipër). Duke pasur parasysh materialet përpara saj, gjykata nuk gjen indicie se kërkuesja nuk pati kohën dhe lehtësitë për të paraqitur në mënyrën e duhur argumentet e saj. </w:t>
      </w:r>
    </w:p>
    <w:p w14:paraId="777CECAD" w14:textId="0B85EAC3"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123. Për këtë arsye, kjo pjesë e kërkesës duhet të kundërshtohet si qartazi e pambështetur në fakte, në mbështetje të </w:t>
      </w:r>
      <w:r w:rsidR="00580F21"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3 (a) dhe 4 të Konventës. </w:t>
      </w:r>
    </w:p>
    <w:p w14:paraId="5BFA88C4" w14:textId="48884CA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E. Ankesë në lidhje me zbatimin e ligjit </w:t>
      </w:r>
      <w:r w:rsidR="008858E0">
        <w:rPr>
          <w:rFonts w:ascii="Garamond" w:hAnsi="Garamond" w:cs="Times New Roman"/>
          <w:b/>
          <w:bCs/>
          <w:color w:val="000000"/>
          <w:sz w:val="24"/>
          <w:szCs w:val="24"/>
          <w:lang w:val="sq-AL"/>
        </w:rPr>
        <w:t>vendës</w:t>
      </w:r>
      <w:r w:rsidRPr="006A1F4E">
        <w:rPr>
          <w:rFonts w:ascii="Garamond" w:hAnsi="Garamond" w:cs="Times New Roman"/>
          <w:b/>
          <w:bCs/>
          <w:color w:val="000000"/>
          <w:sz w:val="24"/>
          <w:szCs w:val="24"/>
          <w:lang w:val="sq-AL"/>
        </w:rPr>
        <w:t xml:space="preserve"> </w:t>
      </w:r>
    </w:p>
    <w:p w14:paraId="64EC49AC" w14:textId="44DC102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124. Kërkuesja u ankua edhe për faktin se KPA</w:t>
      </w:r>
      <w:r w:rsidR="00195B35">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kishte zbatuar ligjin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në një mënyrë dukshëm të gabuar. Qeveria e kontestoi këtë qëndrim. </w:t>
      </w:r>
    </w:p>
    <w:p w14:paraId="57D34637" w14:textId="0644AF5B" w:rsidR="00C0711E" w:rsidRPr="006A1F4E" w:rsidRDefault="00C0711E" w:rsidP="00AE48C2">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125. Gjykata përsërit se nuk është detyra e saj të marrë rolin e gjykatave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Kryesisht </w:t>
      </w:r>
      <w:r w:rsidR="00AE48C2">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takon autoriteteve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veçanërisht gjykatave, të zgjidhin problemet me interpretimin e legjislacionit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Roli i saj është të verifikojë nëse efektet e një interpretimi të tillë janë në përputhje me Konventën. Thënë kjo, me përjashtim të rasteve të një arbitrariteti të dukshëm, nuk është roli i Gjykatës që të verë në pikëpyetje interpretimin e ligjit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nga gjykatat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(shih </w:t>
      </w:r>
      <w:r w:rsidRPr="006A1F4E">
        <w:rPr>
          <w:rFonts w:ascii="Garamond" w:hAnsi="Garamond" w:cs="Times New Roman"/>
          <w:i/>
          <w:iCs/>
          <w:color w:val="000000"/>
          <w:sz w:val="24"/>
          <w:szCs w:val="24"/>
          <w:lang w:val="sq-AL"/>
        </w:rPr>
        <w:t>Nejdet Şahin dhe Perihan Şahin kundër Turqisë</w:t>
      </w:r>
      <w:r w:rsidRPr="006A1F4E">
        <w:rPr>
          <w:rFonts w:ascii="Garamond" w:hAnsi="Garamond" w:cs="Times New Roman"/>
          <w:color w:val="000000"/>
          <w:sz w:val="24"/>
          <w:szCs w:val="24"/>
          <w:lang w:val="sq-AL"/>
        </w:rPr>
        <w:t xml:space="preserve"> [DHM], nr. 13279/05, §§ 49</w:t>
      </w:r>
      <w:r w:rsidR="00AE48C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50, 20 </w:t>
      </w:r>
      <w:r w:rsidR="00AE48C2"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 xml:space="preserve">2011, në referenca të mëtejshme, dhe </w:t>
      </w:r>
      <w:r w:rsidRPr="006A1F4E">
        <w:rPr>
          <w:rFonts w:ascii="Garamond" w:hAnsi="Garamond" w:cs="Times New Roman"/>
          <w:i/>
          <w:iCs/>
          <w:color w:val="000000"/>
          <w:sz w:val="24"/>
          <w:szCs w:val="24"/>
          <w:lang w:val="sq-AL"/>
        </w:rPr>
        <w:t>Anđelković kundër Serbisë</w:t>
      </w:r>
      <w:r w:rsidRPr="006A1F4E">
        <w:rPr>
          <w:rFonts w:ascii="Garamond" w:hAnsi="Garamond" w:cs="Times New Roman"/>
          <w:color w:val="000000"/>
          <w:sz w:val="24"/>
          <w:szCs w:val="24"/>
          <w:lang w:val="sq-AL"/>
        </w:rPr>
        <w:t xml:space="preserve">, nr. 1401/08, § 24, 9 </w:t>
      </w:r>
      <w:r w:rsidR="00AE48C2" w:rsidRPr="006A1F4E">
        <w:rPr>
          <w:rFonts w:ascii="Garamond" w:hAnsi="Garamond" w:cs="Times New Roman"/>
          <w:color w:val="000000"/>
          <w:sz w:val="24"/>
          <w:szCs w:val="24"/>
          <w:lang w:val="sq-AL"/>
        </w:rPr>
        <w:t xml:space="preserve">prill </w:t>
      </w:r>
      <w:r w:rsidRPr="006A1F4E">
        <w:rPr>
          <w:rFonts w:ascii="Garamond" w:hAnsi="Garamond" w:cs="Times New Roman"/>
          <w:color w:val="000000"/>
          <w:sz w:val="24"/>
          <w:szCs w:val="24"/>
          <w:lang w:val="sq-AL"/>
        </w:rPr>
        <w:t xml:space="preserve">2013). </w:t>
      </w:r>
    </w:p>
    <w:p w14:paraId="5F399A0C" w14:textId="431AC342" w:rsidR="00C0711E" w:rsidRPr="006A1F4E" w:rsidRDefault="00C0711E" w:rsidP="0024629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126. Gjykata vëren se, teksa ajo ka konstatuar se zbatimi i ligjeve të rivlerësimit nga gjykatat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në rrethanat e kësaj çështje çonin në shkelje të </w:t>
      </w:r>
      <w:r w:rsidR="0024629B"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8 të Konventës (shih paragrafët 83</w:t>
      </w:r>
      <w:r w:rsidR="0024629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97 më sipër), ky zbatim nuk mund të konsiderohet si qartazi arbitrar. </w:t>
      </w:r>
    </w:p>
    <w:p w14:paraId="3FD7B80B" w14:textId="0395671E"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127. Më tej</w:t>
      </w:r>
      <w:r w:rsidR="0024629B">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ajo vijon se kjo pjesë e kërkesës duhet të kundërshtohet si qartazi e pambështetur në fakte, në mbështetje të </w:t>
      </w:r>
      <w:r w:rsidR="00530789"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3 (a) dhe 4 të Konventës. </w:t>
      </w:r>
    </w:p>
    <w:p w14:paraId="416B7F73" w14:textId="5B2F809E"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 xml:space="preserve">F. Ankesë në lidhje me barrën e provës </w:t>
      </w:r>
    </w:p>
    <w:p w14:paraId="6679A128" w14:textId="0D69FE4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128. Në vijim, kërkuesi u ankua se barra e provës ndaj saj në procesin e rivlerësimit ishte e paarsyeshme. </w:t>
      </w:r>
    </w:p>
    <w:p w14:paraId="63286374" w14:textId="0B104BDA"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129. Qeveria e kontestoi atë këndvështrim. </w:t>
      </w:r>
    </w:p>
    <w:p w14:paraId="1F7C56DF" w14:textId="51B56837" w:rsidR="00C0711E" w:rsidRPr="006A1F4E" w:rsidRDefault="00C0711E" w:rsidP="00D6746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130. Për sa i përket ankesës së kërkueses</w:t>
      </w:r>
      <w:r w:rsidR="000C11F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lidhje me barrën e provës ndaj saj, Gjykata përsërit se </w:t>
      </w:r>
      <w:r w:rsidR="0028597A"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6 i Konventës nuk parashikon ndonjë rregull për pranueshmërinë e provave, apo për mënyrën se s</w:t>
      </w:r>
      <w:r w:rsidR="0028597A">
        <w:rPr>
          <w:rFonts w:ascii="Garamond" w:hAnsi="Garamond" w:cs="Times New Roman"/>
          <w:color w:val="000000"/>
          <w:sz w:val="24"/>
          <w:szCs w:val="24"/>
          <w:lang w:val="sq-AL"/>
        </w:rPr>
        <w:t>i provat duhet të vlerësohen, ç</w:t>
      </w:r>
      <w:r w:rsidRPr="006A1F4E">
        <w:rPr>
          <w:rFonts w:ascii="Garamond" w:hAnsi="Garamond" w:cs="Times New Roman"/>
          <w:color w:val="000000"/>
          <w:sz w:val="24"/>
          <w:szCs w:val="24"/>
          <w:lang w:val="sq-AL"/>
        </w:rPr>
        <w:t xml:space="preserve">ka janë kryesisht çështje që duhet të rregullohen nga ligji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dhe gjykatat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(shih, midis shumë autoriteteve të tjera, </w:t>
      </w:r>
      <w:r w:rsidRPr="006A1F4E">
        <w:rPr>
          <w:rFonts w:ascii="Garamond" w:hAnsi="Garamond" w:cs="Times New Roman"/>
          <w:i/>
          <w:iCs/>
          <w:color w:val="000000"/>
          <w:sz w:val="24"/>
          <w:szCs w:val="24"/>
          <w:lang w:val="sq-AL"/>
        </w:rPr>
        <w:t>García Ruiz kundër Spanjës</w:t>
      </w:r>
      <w:r w:rsidRPr="006A1F4E">
        <w:rPr>
          <w:rFonts w:ascii="Garamond" w:hAnsi="Garamond" w:cs="Times New Roman"/>
          <w:color w:val="000000"/>
          <w:sz w:val="24"/>
          <w:szCs w:val="24"/>
          <w:lang w:val="sq-AL"/>
        </w:rPr>
        <w:t xml:space="preserve"> [DHM], nr. 30544/96, § 28, GJEDNJ 1999-I). </w:t>
      </w:r>
      <w:r w:rsidR="000C11F3">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takon gjykatave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të vlerësojnë relevancën e të dhënave të propozuara, vlerën e tyre provuese dhe barrën e provës (shih </w:t>
      </w:r>
      <w:r w:rsidRPr="006A1F4E">
        <w:rPr>
          <w:rFonts w:ascii="Garamond" w:hAnsi="Garamond" w:cs="Times New Roman"/>
          <w:i/>
          <w:iCs/>
          <w:color w:val="000000"/>
          <w:sz w:val="24"/>
          <w:szCs w:val="24"/>
          <w:lang w:val="sq-AL"/>
        </w:rPr>
        <w:t>Centro Europa 7 S.r.l. dhe Di Stefano</w:t>
      </w:r>
      <w:r w:rsidRPr="006A1F4E">
        <w:rPr>
          <w:rFonts w:ascii="Garamond" w:hAnsi="Garamond" w:cs="Times New Roman"/>
          <w:color w:val="000000"/>
          <w:sz w:val="24"/>
          <w:szCs w:val="24"/>
          <w:lang w:val="sq-AL"/>
        </w:rPr>
        <w:t xml:space="preserve">, cituar më sipër, § 198; </w:t>
      </w:r>
      <w:r w:rsidRPr="006A1F4E">
        <w:rPr>
          <w:rFonts w:ascii="Garamond" w:hAnsi="Garamond" w:cs="Times New Roman"/>
          <w:i/>
          <w:iCs/>
          <w:color w:val="000000"/>
          <w:sz w:val="24"/>
          <w:szCs w:val="24"/>
          <w:lang w:val="sq-AL"/>
        </w:rPr>
        <w:t>Lady S.R.L. kundër Republikës së Moldavisë</w:t>
      </w:r>
      <w:r w:rsidRPr="006A1F4E">
        <w:rPr>
          <w:rFonts w:ascii="Garamond" w:hAnsi="Garamond" w:cs="Times New Roman"/>
          <w:color w:val="000000"/>
          <w:sz w:val="24"/>
          <w:szCs w:val="24"/>
          <w:lang w:val="sq-AL"/>
        </w:rPr>
        <w:t xml:space="preserve">, nr. 39804/06, § 27, 23 </w:t>
      </w:r>
      <w:r w:rsidR="00D6746E"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 xml:space="preserve">2018; dhe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325). Në vijim, ajo </w:t>
      </w:r>
      <w:r w:rsidR="00D6746E">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referohet konstatimeve të saj në çështjen </w:t>
      </w:r>
      <w:r w:rsidRPr="006A1F4E">
        <w:rPr>
          <w:rFonts w:ascii="Garamond" w:hAnsi="Garamond" w:cs="Times New Roman"/>
          <w:i/>
          <w:iCs/>
          <w:color w:val="000000"/>
          <w:sz w:val="24"/>
          <w:szCs w:val="24"/>
          <w:lang w:val="sq-AL"/>
        </w:rPr>
        <w:t xml:space="preserve">Xhoxhaj, </w:t>
      </w:r>
      <w:r w:rsidRPr="006A1F4E">
        <w:rPr>
          <w:rFonts w:ascii="Garamond" w:hAnsi="Garamond" w:cs="Times New Roman"/>
          <w:color w:val="000000"/>
          <w:sz w:val="24"/>
          <w:szCs w:val="24"/>
          <w:lang w:val="sq-AL"/>
        </w:rPr>
        <w:t xml:space="preserve">se në përgjithësi, rregullat e barrës së provës në procedura sipas Ligjit të Rivlerësimit, duke përfshirë mungesën e kufijve të rreptë kohor për vlerësimin e pasurive, nuk paraqesin një shkelje të </w:t>
      </w:r>
      <w:r w:rsidR="00107FB1"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6 sipas aspektit të parimit të sigurisë ligjore, por se interpretimi i këtyre parashikimeve për siguri ligjore dhe të drejtat e një kërkuesi sipas </w:t>
      </w:r>
      <w:r w:rsidR="00107FB1"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6 § 1 duhet të shqyrtohen rast pas rasti (ibid., §§ 348</w:t>
      </w:r>
      <w:r w:rsidR="00107FB1">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53). </w:t>
      </w:r>
    </w:p>
    <w:p w14:paraId="001D7AEA" w14:textId="011B1A1C"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131. Në çështjen konkrete, Gjykata vëren se ngjarjet në lidhje me punësimin e bashkëshortit të ardhshëm të ankueses në Greqi faktikisht kthehen ndjeshëm pas në kohë. Megjithatë, ato konsiderohen të provuara të paktën deri në një masë të caktuar. Në lidhje me ligjshmërinë e të ardhurave të bashkëshortit nga dy periudha punësimi në Arabinë Saudite, nuk duhet të konsiderohet e tepruar që kërkuesja, si prokurore me eksperiencë e krimeve financiare, pritej të tregonte se tatimi mbi të ardhurat ishte paguar në kohën përkatëse</w:t>
      </w:r>
      <w:r w:rsidR="00FE02D0">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ligjeve tatimore shqiptare në vendin e origjinës (Arabia Saudite), në Shqipëri ose një kombinim i të dy vendeve – duke ruajtur dokumentacionin origjinal ose duke marrë verifikime të kohëve të fundit për pagesa të mëparshme të tatimeve. Për çdo rast, i takonte kërkueses të argumentonte, në përputhje me Ligjin e Rivlerësimit, se kishte qenë objektivisht e pamundur t’i merrte këto prova, për shembull, sepse të dhënat zyrtare ishin shkatërruar ndërkohë. KPA</w:t>
      </w:r>
      <w:r w:rsidR="00174A1A">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nuk ishte bindur se kërkuesja e kishte përmbushur këtë barrë, dhe Gjykata nuk konstaton asnjë arsye për ta diskutuar këtë konstatim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w:t>
      </w:r>
    </w:p>
    <w:p w14:paraId="06010494" w14:textId="5DBFB99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132. Më tej ajo vijon se kjo pjesë e kërkesës duhet të kundërshtohet në të njëjtën mënyrë si qartazi e pambështetur në fakte, sipas </w:t>
      </w:r>
      <w:r w:rsidR="00E6484D"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3 (a) dhe 4 të Konventës. </w:t>
      </w:r>
    </w:p>
    <w:p w14:paraId="190FF2BD" w14:textId="4008F083"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IV. SHKELJE E PRETENDUAR E NENIT 13 TË KONVENTËS</w:t>
      </w:r>
    </w:p>
    <w:p w14:paraId="14C0D5B6" w14:textId="0AC2D2E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133. Kërkuesja u ankua se ajo nuk kishte pasur një mjet efektiv në dispozicion për ankesat e saj në mbështetje të </w:t>
      </w:r>
      <w:r w:rsidR="0042738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6 § 1 dhe </w:t>
      </w:r>
      <w:r w:rsidR="0042738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Ajo u mbështet në </w:t>
      </w:r>
      <w:r w:rsidR="00427382"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13 të Konventës, i cili parashikon</w:t>
      </w:r>
      <w:r w:rsidR="0042738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 më poshtë:</w:t>
      </w:r>
    </w:p>
    <w:p w14:paraId="7E60A731"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r w:rsidRPr="006A1F4E">
        <w:rPr>
          <w:rFonts w:ascii="Garamond" w:hAnsi="Garamond" w:cs="Calibri"/>
          <w:color w:val="000000"/>
          <w:sz w:val="24"/>
          <w:szCs w:val="24"/>
          <w:lang w:val="sq-AL"/>
        </w:rPr>
        <w:t>.</w:t>
      </w:r>
      <w:r w:rsidRPr="006A1F4E">
        <w:rPr>
          <w:rFonts w:ascii="Garamond" w:hAnsi="Garamond" w:cs="Times New Roman"/>
          <w:color w:val="000000"/>
          <w:sz w:val="24"/>
          <w:szCs w:val="24"/>
          <w:lang w:val="sq-AL"/>
        </w:rPr>
        <w:t>”</w:t>
      </w:r>
    </w:p>
    <w:p w14:paraId="26A3389C" w14:textId="35AF43C5"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134. Qeveria shprehu qëndrimin se kërkuesja kishte pasur një mjet efektiv për qëllime të </w:t>
      </w:r>
      <w:r w:rsidR="00EE4DF7"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13 për të ngritur ankesat e saj në mbështetje të </w:t>
      </w:r>
      <w:r w:rsidR="00EE4DF7" w:rsidRPr="006A1F4E">
        <w:rPr>
          <w:rFonts w:ascii="Garamond" w:hAnsi="Garamond" w:cs="Times New Roman"/>
          <w:color w:val="000000"/>
          <w:sz w:val="24"/>
          <w:szCs w:val="24"/>
          <w:lang w:val="sq-AL"/>
        </w:rPr>
        <w:t xml:space="preserve">neneve </w:t>
      </w:r>
      <w:r w:rsidRPr="006A1F4E">
        <w:rPr>
          <w:rFonts w:ascii="Garamond" w:hAnsi="Garamond" w:cs="Times New Roman"/>
          <w:color w:val="000000"/>
          <w:sz w:val="24"/>
          <w:szCs w:val="24"/>
          <w:lang w:val="sq-AL"/>
        </w:rPr>
        <w:t>6 dhe 8. Ajo kishte mundur t’i parashtronte këto ankesa fillimisht përpara KPK</w:t>
      </w:r>
      <w:r w:rsidR="004D1DB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dhe më pas, përpara KPA</w:t>
      </w:r>
      <w:r w:rsidR="004D1DBE">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p>
    <w:p w14:paraId="5EBF7E81" w14:textId="6F44D5B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135. Kërkuesja argumentoi se ajo nuk kishte pasur një mjet efektiv për të kundërshtuar shkeljen e të drejtave të saj themelore në procesin e rivlerësimit, sipas interpretimit të </w:t>
      </w:r>
      <w:r w:rsidR="0042738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13, lexuar së bashku me </w:t>
      </w:r>
      <w:r w:rsidR="00EE4DF7" w:rsidRPr="006A1F4E">
        <w:rPr>
          <w:rFonts w:ascii="Garamond" w:hAnsi="Garamond" w:cs="Times New Roman"/>
          <w:color w:val="000000"/>
          <w:sz w:val="24"/>
          <w:szCs w:val="24"/>
          <w:lang w:val="sq-AL"/>
        </w:rPr>
        <w:t xml:space="preserve">nenet </w:t>
      </w:r>
      <w:r w:rsidRPr="006A1F4E">
        <w:rPr>
          <w:rFonts w:ascii="Garamond" w:hAnsi="Garamond" w:cs="Times New Roman"/>
          <w:color w:val="000000"/>
          <w:sz w:val="24"/>
          <w:szCs w:val="24"/>
          <w:lang w:val="sq-AL"/>
        </w:rPr>
        <w:t xml:space="preserve">6 dhe 8 të Konventës, sepse ajo nuk mund të kundërshtonte shkarkimin e saj përpara gjykatave </w:t>
      </w:r>
      <w:r w:rsidR="008858E0">
        <w:rPr>
          <w:rFonts w:ascii="Garamond" w:hAnsi="Garamond" w:cs="Times New Roman"/>
          <w:color w:val="000000"/>
          <w:sz w:val="24"/>
          <w:szCs w:val="24"/>
          <w:lang w:val="sq-AL"/>
        </w:rPr>
        <w:t>vendës</w:t>
      </w:r>
      <w:r w:rsidR="00427382">
        <w:rPr>
          <w:rFonts w:ascii="Garamond" w:hAnsi="Garamond" w:cs="Times New Roman"/>
          <w:color w:val="000000"/>
          <w:sz w:val="24"/>
          <w:szCs w:val="24"/>
          <w:lang w:val="sq-AL"/>
        </w:rPr>
        <w:t xml:space="preserve">e </w:t>
      </w:r>
      <w:r w:rsidRPr="006A1F4E">
        <w:rPr>
          <w:rFonts w:ascii="Garamond" w:hAnsi="Garamond" w:cs="Times New Roman"/>
          <w:color w:val="000000"/>
          <w:sz w:val="24"/>
          <w:szCs w:val="24"/>
          <w:lang w:val="sq-AL"/>
        </w:rPr>
        <w:t>apo të paraqiste një ankesë kushtetuese ndaj vendimit të KPA</w:t>
      </w:r>
      <w:r w:rsidR="00427382">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p>
    <w:p w14:paraId="7364FFCA" w14:textId="7564EF7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136. Edhe nëse prezumohet se kërkuesja kishte një “pretendim të argumentueshëm” për qëllimet e </w:t>
      </w:r>
      <w:r w:rsidR="004F38A8"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13 të Konventës, në të gjitha aspektet, Gjykata përsërit se nuk është e nevojshme që “autoriteti” referuar në </w:t>
      </w:r>
      <w:r w:rsidR="00EE4DF7"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13 të jetë një autoritet gjyqësor në të gjitha shkallët në kuptimin e ngushtë (shih </w:t>
      </w:r>
      <w:r w:rsidRPr="006A1F4E">
        <w:rPr>
          <w:rFonts w:ascii="Garamond" w:hAnsi="Garamond" w:cs="Times New Roman"/>
          <w:i/>
          <w:iCs/>
          <w:color w:val="000000"/>
          <w:sz w:val="24"/>
          <w:szCs w:val="24"/>
          <w:lang w:val="sq-AL"/>
        </w:rPr>
        <w:t xml:space="preserve">Rotaru kundër Rumanisë </w:t>
      </w:r>
      <w:r w:rsidRPr="006A1F4E">
        <w:rPr>
          <w:rFonts w:ascii="Garamond" w:hAnsi="Garamond" w:cs="Times New Roman"/>
          <w:color w:val="000000"/>
          <w:sz w:val="24"/>
          <w:szCs w:val="24"/>
          <w:lang w:val="sq-AL"/>
        </w:rPr>
        <w:t xml:space="preserve">[DHM], nr. 28341/95, § 69, GJEDNJ 2000-V, dhe </w:t>
      </w:r>
      <w:r w:rsidRPr="006A1F4E">
        <w:rPr>
          <w:rFonts w:ascii="Garamond" w:hAnsi="Garamond" w:cs="Times New Roman"/>
          <w:i/>
          <w:iCs/>
          <w:color w:val="000000"/>
          <w:sz w:val="24"/>
          <w:szCs w:val="24"/>
          <w:lang w:val="sq-AL"/>
        </w:rPr>
        <w:t>Driza kundër Shqipërisë</w:t>
      </w:r>
      <w:r w:rsidRPr="006A1F4E">
        <w:rPr>
          <w:rFonts w:ascii="Garamond" w:hAnsi="Garamond" w:cs="Times New Roman"/>
          <w:color w:val="000000"/>
          <w:sz w:val="24"/>
          <w:szCs w:val="24"/>
          <w:lang w:val="sq-AL"/>
        </w:rPr>
        <w:t xml:space="preserve">, nr. 33771/02, § 116, GJEDNJ 2007-V (ekstrakte)). Për çdo rast, siç edhe u vendos në çështjen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288), si KPK</w:t>
      </w:r>
      <w:r w:rsidR="004F38A8">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xml:space="preserve"> dhe KPA</w:t>
      </w:r>
      <w:r w:rsidR="004F38A8">
        <w:rPr>
          <w:rFonts w:ascii="Garamond" w:hAnsi="Garamond" w:cs="Times New Roman"/>
          <w:color w:val="000000"/>
          <w:sz w:val="24"/>
          <w:szCs w:val="24"/>
          <w:lang w:val="sq-AL"/>
        </w:rPr>
        <w:t>-ja</w:t>
      </w:r>
      <w:r w:rsidRPr="006A1F4E">
        <w:rPr>
          <w:rFonts w:ascii="Garamond" w:hAnsi="Garamond" w:cs="Times New Roman"/>
          <w:color w:val="000000"/>
          <w:sz w:val="24"/>
          <w:szCs w:val="24"/>
          <w:lang w:val="sq-AL"/>
        </w:rPr>
        <w:t>, një kolegj i posaçëm i Gjykatës Kushtetuese, ishin “gjykata”</w:t>
      </w:r>
      <w:r w:rsidR="00EE4DF7">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qëllimeve të </w:t>
      </w:r>
      <w:r w:rsidR="00EE4DF7"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6. Kërkuesja ishte në pozitat për të ngritur ankesën e saj</w:t>
      </w:r>
      <w:r w:rsidR="00E90B7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lidhje me </w:t>
      </w:r>
      <w:r w:rsidR="00EE4DF7" w:rsidRPr="006A1F4E">
        <w:rPr>
          <w:rFonts w:ascii="Garamond" w:hAnsi="Garamond" w:cs="Times New Roman"/>
          <w:color w:val="000000"/>
          <w:sz w:val="24"/>
          <w:szCs w:val="24"/>
          <w:lang w:val="sq-AL"/>
        </w:rPr>
        <w:t xml:space="preserve">nenet </w:t>
      </w:r>
      <w:r w:rsidRPr="006A1F4E">
        <w:rPr>
          <w:rFonts w:ascii="Garamond" w:hAnsi="Garamond" w:cs="Times New Roman"/>
          <w:color w:val="000000"/>
          <w:sz w:val="24"/>
          <w:szCs w:val="24"/>
          <w:lang w:val="sq-AL"/>
        </w:rPr>
        <w:t xml:space="preserve">6 dhe 8 përpara këtyre organeve të rivlerësimit. </w:t>
      </w:r>
    </w:p>
    <w:p w14:paraId="04B5DBED" w14:textId="552E097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137. Më tej ajo vijon se kjo pjesë e kërkesës është qartazi e pambështetur në fakte sipas kuptimit të </w:t>
      </w:r>
      <w:r w:rsidR="00EE4DF7"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35 § 3 (a) të Konventës dhe duhet të kundërshtohet në përputhje me </w:t>
      </w:r>
      <w:r w:rsidR="00EE4DF7"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35 § 4. </w:t>
      </w:r>
    </w:p>
    <w:p w14:paraId="7ED2C0DD" w14:textId="068790F6"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V. ZBATIMI I NENEVE 46 DHE 41 TË KONVENTËS </w:t>
      </w:r>
    </w:p>
    <w:p w14:paraId="3D95FE48" w14:textId="1D5E5CD3"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138. Pjesët përkatëse të </w:t>
      </w:r>
      <w:r w:rsidR="00EE4DF7"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46 të Konventës parashikojnë si më poshtë: </w:t>
      </w:r>
    </w:p>
    <w:p w14:paraId="0AE1945E"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 Palët e Larta Kontraktuese marrin përsipër të respektojnë vendimin e formës së prerë të Gjykatës në çdo çështje ku ato janë palë. </w:t>
      </w:r>
    </w:p>
    <w:p w14:paraId="718F6858" w14:textId="682AD6F3"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2. Vendimi i formës së prerë i Gjykatës i përcillet Komitetit të Ministrave, i cili mbik</w:t>
      </w:r>
      <w:r w:rsidR="00EE4DF7">
        <w:rPr>
          <w:rFonts w:ascii="Garamond" w:hAnsi="Garamond" w:cs="Times New Roman"/>
          <w:color w:val="000000"/>
          <w:sz w:val="24"/>
          <w:szCs w:val="24"/>
          <w:lang w:val="sq-AL"/>
        </w:rPr>
        <w:t>ë</w:t>
      </w:r>
      <w:r w:rsidRPr="006A1F4E">
        <w:rPr>
          <w:rFonts w:ascii="Garamond" w:hAnsi="Garamond" w:cs="Times New Roman"/>
          <w:color w:val="000000"/>
          <w:sz w:val="24"/>
          <w:szCs w:val="24"/>
          <w:lang w:val="sq-AL"/>
        </w:rPr>
        <w:t>qyr ekzekutimin e tij.</w:t>
      </w:r>
    </w:p>
    <w:p w14:paraId="7462EC68"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w:t>
      </w:r>
    </w:p>
    <w:p w14:paraId="2E697B70" w14:textId="078F493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139. Neni 41 i Konventës parashikon si më poshtë: </w:t>
      </w:r>
    </w:p>
    <w:p w14:paraId="70329DFB" w14:textId="77777777"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Pr="006A1F4E">
        <w:rPr>
          <w:rFonts w:ascii="Garamond" w:hAnsi="Garamond" w:cs="Calibri"/>
          <w:color w:val="000000"/>
          <w:sz w:val="24"/>
          <w:szCs w:val="24"/>
          <w:lang w:val="sq-AL"/>
        </w:rPr>
        <w:t>.</w:t>
      </w:r>
      <w:r w:rsidRPr="006A1F4E">
        <w:rPr>
          <w:rFonts w:ascii="Garamond" w:hAnsi="Garamond" w:cs="Times New Roman"/>
          <w:color w:val="000000"/>
          <w:sz w:val="24"/>
          <w:szCs w:val="24"/>
          <w:lang w:val="sq-AL"/>
        </w:rPr>
        <w:t xml:space="preserve">” </w:t>
      </w:r>
    </w:p>
    <w:p w14:paraId="15C3F48C" w14:textId="1533E15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A. Tregues për masat e përgjithshme dhe individuale</w:t>
      </w:r>
    </w:p>
    <w:p w14:paraId="47F6F313" w14:textId="62BC35D8" w:rsidR="00C0711E" w:rsidRPr="006A1F4E" w:rsidRDefault="00C0711E" w:rsidP="00E90B7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140. Kërkuesja mendonte, referuar </w:t>
      </w:r>
      <w:r w:rsidR="00E90B73"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46 § 1 të Konventës, se Shteti përgjegjës duhej të urdhërohej të korrigjonte papërshtatshmëritë themelore në legjislacionin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të rivlerësimit dhe të siguronte rikthimin e saj si prokurore dhe anëtare e KLP</w:t>
      </w:r>
      <w:r w:rsidR="00EE4DF7">
        <w:rPr>
          <w:rFonts w:ascii="Garamond" w:hAnsi="Garamond" w:cs="Times New Roman"/>
          <w:color w:val="000000"/>
          <w:sz w:val="24"/>
          <w:szCs w:val="24"/>
          <w:lang w:val="sq-AL"/>
        </w:rPr>
        <w:t>-së</w:t>
      </w:r>
      <w:r w:rsidRPr="006A1F4E">
        <w:rPr>
          <w:rFonts w:ascii="Garamond" w:hAnsi="Garamond" w:cs="Times New Roman"/>
          <w:color w:val="000000"/>
          <w:sz w:val="24"/>
          <w:szCs w:val="24"/>
          <w:lang w:val="sq-AL"/>
        </w:rPr>
        <w:t xml:space="preserve">. </w:t>
      </w:r>
    </w:p>
    <w:p w14:paraId="67D7E954" w14:textId="7CCFC00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141. Qeveria argumentoi se parashikimet ligjore për rivlerësimin ishin në përputhje me Konventën. Gjithashtu, ajo parashtroi se duke qenë se kërkuesja nuk kishte përmbushur detyrimet e saj sipas Ligjit të Rivlerësimit, që përbënin edhe arsyet për nisjen e procedurave disiplinore ndaj saj, ajo nuk mund të rikthehej në detyrë. </w:t>
      </w:r>
    </w:p>
    <w:p w14:paraId="611F3C04" w14:textId="4E21561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142. Parimet e përgjithshme në lidhje me detyrimet e Shtetit të paditur sipas </w:t>
      </w:r>
      <w:r w:rsidR="00460EF9"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46 të Konventës në kontekstin e ekzekutimit të vendimeve ku Gjykata ka konstatuar shkelje të Konventës, përcaktohen, </w:t>
      </w:r>
      <w:r w:rsidRPr="006A1F4E">
        <w:rPr>
          <w:rFonts w:ascii="Garamond" w:hAnsi="Garamond" w:cs="Times New Roman"/>
          <w:i/>
          <w:iCs/>
          <w:color w:val="000000"/>
          <w:sz w:val="24"/>
          <w:szCs w:val="24"/>
          <w:lang w:val="sq-AL"/>
        </w:rPr>
        <w:t>inter alia</w:t>
      </w:r>
      <w:r w:rsidRPr="006A1F4E">
        <w:rPr>
          <w:rFonts w:ascii="Garamond" w:hAnsi="Garamond" w:cs="Times New Roman"/>
          <w:color w:val="000000"/>
          <w:sz w:val="24"/>
          <w:szCs w:val="24"/>
          <w:lang w:val="sq-AL"/>
        </w:rPr>
        <w:t xml:space="preserve">, në vendimin e Gjykatës në çështjen </w:t>
      </w:r>
      <w:r w:rsidRPr="006A1F4E">
        <w:rPr>
          <w:rFonts w:ascii="Garamond" w:hAnsi="Garamond" w:cs="Times New Roman"/>
          <w:i/>
          <w:iCs/>
          <w:color w:val="000000"/>
          <w:sz w:val="24"/>
          <w:szCs w:val="24"/>
          <w:lang w:val="sq-AL"/>
        </w:rPr>
        <w:t xml:space="preserve">Oleksandr Volkov </w:t>
      </w:r>
      <w:r w:rsidRPr="006A1F4E">
        <w:rPr>
          <w:rFonts w:ascii="Garamond" w:hAnsi="Garamond" w:cs="Times New Roman"/>
          <w:color w:val="000000"/>
          <w:sz w:val="24"/>
          <w:szCs w:val="24"/>
          <w:lang w:val="sq-AL"/>
        </w:rPr>
        <w:t>(cituar më sipër, §§ 193</w:t>
      </w:r>
      <w:r w:rsidR="00460EF9">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95, me shumë referenca të tjera). Vendimet e Gjykatës janë kryesisht deklarative në natyrë. Neni 46 përfshin kryesisht detyrimin ligjor për të zgjedhur, nën mbikëqyrjen e Komitetit të Ministrave, masat e përgjithshme dhe/ose, nëse është me vend, individuale, që do të miratohen në urdhrin e tij juridik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për t’i dhënë fund shkeljes së konstatuar nga Gjykata dhe për të bërë të gjithë korrigjimin e mundshëm për pasojat në mënyrë të tillë që të rikthehet sa më shumë të jetë e mundur situata që ekzistonte përpara shkeljes (ibid.). </w:t>
      </w:r>
    </w:p>
    <w:p w14:paraId="064E5301" w14:textId="1B08A369"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143. Gjykata shprehet se ka konstatuar një shkelje të së drejtës së kërkueses për të respektuar jetën e saj private sipas </w:t>
      </w:r>
      <w:r w:rsidR="00206FA4"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për shkarkimin e saj, sepse, në rrethanat specifike të çështjes së saj, shkarkimi nuk ishte proporcional me qëllimet legjitime të ndjekura. Megjithatë, ajo nuk mendon se funksionimi i procesit aktual të rivlerësimit në përgjithësi në Shqipëri, mbështetur në Kushtetutë dhe në Ligjin e Rivlerësimit, paraqet problematika sistematike në respektimin e kërkesave të Konventës (shih tashmë </w:t>
      </w:r>
      <w:r w:rsidRPr="006A1F4E">
        <w:rPr>
          <w:rFonts w:ascii="Garamond" w:hAnsi="Garamond" w:cs="Times New Roman"/>
          <w:i/>
          <w:iCs/>
          <w:color w:val="000000"/>
          <w:sz w:val="24"/>
          <w:szCs w:val="24"/>
          <w:lang w:val="sq-AL"/>
        </w:rPr>
        <w:t>Xhoxhaj</w:t>
      </w:r>
      <w:r w:rsidRPr="006A1F4E">
        <w:rPr>
          <w:rFonts w:ascii="Garamond" w:hAnsi="Garamond" w:cs="Times New Roman"/>
          <w:color w:val="000000"/>
          <w:sz w:val="24"/>
          <w:szCs w:val="24"/>
          <w:lang w:val="sq-AL"/>
        </w:rPr>
        <w:t xml:space="preserve">, cituar më sipër, §§ 230 e në vijim). Për këtë arsye, Gjykata nuk e vlerëson si të nevojshme që ajo të përcaktojë në mënyrë përjashtimore ndonjë masë të përgjithshme që mund të ndërmerret për t’i dhënë fund shkeljes në fjalë (krahaso, </w:t>
      </w:r>
      <w:r w:rsidRPr="006A1F4E">
        <w:rPr>
          <w:rFonts w:ascii="Garamond" w:hAnsi="Garamond" w:cs="Times New Roman"/>
          <w:i/>
          <w:iCs/>
          <w:color w:val="000000"/>
          <w:sz w:val="24"/>
          <w:szCs w:val="24"/>
          <w:lang w:val="sq-AL"/>
        </w:rPr>
        <w:t>a contrario</w:t>
      </w:r>
      <w:r w:rsidRPr="006A1F4E">
        <w:rPr>
          <w:rFonts w:ascii="Garamond" w:hAnsi="Garamond" w:cs="Times New Roman"/>
          <w:color w:val="000000"/>
          <w:sz w:val="24"/>
          <w:szCs w:val="24"/>
          <w:lang w:val="sq-AL"/>
        </w:rPr>
        <w:t xml:space="preserve">, </w:t>
      </w:r>
      <w:r w:rsidRPr="006A1F4E">
        <w:rPr>
          <w:rFonts w:ascii="Garamond" w:hAnsi="Garamond" w:cs="Times New Roman"/>
          <w:i/>
          <w:iCs/>
          <w:color w:val="000000"/>
          <w:sz w:val="24"/>
          <w:szCs w:val="24"/>
          <w:lang w:val="sq-AL"/>
        </w:rPr>
        <w:t>Oleksandr Volkov</w:t>
      </w:r>
      <w:r w:rsidRPr="006A1F4E">
        <w:rPr>
          <w:rFonts w:ascii="Garamond" w:hAnsi="Garamond" w:cs="Times New Roman"/>
          <w:color w:val="000000"/>
          <w:sz w:val="24"/>
          <w:szCs w:val="24"/>
          <w:lang w:val="sq-AL"/>
        </w:rPr>
        <w:t>, cituar më sipër, §§ 199</w:t>
      </w:r>
      <w:r w:rsidR="00206FA4">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202). </w:t>
      </w:r>
    </w:p>
    <w:p w14:paraId="05D2EFE9" w14:textId="3B02302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144. Për sa ka të bëjë me masat individuale që do të ishin më të përshtatshme për t’i dhënë fund shkeljes së konstatuar në çështjen konkrete, Gjykata përsërit se, në shumë çështje ku ishte konstatuar se procedurat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shkelnin Konventën, ajo ka gjykuar se forma më e përshtatshme për korrigjimin e shkeljeve të konstatuara mund të ishte rihapja e procedurave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e (krahaso, për shembull, </w:t>
      </w:r>
      <w:r w:rsidRPr="006A1F4E">
        <w:rPr>
          <w:rFonts w:ascii="Garamond" w:hAnsi="Garamond" w:cs="Times New Roman"/>
          <w:i/>
          <w:iCs/>
          <w:color w:val="000000"/>
          <w:sz w:val="24"/>
          <w:szCs w:val="24"/>
          <w:lang w:val="sq-AL"/>
        </w:rPr>
        <w:t>Oleksandr Volkov</w:t>
      </w:r>
      <w:r w:rsidRPr="006A1F4E">
        <w:rPr>
          <w:rFonts w:ascii="Garamond" w:hAnsi="Garamond" w:cs="Times New Roman"/>
          <w:color w:val="000000"/>
          <w:sz w:val="24"/>
          <w:szCs w:val="24"/>
          <w:lang w:val="sq-AL"/>
        </w:rPr>
        <w:t>, cituar më sipër, §§ 205</w:t>
      </w:r>
      <w:r w:rsidR="00536033">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206, në lidhje me një shkelje të </w:t>
      </w:r>
      <w:r w:rsidR="001F6AAB" w:rsidRPr="006A1F4E">
        <w:rPr>
          <w:rFonts w:ascii="Garamond" w:hAnsi="Garamond" w:cs="Times New Roman"/>
          <w:color w:val="000000"/>
          <w:sz w:val="24"/>
          <w:szCs w:val="24"/>
          <w:lang w:val="sq-AL"/>
        </w:rPr>
        <w:t xml:space="preserve">neneve </w:t>
      </w:r>
      <w:r w:rsidRPr="006A1F4E">
        <w:rPr>
          <w:rFonts w:ascii="Garamond" w:hAnsi="Garamond" w:cs="Times New Roman"/>
          <w:color w:val="000000"/>
          <w:sz w:val="24"/>
          <w:szCs w:val="24"/>
          <w:lang w:val="sq-AL"/>
        </w:rPr>
        <w:t xml:space="preserve">6 dhe 8). </w:t>
      </w:r>
    </w:p>
    <w:p w14:paraId="084A6702" w14:textId="0AE1BEB4"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145. Duke iu referuar konstatimeve të saj në çështjen </w:t>
      </w:r>
      <w:r w:rsidRPr="006A1F4E">
        <w:rPr>
          <w:rFonts w:ascii="Garamond" w:hAnsi="Garamond" w:cs="Times New Roman"/>
          <w:i/>
          <w:iCs/>
          <w:color w:val="000000"/>
          <w:sz w:val="24"/>
          <w:szCs w:val="24"/>
          <w:lang w:val="sq-AL"/>
        </w:rPr>
        <w:t xml:space="preserve">Besnik Cani </w:t>
      </w:r>
      <w:r w:rsidRPr="006A1F4E">
        <w:rPr>
          <w:rFonts w:ascii="Garamond" w:hAnsi="Garamond" w:cs="Times New Roman"/>
          <w:color w:val="000000"/>
          <w:sz w:val="24"/>
          <w:szCs w:val="24"/>
          <w:lang w:val="sq-AL"/>
        </w:rPr>
        <w:t xml:space="preserve">(cituar më sipër, § 149), Gjykata konstaton se mund të ketë një rrugë ligjore për kërkuesen që të kërkojë rihapjen e procedurave pas konstatimit nga ana e Gjykatës së një shkeljeje të Konventës. Në këtë mënyrë, duke marrë në konsideratë rrethanat e çështjes konkrete dhe për sa mund të ishte e mundur sipas ligjit </w:t>
      </w:r>
      <w:r w:rsidR="008858E0">
        <w:rPr>
          <w:rFonts w:ascii="Garamond" w:hAnsi="Garamond" w:cs="Times New Roman"/>
          <w:color w:val="000000"/>
          <w:sz w:val="24"/>
          <w:szCs w:val="24"/>
          <w:lang w:val="sq-AL"/>
        </w:rPr>
        <w:t>vendës</w:t>
      </w:r>
      <w:r w:rsidRPr="006A1F4E">
        <w:rPr>
          <w:rFonts w:ascii="Garamond" w:hAnsi="Garamond" w:cs="Times New Roman"/>
          <w:color w:val="000000"/>
          <w:sz w:val="24"/>
          <w:szCs w:val="24"/>
          <w:lang w:val="sq-AL"/>
        </w:rPr>
        <w:t xml:space="preserve">, një formë e përshtatshme korrigjimi për shkeljen e të drejtës së kërkueses për respektim të jetës së saj private sipas </w:t>
      </w:r>
      <w:r w:rsidR="001F6AAB"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do të ishte rihapja e procesit, nëse kërkuesja e kërkonte një rihapje të tillë, si edhe rishqyrtimi i çështjes në mënyrë të tillë që është në përputhje me parashikimet e </w:t>
      </w:r>
      <w:r w:rsidR="001F6AAB"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ashtu siç përcaktohet në këtë vendim. </w:t>
      </w:r>
    </w:p>
    <w:p w14:paraId="27CA69FA" w14:textId="50348DD3"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b/>
          <w:bCs/>
          <w:color w:val="000000"/>
          <w:sz w:val="24"/>
          <w:szCs w:val="24"/>
          <w:lang w:val="sq-AL"/>
        </w:rPr>
        <w:t xml:space="preserve">B. Dëmshpërblimi </w:t>
      </w:r>
    </w:p>
    <w:p w14:paraId="752C8F30" w14:textId="072AEC3C"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146.</w:t>
      </w:r>
      <w:r w:rsidR="006A1F4E" w:rsidRPr="006A1F4E">
        <w:rPr>
          <w:rFonts w:ascii="Garamond" w:hAnsi="Garamond" w:cs="Times New Roman"/>
          <w:color w:val="000000"/>
          <w:sz w:val="24"/>
          <w:szCs w:val="24"/>
          <w:lang w:val="sq-AL"/>
        </w:rPr>
        <w:t xml:space="preserve"> </w:t>
      </w:r>
      <w:r w:rsidRPr="006A1F4E">
        <w:rPr>
          <w:rFonts w:ascii="Garamond" w:hAnsi="Garamond" w:cs="Times New Roman"/>
          <w:color w:val="000000"/>
          <w:sz w:val="24"/>
          <w:szCs w:val="24"/>
          <w:lang w:val="sq-AL"/>
        </w:rPr>
        <w:t xml:space="preserve">Kërkuesja kërkoi, në lidhje me dëmin pasuror, shumat që përkonin me humbjen e pagës së saj si prokurore gjatë periudhës së shkarkimit të saj nga detyra më 28 </w:t>
      </w:r>
      <w:r w:rsidR="00B41975"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 xml:space="preserve">2019 deri në rikthimin e saj, paga e saj mujore bruto në vlerën ALL 281,078 (rreth 2,267 euro (EUR)). Nëse nuk rikthehej në detyrë, ajo kërkoi shumën që përkonte me pagën që do të kishte fituar deri në moshën e pensionit dhe shumën që përkonte me pensionin e saj. Në vijim, ajo kërkoi që kjo shumë duhej të përshtatej me normën e inflacionit duke shtuar interesin dhe tatimet e pagueshme. </w:t>
      </w:r>
    </w:p>
    <w:p w14:paraId="497E2A56" w14:textId="72AF010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147. Në vijim, kërkuesja kërkoi 150,000 euro, plus çdo taksë që mund të ishte e tarifueshme për dëmin jopasuror shkaktuar nga ankthi, humbja e reputacionit dhe e mundësive që i kishte vuajtur si pasojë e shkarkimit të saj të menjëhershëm në kulmin e karrierës së saj ligjore si prokurore. </w:t>
      </w:r>
    </w:p>
    <w:p w14:paraId="082AEF80" w14:textId="065B31AB"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148. Qeveria parashtroi se kërkuesja nuk mund të pretendonte kompensim për humbjen e pagës pasi shkarkimi i saj nuk ishte në shkelje me Konventën. Në vijim, Qeveria parashtroi se pretendimi i saj për kompensim për dëmin jopasuror ishte i tepruar dhe i paargumentuar. </w:t>
      </w:r>
    </w:p>
    <w:p w14:paraId="7232B533" w14:textId="07734768"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149. Gjykata vlerëson se kërkuesja filloi të praktikonte ligjin si avokate shumë shpejt pas shkarkimit të saj; megjithatë, kalimi i menjëhershëm në atë linjë të re pune nën ato rrethana duhet të ketë shkaktuar dëm pasuror. Duke bërë një vlerësim të drejtë dhe sipas të gjitha informacioneve në zotërimin e saj, Gjykata vlerëson si të arsyeshme që t’i akordojë kërkueses EUR 13,600 për dëm pasuror, plus çdo taksë që mund të jetë e tarifueshme për kërkuesen për atë shumë. Gjithashtu, ajo vlerëson se kërkuesja duhet të ketë pësuar dëm jopasuror, për të cilin konstatimi i shkeljes së Konventës në vendimin e Gjykatës nuk do të mjaftonte për korrigjim, dhe i akordon asaj EUR 6,000 (gjashtë mijë euro), plus çdo taksë që mund të jetë e tarifueshme për këtë shumë. </w:t>
      </w:r>
    </w:p>
    <w:p w14:paraId="229A74E9" w14:textId="13BC89B0"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A1F4E">
        <w:rPr>
          <w:rFonts w:ascii="Garamond" w:hAnsi="Garamond" w:cs="Times New Roman"/>
          <w:b/>
          <w:bCs/>
          <w:color w:val="000000"/>
          <w:sz w:val="24"/>
          <w:szCs w:val="24"/>
          <w:lang w:val="sq-AL"/>
        </w:rPr>
        <w:t>C. Kostot dhe shpenzimet</w:t>
      </w:r>
    </w:p>
    <w:p w14:paraId="50F394CC" w14:textId="2E19177D"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150. Pasi dorëzoi provat dokumentare, kërkuesja kërkoi edhe EUR 5,155 (duke përfshirë taksat) për kostot dhe shpenzimet e bëra përpara Gjykatës. </w:t>
      </w:r>
    </w:p>
    <w:p w14:paraId="2BA03160" w14:textId="0536661E" w:rsidR="00C0711E" w:rsidRPr="006A1F4E" w:rsidRDefault="00C0711E" w:rsidP="00C0711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151. Qeveria parashtroi se, edhe nëse prezumohet se ka pasur një shkelje të Konventës, kostot dhe shpenzimet e pretenduara nga kërkuesja nuk ishin të nevojshme për kuant, duke pasur parasysh kostot dhe shpenzimet e zakonshme të një avokateje që e praktikon ligjin në Shqipëri. </w:t>
      </w:r>
    </w:p>
    <w:p w14:paraId="3B92EC7E" w14:textId="0CC9A3A7" w:rsidR="00C0711E" w:rsidRPr="006A1F4E" w:rsidRDefault="00C0711E" w:rsidP="00B4197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152. Sipas praktikës gjyqësore të Gjykatës, një kërkues ka të drejtë të rimbursohet për kostot dhe shpenzimet vetëm për aq sa është provuar se këto kosto dhe shpenzime janë bërë aktualisht, kanë qenë të nevojshme dhe janë të arsyeshme për kuant. Në çështjen konkrete, për sa </w:t>
      </w:r>
      <w:r w:rsidR="00B41975">
        <w:rPr>
          <w:rFonts w:ascii="Garamond" w:hAnsi="Garamond" w:cs="Times New Roman"/>
          <w:color w:val="000000"/>
          <w:sz w:val="24"/>
          <w:szCs w:val="24"/>
          <w:lang w:val="sq-AL"/>
        </w:rPr>
        <w:t>u</w:t>
      </w:r>
      <w:r w:rsidRPr="006A1F4E">
        <w:rPr>
          <w:rFonts w:ascii="Garamond" w:hAnsi="Garamond" w:cs="Times New Roman"/>
          <w:color w:val="000000"/>
          <w:sz w:val="24"/>
          <w:szCs w:val="24"/>
          <w:lang w:val="sq-AL"/>
        </w:rPr>
        <w:t xml:space="preserve"> përket dokumenteve që zotëron Gjykata si edhe kritereve të mësipërme, Gjykata e konsideron të arsyeshme që t’i akordojë kërkueses EUR 5,000 (duke përfshirë taksat) për procesin përpara Gjykatës. </w:t>
      </w:r>
    </w:p>
    <w:p w14:paraId="59844A9E" w14:textId="77777777" w:rsidR="006C7993" w:rsidRPr="006A1F4E" w:rsidRDefault="006C7993" w:rsidP="006C799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w:t>
      </w:r>
    </w:p>
    <w:p w14:paraId="7DB6F732" w14:textId="432F7959" w:rsidR="00C0711E" w:rsidRPr="006A1F4E" w:rsidRDefault="00C0711E" w:rsidP="006C799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A1F4E">
        <w:rPr>
          <w:rFonts w:ascii="Garamond" w:hAnsi="Garamond" w:cs="Times New Roman"/>
          <w:color w:val="000000"/>
          <w:sz w:val="24"/>
          <w:szCs w:val="24"/>
          <w:lang w:val="sq-AL"/>
        </w:rPr>
        <w:t>PËR KËTO ARSYE, GJYKATA</w:t>
      </w:r>
    </w:p>
    <w:p w14:paraId="0F4F1F08" w14:textId="77777777" w:rsidR="006C7993" w:rsidRPr="006A1F4E" w:rsidRDefault="006C7993" w:rsidP="006C7993">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D9FC458" w14:textId="14DA5BAD"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1. E deklaron,</w:t>
      </w:r>
      <w:r w:rsidRPr="006A1F4E">
        <w:rPr>
          <w:rFonts w:ascii="Garamond" w:hAnsi="Garamond" w:cs="Times New Roman"/>
          <w:color w:val="000000"/>
          <w:sz w:val="24"/>
          <w:szCs w:val="24"/>
          <w:lang w:val="sq-AL"/>
        </w:rPr>
        <w:t xml:space="preserve"> unanimisht, të pranueshme ankesën për shkarkimin e kërkueses në mbështetje të </w:t>
      </w:r>
      <w:r w:rsidR="006D6E7F"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w:t>
      </w:r>
    </w:p>
    <w:p w14:paraId="3019A288" w14:textId="7286BC7F"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2. E deklaron, </w:t>
      </w:r>
      <w:r w:rsidRPr="006A1F4E">
        <w:rPr>
          <w:rFonts w:ascii="Garamond" w:hAnsi="Garamond" w:cs="Times New Roman"/>
          <w:color w:val="000000"/>
          <w:sz w:val="24"/>
          <w:szCs w:val="24"/>
          <w:lang w:val="sq-AL"/>
        </w:rPr>
        <w:t xml:space="preserve">me shumicë, pjesën tjetër të kërkesës të papranueshme; </w:t>
      </w:r>
    </w:p>
    <w:p w14:paraId="725D324D" w14:textId="6662B9B6"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3. Gjykon, </w:t>
      </w:r>
      <w:r w:rsidRPr="006A1F4E">
        <w:rPr>
          <w:rFonts w:ascii="Garamond" w:hAnsi="Garamond" w:cs="Times New Roman"/>
          <w:color w:val="000000"/>
          <w:sz w:val="24"/>
          <w:szCs w:val="24"/>
          <w:lang w:val="sq-AL"/>
        </w:rPr>
        <w:t xml:space="preserve">unanimisht, se është shkelur </w:t>
      </w:r>
      <w:r w:rsidR="006D6E7F"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 xml:space="preserve">8 i Konventës për sa i përket shkarkimit të kërkueses; </w:t>
      </w:r>
    </w:p>
    <w:p w14:paraId="7A2926C9" w14:textId="1C46834B"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4. Gjykon, </w:t>
      </w:r>
      <w:r w:rsidRPr="006A1F4E">
        <w:rPr>
          <w:rFonts w:ascii="Garamond" w:hAnsi="Garamond" w:cs="Times New Roman"/>
          <w:color w:val="000000"/>
          <w:sz w:val="24"/>
          <w:szCs w:val="24"/>
          <w:lang w:val="sq-AL"/>
        </w:rPr>
        <w:t xml:space="preserve">unanimisht, </w:t>
      </w:r>
    </w:p>
    <w:p w14:paraId="17C1F804" w14:textId="6567119E"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a) se Shteti përgjegjës duhet t’i paguajë kërkueses, brenda tre muajve nga data në të cilën vendimi bëhet i formë së prerë, në përputhje me </w:t>
      </w:r>
      <w:r w:rsidR="006D6E7F"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44 §§ 2 të Konventës, shumat e mëposhtme, që duhet të konvertohen në monedhën e Shtetit përgjegjës në normën e zbatueshme në datën e pagesës; </w:t>
      </w:r>
    </w:p>
    <w:p w14:paraId="075462D6" w14:textId="29E7EB2E" w:rsidR="00C0711E" w:rsidRPr="006A1F4E" w:rsidRDefault="00C0711E" w:rsidP="001C74E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w:t>
      </w:r>
      <w:r w:rsidR="001C74E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EUR 13,600 (trembëdhjetë mijë e gjashtëqind euro), plus çdo taksë që mund t’i tarifohet kërkueses, në lidhje me dëmin pasuror; </w:t>
      </w:r>
    </w:p>
    <w:p w14:paraId="4B6053C1" w14:textId="5201D3F3" w:rsidR="00C0711E" w:rsidRPr="006A1F4E" w:rsidRDefault="00C0711E" w:rsidP="001C74E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ii</w:t>
      </w:r>
      <w:r w:rsidR="001C74E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EUR 6,000 (gjashtë mijë euro), plus çdo taksë që mund të tarifohet, për dëmin jopasuror; </w:t>
      </w:r>
    </w:p>
    <w:p w14:paraId="4979ECCD" w14:textId="7516B1A3" w:rsidR="00C0711E" w:rsidRPr="006A1F4E" w:rsidRDefault="00C0711E" w:rsidP="001C74E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iii</w:t>
      </w:r>
      <w:r w:rsidR="001C74EE">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EUR 5,000 (pesë mijë euro) për kostot dhe shpenzimet; </w:t>
      </w:r>
    </w:p>
    <w:p w14:paraId="657E5E92" w14:textId="7508496A"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b) se nga përfundimi i periudhës së sipërpërmendur tremujore deri në pagesë, interesi i thjeshtë duhet të paguhet për shumat e mësipërme në një normë të barabartë me normën margjinale huadhënëse të Bankës Qendrore Evropiane plus tre pikë përqindje; </w:t>
      </w:r>
    </w:p>
    <w:p w14:paraId="3D30DBF6" w14:textId="4EAD511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i/>
          <w:iCs/>
          <w:color w:val="000000"/>
          <w:sz w:val="24"/>
          <w:szCs w:val="24"/>
          <w:lang w:val="sq-AL"/>
        </w:rPr>
        <w:t xml:space="preserve">5. Rrëzon, </w:t>
      </w:r>
      <w:r w:rsidRPr="006A1F4E">
        <w:rPr>
          <w:rFonts w:ascii="Garamond" w:hAnsi="Garamond" w:cs="Times New Roman"/>
          <w:color w:val="000000"/>
          <w:sz w:val="24"/>
          <w:szCs w:val="24"/>
          <w:lang w:val="sq-AL"/>
        </w:rPr>
        <w:t>unanimisht, pjesën tjetër të kërkesës së kërkueses për shpërblim të drejtë.</w:t>
      </w:r>
    </w:p>
    <w:p w14:paraId="16733F2A"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 </w:t>
      </w:r>
    </w:p>
    <w:p w14:paraId="5E4AFD15" w14:textId="26E1FA2C"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Hartuar në gjuhën angleze dhe njoftuar me shkrim më datë 13 </w:t>
      </w:r>
      <w:r w:rsidR="001C74EE" w:rsidRPr="006A1F4E">
        <w:rPr>
          <w:rFonts w:ascii="Garamond" w:hAnsi="Garamond" w:cs="Times New Roman"/>
          <w:color w:val="000000"/>
          <w:sz w:val="24"/>
          <w:szCs w:val="24"/>
          <w:lang w:val="sq-AL"/>
        </w:rPr>
        <w:t xml:space="preserve">dhjetor </w:t>
      </w:r>
      <w:r w:rsidRPr="006A1F4E">
        <w:rPr>
          <w:rFonts w:ascii="Garamond" w:hAnsi="Garamond" w:cs="Times New Roman"/>
          <w:color w:val="000000"/>
          <w:sz w:val="24"/>
          <w:szCs w:val="24"/>
          <w:lang w:val="sq-AL"/>
        </w:rPr>
        <w:t xml:space="preserve">2022, sipas Rregullit 77 §§ 2 dhe 3 të Rregullores së Gjykatës. </w:t>
      </w:r>
    </w:p>
    <w:p w14:paraId="1AAEB4D5" w14:textId="77777777" w:rsidR="000D6CAB" w:rsidRDefault="000D6CAB" w:rsidP="000D6CAB">
      <w:pPr>
        <w:autoSpaceDE w:val="0"/>
        <w:autoSpaceDN w:val="0"/>
        <w:adjustRightInd w:val="0"/>
        <w:spacing w:after="0" w:line="240" w:lineRule="auto"/>
        <w:ind w:firstLine="284"/>
        <w:jc w:val="both"/>
        <w:rPr>
          <w:rFonts w:ascii="Garamond" w:hAnsi="Garamond" w:cs="Times New Roman"/>
          <w:b/>
          <w:color w:val="000000"/>
          <w:sz w:val="24"/>
          <w:szCs w:val="24"/>
          <w:lang w:val="sq-AL"/>
        </w:rPr>
      </w:pPr>
    </w:p>
    <w:p w14:paraId="406BEAEF" w14:textId="77777777" w:rsidR="000D6CAB" w:rsidRPr="006A1F4E" w:rsidRDefault="000D6CAB" w:rsidP="000D6CAB">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6A1F4E">
        <w:rPr>
          <w:rFonts w:ascii="Garamond" w:hAnsi="Garamond" w:cs="Times New Roman"/>
          <w:b/>
          <w:color w:val="000000"/>
          <w:sz w:val="24"/>
          <w:szCs w:val="24"/>
          <w:lang w:val="sq-AL"/>
        </w:rPr>
        <w:t>Pere Pastor Vilanova</w:t>
      </w:r>
    </w:p>
    <w:p w14:paraId="7DDBEBC3" w14:textId="6BE065CF" w:rsidR="00C0711E" w:rsidRPr="006A1F4E" w:rsidRDefault="000D6CAB" w:rsidP="000D6CAB">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6A1F4E">
        <w:rPr>
          <w:rFonts w:ascii="Garamond" w:hAnsi="Garamond" w:cs="Times New Roman"/>
          <w:color w:val="000000"/>
          <w:sz w:val="24"/>
          <w:szCs w:val="24"/>
          <w:lang w:val="sq-AL"/>
        </w:rPr>
        <w:t>KRYETAR</w:t>
      </w:r>
    </w:p>
    <w:p w14:paraId="6DC419E8" w14:textId="77777777" w:rsidR="000D6CAB" w:rsidRDefault="000D6CAB" w:rsidP="000D6CAB">
      <w:pPr>
        <w:autoSpaceDE w:val="0"/>
        <w:autoSpaceDN w:val="0"/>
        <w:adjustRightInd w:val="0"/>
        <w:spacing w:after="0" w:line="240" w:lineRule="auto"/>
        <w:ind w:firstLine="284"/>
        <w:jc w:val="right"/>
        <w:rPr>
          <w:rFonts w:ascii="Garamond" w:hAnsi="Garamond" w:cs="Times New Roman"/>
          <w:b/>
          <w:color w:val="000000"/>
          <w:sz w:val="24"/>
          <w:szCs w:val="24"/>
          <w:lang w:val="sq-AL"/>
        </w:rPr>
      </w:pPr>
    </w:p>
    <w:p w14:paraId="2CDCE3D3" w14:textId="77777777" w:rsidR="000D6CAB" w:rsidRPr="00CD6EA9" w:rsidRDefault="00C0711E" w:rsidP="000D6CAB">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CD6EA9">
        <w:rPr>
          <w:rFonts w:ascii="Garamond" w:hAnsi="Garamond" w:cs="Times New Roman"/>
          <w:b/>
          <w:color w:val="000000"/>
          <w:sz w:val="24"/>
          <w:szCs w:val="24"/>
          <w:lang w:val="sq-AL"/>
        </w:rPr>
        <w:t>Milan Blaško</w:t>
      </w:r>
      <w:r w:rsidR="006A1F4E" w:rsidRPr="00CD6EA9">
        <w:rPr>
          <w:rFonts w:ascii="Garamond" w:hAnsi="Garamond" w:cs="Times New Roman"/>
          <w:b/>
          <w:color w:val="000000"/>
          <w:sz w:val="24"/>
          <w:szCs w:val="24"/>
          <w:lang w:val="sq-AL"/>
        </w:rPr>
        <w:t xml:space="preserve"> </w:t>
      </w:r>
    </w:p>
    <w:p w14:paraId="3FC0DE6F" w14:textId="3412D554" w:rsidR="00C0711E" w:rsidRPr="006A1F4E" w:rsidRDefault="000D6CAB" w:rsidP="000D6CAB">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CD6EA9">
        <w:rPr>
          <w:rFonts w:ascii="Garamond" w:hAnsi="Garamond" w:cs="Times New Roman"/>
          <w:color w:val="000000"/>
          <w:sz w:val="24"/>
          <w:szCs w:val="24"/>
          <w:lang w:val="sq-AL"/>
        </w:rPr>
        <w:t>SEKRETAR</w:t>
      </w:r>
      <w:bookmarkStart w:id="0" w:name="_GoBack"/>
      <w:bookmarkEnd w:id="0"/>
      <w:r w:rsidRPr="006A1F4E">
        <w:rPr>
          <w:rFonts w:ascii="Garamond" w:hAnsi="Garamond" w:cs="Times New Roman"/>
          <w:color w:val="000000"/>
          <w:sz w:val="24"/>
          <w:szCs w:val="24"/>
          <w:lang w:val="sq-AL"/>
        </w:rPr>
        <w:t xml:space="preserve"> </w:t>
      </w:r>
    </w:p>
    <w:p w14:paraId="65220EAE"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69A188D"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0ACD647" w14:textId="7796395F"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Në përputhje me </w:t>
      </w:r>
      <w:r w:rsidR="006D6E7F" w:rsidRPr="006A1F4E">
        <w:rPr>
          <w:rFonts w:ascii="Garamond" w:hAnsi="Garamond" w:cs="Times New Roman"/>
          <w:color w:val="000000"/>
          <w:sz w:val="24"/>
          <w:szCs w:val="24"/>
          <w:lang w:val="sq-AL"/>
        </w:rPr>
        <w:t xml:space="preserve">nenin </w:t>
      </w:r>
      <w:r w:rsidRPr="006A1F4E">
        <w:rPr>
          <w:rFonts w:ascii="Garamond" w:hAnsi="Garamond" w:cs="Times New Roman"/>
          <w:color w:val="000000"/>
          <w:sz w:val="24"/>
          <w:szCs w:val="24"/>
          <w:lang w:val="sq-AL"/>
        </w:rPr>
        <w:t xml:space="preserve">45 § 2 të Konventës dhe Rregullit 74 § 2 të Rregullores së Gjykatës, opinioni i veçantë i Gjyqtarit Serghides i aneksohet këtij vendimi. </w:t>
      </w:r>
    </w:p>
    <w:p w14:paraId="41A541B4"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BD65D0B" w14:textId="1C95A4D6" w:rsidR="00C0711E" w:rsidRPr="006A1F4E" w:rsidRDefault="00C0711E" w:rsidP="000D6CAB">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6A1F4E">
        <w:rPr>
          <w:rFonts w:ascii="Garamond" w:hAnsi="Garamond" w:cs="Times New Roman"/>
          <w:color w:val="000000"/>
          <w:sz w:val="24"/>
          <w:szCs w:val="24"/>
          <w:lang w:val="sq-AL"/>
        </w:rPr>
        <w:t>P.P.V.</w:t>
      </w:r>
    </w:p>
    <w:p w14:paraId="69BC7A36" w14:textId="33E15F5D" w:rsidR="00C0711E" w:rsidRPr="006A1F4E" w:rsidRDefault="00C0711E" w:rsidP="000D6CAB">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6A1F4E">
        <w:rPr>
          <w:rFonts w:ascii="Garamond" w:hAnsi="Garamond" w:cs="Times New Roman"/>
          <w:color w:val="000000"/>
          <w:sz w:val="24"/>
          <w:szCs w:val="24"/>
          <w:lang w:val="sq-AL"/>
        </w:rPr>
        <w:t>M.B.</w:t>
      </w:r>
    </w:p>
    <w:p w14:paraId="7EA95656"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253670E" w14:textId="77777777" w:rsidR="00C0711E" w:rsidRPr="006A1F4E" w:rsidRDefault="00C0711E" w:rsidP="006C799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A1F4E">
        <w:rPr>
          <w:rFonts w:ascii="Garamond" w:hAnsi="Garamond" w:cs="Times New Roman"/>
          <w:color w:val="000000"/>
          <w:sz w:val="24"/>
          <w:szCs w:val="24"/>
          <w:lang w:val="sq-AL"/>
        </w:rPr>
        <w:t>OPINIONI PJESËRISHT MOSPAJTUES I GJYQTARIT SERGHIDES</w:t>
      </w:r>
    </w:p>
    <w:p w14:paraId="54A531DE"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76EAD0" w14:textId="28CD66EE"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1. Unë jam dakord me paragrafin 1 të masave operative të vendimit ku gjykohet se ankesa </w:t>
      </w:r>
      <w:r w:rsidR="000E7B9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sipas </w:t>
      </w:r>
      <w:r w:rsidR="00EE0AB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8 të Konventës, për sa ka të bëjë me shkarkimin nga detyra të kërkueses si prokurore </w:t>
      </w:r>
      <w:r w:rsidR="000E7B9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është e pranueshme; dhe</w:t>
      </w:r>
      <w:r w:rsidR="000E7B9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gjithashtu, unë jam dakord me paragrafin 3 të masave operative se me shkarkimin e kërkueses është shkelur </w:t>
      </w:r>
      <w:r w:rsidR="000E7B92" w:rsidRPr="006A1F4E">
        <w:rPr>
          <w:rFonts w:ascii="Garamond" w:hAnsi="Garamond" w:cs="Times New Roman"/>
          <w:color w:val="000000"/>
          <w:sz w:val="24"/>
          <w:szCs w:val="24"/>
          <w:lang w:val="sq-AL"/>
        </w:rPr>
        <w:t xml:space="preserve">neni </w:t>
      </w:r>
      <w:r w:rsidRPr="006A1F4E">
        <w:rPr>
          <w:rFonts w:ascii="Garamond" w:hAnsi="Garamond" w:cs="Times New Roman"/>
          <w:color w:val="000000"/>
          <w:sz w:val="24"/>
          <w:szCs w:val="24"/>
          <w:lang w:val="sq-AL"/>
        </w:rPr>
        <w:t>8 i Konventës. Gjithashtu, unë jam dakord me paragrafin 4 të masave operative</w:t>
      </w:r>
      <w:r w:rsidR="000E7B92">
        <w:rPr>
          <w:rFonts w:ascii="Garamond" w:hAnsi="Garamond" w:cs="Times New Roman"/>
          <w:color w:val="000000"/>
          <w:sz w:val="24"/>
          <w:szCs w:val="24"/>
          <w:lang w:val="sq-AL"/>
        </w:rPr>
        <w:t>,</w:t>
      </w:r>
      <w:r w:rsidRPr="006A1F4E">
        <w:rPr>
          <w:rFonts w:ascii="Garamond" w:hAnsi="Garamond" w:cs="Times New Roman"/>
          <w:color w:val="000000"/>
          <w:sz w:val="24"/>
          <w:szCs w:val="24"/>
          <w:lang w:val="sq-AL"/>
        </w:rPr>
        <w:t xml:space="preserve"> në lidhje me akordimet për dëmin pasuror dhe jopasuror dhe kostot dhe shpenzimet, dhe me paragrafin 5 të masave operative në lidhje me rrëzimin e pjesës tjetër të kërkesës së kërkueses për shpërblim të drejtë. </w:t>
      </w:r>
    </w:p>
    <w:p w14:paraId="4D1B2440" w14:textId="782D3413"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2. Megjithatë, nuk jam dakord me paragrafin 2 të masave operative të vendimit sipas së cilit pjesa tjetër e kërkesës është e papranueshme. Veçanërisht, unë jam i mendimit se ankesa sipas </w:t>
      </w:r>
      <w:r w:rsidR="000E7B9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6 të Konventës jo vetëm që është e pranueshme, por madje ky </w:t>
      </w:r>
      <w:r w:rsidR="000E7B92" w:rsidRPr="006A1F4E">
        <w:rPr>
          <w:rFonts w:ascii="Garamond" w:hAnsi="Garamond" w:cs="Times New Roman"/>
          <w:color w:val="000000"/>
          <w:sz w:val="24"/>
          <w:szCs w:val="24"/>
          <w:lang w:val="sq-AL"/>
        </w:rPr>
        <w:t xml:space="preserve">nen </w:t>
      </w:r>
      <w:r w:rsidRPr="006A1F4E">
        <w:rPr>
          <w:rFonts w:ascii="Garamond" w:hAnsi="Garamond" w:cs="Times New Roman"/>
          <w:color w:val="000000"/>
          <w:sz w:val="24"/>
          <w:szCs w:val="24"/>
          <w:lang w:val="sq-AL"/>
        </w:rPr>
        <w:t xml:space="preserve">është shkelur pasi procesi i rivlerësimit i cili rezultoi në largimin e kërkueses nga pozicioni i saj si prokurore nuk ishte i drejtë sipas kuptimit të </w:t>
      </w:r>
      <w:r w:rsidR="000E7B9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6 § 1. </w:t>
      </w:r>
    </w:p>
    <w:p w14:paraId="254A7A4D" w14:textId="6A20A5E4"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A1F4E">
        <w:rPr>
          <w:rFonts w:ascii="Garamond" w:hAnsi="Garamond" w:cs="Times New Roman"/>
          <w:color w:val="000000"/>
          <w:sz w:val="24"/>
          <w:szCs w:val="24"/>
          <w:lang w:val="sq-AL"/>
        </w:rPr>
        <w:t xml:space="preserve">3. Ky opinion merr formën e një deklarate mosdakordësie me vendimin (“një deklaratë e drejtpërdrejtë mospajtimi”), në lidhje me paragrafin 2 të masave të tij operative (në lidhje me ankesën sipas </w:t>
      </w:r>
      <w:r w:rsidR="000E7B92" w:rsidRPr="006A1F4E">
        <w:rPr>
          <w:rFonts w:ascii="Garamond" w:hAnsi="Garamond" w:cs="Times New Roman"/>
          <w:color w:val="000000"/>
          <w:sz w:val="24"/>
          <w:szCs w:val="24"/>
          <w:lang w:val="sq-AL"/>
        </w:rPr>
        <w:t xml:space="preserve">nenit </w:t>
      </w:r>
      <w:r w:rsidRPr="006A1F4E">
        <w:rPr>
          <w:rFonts w:ascii="Garamond" w:hAnsi="Garamond" w:cs="Times New Roman"/>
          <w:color w:val="000000"/>
          <w:sz w:val="24"/>
          <w:szCs w:val="24"/>
          <w:lang w:val="sq-AL"/>
        </w:rPr>
        <w:t xml:space="preserve">6 të Konventës), dhe për këtë arsye, nuk merr formën e një opinioni të veçantë të plotë apo formën e një vote të thjeshtë anonime kundër këtyre paragrafëve. Një deklaratë e thjeshtë mosdakordësie me vendimin ose me një pjesë të tij është një zgjedhje alternativ e parashikuar nga Rregulli 74 § 2 i Rregullores së Gjykatës për gjyqtarët të cilët dëshirojnë të shprehin mospajtim. Kjo zgjedhje është veçanërisht e përshtatshme për mua për t’u bërë për çështjen konkrete, pasi unë kam shprehur mendimet e mia për dy kërkesa të ngjashme ose relevante kundër Shqipërisë (shih, </w:t>
      </w:r>
      <w:r w:rsidRPr="006A1F4E">
        <w:rPr>
          <w:rFonts w:ascii="Garamond" w:hAnsi="Garamond" w:cs="Times New Roman"/>
          <w:i/>
          <w:iCs/>
          <w:color w:val="000000"/>
          <w:sz w:val="24"/>
          <w:szCs w:val="24"/>
          <w:lang w:val="sq-AL"/>
        </w:rPr>
        <w:t>mutatis mutandis</w:t>
      </w:r>
      <w:r w:rsidRPr="006A1F4E">
        <w:rPr>
          <w:rFonts w:ascii="Garamond" w:hAnsi="Garamond" w:cs="Times New Roman"/>
          <w:color w:val="000000"/>
          <w:sz w:val="24"/>
          <w:szCs w:val="24"/>
          <w:lang w:val="sq-AL"/>
        </w:rPr>
        <w:t xml:space="preserve">, qasjen time në opinionin tim mospajtues në vendimin </w:t>
      </w:r>
      <w:r w:rsidRPr="006A1F4E">
        <w:rPr>
          <w:rFonts w:ascii="Garamond" w:hAnsi="Garamond" w:cs="Times New Roman"/>
          <w:i/>
          <w:iCs/>
          <w:color w:val="000000"/>
          <w:sz w:val="24"/>
          <w:szCs w:val="24"/>
          <w:lang w:val="sq-AL"/>
        </w:rPr>
        <w:t>Xhoxhaj kundër Shqipërisë</w:t>
      </w:r>
      <w:r w:rsidRPr="006A1F4E">
        <w:rPr>
          <w:rFonts w:ascii="Garamond" w:hAnsi="Garamond" w:cs="Times New Roman"/>
          <w:color w:val="000000"/>
          <w:sz w:val="24"/>
          <w:szCs w:val="24"/>
          <w:lang w:val="sq-AL"/>
        </w:rPr>
        <w:t xml:space="preserve">, nr. 15227/19, 9 </w:t>
      </w:r>
      <w:r w:rsidR="000E7B92" w:rsidRPr="006A1F4E">
        <w:rPr>
          <w:rFonts w:ascii="Garamond" w:hAnsi="Garamond" w:cs="Times New Roman"/>
          <w:color w:val="000000"/>
          <w:sz w:val="24"/>
          <w:szCs w:val="24"/>
          <w:lang w:val="sq-AL"/>
        </w:rPr>
        <w:t xml:space="preserve">shkurt </w:t>
      </w:r>
      <w:r w:rsidRPr="006A1F4E">
        <w:rPr>
          <w:rFonts w:ascii="Garamond" w:hAnsi="Garamond" w:cs="Times New Roman"/>
          <w:color w:val="000000"/>
          <w:sz w:val="24"/>
          <w:szCs w:val="24"/>
          <w:lang w:val="sq-AL"/>
        </w:rPr>
        <w:t xml:space="preserve">2021, dhe opinionin tim pjesërisht pajtues dhe pjesërisht mospajtues në vendimin </w:t>
      </w:r>
      <w:r w:rsidRPr="006A1F4E">
        <w:rPr>
          <w:rFonts w:ascii="Garamond" w:hAnsi="Garamond" w:cs="Times New Roman"/>
          <w:i/>
          <w:iCs/>
          <w:color w:val="000000"/>
          <w:sz w:val="24"/>
          <w:szCs w:val="24"/>
          <w:lang w:val="sq-AL"/>
        </w:rPr>
        <w:t>Besnik Cani kundër Shqipërisë</w:t>
      </w:r>
      <w:r w:rsidRPr="006A1F4E">
        <w:rPr>
          <w:rFonts w:ascii="Garamond" w:hAnsi="Garamond" w:cs="Times New Roman"/>
          <w:color w:val="000000"/>
          <w:sz w:val="24"/>
          <w:szCs w:val="24"/>
          <w:lang w:val="sq-AL"/>
        </w:rPr>
        <w:t xml:space="preserve">, nr. 37474/20, 4 </w:t>
      </w:r>
      <w:r w:rsidR="006A1F4E" w:rsidRPr="006A1F4E">
        <w:rPr>
          <w:rFonts w:ascii="Garamond" w:hAnsi="Garamond" w:cs="Times New Roman"/>
          <w:color w:val="000000"/>
          <w:sz w:val="24"/>
          <w:szCs w:val="24"/>
          <w:lang w:val="sq-AL"/>
        </w:rPr>
        <w:t xml:space="preserve">tetor </w:t>
      </w:r>
      <w:r w:rsidRPr="006A1F4E">
        <w:rPr>
          <w:rFonts w:ascii="Garamond" w:hAnsi="Garamond" w:cs="Times New Roman"/>
          <w:color w:val="000000"/>
          <w:sz w:val="24"/>
          <w:szCs w:val="24"/>
          <w:lang w:val="sq-AL"/>
        </w:rPr>
        <w:t xml:space="preserve">2022 (i cili nuk është ende i formës së prerë)). </w:t>
      </w:r>
    </w:p>
    <w:p w14:paraId="3542A7A7" w14:textId="77777777" w:rsidR="00C0711E" w:rsidRPr="006A1F4E" w:rsidRDefault="00C0711E" w:rsidP="00C0711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4A574F2" w14:textId="77777777" w:rsidR="00C0711E" w:rsidRPr="006A1F4E" w:rsidRDefault="00C0711E" w:rsidP="00C0711E">
      <w:pPr>
        <w:spacing w:after="0" w:line="240" w:lineRule="auto"/>
        <w:ind w:firstLine="284"/>
        <w:rPr>
          <w:rFonts w:ascii="Garamond" w:hAnsi="Garamond"/>
          <w:sz w:val="24"/>
          <w:szCs w:val="24"/>
          <w:lang w:val="sq-AL"/>
        </w:rPr>
      </w:pPr>
    </w:p>
    <w:sectPr w:rsidR="00C0711E" w:rsidRPr="006A1F4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45E4E" w14:textId="77777777" w:rsidR="00CD6EA9" w:rsidRDefault="00CD6EA9" w:rsidP="001C74EE">
      <w:pPr>
        <w:spacing w:after="0" w:line="240" w:lineRule="auto"/>
      </w:pPr>
      <w:r>
        <w:separator/>
      </w:r>
    </w:p>
  </w:endnote>
  <w:endnote w:type="continuationSeparator" w:id="0">
    <w:p w14:paraId="60269C02" w14:textId="77777777" w:rsidR="00CD6EA9" w:rsidRDefault="00CD6EA9" w:rsidP="001C74EE">
      <w:pPr>
        <w:spacing w:after="0" w:line="240" w:lineRule="auto"/>
      </w:pPr>
      <w:r>
        <w:continuationSeparator/>
      </w:r>
    </w:p>
  </w:endnote>
  <w:endnote w:type="continuationNotice" w:id="1">
    <w:p w14:paraId="6E5F1149" w14:textId="77777777" w:rsidR="00484501" w:rsidRDefault="004845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108156"/>
      <w:docPartObj>
        <w:docPartGallery w:val="Page Numbers (Bottom of Page)"/>
        <w:docPartUnique/>
      </w:docPartObj>
    </w:sdtPr>
    <w:sdtEndPr>
      <w:rPr>
        <w:noProof/>
      </w:rPr>
    </w:sdtEndPr>
    <w:sdtContent>
      <w:p w14:paraId="5250CC3F" w14:textId="3F074B32" w:rsidR="00CD6EA9" w:rsidRDefault="00CD6EA9">
        <w:pPr>
          <w:pStyle w:val="Footer"/>
          <w:jc w:val="right"/>
        </w:pPr>
        <w:r>
          <w:fldChar w:fldCharType="begin"/>
        </w:r>
        <w:r>
          <w:instrText xml:space="preserve"> PAGE   \* MERGEFORMAT </w:instrText>
        </w:r>
        <w:r>
          <w:fldChar w:fldCharType="separate"/>
        </w:r>
        <w:r w:rsidR="00484501">
          <w:rPr>
            <w:noProof/>
          </w:rPr>
          <w:t>27</w:t>
        </w:r>
        <w:r>
          <w:rPr>
            <w:noProof/>
          </w:rPr>
          <w:fldChar w:fldCharType="end"/>
        </w:r>
      </w:p>
    </w:sdtContent>
  </w:sdt>
  <w:p w14:paraId="56221A49" w14:textId="77777777" w:rsidR="00CD6EA9" w:rsidRDefault="00CD6E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16DEC" w14:textId="77777777" w:rsidR="00CD6EA9" w:rsidRDefault="00CD6EA9" w:rsidP="001C74EE">
      <w:pPr>
        <w:spacing w:after="0" w:line="240" w:lineRule="auto"/>
      </w:pPr>
      <w:r>
        <w:separator/>
      </w:r>
    </w:p>
  </w:footnote>
  <w:footnote w:type="continuationSeparator" w:id="0">
    <w:p w14:paraId="36AC2CE6" w14:textId="77777777" w:rsidR="00CD6EA9" w:rsidRDefault="00CD6EA9" w:rsidP="001C74EE">
      <w:pPr>
        <w:spacing w:after="0" w:line="240" w:lineRule="auto"/>
      </w:pPr>
      <w:r>
        <w:continuationSeparator/>
      </w:r>
    </w:p>
  </w:footnote>
  <w:footnote w:type="continuationNotice" w:id="1">
    <w:p w14:paraId="7E164160" w14:textId="77777777" w:rsidR="00484501" w:rsidRDefault="0048450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067F6"/>
    <w:rsid w:val="000108B5"/>
    <w:rsid w:val="00012745"/>
    <w:rsid w:val="00031098"/>
    <w:rsid w:val="0005092E"/>
    <w:rsid w:val="00053DFD"/>
    <w:rsid w:val="0006026E"/>
    <w:rsid w:val="0006206B"/>
    <w:rsid w:val="000635AD"/>
    <w:rsid w:val="0006654A"/>
    <w:rsid w:val="00073211"/>
    <w:rsid w:val="00075D23"/>
    <w:rsid w:val="000832BC"/>
    <w:rsid w:val="0009171B"/>
    <w:rsid w:val="00092647"/>
    <w:rsid w:val="000956ED"/>
    <w:rsid w:val="000A39B7"/>
    <w:rsid w:val="000A77D9"/>
    <w:rsid w:val="000B0F3D"/>
    <w:rsid w:val="000B1449"/>
    <w:rsid w:val="000C11F3"/>
    <w:rsid w:val="000C15E3"/>
    <w:rsid w:val="000C55A5"/>
    <w:rsid w:val="000C6316"/>
    <w:rsid w:val="000D0CA5"/>
    <w:rsid w:val="000D61C6"/>
    <w:rsid w:val="000D6B61"/>
    <w:rsid w:val="000D6CAB"/>
    <w:rsid w:val="000E7B92"/>
    <w:rsid w:val="000F2C0A"/>
    <w:rsid w:val="000F68BB"/>
    <w:rsid w:val="00105CF1"/>
    <w:rsid w:val="00107FB1"/>
    <w:rsid w:val="00121461"/>
    <w:rsid w:val="00122CA4"/>
    <w:rsid w:val="0012537A"/>
    <w:rsid w:val="0012538B"/>
    <w:rsid w:val="00133A3E"/>
    <w:rsid w:val="00135329"/>
    <w:rsid w:val="00141128"/>
    <w:rsid w:val="00141B18"/>
    <w:rsid w:val="00142955"/>
    <w:rsid w:val="001429C1"/>
    <w:rsid w:val="00142C2B"/>
    <w:rsid w:val="00151D12"/>
    <w:rsid w:val="00155678"/>
    <w:rsid w:val="00160E68"/>
    <w:rsid w:val="00174A1A"/>
    <w:rsid w:val="00175424"/>
    <w:rsid w:val="00183018"/>
    <w:rsid w:val="00190C3D"/>
    <w:rsid w:val="00193041"/>
    <w:rsid w:val="001944EB"/>
    <w:rsid w:val="00195B35"/>
    <w:rsid w:val="0019635C"/>
    <w:rsid w:val="001A65A0"/>
    <w:rsid w:val="001B2CD0"/>
    <w:rsid w:val="001C0519"/>
    <w:rsid w:val="001C2459"/>
    <w:rsid w:val="001C74EE"/>
    <w:rsid w:val="001C7FC9"/>
    <w:rsid w:val="001D2ABC"/>
    <w:rsid w:val="001D2F1F"/>
    <w:rsid w:val="001D3A2F"/>
    <w:rsid w:val="001F4819"/>
    <w:rsid w:val="001F6AAB"/>
    <w:rsid w:val="001F7123"/>
    <w:rsid w:val="00204F93"/>
    <w:rsid w:val="00206FA4"/>
    <w:rsid w:val="0021223D"/>
    <w:rsid w:val="00213728"/>
    <w:rsid w:val="00214D19"/>
    <w:rsid w:val="002165C5"/>
    <w:rsid w:val="00216F0A"/>
    <w:rsid w:val="00235AC9"/>
    <w:rsid w:val="0024313A"/>
    <w:rsid w:val="0024629B"/>
    <w:rsid w:val="00252C2A"/>
    <w:rsid w:val="00254F5F"/>
    <w:rsid w:val="00256BAD"/>
    <w:rsid w:val="00257E0A"/>
    <w:rsid w:val="00272814"/>
    <w:rsid w:val="002821F2"/>
    <w:rsid w:val="0028597A"/>
    <w:rsid w:val="002929DC"/>
    <w:rsid w:val="002A23A7"/>
    <w:rsid w:val="002B3073"/>
    <w:rsid w:val="002B7B82"/>
    <w:rsid w:val="002C3DC5"/>
    <w:rsid w:val="002C7879"/>
    <w:rsid w:val="002D71C7"/>
    <w:rsid w:val="002D7D17"/>
    <w:rsid w:val="002E2CDE"/>
    <w:rsid w:val="002E589C"/>
    <w:rsid w:val="00306168"/>
    <w:rsid w:val="003346E6"/>
    <w:rsid w:val="00334BDB"/>
    <w:rsid w:val="00336C31"/>
    <w:rsid w:val="003401CA"/>
    <w:rsid w:val="00345F96"/>
    <w:rsid w:val="0034608A"/>
    <w:rsid w:val="00346623"/>
    <w:rsid w:val="00346A2A"/>
    <w:rsid w:val="00357775"/>
    <w:rsid w:val="003673CA"/>
    <w:rsid w:val="0037075B"/>
    <w:rsid w:val="00373E4A"/>
    <w:rsid w:val="00375DE4"/>
    <w:rsid w:val="003956A3"/>
    <w:rsid w:val="00397301"/>
    <w:rsid w:val="003A0634"/>
    <w:rsid w:val="003B04A0"/>
    <w:rsid w:val="003B4312"/>
    <w:rsid w:val="003B4C60"/>
    <w:rsid w:val="003B57C7"/>
    <w:rsid w:val="003D12F1"/>
    <w:rsid w:val="003D54AD"/>
    <w:rsid w:val="003D693A"/>
    <w:rsid w:val="00421355"/>
    <w:rsid w:val="00425784"/>
    <w:rsid w:val="00427382"/>
    <w:rsid w:val="00436A4A"/>
    <w:rsid w:val="004414F2"/>
    <w:rsid w:val="00445503"/>
    <w:rsid w:val="00447221"/>
    <w:rsid w:val="004604CD"/>
    <w:rsid w:val="00460EF9"/>
    <w:rsid w:val="00462CFB"/>
    <w:rsid w:val="00465665"/>
    <w:rsid w:val="00474CD6"/>
    <w:rsid w:val="00484501"/>
    <w:rsid w:val="00484575"/>
    <w:rsid w:val="004948FB"/>
    <w:rsid w:val="00496B20"/>
    <w:rsid w:val="00497200"/>
    <w:rsid w:val="004A2477"/>
    <w:rsid w:val="004B10B0"/>
    <w:rsid w:val="004C0C4E"/>
    <w:rsid w:val="004C25A2"/>
    <w:rsid w:val="004C3178"/>
    <w:rsid w:val="004D1DBE"/>
    <w:rsid w:val="004D4267"/>
    <w:rsid w:val="004E6ACF"/>
    <w:rsid w:val="004F38A8"/>
    <w:rsid w:val="00500DD2"/>
    <w:rsid w:val="00504AE4"/>
    <w:rsid w:val="00505829"/>
    <w:rsid w:val="00507498"/>
    <w:rsid w:val="00514655"/>
    <w:rsid w:val="00522F52"/>
    <w:rsid w:val="00530789"/>
    <w:rsid w:val="00532007"/>
    <w:rsid w:val="00536033"/>
    <w:rsid w:val="0055140F"/>
    <w:rsid w:val="00564220"/>
    <w:rsid w:val="00566390"/>
    <w:rsid w:val="00567F21"/>
    <w:rsid w:val="00570086"/>
    <w:rsid w:val="00571074"/>
    <w:rsid w:val="00571B80"/>
    <w:rsid w:val="00577A0A"/>
    <w:rsid w:val="00580F21"/>
    <w:rsid w:val="0058238F"/>
    <w:rsid w:val="00592C00"/>
    <w:rsid w:val="00595B57"/>
    <w:rsid w:val="00597694"/>
    <w:rsid w:val="005B0B35"/>
    <w:rsid w:val="005B5143"/>
    <w:rsid w:val="005B5967"/>
    <w:rsid w:val="005B7AE1"/>
    <w:rsid w:val="005C301C"/>
    <w:rsid w:val="005D2DC3"/>
    <w:rsid w:val="005E07E9"/>
    <w:rsid w:val="005E0FB3"/>
    <w:rsid w:val="005F334E"/>
    <w:rsid w:val="005F5040"/>
    <w:rsid w:val="005F5384"/>
    <w:rsid w:val="006032E2"/>
    <w:rsid w:val="0060366D"/>
    <w:rsid w:val="00621D44"/>
    <w:rsid w:val="00626FC5"/>
    <w:rsid w:val="00641CAC"/>
    <w:rsid w:val="006425E0"/>
    <w:rsid w:val="00646D69"/>
    <w:rsid w:val="00647EDA"/>
    <w:rsid w:val="00656EB7"/>
    <w:rsid w:val="00681454"/>
    <w:rsid w:val="00684E98"/>
    <w:rsid w:val="006945EE"/>
    <w:rsid w:val="00696401"/>
    <w:rsid w:val="00696D64"/>
    <w:rsid w:val="006A1F4E"/>
    <w:rsid w:val="006A512D"/>
    <w:rsid w:val="006C2196"/>
    <w:rsid w:val="006C7993"/>
    <w:rsid w:val="006D6E7F"/>
    <w:rsid w:val="006E3BF4"/>
    <w:rsid w:val="006E6768"/>
    <w:rsid w:val="006F4984"/>
    <w:rsid w:val="00702BEF"/>
    <w:rsid w:val="00703DAA"/>
    <w:rsid w:val="00706A94"/>
    <w:rsid w:val="00710CF1"/>
    <w:rsid w:val="0072369E"/>
    <w:rsid w:val="00725163"/>
    <w:rsid w:val="0073088C"/>
    <w:rsid w:val="00741234"/>
    <w:rsid w:val="007468CC"/>
    <w:rsid w:val="00771FB5"/>
    <w:rsid w:val="0079028A"/>
    <w:rsid w:val="007A0E53"/>
    <w:rsid w:val="007A6FEA"/>
    <w:rsid w:val="007B4B8C"/>
    <w:rsid w:val="007C2D06"/>
    <w:rsid w:val="007C72AB"/>
    <w:rsid w:val="007C7D2E"/>
    <w:rsid w:val="007D20DA"/>
    <w:rsid w:val="007D20DB"/>
    <w:rsid w:val="007D4E26"/>
    <w:rsid w:val="007F1F00"/>
    <w:rsid w:val="007F20FF"/>
    <w:rsid w:val="00804031"/>
    <w:rsid w:val="00822ED2"/>
    <w:rsid w:val="00827337"/>
    <w:rsid w:val="008447F6"/>
    <w:rsid w:val="008604CC"/>
    <w:rsid w:val="00865346"/>
    <w:rsid w:val="00867646"/>
    <w:rsid w:val="00871CBC"/>
    <w:rsid w:val="00872E7F"/>
    <w:rsid w:val="00874E28"/>
    <w:rsid w:val="00875501"/>
    <w:rsid w:val="008858E0"/>
    <w:rsid w:val="00886A96"/>
    <w:rsid w:val="00886E4B"/>
    <w:rsid w:val="00890455"/>
    <w:rsid w:val="008A2062"/>
    <w:rsid w:val="008A29AA"/>
    <w:rsid w:val="008A4F14"/>
    <w:rsid w:val="008C2627"/>
    <w:rsid w:val="008D07C1"/>
    <w:rsid w:val="008D0DF7"/>
    <w:rsid w:val="008E44CB"/>
    <w:rsid w:val="008F0722"/>
    <w:rsid w:val="00913C8E"/>
    <w:rsid w:val="00943A32"/>
    <w:rsid w:val="009547F5"/>
    <w:rsid w:val="00957E92"/>
    <w:rsid w:val="009631E1"/>
    <w:rsid w:val="009729D0"/>
    <w:rsid w:val="00983036"/>
    <w:rsid w:val="0099379F"/>
    <w:rsid w:val="00996237"/>
    <w:rsid w:val="009A2926"/>
    <w:rsid w:val="009A5621"/>
    <w:rsid w:val="009B2B45"/>
    <w:rsid w:val="009B77E3"/>
    <w:rsid w:val="009C673B"/>
    <w:rsid w:val="009D0BCA"/>
    <w:rsid w:val="009E40DB"/>
    <w:rsid w:val="009E4E0D"/>
    <w:rsid w:val="009E59F0"/>
    <w:rsid w:val="009F328B"/>
    <w:rsid w:val="009F5784"/>
    <w:rsid w:val="009F6CD1"/>
    <w:rsid w:val="00A0127D"/>
    <w:rsid w:val="00A013D4"/>
    <w:rsid w:val="00A0283C"/>
    <w:rsid w:val="00A0646C"/>
    <w:rsid w:val="00A20C98"/>
    <w:rsid w:val="00A24CF9"/>
    <w:rsid w:val="00A25B9A"/>
    <w:rsid w:val="00A32E87"/>
    <w:rsid w:val="00A36C54"/>
    <w:rsid w:val="00A439CC"/>
    <w:rsid w:val="00A44D89"/>
    <w:rsid w:val="00A4586F"/>
    <w:rsid w:val="00A46623"/>
    <w:rsid w:val="00A52EE5"/>
    <w:rsid w:val="00A55898"/>
    <w:rsid w:val="00A6527C"/>
    <w:rsid w:val="00A80623"/>
    <w:rsid w:val="00A925C9"/>
    <w:rsid w:val="00AA3CC7"/>
    <w:rsid w:val="00AA47BF"/>
    <w:rsid w:val="00AA6249"/>
    <w:rsid w:val="00AB3A9F"/>
    <w:rsid w:val="00AC7C81"/>
    <w:rsid w:val="00AC7D86"/>
    <w:rsid w:val="00AD2604"/>
    <w:rsid w:val="00AD3020"/>
    <w:rsid w:val="00AD3E46"/>
    <w:rsid w:val="00AD7C20"/>
    <w:rsid w:val="00AE39E1"/>
    <w:rsid w:val="00AE48C2"/>
    <w:rsid w:val="00AF58B2"/>
    <w:rsid w:val="00AF72E6"/>
    <w:rsid w:val="00AF7380"/>
    <w:rsid w:val="00B034C3"/>
    <w:rsid w:val="00B11F78"/>
    <w:rsid w:val="00B33946"/>
    <w:rsid w:val="00B41975"/>
    <w:rsid w:val="00B5173E"/>
    <w:rsid w:val="00B63506"/>
    <w:rsid w:val="00B76F3D"/>
    <w:rsid w:val="00B77E8E"/>
    <w:rsid w:val="00B81D7C"/>
    <w:rsid w:val="00B848A9"/>
    <w:rsid w:val="00B86D15"/>
    <w:rsid w:val="00BA244C"/>
    <w:rsid w:val="00BA2E85"/>
    <w:rsid w:val="00BB55ED"/>
    <w:rsid w:val="00BC74D3"/>
    <w:rsid w:val="00BD0463"/>
    <w:rsid w:val="00BD0BEA"/>
    <w:rsid w:val="00BD36DF"/>
    <w:rsid w:val="00BE3380"/>
    <w:rsid w:val="00BE3604"/>
    <w:rsid w:val="00BF0268"/>
    <w:rsid w:val="00BF0533"/>
    <w:rsid w:val="00C00D73"/>
    <w:rsid w:val="00C042A6"/>
    <w:rsid w:val="00C07057"/>
    <w:rsid w:val="00C0711E"/>
    <w:rsid w:val="00C1384A"/>
    <w:rsid w:val="00C1588E"/>
    <w:rsid w:val="00C20549"/>
    <w:rsid w:val="00C30D0F"/>
    <w:rsid w:val="00C33E87"/>
    <w:rsid w:val="00C45955"/>
    <w:rsid w:val="00C471B7"/>
    <w:rsid w:val="00C54AF3"/>
    <w:rsid w:val="00C5501C"/>
    <w:rsid w:val="00C634C1"/>
    <w:rsid w:val="00C65C10"/>
    <w:rsid w:val="00C71BED"/>
    <w:rsid w:val="00C74786"/>
    <w:rsid w:val="00C775EC"/>
    <w:rsid w:val="00C77740"/>
    <w:rsid w:val="00C902C9"/>
    <w:rsid w:val="00CA67DB"/>
    <w:rsid w:val="00CA70A2"/>
    <w:rsid w:val="00CB3DDA"/>
    <w:rsid w:val="00CB45CF"/>
    <w:rsid w:val="00CC0AA4"/>
    <w:rsid w:val="00CC12D4"/>
    <w:rsid w:val="00CC2386"/>
    <w:rsid w:val="00CC33CB"/>
    <w:rsid w:val="00CC70D4"/>
    <w:rsid w:val="00CD3537"/>
    <w:rsid w:val="00CD3856"/>
    <w:rsid w:val="00CD4E47"/>
    <w:rsid w:val="00CD6EA9"/>
    <w:rsid w:val="00CE0194"/>
    <w:rsid w:val="00CE2A8A"/>
    <w:rsid w:val="00CE5249"/>
    <w:rsid w:val="00CE5F52"/>
    <w:rsid w:val="00CF6387"/>
    <w:rsid w:val="00CF6BF8"/>
    <w:rsid w:val="00D001F2"/>
    <w:rsid w:val="00D03CFC"/>
    <w:rsid w:val="00D108F2"/>
    <w:rsid w:val="00D12A76"/>
    <w:rsid w:val="00D20D88"/>
    <w:rsid w:val="00D314B6"/>
    <w:rsid w:val="00D41BA7"/>
    <w:rsid w:val="00D51AC0"/>
    <w:rsid w:val="00D55974"/>
    <w:rsid w:val="00D63ABD"/>
    <w:rsid w:val="00D65C3C"/>
    <w:rsid w:val="00D67248"/>
    <w:rsid w:val="00D6746E"/>
    <w:rsid w:val="00D70F22"/>
    <w:rsid w:val="00D75A32"/>
    <w:rsid w:val="00D8097B"/>
    <w:rsid w:val="00D82230"/>
    <w:rsid w:val="00D96F4E"/>
    <w:rsid w:val="00DA4EAA"/>
    <w:rsid w:val="00DB1844"/>
    <w:rsid w:val="00DD2C9E"/>
    <w:rsid w:val="00DE03AC"/>
    <w:rsid w:val="00DF440D"/>
    <w:rsid w:val="00E04762"/>
    <w:rsid w:val="00E05E21"/>
    <w:rsid w:val="00E10224"/>
    <w:rsid w:val="00E12EA9"/>
    <w:rsid w:val="00E15996"/>
    <w:rsid w:val="00E24542"/>
    <w:rsid w:val="00E4133D"/>
    <w:rsid w:val="00E56153"/>
    <w:rsid w:val="00E56575"/>
    <w:rsid w:val="00E6080C"/>
    <w:rsid w:val="00E61BC2"/>
    <w:rsid w:val="00E6484D"/>
    <w:rsid w:val="00E65D37"/>
    <w:rsid w:val="00E702BD"/>
    <w:rsid w:val="00E70B1F"/>
    <w:rsid w:val="00E71C53"/>
    <w:rsid w:val="00E72EA0"/>
    <w:rsid w:val="00E90B73"/>
    <w:rsid w:val="00E944F8"/>
    <w:rsid w:val="00E94B56"/>
    <w:rsid w:val="00EC5ECD"/>
    <w:rsid w:val="00ED307F"/>
    <w:rsid w:val="00ED57FF"/>
    <w:rsid w:val="00ED591B"/>
    <w:rsid w:val="00ED6A0F"/>
    <w:rsid w:val="00EE0AB2"/>
    <w:rsid w:val="00EE4477"/>
    <w:rsid w:val="00EE4DF7"/>
    <w:rsid w:val="00EF1574"/>
    <w:rsid w:val="00EF5D20"/>
    <w:rsid w:val="00EF7671"/>
    <w:rsid w:val="00F0323C"/>
    <w:rsid w:val="00F16BCB"/>
    <w:rsid w:val="00F46B4D"/>
    <w:rsid w:val="00F47F5B"/>
    <w:rsid w:val="00F51C46"/>
    <w:rsid w:val="00F51CB4"/>
    <w:rsid w:val="00F5620E"/>
    <w:rsid w:val="00F60964"/>
    <w:rsid w:val="00F67838"/>
    <w:rsid w:val="00F83A8F"/>
    <w:rsid w:val="00FA4E33"/>
    <w:rsid w:val="00FA564C"/>
    <w:rsid w:val="00FB2D9C"/>
    <w:rsid w:val="00FB3D12"/>
    <w:rsid w:val="00FC3948"/>
    <w:rsid w:val="00FC410A"/>
    <w:rsid w:val="00FC5391"/>
    <w:rsid w:val="00FD7CC4"/>
    <w:rsid w:val="00FE02D0"/>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1BBAB"/>
  <w15:docId w15:val="{335EA28A-FB36-4459-A38E-456D784E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C0711E"/>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C0711E"/>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NoSpacing">
    <w:name w:val="No Spacing"/>
    <w:uiPriority w:val="99"/>
    <w:qFormat/>
    <w:rsid w:val="00C0711E"/>
    <w:pPr>
      <w:autoSpaceDE w:val="0"/>
      <w:autoSpaceDN w:val="0"/>
      <w:adjustRightInd w:val="0"/>
      <w:spacing w:after="0" w:line="240" w:lineRule="auto"/>
    </w:pPr>
    <w:rPr>
      <w:rFonts w:ascii="Calibri" w:hAnsi="Calibri" w:cs="Calibri"/>
      <w:color w:val="000000"/>
      <w:lang w:val="sq-AL"/>
    </w:rPr>
  </w:style>
  <w:style w:type="paragraph" w:styleId="Header">
    <w:name w:val="header"/>
    <w:basedOn w:val="Normal"/>
    <w:link w:val="HeaderChar"/>
    <w:uiPriority w:val="99"/>
    <w:unhideWhenUsed/>
    <w:rsid w:val="001C7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4EE"/>
  </w:style>
  <w:style w:type="paragraph" w:styleId="Footer">
    <w:name w:val="footer"/>
    <w:basedOn w:val="Normal"/>
    <w:link w:val="FooterChar"/>
    <w:uiPriority w:val="99"/>
    <w:unhideWhenUsed/>
    <w:rsid w:val="001C7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40662-19</Nr_x002e__x0020_akti>
    <Data_x0020_e_x0020_Krijimit xmlns="0e656187-b300-4fb0-8bf4-3a50f872073c">2023-04-12T11:15:34Z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2023-04-10T22:00:00Z</Date_x0020_protokolli>
    <Titulli xmlns="0e656187-b300-4fb0-8bf4-3a50f872073c">Çështja Sevdari kundër Shqipërisë (kërkesa nr. 40662/19)</Titulli>
    <Modifikuesi xmlns="0e656187-b300-4fb0-8bf4-3a50f872073c">alma.lisaku</Modifikuesi>
    <Nr_x002e__x0020_prot_x0020_QBZ xmlns="0e656187-b300-4fb0-8bf4-3a50f872073c">553/1</Nr_x002e__x0020_prot_x0020_QBZ>
    <Data_x0020_e_x0020_Modifikimit xmlns="0e656187-b300-4fb0-8bf4-3a50f872073c">2023-04-14T08:47:29Z</Data_x0020_e_x0020_Modifikimit>
    <Dekretuar xmlns="0e656187-b300-4fb0-8bf4-3a50f872073c">false</Dekretuar>
    <Data xmlns="0e656187-b300-4fb0-8bf4-3a50f872073c">2022-12-12T23:00:00Z</Data>
    <Nr_x002e__x0020_protokolli_x0020_i_x0020_aktit xmlns="0e656187-b300-4fb0-8bf4-3a50f872073c">2062/1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EB073200464FA59BC93D004B182B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EB073200464FA59BC93D004B182B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45BFD-2978-4BC6-9072-6BFA05CAE620}">
  <ds:schemaRefs>
    <ds:schemaRef ds:uri="http://schemas.microsoft.com/office/2006/metadata/properties"/>
    <ds:schemaRef ds:uri="http://purl.org/dc/dcmitype/"/>
    <ds:schemaRef ds:uri="http://www.w3.org/XML/1998/namespace"/>
    <ds:schemaRef ds:uri="http://purl.org/dc/terms/"/>
    <ds:schemaRef ds:uri="http://schemas.microsoft.com/office/2006/documentManagement/types"/>
    <ds:schemaRef ds:uri="http://purl.org/dc/elements/1.1/"/>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19CD5A7D-1734-4BBF-BCF2-1FA0AD1756DA}">
  <ds:schemaRefs>
    <ds:schemaRef ds:uri="http://schemas.microsoft.com/sharepoint/v3/contenttype/forms"/>
  </ds:schemaRefs>
</ds:datastoreItem>
</file>

<file path=customXml/itemProps3.xml><?xml version="1.0" encoding="utf-8"?>
<ds:datastoreItem xmlns:ds="http://schemas.openxmlformats.org/officeDocument/2006/customXml" ds:itemID="{317B0841-0070-4C1D-81A2-6A7874FAA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2537689-87FF-4FC0-B0DC-9F92F2EFA39B}">
  <ds:schemaRefs>
    <ds:schemaRef ds:uri="http://schemas.microsoft.com/sharepoint/v3/contenttype/forms"/>
  </ds:schemaRefs>
</ds:datastoreItem>
</file>

<file path=customXml/itemProps5.xml><?xml version="1.0" encoding="utf-8"?>
<ds:datastoreItem xmlns:ds="http://schemas.openxmlformats.org/officeDocument/2006/customXml" ds:itemID="{3BD8C372-129A-4928-8167-3A1A83F26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8F75A8-6697-4A9D-8CF9-791CEA00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27</Pages>
  <Words>16102</Words>
  <Characters>91782</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Çështja Sevdari kundër Shqipërisë (kërkesa nr. 40662/19)</vt:lpstr>
    </vt:vector>
  </TitlesOfParts>
  <Company/>
  <LinksUpToDate>false</LinksUpToDate>
  <CharactersWithSpaces>107669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Sevdari kundër Shqipërisë (kërkesa nr. 40662/19)</dc:title>
  <dc:creator>Entela Suli</dc:creator>
  <cp:lastModifiedBy>Entela Suli</cp:lastModifiedBy>
  <cp:revision>235</cp:revision>
  <dcterms:created xsi:type="dcterms:W3CDTF">2023-04-12T11:13:00Z</dcterms:created>
  <dcterms:modified xsi:type="dcterms:W3CDTF">2023-04-14T09:12:00Z</dcterms:modified>
</cp:coreProperties>
</file>