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9C903" w14:textId="77777777" w:rsidR="00AC10B8" w:rsidRDefault="00AC10B8" w:rsidP="00C46B88">
      <w:pPr>
        <w:keepLines/>
        <w:autoSpaceDE w:val="0"/>
        <w:autoSpaceDN w:val="0"/>
        <w:adjustRightInd w:val="0"/>
        <w:spacing w:after="0" w:line="240" w:lineRule="auto"/>
        <w:ind w:firstLine="284"/>
        <w:jc w:val="center"/>
        <w:rPr>
          <w:rFonts w:ascii="Garamond" w:hAnsi="Garamond" w:cs="Times New Roman"/>
          <w:color w:val="000000"/>
          <w:sz w:val="24"/>
          <w:szCs w:val="24"/>
        </w:rPr>
      </w:pPr>
    </w:p>
    <w:p w14:paraId="2A3B029F" w14:textId="77777777" w:rsidR="00AC10B8" w:rsidRPr="00AC10B8" w:rsidRDefault="00AC10B8" w:rsidP="00AC10B8">
      <w:pPr>
        <w:keepLines/>
        <w:spacing w:after="0" w:line="240" w:lineRule="auto"/>
        <w:ind w:firstLine="284"/>
        <w:jc w:val="center"/>
        <w:rPr>
          <w:rFonts w:ascii="Times New Roman" w:eastAsia="Times New Roman" w:hAnsi="Times New Roman" w:cs="Times New Roman"/>
          <w:sz w:val="24"/>
          <w:szCs w:val="24"/>
          <w:lang w:val="en-US"/>
        </w:rPr>
      </w:pPr>
      <w:r w:rsidRPr="00AC10B8">
        <w:rPr>
          <w:rFonts w:ascii="Garamond" w:eastAsia="Times New Roman" w:hAnsi="Garamond" w:cs="Times New Roman"/>
          <w:color w:val="000000"/>
          <w:sz w:val="24"/>
          <w:szCs w:val="24"/>
          <w:lang w:val="en-US"/>
        </w:rPr>
        <w:t>GJYKATA EVROPIANE E TË DREJTAVE TË NJERIUT</w:t>
      </w:r>
    </w:p>
    <w:p w14:paraId="5731300F" w14:textId="77777777" w:rsidR="00AC10B8" w:rsidRDefault="00AC10B8" w:rsidP="00C46B88">
      <w:pPr>
        <w:keepLines/>
        <w:autoSpaceDE w:val="0"/>
        <w:autoSpaceDN w:val="0"/>
        <w:adjustRightInd w:val="0"/>
        <w:spacing w:after="0" w:line="240" w:lineRule="auto"/>
        <w:ind w:firstLine="284"/>
        <w:jc w:val="center"/>
        <w:rPr>
          <w:rFonts w:ascii="Garamond" w:hAnsi="Garamond" w:cs="Times New Roman"/>
          <w:color w:val="000000"/>
          <w:sz w:val="24"/>
          <w:szCs w:val="24"/>
        </w:rPr>
      </w:pPr>
    </w:p>
    <w:p w14:paraId="60AD76F9" w14:textId="77777777" w:rsidR="00D07213" w:rsidRPr="00AF1BD6" w:rsidRDefault="00D07213" w:rsidP="00C46B88">
      <w:pPr>
        <w:keepLines/>
        <w:autoSpaceDE w:val="0"/>
        <w:autoSpaceDN w:val="0"/>
        <w:adjustRightInd w:val="0"/>
        <w:spacing w:after="0" w:line="240" w:lineRule="auto"/>
        <w:ind w:firstLine="284"/>
        <w:jc w:val="center"/>
        <w:rPr>
          <w:rFonts w:ascii="Garamond" w:hAnsi="Garamond" w:cs="Times New Roman"/>
          <w:color w:val="000000"/>
          <w:sz w:val="24"/>
          <w:szCs w:val="24"/>
        </w:rPr>
      </w:pPr>
      <w:r w:rsidRPr="00AF1BD6">
        <w:rPr>
          <w:rFonts w:ascii="Garamond" w:hAnsi="Garamond" w:cs="Times New Roman"/>
          <w:color w:val="000000"/>
          <w:sz w:val="24"/>
          <w:szCs w:val="24"/>
        </w:rPr>
        <w:t>SEKSIONI I TRETË</w:t>
      </w:r>
    </w:p>
    <w:p w14:paraId="71942563" w14:textId="77777777" w:rsidR="00C46B88" w:rsidRPr="00AF1BD6" w:rsidRDefault="00C46B88" w:rsidP="00C46B88">
      <w:pPr>
        <w:keepLines/>
        <w:autoSpaceDE w:val="0"/>
        <w:autoSpaceDN w:val="0"/>
        <w:adjustRightInd w:val="0"/>
        <w:spacing w:after="0" w:line="240" w:lineRule="auto"/>
        <w:ind w:firstLine="284"/>
        <w:jc w:val="center"/>
        <w:rPr>
          <w:rFonts w:ascii="Garamond" w:hAnsi="Garamond" w:cs="Times New Roman"/>
          <w:b/>
          <w:bCs/>
          <w:color w:val="000000"/>
          <w:sz w:val="24"/>
          <w:szCs w:val="24"/>
        </w:rPr>
      </w:pPr>
    </w:p>
    <w:p w14:paraId="5AC15137" w14:textId="737BDB2C" w:rsidR="00D07213" w:rsidRPr="00AF1BD6" w:rsidRDefault="00D07213" w:rsidP="00C46B88">
      <w:pPr>
        <w:keepLines/>
        <w:autoSpaceDE w:val="0"/>
        <w:autoSpaceDN w:val="0"/>
        <w:adjustRightInd w:val="0"/>
        <w:spacing w:after="0" w:line="240" w:lineRule="auto"/>
        <w:ind w:firstLine="284"/>
        <w:jc w:val="center"/>
        <w:rPr>
          <w:rFonts w:ascii="Garamond" w:hAnsi="Garamond" w:cs="Times New Roman"/>
          <w:b/>
          <w:bCs/>
          <w:color w:val="000000"/>
          <w:sz w:val="24"/>
          <w:szCs w:val="24"/>
        </w:rPr>
      </w:pPr>
      <w:r w:rsidRPr="00AF1BD6">
        <w:rPr>
          <w:rFonts w:ascii="Garamond" w:hAnsi="Garamond" w:cs="Times New Roman"/>
          <w:b/>
          <w:bCs/>
          <w:color w:val="000000"/>
          <w:sz w:val="24"/>
          <w:szCs w:val="24"/>
        </w:rPr>
        <w:t>ÇËSHTJA GASHI DHE GINA KUNDËR SHQIPËRISË</w:t>
      </w:r>
    </w:p>
    <w:p w14:paraId="45558C9D" w14:textId="77777777"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r w:rsidRPr="00AF1BD6">
        <w:rPr>
          <w:rFonts w:ascii="Garamond" w:hAnsi="Garamond" w:cs="MS Mincho"/>
          <w:color w:val="000000"/>
          <w:sz w:val="24"/>
          <w:szCs w:val="24"/>
        </w:rPr>
        <w:t>(</w:t>
      </w:r>
      <w:r w:rsidRPr="00AF1BD6">
        <w:rPr>
          <w:rFonts w:ascii="Garamond" w:hAnsi="Garamond" w:cs="MS Mincho"/>
          <w:i/>
          <w:iCs/>
          <w:color w:val="000000"/>
          <w:sz w:val="24"/>
          <w:szCs w:val="24"/>
        </w:rPr>
        <w:t>Kërkesa nr. 29943/18)</w:t>
      </w:r>
    </w:p>
    <w:p w14:paraId="7E003082" w14:textId="77777777"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p>
    <w:p w14:paraId="7DEFF800" w14:textId="77777777"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r w:rsidRPr="00AF1BD6">
        <w:rPr>
          <w:rFonts w:ascii="Garamond" w:hAnsi="Garamond" w:cs="MS Mincho"/>
          <w:color w:val="000000"/>
          <w:sz w:val="24"/>
          <w:szCs w:val="24"/>
        </w:rPr>
        <w:t>VENDIM</w:t>
      </w:r>
    </w:p>
    <w:p w14:paraId="7A0A1A5F" w14:textId="77777777" w:rsidR="00D07213" w:rsidRPr="00AF1BD6" w:rsidRDefault="00D07213" w:rsidP="00C46B88">
      <w:pPr>
        <w:tabs>
          <w:tab w:val="left" w:pos="8630"/>
        </w:tabs>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 xml:space="preserve">Neni 8 – Jeta private – Pezullimi i vazhduar nga detyra i prokurorit pas përfundimit të procesit penal ndaj tij në lidhje me deklarimin e pasurisë, pa pasur baza ligjore </w:t>
      </w:r>
    </w:p>
    <w:p w14:paraId="5DCC4A71" w14:textId="77777777"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p>
    <w:p w14:paraId="0150AC9E" w14:textId="77777777"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r w:rsidRPr="00AF1BD6">
        <w:rPr>
          <w:rFonts w:ascii="Garamond" w:hAnsi="Garamond" w:cs="MS Mincho"/>
          <w:color w:val="000000"/>
          <w:sz w:val="24"/>
          <w:szCs w:val="24"/>
        </w:rPr>
        <w:t>STRASBURG</w:t>
      </w:r>
    </w:p>
    <w:p w14:paraId="48C49160" w14:textId="3D98F813"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r w:rsidRPr="00AF1BD6">
        <w:rPr>
          <w:rFonts w:ascii="Garamond" w:hAnsi="Garamond" w:cs="MS Mincho"/>
          <w:color w:val="000000"/>
          <w:sz w:val="24"/>
          <w:szCs w:val="24"/>
        </w:rPr>
        <w:t xml:space="preserve">4 </w:t>
      </w:r>
      <w:r w:rsidR="00AF1BD6" w:rsidRPr="00AF1BD6">
        <w:rPr>
          <w:rFonts w:ascii="Garamond" w:hAnsi="Garamond" w:cs="MS Mincho"/>
          <w:color w:val="000000"/>
          <w:sz w:val="24"/>
          <w:szCs w:val="24"/>
        </w:rPr>
        <w:t xml:space="preserve">prill </w:t>
      </w:r>
      <w:r w:rsidRPr="00AF1BD6">
        <w:rPr>
          <w:rFonts w:ascii="Garamond" w:hAnsi="Garamond" w:cs="MS Mincho"/>
          <w:color w:val="000000"/>
          <w:sz w:val="24"/>
          <w:szCs w:val="24"/>
        </w:rPr>
        <w:t>2023</w:t>
      </w:r>
    </w:p>
    <w:p w14:paraId="3809F238" w14:textId="77777777"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p>
    <w:p w14:paraId="7DEB8B14" w14:textId="127F9FD8" w:rsidR="00D07213" w:rsidRPr="00AF1BD6" w:rsidRDefault="00D07213" w:rsidP="00C46B88">
      <w:pPr>
        <w:autoSpaceDE w:val="0"/>
        <w:autoSpaceDN w:val="0"/>
        <w:adjustRightInd w:val="0"/>
        <w:spacing w:after="0" w:line="240" w:lineRule="auto"/>
        <w:ind w:firstLine="284"/>
        <w:jc w:val="center"/>
        <w:rPr>
          <w:rFonts w:ascii="Garamond" w:hAnsi="Garamond" w:cs="MS Mincho"/>
          <w:i/>
          <w:iCs/>
          <w:color w:val="000000"/>
          <w:sz w:val="24"/>
          <w:szCs w:val="24"/>
        </w:rPr>
      </w:pPr>
      <w:r w:rsidRPr="00AF1BD6">
        <w:rPr>
          <w:rFonts w:ascii="Garamond" w:hAnsi="Garamond" w:cs="MS Mincho"/>
          <w:i/>
          <w:iCs/>
          <w:color w:val="000000"/>
          <w:sz w:val="24"/>
          <w:szCs w:val="24"/>
        </w:rPr>
        <w:t xml:space="preserve">Ky vendim është përfundimtar sipas rrethanave të parashikuara në </w:t>
      </w:r>
      <w:r w:rsidR="00286AF9" w:rsidRPr="00AF1BD6">
        <w:rPr>
          <w:rFonts w:ascii="Garamond" w:hAnsi="Garamond" w:cs="MS Mincho"/>
          <w:i/>
          <w:iCs/>
          <w:color w:val="000000"/>
          <w:sz w:val="24"/>
          <w:szCs w:val="24"/>
        </w:rPr>
        <w:t xml:space="preserve">nenin </w:t>
      </w:r>
      <w:r w:rsidRPr="00AF1BD6">
        <w:rPr>
          <w:rFonts w:ascii="Garamond" w:hAnsi="Garamond" w:cs="MS Mincho"/>
          <w:i/>
          <w:iCs/>
          <w:color w:val="000000"/>
          <w:sz w:val="24"/>
          <w:szCs w:val="24"/>
        </w:rPr>
        <w:t>44 § 2 të Konventës. Ai mund të bëhet objekt i rishikimit redaktues.</w:t>
      </w:r>
    </w:p>
    <w:p w14:paraId="50438835" w14:textId="77777777" w:rsidR="00D07213" w:rsidRPr="00AF1BD6" w:rsidRDefault="00D07213" w:rsidP="00C46B88">
      <w:pPr>
        <w:autoSpaceDE w:val="0"/>
        <w:autoSpaceDN w:val="0"/>
        <w:adjustRightInd w:val="0"/>
        <w:spacing w:after="0" w:line="240" w:lineRule="auto"/>
        <w:ind w:firstLine="284"/>
        <w:jc w:val="center"/>
        <w:rPr>
          <w:rFonts w:ascii="Garamond" w:hAnsi="Garamond" w:cs="MS Mincho"/>
          <w:color w:val="000000"/>
          <w:sz w:val="24"/>
          <w:szCs w:val="24"/>
        </w:rPr>
      </w:pPr>
    </w:p>
    <w:p w14:paraId="1A3B9832"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b/>
          <w:bCs/>
          <w:color w:val="000000"/>
          <w:sz w:val="24"/>
          <w:szCs w:val="24"/>
        </w:rPr>
      </w:pPr>
      <w:r w:rsidRPr="00AF1BD6">
        <w:rPr>
          <w:rFonts w:ascii="Garamond" w:hAnsi="Garamond" w:cs="Times New Roman"/>
          <w:b/>
          <w:bCs/>
          <w:color w:val="000000"/>
          <w:sz w:val="24"/>
          <w:szCs w:val="24"/>
        </w:rPr>
        <w:t xml:space="preserve">Në çështjen Gashi dhe Gina kundër Shqipërisë, </w:t>
      </w:r>
    </w:p>
    <w:p w14:paraId="7B4A84D6"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Gjykata Evropiane e të Drejtave të Njeriut (Seksioni i Tretë) e mbledhur si një Dhomë e përbërë nga: </w:t>
      </w:r>
    </w:p>
    <w:p w14:paraId="74D6FB4D" w14:textId="644FB26F" w:rsidR="00D07213" w:rsidRPr="00AF1BD6" w:rsidRDefault="00C46B88" w:rsidP="00C46B88">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F1BD6">
        <w:rPr>
          <w:rFonts w:ascii="Garamond" w:hAnsi="Garamond" w:cs="Times New Roman"/>
          <w:color w:val="000000"/>
          <w:sz w:val="24"/>
          <w:szCs w:val="24"/>
        </w:rPr>
        <w:t xml:space="preserve"> </w:t>
      </w:r>
      <w:r w:rsidR="00D07213" w:rsidRPr="00AF1BD6">
        <w:rPr>
          <w:rFonts w:ascii="Garamond" w:hAnsi="Garamond" w:cs="Times New Roman"/>
          <w:color w:val="000000"/>
          <w:sz w:val="24"/>
          <w:szCs w:val="24"/>
        </w:rPr>
        <w:t>Pere Pastor Vilanova,</w:t>
      </w:r>
      <w:r w:rsidR="00D07213" w:rsidRPr="00AF1BD6">
        <w:rPr>
          <w:rFonts w:ascii="Garamond" w:hAnsi="Garamond" w:cs="Times New Roman"/>
          <w:i/>
          <w:iCs/>
          <w:color w:val="000000"/>
          <w:sz w:val="24"/>
          <w:szCs w:val="24"/>
        </w:rPr>
        <w:t xml:space="preserve"> </w:t>
      </w:r>
      <w:r w:rsidR="003016B9" w:rsidRPr="00AF1BD6">
        <w:rPr>
          <w:rFonts w:ascii="Garamond" w:hAnsi="Garamond" w:cs="Times New Roman"/>
          <w:i/>
          <w:iCs/>
          <w:color w:val="000000"/>
          <w:sz w:val="24"/>
          <w:szCs w:val="24"/>
        </w:rPr>
        <w:t>kryetar</w:t>
      </w:r>
      <w:r w:rsidR="00D07213" w:rsidRPr="00AF1BD6">
        <w:rPr>
          <w:rFonts w:ascii="Garamond" w:hAnsi="Garamond" w:cs="Times New Roman"/>
          <w:i/>
          <w:iCs/>
          <w:color w:val="000000"/>
          <w:sz w:val="24"/>
          <w:szCs w:val="24"/>
        </w:rPr>
        <w:t>,</w:t>
      </w:r>
    </w:p>
    <w:p w14:paraId="7673B906" w14:textId="5A75C876" w:rsidR="00D07213" w:rsidRPr="00AF1BD6" w:rsidRDefault="00C46B88" w:rsidP="00C46B8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1BD6">
        <w:rPr>
          <w:rFonts w:ascii="Garamond" w:hAnsi="Garamond" w:cs="Times New Roman"/>
          <w:color w:val="000000"/>
          <w:sz w:val="24"/>
          <w:szCs w:val="24"/>
        </w:rPr>
        <w:t xml:space="preserve"> </w:t>
      </w:r>
      <w:r w:rsidR="00D07213" w:rsidRPr="00AF1BD6">
        <w:rPr>
          <w:rFonts w:ascii="Garamond" w:hAnsi="Garamond" w:cs="Times New Roman"/>
          <w:color w:val="000000"/>
          <w:sz w:val="24"/>
          <w:szCs w:val="24"/>
        </w:rPr>
        <w:t>Georgios A. Serghides,</w:t>
      </w:r>
    </w:p>
    <w:p w14:paraId="508E055A" w14:textId="33EFBAA1" w:rsidR="00D07213" w:rsidRPr="00AF1BD6" w:rsidRDefault="00C46B88" w:rsidP="00C46B8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1BD6">
        <w:rPr>
          <w:rFonts w:ascii="Garamond" w:hAnsi="Garamond" w:cs="Times New Roman"/>
          <w:color w:val="000000"/>
          <w:sz w:val="24"/>
          <w:szCs w:val="24"/>
        </w:rPr>
        <w:t xml:space="preserve"> </w:t>
      </w:r>
      <w:r w:rsidR="00D07213" w:rsidRPr="00AF1BD6">
        <w:rPr>
          <w:rFonts w:ascii="Garamond" w:hAnsi="Garamond" w:cs="Times New Roman"/>
          <w:color w:val="000000"/>
          <w:sz w:val="24"/>
          <w:szCs w:val="24"/>
        </w:rPr>
        <w:t>Yonko Grozev,</w:t>
      </w:r>
    </w:p>
    <w:p w14:paraId="7370365E" w14:textId="7CD653B4" w:rsidR="00D07213" w:rsidRPr="00AF1BD6" w:rsidRDefault="00C46B88" w:rsidP="00C46B8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1BD6">
        <w:rPr>
          <w:rFonts w:ascii="Garamond" w:hAnsi="Garamond" w:cs="Times New Roman"/>
          <w:color w:val="000000"/>
          <w:sz w:val="24"/>
          <w:szCs w:val="24"/>
        </w:rPr>
        <w:t xml:space="preserve"> </w:t>
      </w:r>
      <w:r w:rsidR="00D07213" w:rsidRPr="00AF1BD6">
        <w:rPr>
          <w:rFonts w:ascii="Garamond" w:hAnsi="Garamond" w:cs="Times New Roman"/>
          <w:color w:val="000000"/>
          <w:sz w:val="24"/>
          <w:szCs w:val="24"/>
        </w:rPr>
        <w:t>Darian Pavli,</w:t>
      </w:r>
    </w:p>
    <w:p w14:paraId="32E2AAD6" w14:textId="137B00FD" w:rsidR="00D07213" w:rsidRPr="00AF1BD6" w:rsidRDefault="00C46B88" w:rsidP="00C46B8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1BD6">
        <w:rPr>
          <w:rFonts w:ascii="Garamond" w:hAnsi="Garamond" w:cs="Times New Roman"/>
          <w:color w:val="000000"/>
          <w:sz w:val="24"/>
          <w:szCs w:val="24"/>
        </w:rPr>
        <w:t xml:space="preserve"> </w:t>
      </w:r>
      <w:r w:rsidR="00D07213" w:rsidRPr="00AF1BD6">
        <w:rPr>
          <w:rFonts w:ascii="Garamond" w:hAnsi="Garamond" w:cs="Times New Roman"/>
          <w:color w:val="000000"/>
          <w:sz w:val="24"/>
          <w:szCs w:val="24"/>
        </w:rPr>
        <w:t>Peeter Roosma,</w:t>
      </w:r>
    </w:p>
    <w:p w14:paraId="3CC0A2CB" w14:textId="19659BE4" w:rsidR="00D07213" w:rsidRPr="00AF1BD6" w:rsidRDefault="00C46B88" w:rsidP="00C46B8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1BD6">
        <w:rPr>
          <w:rFonts w:ascii="Garamond" w:hAnsi="Garamond" w:cs="Times New Roman"/>
          <w:color w:val="000000"/>
          <w:sz w:val="24"/>
          <w:szCs w:val="24"/>
        </w:rPr>
        <w:t xml:space="preserve"> </w:t>
      </w:r>
      <w:r w:rsidR="00D07213" w:rsidRPr="00AF1BD6">
        <w:rPr>
          <w:rFonts w:ascii="Garamond" w:hAnsi="Garamond" w:cs="Times New Roman"/>
          <w:color w:val="000000"/>
          <w:sz w:val="24"/>
          <w:szCs w:val="24"/>
        </w:rPr>
        <w:t>Ioannis Ktistakis,</w:t>
      </w:r>
    </w:p>
    <w:p w14:paraId="4532116C" w14:textId="0B3744C4" w:rsidR="00D07213" w:rsidRPr="00AF1BD6" w:rsidRDefault="00C46B88" w:rsidP="00C46B8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F1BD6">
        <w:rPr>
          <w:rFonts w:ascii="Garamond" w:hAnsi="Garamond" w:cs="Times New Roman"/>
          <w:color w:val="000000"/>
          <w:sz w:val="24"/>
          <w:szCs w:val="24"/>
        </w:rPr>
        <w:t xml:space="preserve"> </w:t>
      </w:r>
      <w:r w:rsidR="00D07213" w:rsidRPr="00AF1BD6">
        <w:rPr>
          <w:rFonts w:ascii="Garamond" w:hAnsi="Garamond" w:cs="Times New Roman"/>
          <w:color w:val="000000"/>
          <w:sz w:val="24"/>
          <w:szCs w:val="24"/>
        </w:rPr>
        <w:t>Andreas Zünd</w:t>
      </w:r>
      <w:r w:rsidR="00D07213" w:rsidRPr="00AF1BD6">
        <w:rPr>
          <w:rFonts w:ascii="Garamond" w:hAnsi="Garamond" w:cs="Times New Roman"/>
          <w:i/>
          <w:iCs/>
          <w:color w:val="000000"/>
          <w:sz w:val="24"/>
          <w:szCs w:val="24"/>
        </w:rPr>
        <w:t>, gjyqtarë,</w:t>
      </w:r>
    </w:p>
    <w:p w14:paraId="2CD3479C" w14:textId="4EE92EFE" w:rsidR="00D07213" w:rsidRPr="00AF1BD6" w:rsidRDefault="00D07213" w:rsidP="00C46B88">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F1BD6">
        <w:rPr>
          <w:rFonts w:ascii="Garamond" w:hAnsi="Garamond" w:cs="Times New Roman"/>
          <w:color w:val="000000"/>
          <w:sz w:val="24"/>
          <w:szCs w:val="24"/>
        </w:rPr>
        <w:t xml:space="preserve">dhe Milan Blaško, </w:t>
      </w:r>
      <w:r w:rsidR="003016B9" w:rsidRPr="00AF1BD6">
        <w:rPr>
          <w:rFonts w:ascii="Garamond" w:hAnsi="Garamond" w:cs="Times New Roman"/>
          <w:i/>
          <w:iCs/>
          <w:color w:val="000000"/>
          <w:sz w:val="24"/>
          <w:szCs w:val="24"/>
        </w:rPr>
        <w:t xml:space="preserve">regjistrar </w:t>
      </w:r>
      <w:r w:rsidRPr="00AF1BD6">
        <w:rPr>
          <w:rFonts w:ascii="Garamond" w:hAnsi="Garamond" w:cs="Times New Roman"/>
          <w:i/>
          <w:iCs/>
          <w:color w:val="000000"/>
          <w:sz w:val="24"/>
          <w:szCs w:val="24"/>
        </w:rPr>
        <w:t>i Seksionit,</w:t>
      </w:r>
      <w:r w:rsidR="00AF1BD6" w:rsidRPr="00AF1BD6">
        <w:rPr>
          <w:rFonts w:ascii="Garamond" w:hAnsi="Garamond" w:cs="Times New Roman"/>
          <w:i/>
          <w:iCs/>
          <w:color w:val="000000"/>
          <w:sz w:val="24"/>
          <w:szCs w:val="24"/>
        </w:rPr>
        <w:t xml:space="preserve"> </w:t>
      </w:r>
    </w:p>
    <w:p w14:paraId="406EEA50" w14:textId="5B6B314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Duke pasur parasysh: </w:t>
      </w:r>
    </w:p>
    <w:p w14:paraId="7A1FD334" w14:textId="38779E38"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kërkesën (nr. 29943/18) kundër Republikës së Shqipërisë depozituar në Gjykatë në mbështetje të Nenit 34 të Konventës për Mbrojtjen e të Drejtave të Njeriut dhe Lirive Themelore (“Konventa”) nga dy shtetas shqiptarë, </w:t>
      </w:r>
      <w:r w:rsidR="007735DA">
        <w:rPr>
          <w:rFonts w:ascii="Garamond" w:hAnsi="Garamond" w:cs="Times New Roman"/>
          <w:color w:val="000000"/>
          <w:sz w:val="24"/>
          <w:szCs w:val="24"/>
        </w:rPr>
        <w:t>znj</w:t>
      </w:r>
      <w:r w:rsid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Rovena Gashi (“kërkuesja e parë”) dhe </w:t>
      </w:r>
      <w:r w:rsidR="006F6F8F" w:rsidRPr="00AF1BD6">
        <w:rPr>
          <w:rFonts w:ascii="Garamond" w:hAnsi="Garamond" w:cs="Times New Roman"/>
          <w:color w:val="000000"/>
          <w:sz w:val="24"/>
          <w:szCs w:val="24"/>
        </w:rPr>
        <w:t>z</w:t>
      </w:r>
      <w:r w:rsidRPr="00AF1BD6">
        <w:rPr>
          <w:rFonts w:ascii="Garamond" w:hAnsi="Garamond" w:cs="Times New Roman"/>
          <w:color w:val="000000"/>
          <w:sz w:val="24"/>
          <w:szCs w:val="24"/>
        </w:rPr>
        <w:t xml:space="preserve">. Dritan Gina (“kërkuesi i dytë”), më 26 </w:t>
      </w:r>
      <w:r w:rsidR="0014205A"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2018;</w:t>
      </w:r>
    </w:p>
    <w:p w14:paraId="31F6716B" w14:textId="19732C85"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vendimin e datës 7 </w:t>
      </w:r>
      <w:r w:rsidR="006F6F8F" w:rsidRPr="00AF1BD6">
        <w:rPr>
          <w:rFonts w:ascii="Garamond" w:hAnsi="Garamond" w:cs="Times New Roman"/>
          <w:color w:val="000000"/>
          <w:sz w:val="24"/>
          <w:szCs w:val="24"/>
        </w:rPr>
        <w:t xml:space="preserve">shtator </w:t>
      </w:r>
      <w:r w:rsidRPr="00AF1BD6">
        <w:rPr>
          <w:rFonts w:ascii="Garamond" w:hAnsi="Garamond" w:cs="Times New Roman"/>
          <w:color w:val="000000"/>
          <w:sz w:val="24"/>
          <w:szCs w:val="24"/>
        </w:rPr>
        <w:t xml:space="preserve">për të bërë me dije Qeverinë shqiptare (“Qeveria”) për ankesat në mbështetje të </w:t>
      </w:r>
      <w:r w:rsidR="006F6F8F" w:rsidRPr="00AF1BD6">
        <w:rPr>
          <w:rFonts w:ascii="Garamond" w:hAnsi="Garamond" w:cs="Times New Roman"/>
          <w:color w:val="000000"/>
          <w:sz w:val="24"/>
          <w:szCs w:val="24"/>
        </w:rPr>
        <w:t xml:space="preserve">neneve </w:t>
      </w:r>
      <w:r w:rsidRPr="00AF1BD6">
        <w:rPr>
          <w:rFonts w:ascii="Garamond" w:hAnsi="Garamond" w:cs="Times New Roman"/>
          <w:color w:val="000000"/>
          <w:sz w:val="24"/>
          <w:szCs w:val="24"/>
        </w:rPr>
        <w:t xml:space="preserve">6, 8 dhe 13 të Konventës, si edhe për dhënien e përparësisë në mbështetje të Rregullit 41 të Rregullores së Gjykatës; </w:t>
      </w:r>
    </w:p>
    <w:p w14:paraId="5669F5B4" w14:textId="2802C1D2"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komentet e palës së treta nga Res Publica, që kishte marrë lejen e </w:t>
      </w:r>
      <w:r w:rsidR="006F6F8F" w:rsidRPr="00AF1BD6">
        <w:rPr>
          <w:rFonts w:ascii="Garamond" w:hAnsi="Garamond" w:cs="Times New Roman"/>
          <w:color w:val="000000"/>
          <w:sz w:val="24"/>
          <w:szCs w:val="24"/>
        </w:rPr>
        <w:t xml:space="preserve">kryetarit </w:t>
      </w:r>
      <w:r w:rsidRPr="00AF1BD6">
        <w:rPr>
          <w:rFonts w:ascii="Garamond" w:hAnsi="Garamond" w:cs="Times New Roman"/>
          <w:color w:val="000000"/>
          <w:sz w:val="24"/>
          <w:szCs w:val="24"/>
        </w:rPr>
        <w:t>të Seksionit për të ndërhyrë në procedurën me shkrim (</w:t>
      </w:r>
      <w:r w:rsidR="007735DA" w:rsidRPr="00AF1BD6">
        <w:rPr>
          <w:rFonts w:ascii="Garamond" w:hAnsi="Garamond" w:cs="Times New Roman"/>
          <w:color w:val="000000"/>
          <w:sz w:val="24"/>
          <w:szCs w:val="24"/>
        </w:rPr>
        <w:t xml:space="preserve">neni </w:t>
      </w:r>
      <w:r w:rsidRPr="00AF1BD6">
        <w:rPr>
          <w:rFonts w:ascii="Garamond" w:hAnsi="Garamond" w:cs="Times New Roman"/>
          <w:color w:val="000000"/>
          <w:sz w:val="24"/>
          <w:szCs w:val="24"/>
        </w:rPr>
        <w:t xml:space="preserve">36 § 2 i Konventës dhe Rregulli 44 § 3 i Rregullores së Gjykatës); </w:t>
      </w:r>
    </w:p>
    <w:p w14:paraId="3A03E072" w14:textId="39818D6B"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Pasi diskutoi me dyer të mbyllura më 7 </w:t>
      </w:r>
      <w:r w:rsidR="007735DA"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 xml:space="preserve">2023; </w:t>
      </w:r>
    </w:p>
    <w:p w14:paraId="41C63807" w14:textId="3A4EB422"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Jep vendimin e mëposhtëm, i cili u miratua në po atë datë: </w:t>
      </w:r>
    </w:p>
    <w:p w14:paraId="404689CE"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HYRJE</w:t>
      </w:r>
    </w:p>
    <w:p w14:paraId="36FC3D3F" w14:textId="2266F19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Çështja ka të bëjë me pezullimin e kërkuesve nga pozicionet e tyre si prokurorë publikë, pretendimet për të meta në proceset përkatëse dhe me mungesën e mjeteve efektive, dhe pretendimin për bërjen publike të dokumenteve për medi</w:t>
      </w:r>
      <w:r w:rsidR="00DD7C1A">
        <w:rPr>
          <w:rFonts w:ascii="Garamond" w:hAnsi="Garamond" w:cs="Times New Roman"/>
          <w:color w:val="000000"/>
          <w:sz w:val="24"/>
          <w:szCs w:val="24"/>
        </w:rPr>
        <w:t>e</w:t>
      </w:r>
      <w:r w:rsidRPr="00AF1BD6">
        <w:rPr>
          <w:rFonts w:ascii="Garamond" w:hAnsi="Garamond" w:cs="Times New Roman"/>
          <w:color w:val="000000"/>
          <w:sz w:val="24"/>
          <w:szCs w:val="24"/>
        </w:rPr>
        <w:t xml:space="preserve">n. </w:t>
      </w:r>
    </w:p>
    <w:p w14:paraId="34E05073" w14:textId="77777777" w:rsidR="00AC10B8" w:rsidRDefault="00AC10B8" w:rsidP="00C46B88">
      <w:pPr>
        <w:autoSpaceDE w:val="0"/>
        <w:autoSpaceDN w:val="0"/>
        <w:adjustRightInd w:val="0"/>
        <w:spacing w:after="0" w:line="240" w:lineRule="auto"/>
        <w:ind w:firstLine="284"/>
        <w:jc w:val="both"/>
        <w:rPr>
          <w:rFonts w:ascii="Garamond" w:hAnsi="Garamond" w:cs="Times New Roman"/>
          <w:color w:val="000000"/>
          <w:sz w:val="24"/>
          <w:szCs w:val="24"/>
        </w:rPr>
      </w:pPr>
    </w:p>
    <w:p w14:paraId="1C7B1895" w14:textId="77777777" w:rsidR="00AC10B8" w:rsidRDefault="00AC10B8" w:rsidP="00C46B88">
      <w:pPr>
        <w:autoSpaceDE w:val="0"/>
        <w:autoSpaceDN w:val="0"/>
        <w:adjustRightInd w:val="0"/>
        <w:spacing w:after="0" w:line="240" w:lineRule="auto"/>
        <w:ind w:firstLine="284"/>
        <w:jc w:val="both"/>
        <w:rPr>
          <w:rFonts w:ascii="Garamond" w:hAnsi="Garamond" w:cs="Times New Roman"/>
          <w:color w:val="000000"/>
          <w:sz w:val="24"/>
          <w:szCs w:val="24"/>
        </w:rPr>
      </w:pPr>
    </w:p>
    <w:p w14:paraId="298BF5A8"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bookmarkEnd w:id="0"/>
      <w:r w:rsidRPr="00AF1BD6">
        <w:rPr>
          <w:rFonts w:ascii="Garamond" w:hAnsi="Garamond" w:cs="Times New Roman"/>
          <w:color w:val="000000"/>
          <w:sz w:val="24"/>
          <w:szCs w:val="24"/>
        </w:rPr>
        <w:t>FAKTET</w:t>
      </w:r>
    </w:p>
    <w:p w14:paraId="59BB1249" w14:textId="2E5B5FB4"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2.</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Kërkuesit kanë lindur në vitin 1977 dhe 1976, respektivisht, dhe jetojnë në Tiranë. Ata u përfaqësuan nga </w:t>
      </w:r>
      <w:r w:rsidR="00EC5652" w:rsidRPr="00AF1BD6">
        <w:rPr>
          <w:rFonts w:ascii="Garamond" w:hAnsi="Garamond" w:cs="Times New Roman"/>
          <w:color w:val="000000"/>
          <w:sz w:val="24"/>
          <w:szCs w:val="24"/>
        </w:rPr>
        <w:t>z</w:t>
      </w:r>
      <w:r w:rsidRPr="00AF1BD6">
        <w:rPr>
          <w:rFonts w:ascii="Garamond" w:hAnsi="Garamond" w:cs="Times New Roman"/>
          <w:color w:val="000000"/>
          <w:sz w:val="24"/>
          <w:szCs w:val="24"/>
        </w:rPr>
        <w:t xml:space="preserve">. A. Saccucci dhe </w:t>
      </w:r>
      <w:r w:rsidR="00AF1BD6">
        <w:rPr>
          <w:rFonts w:ascii="Garamond" w:hAnsi="Garamond" w:cs="Times New Roman"/>
          <w:color w:val="000000"/>
          <w:sz w:val="24"/>
          <w:szCs w:val="24"/>
        </w:rPr>
        <w:t xml:space="preserve">znj. </w:t>
      </w:r>
      <w:r w:rsidRPr="00AF1BD6">
        <w:rPr>
          <w:rFonts w:ascii="Garamond" w:hAnsi="Garamond" w:cs="Times New Roman"/>
          <w:color w:val="000000"/>
          <w:sz w:val="24"/>
          <w:szCs w:val="24"/>
        </w:rPr>
        <w:t xml:space="preserve">G. Borgna, avokatë që e ushtrojnë profesionin në Romë. </w:t>
      </w:r>
    </w:p>
    <w:p w14:paraId="78B972ED" w14:textId="1FA8168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3.</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Fillimisht Qeveria u përfaqësua nga Agjenti i saj </w:t>
      </w:r>
      <w:r w:rsidR="00EC5652" w:rsidRPr="00AF1BD6">
        <w:rPr>
          <w:rFonts w:ascii="Garamond" w:hAnsi="Garamond" w:cs="Times New Roman"/>
          <w:color w:val="000000"/>
          <w:sz w:val="24"/>
          <w:szCs w:val="24"/>
        </w:rPr>
        <w:t>z</w:t>
      </w:r>
      <w:r w:rsidRPr="00AF1BD6">
        <w:rPr>
          <w:rFonts w:ascii="Garamond" w:hAnsi="Garamond" w:cs="Times New Roman"/>
          <w:color w:val="000000"/>
          <w:sz w:val="24"/>
          <w:szCs w:val="24"/>
        </w:rPr>
        <w:t xml:space="preserve">. A. Metani, dhe në vijim nga </w:t>
      </w:r>
      <w:r w:rsidR="00EC5652" w:rsidRPr="00AF1BD6">
        <w:rPr>
          <w:rFonts w:ascii="Garamond" w:hAnsi="Garamond" w:cs="Times New Roman"/>
          <w:color w:val="000000"/>
          <w:sz w:val="24"/>
          <w:szCs w:val="24"/>
        </w:rPr>
        <w:t>z</w:t>
      </w:r>
      <w:r w:rsidRPr="00AF1BD6">
        <w:rPr>
          <w:rFonts w:ascii="Garamond" w:hAnsi="Garamond" w:cs="Times New Roman"/>
          <w:color w:val="000000"/>
          <w:sz w:val="24"/>
          <w:szCs w:val="24"/>
        </w:rPr>
        <w:t xml:space="preserve">. O. Moçka, Avokat i Përgjithshëm i Shtetit. </w:t>
      </w:r>
    </w:p>
    <w:p w14:paraId="7D7AEA53" w14:textId="020842F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lastRenderedPageBreak/>
        <w:t>4.</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Faktet e çështjes mund të përmblidhen si më poshtë. </w:t>
      </w:r>
    </w:p>
    <w:p w14:paraId="152D53F2" w14:textId="363D108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I.</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INFORMACION MBI KUADRIN E PËRGJITHSHËM</w:t>
      </w:r>
    </w:p>
    <w:p w14:paraId="45472A2C" w14:textId="78C452C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periudhën përkatëse, kërkuesit, një çift i martuar, punonin si prokurorë. Në vitin 2013, kërkuesja e parë u ngrit në detyrë në rolin e prokurores në Prokurorinë e Përgjithshme. Më pas, ajo u emërua drejtore e Njësisë së Dekriminalizimit në Prokurorinë e Përgjithshme, dhe punoi, </w:t>
      </w:r>
      <w:r w:rsidRPr="00AF1BD6">
        <w:rPr>
          <w:rFonts w:ascii="Garamond" w:hAnsi="Garamond" w:cs="Times New Roman"/>
          <w:i/>
          <w:iCs/>
          <w:color w:val="000000"/>
          <w:sz w:val="24"/>
          <w:szCs w:val="24"/>
        </w:rPr>
        <w:t xml:space="preserve">inter alia, </w:t>
      </w:r>
      <w:r w:rsidRPr="00AF1BD6">
        <w:rPr>
          <w:rFonts w:ascii="Garamond" w:hAnsi="Garamond" w:cs="Times New Roman"/>
          <w:color w:val="000000"/>
          <w:sz w:val="24"/>
          <w:szCs w:val="24"/>
        </w:rPr>
        <w:t xml:space="preserve">për çështje të profilit të lartë ku përfshiheshin politikanë, biznesmenë dhe deputetë. Si drejtore e Njësisë së Dekriminalizimit deri në fund të muajit </w:t>
      </w:r>
      <w:r w:rsidR="00500069" w:rsidRPr="00AF1BD6">
        <w:rPr>
          <w:rFonts w:ascii="Garamond" w:hAnsi="Garamond" w:cs="Times New Roman"/>
          <w:color w:val="000000"/>
          <w:sz w:val="24"/>
          <w:szCs w:val="24"/>
        </w:rPr>
        <w:t xml:space="preserve">dhjetor </w:t>
      </w:r>
      <w:r w:rsidRPr="00AF1BD6">
        <w:rPr>
          <w:rFonts w:ascii="Garamond" w:hAnsi="Garamond" w:cs="Times New Roman"/>
          <w:color w:val="000000"/>
          <w:sz w:val="24"/>
          <w:szCs w:val="24"/>
        </w:rPr>
        <w:t xml:space="preserve">2017, ajo mbikëqyri procedurat e prokurorisë për largimin e individëve me rekorde kriminale nga pozicionet publike sipas legjislacionit përkatës. Në atë cilësi, ajo pati sukses me kërkesat e saj drejtuar Komisionit Qendror të Zgjedhjeve për ndërprerjen e mandatit të një sërë deputetësh, kryetarësh bashkish, dhe zyrtarëve të tjerë publikë. Kërkuesi i dytë, prej muajit </w:t>
      </w:r>
      <w:r w:rsidR="00500069" w:rsidRPr="00AF1BD6">
        <w:rPr>
          <w:rFonts w:ascii="Garamond" w:hAnsi="Garamond" w:cs="Times New Roman"/>
          <w:color w:val="000000"/>
          <w:sz w:val="24"/>
          <w:szCs w:val="24"/>
        </w:rPr>
        <w:t xml:space="preserve">janar </w:t>
      </w:r>
      <w:r w:rsidRPr="00AF1BD6">
        <w:rPr>
          <w:rFonts w:ascii="Garamond" w:hAnsi="Garamond" w:cs="Times New Roman"/>
          <w:color w:val="000000"/>
          <w:sz w:val="24"/>
          <w:szCs w:val="24"/>
        </w:rPr>
        <w:t>2018, ishte i punësuar si prokuror pranë Gjykatës së Rrethit Tiranë (në vijim “prokuroria e Tiranës”).</w:t>
      </w:r>
      <w:r w:rsidR="00AF1BD6" w:rsidRPr="00AF1BD6">
        <w:rPr>
          <w:rFonts w:ascii="Garamond" w:hAnsi="Garamond" w:cs="Times New Roman"/>
          <w:color w:val="000000"/>
          <w:sz w:val="24"/>
          <w:szCs w:val="24"/>
        </w:rPr>
        <w:t xml:space="preserve"> </w:t>
      </w:r>
    </w:p>
    <w:p w14:paraId="5629AD14" w14:textId="39DDCB75"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Në përputhje me Ligjin për Deklarimin e Pasurisë, i cili hyri në fuqi në vitin 2003, kërkuesit paraqitën deklarimet vjetore të pasurisë pranë Inspektoratit të Lartë të Deklarimit dhe Kontrollit të Pasurive dhe Konfliktit të Interesave (“ILDKPKI”). Në vitin 2016, Shqipëria ndërmori reforma të thella në sistemin e drejtësisë, të cilat sollën ndryshime në Kushtetutë dhe miratimin e një sërë statutesh në lidhje me, midis të tjerash, rivlerësimin e të gjithë prokurorëve në detyrë (në vijim “procesi i rivlerësimit/</w:t>
      </w:r>
      <w:r w:rsidRPr="00361A1B">
        <w:rPr>
          <w:rFonts w:ascii="Garamond" w:hAnsi="Garamond" w:cs="Times New Roman"/>
          <w:i/>
          <w:color w:val="000000"/>
          <w:sz w:val="24"/>
          <w:szCs w:val="24"/>
        </w:rPr>
        <w:t>vetting</w:t>
      </w:r>
      <w:r w:rsidRPr="00AF1BD6">
        <w:rPr>
          <w:rFonts w:ascii="Garamond" w:hAnsi="Garamond" w:cs="Times New Roman"/>
          <w:color w:val="000000"/>
          <w:sz w:val="24"/>
          <w:szCs w:val="24"/>
        </w:rPr>
        <w:t xml:space="preserve">-ut”) nga Komisioni i Pavarur i Kualifikimit (“KPK”) në shkallën e parë dhe – në rastet e apelimeve – nga Kolegji i Posaçëm i Apelimit (“KPA”) pranë Gjykatës Kushtetuese (shih </w:t>
      </w:r>
      <w:r w:rsidRPr="00AF1BD6">
        <w:rPr>
          <w:rFonts w:ascii="Garamond" w:hAnsi="Garamond" w:cs="Times New Roman"/>
          <w:i/>
          <w:iCs/>
          <w:color w:val="000000"/>
          <w:sz w:val="24"/>
          <w:szCs w:val="24"/>
        </w:rPr>
        <w:t>Xhoxhaj kundër Shqipërisë</w:t>
      </w:r>
      <w:r w:rsidRPr="00AF1BD6">
        <w:rPr>
          <w:rFonts w:ascii="Garamond" w:hAnsi="Garamond" w:cs="Times New Roman"/>
          <w:color w:val="000000"/>
          <w:sz w:val="24"/>
          <w:szCs w:val="24"/>
        </w:rPr>
        <w:t>, nr. 15227/19, §§ 4</w:t>
      </w:r>
      <w:r w:rsidR="00751451">
        <w:rPr>
          <w:rFonts w:ascii="Garamond" w:hAnsi="Garamond" w:cs="Times New Roman"/>
          <w:color w:val="000000"/>
          <w:sz w:val="24"/>
          <w:szCs w:val="24"/>
        </w:rPr>
        <w:t>–</w:t>
      </w:r>
      <w:r w:rsidRPr="00AF1BD6">
        <w:rPr>
          <w:rFonts w:ascii="Garamond" w:hAnsi="Garamond" w:cs="Times New Roman"/>
          <w:color w:val="000000"/>
          <w:sz w:val="24"/>
          <w:szCs w:val="24"/>
        </w:rPr>
        <w:t xml:space="preserve">7, 9 </w:t>
      </w:r>
      <w:r w:rsidR="00751451" w:rsidRPr="00AF1BD6">
        <w:rPr>
          <w:rFonts w:ascii="Garamond" w:hAnsi="Garamond" w:cs="Times New Roman"/>
          <w:color w:val="000000"/>
          <w:sz w:val="24"/>
          <w:szCs w:val="24"/>
        </w:rPr>
        <w:t xml:space="preserve">shkurt </w:t>
      </w:r>
      <w:r w:rsidRPr="00AF1BD6">
        <w:rPr>
          <w:rFonts w:ascii="Garamond" w:hAnsi="Garamond" w:cs="Times New Roman"/>
          <w:color w:val="000000"/>
          <w:sz w:val="24"/>
          <w:szCs w:val="24"/>
        </w:rPr>
        <w:t>2021).</w:t>
      </w:r>
    </w:p>
    <w:p w14:paraId="17E1C2F7" w14:textId="75695DF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Si pjesë e procesit të </w:t>
      </w:r>
      <w:r w:rsidRPr="00811C33">
        <w:rPr>
          <w:rFonts w:ascii="Garamond" w:hAnsi="Garamond" w:cs="Times New Roman"/>
          <w:i/>
          <w:color w:val="000000"/>
          <w:sz w:val="24"/>
          <w:szCs w:val="24"/>
        </w:rPr>
        <w:t>vetting</w:t>
      </w:r>
      <w:r w:rsidRPr="00AF1BD6">
        <w:rPr>
          <w:rFonts w:ascii="Garamond" w:hAnsi="Garamond" w:cs="Times New Roman"/>
          <w:color w:val="000000"/>
          <w:sz w:val="24"/>
          <w:szCs w:val="24"/>
        </w:rPr>
        <w:t xml:space="preserve">-ut, kërkuesja e parë paraqiti një deklarim të ri dhe të detajuar për pasurinë në muajin </w:t>
      </w:r>
      <w:r w:rsidR="000A7BC4" w:rsidRPr="00AF1BD6">
        <w:rPr>
          <w:rFonts w:ascii="Garamond" w:hAnsi="Garamond" w:cs="Times New Roman"/>
          <w:color w:val="000000"/>
          <w:sz w:val="24"/>
          <w:szCs w:val="24"/>
        </w:rPr>
        <w:t xml:space="preserve">janar </w:t>
      </w:r>
      <w:r w:rsidRPr="00AF1BD6">
        <w:rPr>
          <w:rFonts w:ascii="Garamond" w:hAnsi="Garamond" w:cs="Times New Roman"/>
          <w:color w:val="000000"/>
          <w:sz w:val="24"/>
          <w:szCs w:val="24"/>
        </w:rPr>
        <w:t xml:space="preserve">2017. Në këtë deklarim përfshiheshin pasuritë në pronësisë e bashkëshortit të saj dhe të familjarëve të tjerë. ILDKPKI-ja, që ndihmon organet e </w:t>
      </w:r>
      <w:r w:rsidRPr="000A7BC4">
        <w:rPr>
          <w:rFonts w:ascii="Garamond" w:hAnsi="Garamond" w:cs="Times New Roman"/>
          <w:i/>
          <w:color w:val="000000"/>
          <w:sz w:val="24"/>
          <w:szCs w:val="24"/>
        </w:rPr>
        <w:t>vetting</w:t>
      </w:r>
      <w:r w:rsidRPr="00AF1BD6">
        <w:rPr>
          <w:rFonts w:ascii="Garamond" w:hAnsi="Garamond" w:cs="Times New Roman"/>
          <w:color w:val="000000"/>
          <w:sz w:val="24"/>
          <w:szCs w:val="24"/>
        </w:rPr>
        <w:t xml:space="preserve">-ut gjatë procesit të </w:t>
      </w:r>
      <w:r w:rsidRPr="000A7BC4">
        <w:rPr>
          <w:rFonts w:ascii="Garamond" w:hAnsi="Garamond" w:cs="Times New Roman"/>
          <w:i/>
          <w:color w:val="000000"/>
          <w:sz w:val="24"/>
          <w:szCs w:val="24"/>
        </w:rPr>
        <w:t>vetting</w:t>
      </w:r>
      <w:r w:rsidRPr="00AF1BD6">
        <w:rPr>
          <w:rFonts w:ascii="Garamond" w:hAnsi="Garamond" w:cs="Times New Roman"/>
          <w:color w:val="000000"/>
          <w:sz w:val="24"/>
          <w:szCs w:val="24"/>
        </w:rPr>
        <w:t xml:space="preserve">-ut, dha një vlerësim negativ për deklarimin e saj të pasurisë. Më 6 </w:t>
      </w:r>
      <w:r w:rsidR="001F5C53"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 xml:space="preserve">2018, ajo depozitoi përgjigjet për pyetësorin vijues të KPK-së për burimet e disa pasurive. Më anë të një vendimi të datës 25 </w:t>
      </w:r>
      <w:r w:rsidR="001F5C53" w:rsidRPr="00AF1BD6">
        <w:rPr>
          <w:rFonts w:ascii="Garamond" w:hAnsi="Garamond" w:cs="Times New Roman"/>
          <w:color w:val="000000"/>
          <w:sz w:val="24"/>
          <w:szCs w:val="24"/>
        </w:rPr>
        <w:t xml:space="preserve">korrik </w:t>
      </w:r>
      <w:r w:rsidRPr="00AF1BD6">
        <w:rPr>
          <w:rFonts w:ascii="Garamond" w:hAnsi="Garamond" w:cs="Times New Roman"/>
          <w:color w:val="000000"/>
          <w:sz w:val="24"/>
          <w:szCs w:val="24"/>
        </w:rPr>
        <w:t>2018, KPK</w:t>
      </w:r>
      <w:r w:rsidR="001F5C53">
        <w:rPr>
          <w:rFonts w:ascii="Garamond" w:hAnsi="Garamond" w:cs="Times New Roman"/>
          <w:color w:val="000000"/>
          <w:sz w:val="24"/>
          <w:szCs w:val="24"/>
        </w:rPr>
        <w:t>-ja</w:t>
      </w:r>
      <w:r w:rsidRPr="00AF1BD6">
        <w:rPr>
          <w:rFonts w:ascii="Garamond" w:hAnsi="Garamond" w:cs="Times New Roman"/>
          <w:color w:val="000000"/>
          <w:sz w:val="24"/>
          <w:szCs w:val="24"/>
        </w:rPr>
        <w:t xml:space="preserve"> e shkarkoi kërkuesen nga detyra. Më 27 </w:t>
      </w:r>
      <w:r w:rsidR="00226F88" w:rsidRPr="00AF1BD6">
        <w:rPr>
          <w:rFonts w:ascii="Garamond" w:hAnsi="Garamond" w:cs="Times New Roman"/>
          <w:color w:val="000000"/>
          <w:sz w:val="24"/>
          <w:szCs w:val="24"/>
        </w:rPr>
        <w:t xml:space="preserve">shtator </w:t>
      </w:r>
      <w:r w:rsidRPr="00AF1BD6">
        <w:rPr>
          <w:rFonts w:ascii="Garamond" w:hAnsi="Garamond" w:cs="Times New Roman"/>
          <w:color w:val="000000"/>
          <w:sz w:val="24"/>
          <w:szCs w:val="24"/>
        </w:rPr>
        <w:t xml:space="preserve">2018, ajo apeloi pranë KPA-së. Ajo u pezullua </w:t>
      </w:r>
      <w:r w:rsidRPr="00AF1BD6">
        <w:rPr>
          <w:rFonts w:ascii="Garamond" w:hAnsi="Garamond" w:cs="Times New Roman"/>
          <w:i/>
          <w:iCs/>
          <w:color w:val="000000"/>
          <w:sz w:val="24"/>
          <w:szCs w:val="24"/>
        </w:rPr>
        <w:t xml:space="preserve">ex lege </w:t>
      </w:r>
      <w:r w:rsidRPr="00AF1BD6">
        <w:rPr>
          <w:rFonts w:ascii="Garamond" w:hAnsi="Garamond" w:cs="Times New Roman"/>
          <w:color w:val="000000"/>
          <w:sz w:val="24"/>
          <w:szCs w:val="24"/>
        </w:rPr>
        <w:t xml:space="preserve">nga detyrat e saj në pritje të vendimit në shkallë apeli (shih paragrafët 17 dhe 21 më poshtë). Më 29 </w:t>
      </w:r>
      <w:r w:rsidR="00226F88"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2019, KPA</w:t>
      </w:r>
      <w:r w:rsidR="00226F88">
        <w:rPr>
          <w:rFonts w:ascii="Garamond" w:hAnsi="Garamond" w:cs="Times New Roman"/>
          <w:color w:val="000000"/>
          <w:sz w:val="24"/>
          <w:szCs w:val="24"/>
        </w:rPr>
        <w:t>-ja</w:t>
      </w:r>
      <w:r w:rsidRPr="00AF1BD6">
        <w:rPr>
          <w:rFonts w:ascii="Garamond" w:hAnsi="Garamond" w:cs="Times New Roman"/>
          <w:color w:val="000000"/>
          <w:sz w:val="24"/>
          <w:szCs w:val="24"/>
        </w:rPr>
        <w:t xml:space="preserve"> la në fuqi vendimin e KPK-së të datës 25 </w:t>
      </w:r>
      <w:r w:rsidR="0073621D" w:rsidRPr="00AF1BD6">
        <w:rPr>
          <w:rFonts w:ascii="Garamond" w:hAnsi="Garamond" w:cs="Times New Roman"/>
          <w:color w:val="000000"/>
          <w:sz w:val="24"/>
          <w:szCs w:val="24"/>
        </w:rPr>
        <w:t xml:space="preserve">korrik </w:t>
      </w:r>
      <w:r w:rsidRPr="00AF1BD6">
        <w:rPr>
          <w:rFonts w:ascii="Garamond" w:hAnsi="Garamond" w:cs="Times New Roman"/>
          <w:color w:val="000000"/>
          <w:sz w:val="24"/>
          <w:szCs w:val="24"/>
        </w:rPr>
        <w:t xml:space="preserve">2018. </w:t>
      </w:r>
    </w:p>
    <w:p w14:paraId="4B014A62" w14:textId="15C5F21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Për një periudhë tranzitore, KPA</w:t>
      </w:r>
      <w:r w:rsidR="0073621D">
        <w:rPr>
          <w:rFonts w:ascii="Garamond" w:hAnsi="Garamond" w:cs="Times New Roman"/>
          <w:color w:val="000000"/>
          <w:sz w:val="24"/>
          <w:szCs w:val="24"/>
        </w:rPr>
        <w:t>-ja</w:t>
      </w:r>
      <w:r w:rsidRPr="00AF1BD6">
        <w:rPr>
          <w:rFonts w:ascii="Garamond" w:hAnsi="Garamond" w:cs="Times New Roman"/>
          <w:color w:val="000000"/>
          <w:sz w:val="24"/>
          <w:szCs w:val="24"/>
        </w:rPr>
        <w:t xml:space="preserve"> veproi si gjykata e shkallës së fundit në çështjet disiplinore ku përfshiheshin gjyqtarë, prokurorë dhe zyrtarë të tjerë të drejtësisë (shih paragrafin 20 më poshtë). </w:t>
      </w:r>
    </w:p>
    <w:p w14:paraId="0B8F647A" w14:textId="1BA23525"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9.</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Kërkuesi i dytë iu nënshtrua procesit të </w:t>
      </w:r>
      <w:r w:rsidRPr="0073621D">
        <w:rPr>
          <w:rFonts w:ascii="Garamond" w:hAnsi="Garamond" w:cs="Times New Roman"/>
          <w:i/>
          <w:color w:val="000000"/>
          <w:sz w:val="24"/>
          <w:szCs w:val="24"/>
        </w:rPr>
        <w:t>vetting</w:t>
      </w:r>
      <w:r w:rsidRPr="00AF1BD6">
        <w:rPr>
          <w:rFonts w:ascii="Garamond" w:hAnsi="Garamond" w:cs="Times New Roman"/>
          <w:color w:val="000000"/>
          <w:sz w:val="24"/>
          <w:szCs w:val="24"/>
        </w:rPr>
        <w:t>-ut në vit</w:t>
      </w:r>
      <w:r w:rsidR="0073621D">
        <w:rPr>
          <w:rFonts w:ascii="Garamond" w:hAnsi="Garamond" w:cs="Times New Roman"/>
          <w:color w:val="000000"/>
          <w:sz w:val="24"/>
          <w:szCs w:val="24"/>
        </w:rPr>
        <w:t>et</w:t>
      </w:r>
      <w:r w:rsidRPr="00AF1BD6">
        <w:rPr>
          <w:rFonts w:ascii="Garamond" w:hAnsi="Garamond" w:cs="Times New Roman"/>
          <w:color w:val="000000"/>
          <w:sz w:val="24"/>
          <w:szCs w:val="24"/>
        </w:rPr>
        <w:t xml:space="preserve"> 2020 dhe 2021. </w:t>
      </w:r>
    </w:p>
    <w:p w14:paraId="1A7CDDC4" w14:textId="20043F9C"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II.</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HETIMI PENAL DHE PEZULLIMI NGA DETYRA </w:t>
      </w:r>
    </w:p>
    <w:p w14:paraId="1AD73FA3" w14:textId="4AA5AF6F"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10.</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muajin </w:t>
      </w:r>
      <w:r w:rsidR="007113FC"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2018, pas disa pretendimeve të ngritura në disa media </w:t>
      </w:r>
      <w:r w:rsidRPr="007113FC">
        <w:rPr>
          <w:rFonts w:ascii="Garamond" w:hAnsi="Garamond" w:cs="Times New Roman"/>
          <w:i/>
          <w:color w:val="000000"/>
          <w:sz w:val="24"/>
          <w:szCs w:val="24"/>
        </w:rPr>
        <w:t>online</w:t>
      </w:r>
      <w:r w:rsidRPr="00AF1BD6">
        <w:rPr>
          <w:rFonts w:ascii="Garamond" w:hAnsi="Garamond" w:cs="Times New Roman"/>
          <w:color w:val="000000"/>
          <w:sz w:val="24"/>
          <w:szCs w:val="24"/>
        </w:rPr>
        <w:t xml:space="preserve"> në muajin </w:t>
      </w:r>
      <w:r w:rsidR="007113FC"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 xml:space="preserve">2018, ndaj kërkuesve nisi një hetim penal në mbështetje të </w:t>
      </w:r>
      <w:r w:rsidR="007113FC"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257/a § 2 të Kodit Penal (refuzim për deklarim, mosdeklarim, fshehje ose deklarim i rremë i pasurisë)</w:t>
      </w:r>
      <w:r w:rsidR="007113FC">
        <w:rPr>
          <w:rFonts w:ascii="Garamond" w:hAnsi="Garamond" w:cs="Times New Roman"/>
          <w:color w:val="000000"/>
          <w:sz w:val="24"/>
          <w:szCs w:val="24"/>
        </w:rPr>
        <w:t>,</w:t>
      </w:r>
      <w:r w:rsidRPr="00AF1BD6">
        <w:rPr>
          <w:rFonts w:ascii="Garamond" w:hAnsi="Garamond" w:cs="Times New Roman"/>
          <w:color w:val="000000"/>
          <w:sz w:val="24"/>
          <w:szCs w:val="24"/>
        </w:rPr>
        <w:t xml:space="preserve"> në lidhje me deklarimet e bëra në deklarimet periodike të pasurisë dhe gjatë procesit të </w:t>
      </w:r>
      <w:r w:rsidRPr="007113FC">
        <w:rPr>
          <w:rFonts w:ascii="Garamond" w:hAnsi="Garamond" w:cs="Times New Roman"/>
          <w:i/>
          <w:color w:val="000000"/>
          <w:sz w:val="24"/>
          <w:szCs w:val="24"/>
        </w:rPr>
        <w:t>vetting</w:t>
      </w:r>
      <w:r w:rsidRPr="00AF1BD6">
        <w:rPr>
          <w:rFonts w:ascii="Garamond" w:hAnsi="Garamond" w:cs="Times New Roman"/>
          <w:color w:val="000000"/>
          <w:sz w:val="24"/>
          <w:szCs w:val="24"/>
        </w:rPr>
        <w:t xml:space="preserve">-ut në atë periudhë për sa i përket kërkueses së parë. Në datën 8 </w:t>
      </w:r>
      <w:r w:rsidR="007113FC"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 xml:space="preserve">2018, ndaj kërkuesve u ngritën akuza. </w:t>
      </w:r>
    </w:p>
    <w:p w14:paraId="4EB11A51" w14:textId="0D55169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11.</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mbështetje të urdhrave të datës 11 </w:t>
      </w:r>
      <w:r w:rsidR="00A824E6"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 xml:space="preserve">2018, sipas </w:t>
      </w:r>
      <w:r w:rsidR="00A824E6"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151 të Ligjit për Statusin e Gjyqtarëve dhe</w:t>
      </w:r>
      <w:r w:rsidR="00AF1BD6"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Prokurorëve (shih paragrafin 25 më poshtë), Prokurori i Përgjithshëm i Përkohshëm i pezulloi kërkuesit nga detyra gjatë procesit penal ndaj tyre. Në urdhrat e pezullimit specifikohej se ata mund të apeloheshin në KPA, sipas </w:t>
      </w:r>
      <w:r w:rsidR="00A824E6"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179 § 7 të Kushtetutës (shih paragrafin 20 më poshtë). Kërkuesit iu drejtuan KPA-së, ku u informuan se KPA</w:t>
      </w:r>
      <w:r w:rsidR="00A824E6">
        <w:rPr>
          <w:rFonts w:ascii="Garamond" w:hAnsi="Garamond" w:cs="Times New Roman"/>
          <w:color w:val="000000"/>
          <w:sz w:val="24"/>
          <w:szCs w:val="24"/>
        </w:rPr>
        <w:t>-ja</w:t>
      </w:r>
      <w:r w:rsidRPr="00AF1BD6">
        <w:rPr>
          <w:rFonts w:ascii="Garamond" w:hAnsi="Garamond" w:cs="Times New Roman"/>
          <w:color w:val="000000"/>
          <w:sz w:val="24"/>
          <w:szCs w:val="24"/>
        </w:rPr>
        <w:t xml:space="preserve"> nuk mund të merrte një vendim ndaj apelimit të tyre, sepse një anëtar (I.R.) ishte tërhequr për konflikt interesi dhe</w:t>
      </w:r>
      <w:r w:rsidR="00A824E6">
        <w:rPr>
          <w:rFonts w:ascii="Garamond" w:hAnsi="Garamond" w:cs="Times New Roman"/>
          <w:color w:val="000000"/>
          <w:sz w:val="24"/>
          <w:szCs w:val="24"/>
        </w:rPr>
        <w:t>,</w:t>
      </w:r>
      <w:r w:rsidRPr="00AF1BD6">
        <w:rPr>
          <w:rFonts w:ascii="Garamond" w:hAnsi="Garamond" w:cs="Times New Roman"/>
          <w:color w:val="000000"/>
          <w:sz w:val="24"/>
          <w:szCs w:val="24"/>
        </w:rPr>
        <w:t xml:space="preserve"> për shkak të mungesës së një rregullimi specifik në atë periudhë, nuk mund të emërohej një zëvendësues. Më 21 </w:t>
      </w:r>
      <w:r w:rsidR="00A824E6"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 xml:space="preserve">2018, trupa gjykuese e KPA-së, duke përfshirë edhe I.R., nuk e shqyrtoi apelimin, duke u shprehur se ishte me vend që urdhrat e pezullimit të shqyrtoheshin pranë Gjykatës Administrative të Apelit, si gjykata kompetente për t’i gjykuar apelimet konkrete në shkallën e parë. Kërkuesit e dorëzuan këtë kërkesë pranë Gjykatës më 26 </w:t>
      </w:r>
      <w:r w:rsidR="00066B42"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 xml:space="preserve">2018. </w:t>
      </w:r>
    </w:p>
    <w:p w14:paraId="7B4B87EA" w14:textId="65CA6170"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lastRenderedPageBreak/>
        <w:t>12.</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Më pas kërkuesit paraqitën një kërkesë pranë Gjykatës Administrative të Apelit duke kërkuar prishjen e urdhrave të pezullimit. Me anë të një vendimi të ndërmjetëm, gjykata e rrëzoi kërkesën e tyre për pezullimin e ekzekutimit të urdhrave të pezullimit. Me anë të një vendimi të datës 8 </w:t>
      </w:r>
      <w:r w:rsidR="00066B42"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2018, ajo i pranoi pretendimet e tyre, i deklaroi urdhrat e pezullimit të paligjshëm dhe i shfuqizoi ata. Ajo gjykoi se vepra për të cilën akuzoheshin kërkuesit – një vepër që dënohej me gjobë ose me burgim deri në tre v</w:t>
      </w:r>
      <w:r w:rsidR="00066B42">
        <w:rPr>
          <w:rFonts w:ascii="Garamond" w:hAnsi="Garamond" w:cs="Times New Roman"/>
          <w:color w:val="000000"/>
          <w:sz w:val="24"/>
          <w:szCs w:val="24"/>
        </w:rPr>
        <w:t>jet</w:t>
      </w:r>
      <w:r w:rsidRPr="00AF1BD6">
        <w:rPr>
          <w:rFonts w:ascii="Garamond" w:hAnsi="Garamond" w:cs="Times New Roman"/>
          <w:color w:val="000000"/>
          <w:sz w:val="24"/>
          <w:szCs w:val="24"/>
        </w:rPr>
        <w:t xml:space="preserve"> – ishte në kompetencën e një gjykate rrethi ku mund të gjykohej me një gjyqtar të vetëm, në vend që të gjykohej nga Gjykata për Krime të Rënda. Duke pasur në konsideratë </w:t>
      </w:r>
      <w:r w:rsidR="00F83D31"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2 të Konventës së Kombeve të Bashkuara ndaj Krimit të Organizuar Ndërkombëtar të vitit 2000, “krim i rëndë” ishte një sjellje që përbënte një vepër të dënueshme me privim të lirisë maksimumi të paktën katër v</w:t>
      </w:r>
      <w:r w:rsidR="00F83D31">
        <w:rPr>
          <w:rFonts w:ascii="Garamond" w:hAnsi="Garamond" w:cs="Times New Roman"/>
          <w:color w:val="000000"/>
          <w:sz w:val="24"/>
          <w:szCs w:val="24"/>
        </w:rPr>
        <w:t>jet</w:t>
      </w:r>
      <w:r w:rsidRPr="00AF1BD6">
        <w:rPr>
          <w:rFonts w:ascii="Garamond" w:hAnsi="Garamond" w:cs="Times New Roman"/>
          <w:color w:val="000000"/>
          <w:sz w:val="24"/>
          <w:szCs w:val="24"/>
        </w:rPr>
        <w:t xml:space="preserve">, ose një dënim më i rëndë. Sipas </w:t>
      </w:r>
      <w:r w:rsidR="00F83D31" w:rsidRPr="00AF1BD6">
        <w:rPr>
          <w:rFonts w:ascii="Garamond" w:hAnsi="Garamond" w:cs="Times New Roman"/>
          <w:color w:val="000000"/>
          <w:sz w:val="24"/>
          <w:szCs w:val="24"/>
        </w:rPr>
        <w:t xml:space="preserve">neneve </w:t>
      </w:r>
      <w:r w:rsidRPr="00AF1BD6">
        <w:rPr>
          <w:rFonts w:ascii="Garamond" w:hAnsi="Garamond" w:cs="Times New Roman"/>
          <w:color w:val="000000"/>
          <w:sz w:val="24"/>
          <w:szCs w:val="24"/>
        </w:rPr>
        <w:t xml:space="preserve">1, 29, 31 dhe 32 të Kodit Penal, dhe </w:t>
      </w:r>
      <w:r w:rsidR="00F83D31" w:rsidRPr="00AF1BD6">
        <w:rPr>
          <w:rFonts w:ascii="Garamond" w:hAnsi="Garamond" w:cs="Times New Roman"/>
          <w:color w:val="000000"/>
          <w:sz w:val="24"/>
          <w:szCs w:val="24"/>
        </w:rPr>
        <w:t xml:space="preserve">neneve </w:t>
      </w:r>
      <w:r w:rsidRPr="00AF1BD6">
        <w:rPr>
          <w:rFonts w:ascii="Garamond" w:hAnsi="Garamond" w:cs="Times New Roman"/>
          <w:color w:val="000000"/>
          <w:sz w:val="24"/>
          <w:szCs w:val="24"/>
        </w:rPr>
        <w:t xml:space="preserve">13 dhe 75/a të Kodit të Procedurës Penale, krimet e rënda ishin ato që sipas legjislacionit i atribuoheshin kompetencës së Gjykatës për Krimet e Rënda, </w:t>
      </w:r>
      <w:r w:rsidR="00F83D31" w:rsidRPr="00AF1BD6">
        <w:rPr>
          <w:rFonts w:ascii="Garamond" w:hAnsi="Garamond" w:cs="Times New Roman"/>
          <w:color w:val="000000"/>
          <w:sz w:val="24"/>
          <w:szCs w:val="24"/>
        </w:rPr>
        <w:t xml:space="preserve">Antikorrupsion </w:t>
      </w:r>
      <w:r w:rsidRPr="00AF1BD6">
        <w:rPr>
          <w:rFonts w:ascii="Garamond" w:hAnsi="Garamond" w:cs="Times New Roman"/>
          <w:color w:val="000000"/>
          <w:sz w:val="24"/>
          <w:szCs w:val="24"/>
        </w:rPr>
        <w:t>dhe Krimit të Organizuar, ose krime të tjerë në kompetencën e një gjykate rrethi që dënoheshin me burgim deri në dhjetë v</w:t>
      </w:r>
      <w:r w:rsidR="00CD264C">
        <w:rPr>
          <w:rFonts w:ascii="Garamond" w:hAnsi="Garamond" w:cs="Times New Roman"/>
          <w:color w:val="000000"/>
          <w:sz w:val="24"/>
          <w:szCs w:val="24"/>
        </w:rPr>
        <w:t>jet</w:t>
      </w:r>
      <w:r w:rsidRPr="00AF1BD6">
        <w:rPr>
          <w:rFonts w:ascii="Garamond" w:hAnsi="Garamond" w:cs="Times New Roman"/>
          <w:color w:val="000000"/>
          <w:sz w:val="24"/>
          <w:szCs w:val="24"/>
        </w:rPr>
        <w:t xml:space="preserve">. Për rrjedhojë, </w:t>
      </w:r>
      <w:r w:rsidR="00883980" w:rsidRPr="00AF1BD6">
        <w:rPr>
          <w:rFonts w:ascii="Garamond" w:hAnsi="Garamond" w:cs="Times New Roman"/>
          <w:color w:val="000000"/>
          <w:sz w:val="24"/>
          <w:szCs w:val="24"/>
        </w:rPr>
        <w:t xml:space="preserve">neni </w:t>
      </w:r>
      <w:r w:rsidRPr="00AF1BD6">
        <w:rPr>
          <w:rFonts w:ascii="Garamond" w:hAnsi="Garamond" w:cs="Times New Roman"/>
          <w:color w:val="000000"/>
          <w:sz w:val="24"/>
          <w:szCs w:val="24"/>
        </w:rPr>
        <w:t xml:space="preserve">151 i Ligjit për Statusin e Gjyqtarëve dhe Prokurorëve që parashikonte një pezullim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nuk ishte i zbatueshëm në rastin e kërkuesve. Gjykata rrëzoi urdhrat për pezullim të Prokurorit të Përgjithshëm të Përkohshëm të datës 11 </w:t>
      </w:r>
      <w:r w:rsidR="00883980"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 xml:space="preserve">2018, dhe urdhëroi Prokurorinë e Përgjithshme të paguante kostot e kërkuesve. Vendimi i datës 8 </w:t>
      </w:r>
      <w:r w:rsidR="00CF65FE"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nuk specifikonte nëse vendimi hynte menjëherë në fuqi. Sipas kërkuesve, vendimi hynte në fuqi menjëherë (shih edhe paragrafët 14 dhe 16 më poshtë), edhe pse ai mund të apelohej në Gjykatën e Lartë të Shqipërisë. Prokurori i Përgjithshëm i Përkohshëm i kërkoi Gjykatës së Lartë të shqyrtoheshin pikat e ligjit. Rezulton që ky apelim të mos jetë shqyrtuar ende. Në </w:t>
      </w:r>
      <w:r w:rsidR="00CF65FE" w:rsidRPr="00AF1BD6">
        <w:rPr>
          <w:rFonts w:ascii="Garamond" w:hAnsi="Garamond" w:cs="Times New Roman"/>
          <w:color w:val="000000"/>
          <w:sz w:val="24"/>
          <w:szCs w:val="24"/>
        </w:rPr>
        <w:t xml:space="preserve">janar </w:t>
      </w:r>
      <w:r w:rsidRPr="00AF1BD6">
        <w:rPr>
          <w:rFonts w:ascii="Garamond" w:hAnsi="Garamond" w:cs="Times New Roman"/>
          <w:color w:val="000000"/>
          <w:sz w:val="24"/>
          <w:szCs w:val="24"/>
        </w:rPr>
        <w:t xml:space="preserve">2019, Gjykata Administrative e Apelit shpalli një vendim shtesë ku specifikonte shumën e kostove që duhej t’u paguhej kërkuesve. </w:t>
      </w:r>
    </w:p>
    <w:p w14:paraId="1BAA0AD4" w14:textId="450E41B8"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13.</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Prokuroria e Rrethit Fier mori përsipër hetimin penal nga një prokurori tjetër dhe kërkoi ndërprerjen e tij. Me anë të një vendimi të datës 4 </w:t>
      </w:r>
      <w:r w:rsidR="00CF65FE" w:rsidRPr="00AF1BD6">
        <w:rPr>
          <w:rFonts w:ascii="Garamond" w:hAnsi="Garamond" w:cs="Times New Roman"/>
          <w:color w:val="000000"/>
          <w:sz w:val="24"/>
          <w:szCs w:val="24"/>
        </w:rPr>
        <w:t xml:space="preserve">shkurt </w:t>
      </w:r>
      <w:r w:rsidRPr="00AF1BD6">
        <w:rPr>
          <w:rFonts w:ascii="Garamond" w:hAnsi="Garamond" w:cs="Times New Roman"/>
          <w:color w:val="000000"/>
          <w:sz w:val="24"/>
          <w:szCs w:val="24"/>
        </w:rPr>
        <w:t xml:space="preserve">2019, Gjykata e Rrethit Fier e pranoi kërkesën. Ajo gjykonte se vlerësimi i ILDKPKI-së për deklarimin e kërkuesit të parë për </w:t>
      </w:r>
      <w:r w:rsidRPr="00CF65FE">
        <w:rPr>
          <w:rFonts w:ascii="Garamond" w:hAnsi="Garamond" w:cs="Times New Roman"/>
          <w:i/>
          <w:color w:val="000000"/>
          <w:sz w:val="24"/>
          <w:szCs w:val="24"/>
        </w:rPr>
        <w:t>vetting</w:t>
      </w:r>
      <w:r w:rsidRPr="00AF1BD6">
        <w:rPr>
          <w:rFonts w:ascii="Garamond" w:hAnsi="Garamond" w:cs="Times New Roman"/>
          <w:color w:val="000000"/>
          <w:sz w:val="24"/>
          <w:szCs w:val="24"/>
        </w:rPr>
        <w:t xml:space="preserve">-un kishte qenë një masë paraprake specifikisht për procesin e </w:t>
      </w:r>
      <w:r w:rsidRPr="00CF65FE">
        <w:rPr>
          <w:rFonts w:ascii="Garamond" w:hAnsi="Garamond" w:cs="Times New Roman"/>
          <w:i/>
          <w:color w:val="000000"/>
          <w:sz w:val="24"/>
          <w:szCs w:val="24"/>
        </w:rPr>
        <w:t>vetting</w:t>
      </w:r>
      <w:r w:rsidRPr="00AF1BD6">
        <w:rPr>
          <w:rFonts w:ascii="Garamond" w:hAnsi="Garamond" w:cs="Times New Roman"/>
          <w:color w:val="000000"/>
          <w:sz w:val="24"/>
          <w:szCs w:val="24"/>
        </w:rPr>
        <w:t xml:space="preserve">-ut dhe që i nënshtrohej vlerësimit të organeve të </w:t>
      </w:r>
      <w:r w:rsidRPr="00CF65FE">
        <w:rPr>
          <w:rFonts w:ascii="Garamond" w:hAnsi="Garamond" w:cs="Times New Roman"/>
          <w:i/>
          <w:color w:val="000000"/>
          <w:sz w:val="24"/>
          <w:szCs w:val="24"/>
        </w:rPr>
        <w:t>vetting</w:t>
      </w:r>
      <w:r w:rsidRPr="00AF1BD6">
        <w:rPr>
          <w:rFonts w:ascii="Garamond" w:hAnsi="Garamond" w:cs="Times New Roman"/>
          <w:color w:val="000000"/>
          <w:sz w:val="24"/>
          <w:szCs w:val="24"/>
        </w:rPr>
        <w:t xml:space="preserve">-ut. Raporti nuk mund të përdorej në asnjë proces tjetër ndaj personit që rivlerësohej. Ky i fundit nuk mund t’i nënshtrohej ndonjë procedure tjetër në lidhje me faktet përkatëse teksa procesi i </w:t>
      </w:r>
      <w:r w:rsidRPr="00634113">
        <w:rPr>
          <w:rFonts w:ascii="Garamond" w:hAnsi="Garamond" w:cs="Times New Roman"/>
          <w:i/>
          <w:color w:val="000000"/>
          <w:sz w:val="24"/>
          <w:szCs w:val="24"/>
        </w:rPr>
        <w:t>vetting</w:t>
      </w:r>
      <w:r w:rsidRPr="00AF1BD6">
        <w:rPr>
          <w:rFonts w:ascii="Garamond" w:hAnsi="Garamond" w:cs="Times New Roman"/>
          <w:color w:val="000000"/>
          <w:sz w:val="24"/>
          <w:szCs w:val="24"/>
        </w:rPr>
        <w:t xml:space="preserve">-ut ishte ende pezull. Procesi penal u pushua në mbështetje të </w:t>
      </w:r>
      <w:r w:rsidR="00634113"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328 § 1 (d) dhe (f) të Kodit të Procedurës Penale (vendoset pushimi i çështjes kur ekziston një shkak që e shuan veprën penale ose për të cilin ndjekja penale nuk duhej të fillohej ose nuk duhet të vazhdojë, si edhe në rastet e tjera të parashikuara me ligj). Më 18 </w:t>
      </w:r>
      <w:r w:rsidR="00634113"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Gjykata e Apelit Vlorë la në fuqi vendimin e datës 4 </w:t>
      </w:r>
      <w:r w:rsidR="00634113" w:rsidRPr="00AF1BD6">
        <w:rPr>
          <w:rFonts w:ascii="Garamond" w:hAnsi="Garamond" w:cs="Times New Roman"/>
          <w:color w:val="000000"/>
          <w:sz w:val="24"/>
          <w:szCs w:val="24"/>
        </w:rPr>
        <w:t xml:space="preserve">shkurt </w:t>
      </w:r>
      <w:r w:rsidRPr="00AF1BD6">
        <w:rPr>
          <w:rFonts w:ascii="Garamond" w:hAnsi="Garamond" w:cs="Times New Roman"/>
          <w:color w:val="000000"/>
          <w:sz w:val="24"/>
          <w:szCs w:val="24"/>
        </w:rPr>
        <w:t xml:space="preserve">2019. </w:t>
      </w:r>
    </w:p>
    <w:p w14:paraId="656E335E" w14:textId="7CA44946"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14.</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Më 20 </w:t>
      </w:r>
      <w:r w:rsidR="00634113"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 xml:space="preserve">2019, përmbaruesit depozituan pranë Prokurorisë së Përgjithshme, në emër të kërkuesve, një njoftim për ekzekutim të vullnetshëm të vendimit për shlyerjen e kostove të kërkuesve, vendim i cili u shpall më 8 </w:t>
      </w:r>
      <w:r w:rsidR="007F3EF7"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Më 11 </w:t>
      </w:r>
      <w:r w:rsidR="007F3EF7"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procedura e ekzekutimit u ndërpre pasi kostot u paguan. </w:t>
      </w:r>
    </w:p>
    <w:p w14:paraId="4FB57A82" w14:textId="3DFA334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15.</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Më 16 </w:t>
      </w:r>
      <w:r w:rsidR="00D71E80"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kërkuesi i dytë i kërkoi prokurorisë Tiranë që t’i siguronte “kushtet fizike, infrastrukturën teknike dhe bazën materiale që të mund të vazhdonte me funksionet e tij në prokurori pranë prokurorisë së Tiranës”. Pas krijimit të Këshillit të Lartë të Prokurorisë (organi drejtues për emërimin, shkarkimin, ngritjen në detyrë, transferimin dhe masat disiplinore për prokurorët – në vijim “KLP”) në </w:t>
      </w:r>
      <w:r w:rsidR="00617A51" w:rsidRPr="00AF1BD6">
        <w:rPr>
          <w:rFonts w:ascii="Garamond" w:hAnsi="Garamond" w:cs="Times New Roman"/>
          <w:color w:val="000000"/>
          <w:sz w:val="24"/>
          <w:szCs w:val="24"/>
        </w:rPr>
        <w:t xml:space="preserve">dhjetor 2018, në muajin qershor </w:t>
      </w:r>
      <w:r w:rsidRPr="00AF1BD6">
        <w:rPr>
          <w:rFonts w:ascii="Garamond" w:hAnsi="Garamond" w:cs="Times New Roman"/>
          <w:color w:val="000000"/>
          <w:sz w:val="24"/>
          <w:szCs w:val="24"/>
        </w:rPr>
        <w:t xml:space="preserve">2019, prokuroria e Tiranës kërkoi opinionin e KLP-së nëse duhej, apo si duhej, të ekzekutonte vendimin e Gjykatës Administrative të Apelit të datës 8 </w:t>
      </w:r>
      <w:r w:rsidR="00617A51"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për anulimin e urdhrit të pezullimit në lidhje me kërkuesin e dytë. Deri në </w:t>
      </w:r>
      <w:r w:rsidR="00617A51" w:rsidRPr="00AF1BD6">
        <w:rPr>
          <w:rFonts w:ascii="Garamond" w:hAnsi="Garamond" w:cs="Times New Roman"/>
          <w:color w:val="000000"/>
          <w:sz w:val="24"/>
          <w:szCs w:val="24"/>
        </w:rPr>
        <w:t xml:space="preserve">tetor </w:t>
      </w:r>
      <w:r w:rsidRPr="00AF1BD6">
        <w:rPr>
          <w:rFonts w:ascii="Garamond" w:hAnsi="Garamond" w:cs="Times New Roman"/>
          <w:color w:val="000000"/>
          <w:sz w:val="24"/>
          <w:szCs w:val="24"/>
        </w:rPr>
        <w:t xml:space="preserve">2019 nuk u dha asnjë përgjigje. Sipas Qeverisë, kërkuesi i dytë nuk paraqiti ndonjë kërkesë pranë KLP-së apo Prokurorisë së Përgjithshme për ekzekutimin e vendimit. </w:t>
      </w:r>
    </w:p>
    <w:p w14:paraId="0029B382" w14:textId="5EC19C1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16.</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Prokuroria e Tiranës vazhdoi t’i paguante kërkuesit të dytë pagën mujore gjatë gjithë periudhës së pezullimit të tij. Pas një shkrese dërguar nga Prokurori i Përgjithshëm i sapoemëruar, në </w:t>
      </w:r>
      <w:r w:rsidR="00617A51" w:rsidRPr="00AF1BD6">
        <w:rPr>
          <w:rFonts w:ascii="Garamond" w:hAnsi="Garamond" w:cs="Times New Roman"/>
          <w:color w:val="000000"/>
          <w:sz w:val="24"/>
          <w:szCs w:val="24"/>
        </w:rPr>
        <w:t xml:space="preserve">janar </w:t>
      </w:r>
      <w:r w:rsidRPr="00AF1BD6">
        <w:rPr>
          <w:rFonts w:ascii="Garamond" w:hAnsi="Garamond" w:cs="Times New Roman"/>
          <w:color w:val="000000"/>
          <w:sz w:val="24"/>
          <w:szCs w:val="24"/>
        </w:rPr>
        <w:t xml:space="preserve">2020, </w:t>
      </w:r>
      <w:r w:rsidRPr="00AF1BD6">
        <w:rPr>
          <w:rFonts w:ascii="Garamond" w:hAnsi="Garamond" w:cs="Times New Roman"/>
          <w:color w:val="000000"/>
          <w:sz w:val="24"/>
          <w:szCs w:val="24"/>
        </w:rPr>
        <w:lastRenderedPageBreak/>
        <w:t xml:space="preserve">kërkuesit i kërkohej të paraqitej në zyrë dhe të vazhdonte detyrat e tij si prokuror pa vonesë pas marrjes së shkresës. </w:t>
      </w:r>
    </w:p>
    <w:p w14:paraId="5AD83361" w14:textId="3F2705A6"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17.</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Edhe kërkuesja e parë vazhdoi të merrte pagën e saj (shih paragrafin 27 më poshtë). Pasi ushtroi të drejtën e saj për të apeluar pranë KPA-së ndaj vendimit të KPK-së të datës 25 </w:t>
      </w:r>
      <w:r w:rsidR="00617A51" w:rsidRPr="00AF1BD6">
        <w:rPr>
          <w:rFonts w:ascii="Garamond" w:hAnsi="Garamond" w:cs="Times New Roman"/>
          <w:color w:val="000000"/>
          <w:sz w:val="24"/>
          <w:szCs w:val="24"/>
        </w:rPr>
        <w:t xml:space="preserve">korrik </w:t>
      </w:r>
      <w:r w:rsidRPr="00AF1BD6">
        <w:rPr>
          <w:rFonts w:ascii="Garamond" w:hAnsi="Garamond" w:cs="Times New Roman"/>
          <w:color w:val="000000"/>
          <w:sz w:val="24"/>
          <w:szCs w:val="24"/>
        </w:rPr>
        <w:t xml:space="preserve">2018, gjatë procesit përkatës të apelimit, ajo u pezullua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nga detyrat e saj në mbështetje të </w:t>
      </w:r>
      <w:r w:rsidR="00617A51"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62(1) të </w:t>
      </w:r>
      <w:r w:rsidR="00617A51" w:rsidRPr="00AF1BD6">
        <w:rPr>
          <w:rFonts w:ascii="Garamond" w:hAnsi="Garamond" w:cs="Times New Roman"/>
          <w:color w:val="000000"/>
          <w:sz w:val="24"/>
          <w:szCs w:val="24"/>
        </w:rPr>
        <w:t xml:space="preserve">Ligjit </w:t>
      </w:r>
      <w:r w:rsidRPr="00AF1BD6">
        <w:rPr>
          <w:rFonts w:ascii="Garamond" w:hAnsi="Garamond" w:cs="Times New Roman"/>
          <w:color w:val="000000"/>
          <w:sz w:val="24"/>
          <w:szCs w:val="24"/>
        </w:rPr>
        <w:t xml:space="preserve">të Rivlerësimit. Më pas, ajo u shkarkua nga pozicioni i saj. Shkarkimi i saj hyri në fuqi pas vendimit të KPA-së të datës 29 </w:t>
      </w:r>
      <w:r w:rsidR="00617A51"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 xml:space="preserve">2019. Sipas së njëjtës dispozitë në Ligjin për Rivlerësimin dhe </w:t>
      </w:r>
      <w:r w:rsidR="00617A51"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F § 5 të Aneksit të Kushtetutës, ajo u pagua në masën 75% të pagës së saj gjatë pezullimit në mbështetje të parashikimeve në Ligin e </w:t>
      </w:r>
      <w:r w:rsidR="00617A51" w:rsidRPr="00617A51">
        <w:rPr>
          <w:rFonts w:ascii="Garamond" w:hAnsi="Garamond" w:cs="Times New Roman"/>
          <w:i/>
          <w:color w:val="000000"/>
          <w:sz w:val="24"/>
          <w:szCs w:val="24"/>
        </w:rPr>
        <w:t>Vetting</w:t>
      </w:r>
      <w:r w:rsidRPr="00AF1BD6">
        <w:rPr>
          <w:rFonts w:ascii="Garamond" w:hAnsi="Garamond" w:cs="Times New Roman"/>
          <w:color w:val="000000"/>
          <w:sz w:val="24"/>
          <w:szCs w:val="24"/>
        </w:rPr>
        <w:t xml:space="preserve">-ut. </w:t>
      </w:r>
    </w:p>
    <w:p w14:paraId="0401D6FB" w14:textId="4FF3341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III.</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PRETENDIMI PËR </w:t>
      </w:r>
      <w:r w:rsidR="00197D4A" w:rsidRPr="00AF1BD6">
        <w:rPr>
          <w:rFonts w:ascii="Garamond" w:hAnsi="Garamond" w:cs="Times New Roman"/>
          <w:color w:val="000000"/>
          <w:sz w:val="24"/>
          <w:szCs w:val="24"/>
        </w:rPr>
        <w:t>BËRJEN</w:t>
      </w:r>
      <w:r w:rsidRPr="00AF1BD6">
        <w:rPr>
          <w:rFonts w:ascii="Garamond" w:hAnsi="Garamond" w:cs="Times New Roman"/>
          <w:color w:val="000000"/>
          <w:sz w:val="24"/>
          <w:szCs w:val="24"/>
        </w:rPr>
        <w:t xml:space="preserve"> PUBLIKE TË DOKUMENTEVE PËR MEDI</w:t>
      </w:r>
      <w:r w:rsidR="00197D4A">
        <w:rPr>
          <w:rFonts w:ascii="Garamond" w:hAnsi="Garamond" w:cs="Times New Roman"/>
          <w:color w:val="000000"/>
          <w:sz w:val="24"/>
          <w:szCs w:val="24"/>
        </w:rPr>
        <w:t>E</w:t>
      </w:r>
      <w:r w:rsidRPr="00AF1BD6">
        <w:rPr>
          <w:rFonts w:ascii="Garamond" w:hAnsi="Garamond" w:cs="Times New Roman"/>
          <w:color w:val="000000"/>
          <w:sz w:val="24"/>
          <w:szCs w:val="24"/>
        </w:rPr>
        <w:t>N</w:t>
      </w:r>
    </w:p>
    <w:p w14:paraId="2048E939" w14:textId="57240E7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18.</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Më 9 </w:t>
      </w:r>
      <w:r w:rsidR="00197D4A"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 xml:space="preserve">2018, Alpenews, një portal lajmesh </w:t>
      </w:r>
      <w:r w:rsidRPr="00197D4A">
        <w:rPr>
          <w:rFonts w:ascii="Garamond" w:hAnsi="Garamond" w:cs="Times New Roman"/>
          <w:i/>
          <w:color w:val="000000"/>
          <w:sz w:val="24"/>
          <w:szCs w:val="24"/>
        </w:rPr>
        <w:t>online</w:t>
      </w:r>
      <w:r w:rsidRPr="00AF1BD6">
        <w:rPr>
          <w:rFonts w:ascii="Garamond" w:hAnsi="Garamond" w:cs="Times New Roman"/>
          <w:color w:val="000000"/>
          <w:sz w:val="24"/>
          <w:szCs w:val="24"/>
        </w:rPr>
        <w:t xml:space="preserve">, publikoi artikullin e mëposhtëm: </w:t>
      </w:r>
    </w:p>
    <w:p w14:paraId="1E34C8E3" w14:textId="70A6863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“Thellohet skandali i ish</w:t>
      </w:r>
      <w:r w:rsidR="009D34C0">
        <w:rPr>
          <w:rFonts w:ascii="Garamond" w:hAnsi="Garamond" w:cs="Times New Roman"/>
          <w:color w:val="000000"/>
          <w:sz w:val="24"/>
          <w:szCs w:val="24"/>
        </w:rPr>
        <w:t>-</w:t>
      </w:r>
      <w:r w:rsidRPr="00AF1BD6">
        <w:rPr>
          <w:rFonts w:ascii="Garamond" w:hAnsi="Garamond" w:cs="Times New Roman"/>
          <w:color w:val="000000"/>
          <w:sz w:val="24"/>
          <w:szCs w:val="24"/>
        </w:rPr>
        <w:t>drejtuesve më të lartë Prokurorisë së Përgjithshme. Faktet dhe provat e investigimit të “Alpene</w:t>
      </w:r>
      <w:r w:rsidR="009D34C0">
        <w:rPr>
          <w:rFonts w:ascii="Garamond" w:hAnsi="Garamond" w:cs="Times New Roman"/>
          <w:color w:val="000000"/>
          <w:sz w:val="24"/>
          <w:szCs w:val="24"/>
        </w:rPr>
        <w:t>w</w:t>
      </w:r>
      <w:r w:rsidRPr="00AF1BD6">
        <w:rPr>
          <w:rFonts w:ascii="Garamond" w:hAnsi="Garamond" w:cs="Times New Roman"/>
          <w:color w:val="000000"/>
          <w:sz w:val="24"/>
          <w:szCs w:val="24"/>
        </w:rPr>
        <w:t>s.al”, pas ish-</w:t>
      </w:r>
      <w:r w:rsidR="009D34C0" w:rsidRPr="00AF1BD6">
        <w:rPr>
          <w:rFonts w:ascii="Garamond" w:hAnsi="Garamond" w:cs="Times New Roman"/>
          <w:color w:val="000000"/>
          <w:sz w:val="24"/>
          <w:szCs w:val="24"/>
        </w:rPr>
        <w:t xml:space="preserve">kryeprokurorit </w:t>
      </w:r>
      <w:r w:rsidRPr="00AF1BD6">
        <w:rPr>
          <w:rFonts w:ascii="Garamond" w:hAnsi="Garamond" w:cs="Times New Roman"/>
          <w:color w:val="000000"/>
          <w:sz w:val="24"/>
          <w:szCs w:val="24"/>
        </w:rPr>
        <w:t>të Shqipërisë A.L., të çojnë te bashkëpunëtorja e tij më e afërt [kërkuesja e parë].</w:t>
      </w:r>
    </w:p>
    <w:p w14:paraId="6A0B5E97" w14:textId="77777777"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Vetëm pak orë pasi ajo ka humbur procesin gjyqësor të ngritur kundër vendimit të Kryeprokurores së Përkohshme A.M., për shkarkimin nga detyra e Drejtoreshës së Drejtorisë së Marrëdhënieve me Jashtë dhe asaj të Dekriminalizimit, dalin në dritë të dhëna që pritet ta tronditin nga themelet sistemin e vjetër të drejtësisë shqiptare...</w:t>
      </w:r>
    </w:p>
    <w:p w14:paraId="5138B48D" w14:textId="62058B0C"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Për disa javë me radhë, opinioni ynë publik është njohur me vendimin... që i ndaloi hyrjen në SHBA A.L. dhe familjarëve të tij, për shkak të përfshirjes së tij në raste të mëdha korrupsioni. Kjo u shoqërua me publikimin e provave dhe fakteve që tregonin jetën e shfrenuar të familjes së ish-</w:t>
      </w:r>
      <w:r w:rsidR="007136C7" w:rsidRPr="00AF1BD6">
        <w:rPr>
          <w:rFonts w:ascii="Garamond" w:hAnsi="Garamond" w:cs="MS Mincho"/>
          <w:color w:val="000000"/>
          <w:sz w:val="24"/>
          <w:szCs w:val="24"/>
        </w:rPr>
        <w:t xml:space="preserve">kryeprokurorit </w:t>
      </w:r>
      <w:r w:rsidRPr="00AF1BD6">
        <w:rPr>
          <w:rFonts w:ascii="Garamond" w:hAnsi="Garamond" w:cs="MS Mincho"/>
          <w:color w:val="000000"/>
          <w:sz w:val="24"/>
          <w:szCs w:val="24"/>
        </w:rPr>
        <w:t>të Shqipërisë, e cila i tejkalon frikshëm, mundësitë e kufizuara financiare që të ofrojnë dy pagat normale të dy zyrtarëve të shtetit shqiptar që janë edhe të ardhurat legale të deklaruara nga A.L. dhe bashkëshortja e tij.</w:t>
      </w:r>
    </w:p>
    <w:p w14:paraId="07735C11" w14:textId="08C42869"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Gjatë kësaj jave, Alpene</w:t>
      </w:r>
      <w:r w:rsidR="009B6191">
        <w:rPr>
          <w:rFonts w:ascii="Garamond" w:hAnsi="Garamond" w:cs="MS Mincho"/>
          <w:color w:val="000000"/>
          <w:sz w:val="24"/>
          <w:szCs w:val="24"/>
        </w:rPr>
        <w:t>w</w:t>
      </w:r>
      <w:r w:rsidRPr="00AF1BD6">
        <w:rPr>
          <w:rFonts w:ascii="Garamond" w:hAnsi="Garamond" w:cs="MS Mincho"/>
          <w:color w:val="000000"/>
          <w:sz w:val="24"/>
          <w:szCs w:val="24"/>
        </w:rPr>
        <w:t>s.al publikoi rezultatet e investigimit që zbuloi me dokumente zyrtare dhe shkresa me firmën e A.L. për përfshirjen e tij në një megaskemë të errët investimesh financiare në pasuri të paluajtshme, të blera me çmime qesharake e më pas të rishitura ose rivlerësuara, me çmime dhjetëra herë më të larta brenda një kohe fare të shkurtër. Një skemë e cila sipas ekspertëve të fushës është tipike e pastrimit të parave të pista.</w:t>
      </w:r>
    </w:p>
    <w:p w14:paraId="6F9FBFA8" w14:textId="0CE15C86"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Ndërkohe që zhvillohej ky investigim, provat dhe faktet na çuan me sa duket pashmangshmërisht te [personi] që është konsideruar gjithmonë si krahu i djathtë i A.L. dhe si bashkëpunëtorja e tij më e ngushtë në Prokurorinë e Përgjithshme [kërkuesja e parë]. Prova dhe fakte këto që zbulojnë një botë edhe më të errët se ajo e A.L. Duke na ofruar prova tronditëse për pasuritë e [kërkueses së parë] dhe familjarëve të saj.</w:t>
      </w:r>
    </w:p>
    <w:p w14:paraId="5E8874CF" w14:textId="77777777"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Ajo është munduar që të aplikojë një skemë edhe më të sofistikuar për fshehjen e pasurive, sesa ajo që u zbulua për A.L. Për rrjedhojë edhe zbulimi i Alpenews.al është edhe më i rëndë. Një zbulim që pritet të tronditi jo vetëm pozitat juridike të [kërkueses së parë], por ndoshta të krejt sistemit të vjetër të drejtësisë. Prova këto që do të bëhen publike nga ne në orët dhe ditët në vijim</w:t>
      </w:r>
      <w:r w:rsidRPr="00AF1BD6">
        <w:rPr>
          <w:rFonts w:ascii="Garamond" w:hAnsi="Garamond" w:cs="Arial"/>
          <w:color w:val="008000"/>
          <w:sz w:val="24"/>
          <w:szCs w:val="24"/>
        </w:rPr>
        <w:t>.</w:t>
      </w:r>
      <w:r w:rsidRPr="00AF1BD6">
        <w:rPr>
          <w:rFonts w:ascii="Garamond" w:hAnsi="Garamond" w:cs="MS Mincho"/>
          <w:color w:val="000000"/>
          <w:sz w:val="24"/>
          <w:szCs w:val="24"/>
        </w:rPr>
        <w:t>”</w:t>
      </w:r>
    </w:p>
    <w:p w14:paraId="33F60EE1" w14:textId="5D691909"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19.</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Artikuj të tjerë, mbi dyzet artikuj sipas kërkuesve, u publikuan në periudhën nga muaji </w:t>
      </w:r>
      <w:r w:rsidR="007E3B0E" w:rsidRPr="00AF1BD6">
        <w:rPr>
          <w:rFonts w:ascii="Garamond" w:hAnsi="Garamond" w:cs="Linux Libertine G"/>
          <w:color w:val="000000"/>
          <w:sz w:val="24"/>
          <w:szCs w:val="24"/>
        </w:rPr>
        <w:t xml:space="preserve">mars deri më korrik </w:t>
      </w:r>
      <w:r w:rsidRPr="00AF1BD6">
        <w:rPr>
          <w:rFonts w:ascii="Garamond" w:hAnsi="Garamond" w:cs="Linux Libertine G"/>
          <w:color w:val="000000"/>
          <w:sz w:val="24"/>
          <w:szCs w:val="24"/>
        </w:rPr>
        <w:t>2018. Kërkuesja e parë u ankua pranë Operacionit Ndërkombëtar të Monitorimit se një anëtar i trupës gjykuese të KPK-së në çështjen e saj (S</w:t>
      </w:r>
      <w:r w:rsidR="00C01F4D">
        <w:rPr>
          <w:rFonts w:ascii="Garamond" w:hAnsi="Garamond" w:cs="Linux Libertine G"/>
          <w:color w:val="000000"/>
          <w:sz w:val="24"/>
          <w:szCs w:val="24"/>
        </w:rPr>
        <w:t>.</w:t>
      </w:r>
      <w:r w:rsidRPr="00AF1BD6">
        <w:rPr>
          <w:rFonts w:ascii="Garamond" w:hAnsi="Garamond" w:cs="Linux Libertine G"/>
          <w:color w:val="000000"/>
          <w:sz w:val="24"/>
          <w:szCs w:val="24"/>
        </w:rPr>
        <w:t>Z</w:t>
      </w:r>
      <w:r w:rsidR="00C01F4D">
        <w:rPr>
          <w:rFonts w:ascii="Garamond" w:hAnsi="Garamond" w:cs="Linux Libertine G"/>
          <w:color w:val="000000"/>
          <w:sz w:val="24"/>
          <w:szCs w:val="24"/>
        </w:rPr>
        <w:t>.</w:t>
      </w:r>
      <w:r w:rsidRPr="00AF1BD6">
        <w:rPr>
          <w:rFonts w:ascii="Garamond" w:hAnsi="Garamond" w:cs="Linux Libertine G"/>
          <w:color w:val="000000"/>
          <w:sz w:val="24"/>
          <w:szCs w:val="24"/>
        </w:rPr>
        <w:t>) ishte në pozitat e konfliktit të interesit, sepse një i afërm (i kërkueses së parë) kishte depozituar një padi penale ndaj bashkëshortit të S.Z. për një vepër të rëndë, për të cilën ai po gjykohej. Kërkuesja e parë pretendoi se S</w:t>
      </w:r>
      <w:r w:rsidR="00C01F4D">
        <w:rPr>
          <w:rFonts w:ascii="Garamond" w:hAnsi="Garamond" w:cs="Linux Libertine G"/>
          <w:color w:val="000000"/>
          <w:sz w:val="24"/>
          <w:szCs w:val="24"/>
        </w:rPr>
        <w:t>.</w:t>
      </w:r>
      <w:r w:rsidRPr="00AF1BD6">
        <w:rPr>
          <w:rFonts w:ascii="Garamond" w:hAnsi="Garamond" w:cs="Linux Libertine G"/>
          <w:color w:val="000000"/>
          <w:sz w:val="24"/>
          <w:szCs w:val="24"/>
        </w:rPr>
        <w:t>Z. mund të ketë bërë publike informacione konfidenciale për Alpenews dhe kërkoi që kjo rrjedhje informacioni të hetohej. Në ankesën e saj pranë OMN-së, kërkuesja e parë parashtroi se Alpenews kishte bërë publike dokumente</w:t>
      </w:r>
      <w:r w:rsidR="00267801">
        <w:rPr>
          <w:rFonts w:ascii="Garamond" w:hAnsi="Garamond" w:cs="Linux Libertine G"/>
          <w:color w:val="000000"/>
          <w:sz w:val="24"/>
          <w:szCs w:val="24"/>
        </w:rPr>
        <w:t>,</w:t>
      </w:r>
      <w:r w:rsidRPr="00AF1BD6">
        <w:rPr>
          <w:rFonts w:ascii="Garamond" w:hAnsi="Garamond" w:cs="Linux Libertine G"/>
          <w:color w:val="000000"/>
          <w:sz w:val="24"/>
          <w:szCs w:val="24"/>
        </w:rPr>
        <w:t xml:space="preserve"> në lidhje me çështje private të babait të saj (vendime nga Komisioni për Rikthimin dhe Kompensimin e Pronave; certifikatën e pronësisë për një sërë pronash; kontrata shitblerjesh për prona dhe pasuri të caktuara të dhëna me qira). Kryetari i KPK-së nisi një hetim, ku kërkoi shpjegime prej S.Z</w:t>
      </w:r>
      <w:r w:rsidR="003852E7">
        <w:rPr>
          <w:rFonts w:ascii="Garamond" w:hAnsi="Garamond" w:cs="Linux Libertine G"/>
          <w:color w:val="000000"/>
          <w:sz w:val="24"/>
          <w:szCs w:val="24"/>
        </w:rPr>
        <w:t>.</w:t>
      </w:r>
      <w:r w:rsidRPr="00AF1BD6">
        <w:rPr>
          <w:rFonts w:ascii="Garamond" w:hAnsi="Garamond" w:cs="Linux Libertine G"/>
          <w:color w:val="000000"/>
          <w:sz w:val="24"/>
          <w:szCs w:val="24"/>
        </w:rPr>
        <w:t>, një anëtari tjetër të KPK-së dhe dy këshilltarëve. Sipas S.Z</w:t>
      </w:r>
      <w:r w:rsidR="003852E7">
        <w:rPr>
          <w:rFonts w:ascii="Garamond" w:hAnsi="Garamond" w:cs="Linux Libertine G"/>
          <w:color w:val="000000"/>
          <w:sz w:val="24"/>
          <w:szCs w:val="24"/>
        </w:rPr>
        <w:t>.</w:t>
      </w:r>
      <w:r w:rsidRPr="00AF1BD6">
        <w:rPr>
          <w:rFonts w:ascii="Garamond" w:hAnsi="Garamond" w:cs="Linux Libertine G"/>
          <w:color w:val="000000"/>
          <w:sz w:val="24"/>
          <w:szCs w:val="24"/>
        </w:rPr>
        <w:t>, dokumentet e publikuara në medi</w:t>
      </w:r>
      <w:r w:rsidR="003852E7">
        <w:rPr>
          <w:rFonts w:ascii="Garamond" w:hAnsi="Garamond" w:cs="Linux Libertine G"/>
          <w:color w:val="000000"/>
          <w:sz w:val="24"/>
          <w:szCs w:val="24"/>
        </w:rPr>
        <w:t>e</w:t>
      </w:r>
      <w:r w:rsidRPr="00AF1BD6">
        <w:rPr>
          <w:rFonts w:ascii="Garamond" w:hAnsi="Garamond" w:cs="Linux Libertine G"/>
          <w:color w:val="000000"/>
          <w:sz w:val="24"/>
          <w:szCs w:val="24"/>
        </w:rPr>
        <w:t xml:space="preserve"> nuk ishin midis dokumenteve të depozituara nga kërkuesja e parë pranë KPK-së. Ajo nuk kishte dijeni për rrethanat e pretenduara nga kërkuesja e parë dhe deklaroi se edhe nëse ato rrethana ekzistonin, ato nuk do të përbënin konflikt interesi. Sidoqoftë, S.Z. shprehu vullnetin për t’u tërhequr nga trupa gjykuese e KPK-së për të shmangur ndonjë dëm për procesin e </w:t>
      </w:r>
      <w:r w:rsidRPr="003852E7">
        <w:rPr>
          <w:rFonts w:ascii="Garamond" w:hAnsi="Garamond" w:cs="Linux Libertine G"/>
          <w:i/>
          <w:color w:val="000000"/>
          <w:sz w:val="24"/>
          <w:szCs w:val="24"/>
        </w:rPr>
        <w:t>vetting</w:t>
      </w:r>
      <w:r w:rsidRPr="00AF1BD6">
        <w:rPr>
          <w:rFonts w:ascii="Garamond" w:hAnsi="Garamond" w:cs="Linux Libertine G"/>
          <w:color w:val="000000"/>
          <w:sz w:val="24"/>
          <w:szCs w:val="24"/>
        </w:rPr>
        <w:t xml:space="preserve">-ut. Për shqyrtimin e kërkesës së S.Z. për t’u tërhequr nga trupa gjykuese u ngrit një panel. Më 15 </w:t>
      </w:r>
      <w:r w:rsidR="003852E7" w:rsidRPr="00AF1BD6">
        <w:rPr>
          <w:rFonts w:ascii="Garamond" w:hAnsi="Garamond" w:cs="Linux Libertine G"/>
          <w:color w:val="000000"/>
          <w:sz w:val="24"/>
          <w:szCs w:val="24"/>
        </w:rPr>
        <w:t xml:space="preserve">mars </w:t>
      </w:r>
      <w:r w:rsidRPr="00AF1BD6">
        <w:rPr>
          <w:rFonts w:ascii="Garamond" w:hAnsi="Garamond" w:cs="Linux Libertine G"/>
          <w:color w:val="000000"/>
          <w:sz w:val="24"/>
          <w:szCs w:val="24"/>
        </w:rPr>
        <w:t xml:space="preserve">2018, paneli e pranoi kërkesën. Më 8 </w:t>
      </w:r>
      <w:r w:rsidR="003852E7" w:rsidRPr="00AF1BD6">
        <w:rPr>
          <w:rFonts w:ascii="Garamond" w:hAnsi="Garamond" w:cs="Linux Libertine G"/>
          <w:color w:val="000000"/>
          <w:sz w:val="24"/>
          <w:szCs w:val="24"/>
        </w:rPr>
        <w:t xml:space="preserve">maj </w:t>
      </w:r>
      <w:r w:rsidRPr="00AF1BD6">
        <w:rPr>
          <w:rFonts w:ascii="Garamond" w:hAnsi="Garamond" w:cs="Linux Libertine G"/>
          <w:color w:val="000000"/>
          <w:sz w:val="24"/>
          <w:szCs w:val="24"/>
        </w:rPr>
        <w:t xml:space="preserve">2018, OMN-ja refuzoi të merrte masa disiplinore ndaj S.Z. sipas </w:t>
      </w:r>
      <w:r w:rsidR="003852E7"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17 të Ligjit të Rivlerësimin (shih paragrafin 23 më poshtë). Rezulton se kërkuesja e parë u ankua edhe pranë ILDKPKI-së , por nuk mori përgjigje. </w:t>
      </w:r>
    </w:p>
    <w:p w14:paraId="01A593E0" w14:textId="77777777"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PRAKTIKA DHE KUADRI LIGJOR PËRKATËS</w:t>
      </w:r>
    </w:p>
    <w:p w14:paraId="4826AC73" w14:textId="7F90EE50"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I.</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KUSHTETUTA E SHQIPËRISË</w:t>
      </w:r>
    </w:p>
    <w:p w14:paraId="74EAC7A0" w14:textId="00C4FFB7"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20.</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Në mbështetje të </w:t>
      </w:r>
      <w:r w:rsidR="00287FB8"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179 § 7 të Kushtetutës, së bashku me </w:t>
      </w:r>
      <w:r w:rsidR="00287FB8" w:rsidRPr="00AF1BD6">
        <w:rPr>
          <w:rFonts w:ascii="Garamond" w:hAnsi="Garamond" w:cs="Linux Libertine G"/>
          <w:color w:val="000000"/>
          <w:sz w:val="24"/>
          <w:szCs w:val="24"/>
        </w:rPr>
        <w:t xml:space="preserve">nenin </w:t>
      </w:r>
      <w:r w:rsidRPr="00AF1BD6">
        <w:rPr>
          <w:rFonts w:ascii="Garamond" w:hAnsi="Garamond" w:cs="Linux Libertine G"/>
          <w:color w:val="000000"/>
          <w:sz w:val="24"/>
          <w:szCs w:val="24"/>
        </w:rPr>
        <w:t>179/b, gjatë një mandati nëntëvjeçar, Kolegji i Posaçëm i Apelimeve (“KPA”) ushtron juridiksion disiplinor ndaj të gjithë gjyqtarëve të Gjykatës Kushtetuese, anëtarëve të Këshillit të Lartë Gjyqësor dhe Këshillit të Lartë të Prokurorisë (“KLP”), Prokurorit të Përgjithshëm dhe Inspektorit të Lartë të Drejtësisë. KPA</w:t>
      </w:r>
      <w:r w:rsidR="005B1FD9">
        <w:rPr>
          <w:rFonts w:ascii="Garamond" w:hAnsi="Garamond" w:cs="Linux Libertine G"/>
          <w:color w:val="000000"/>
          <w:sz w:val="24"/>
          <w:szCs w:val="24"/>
        </w:rPr>
        <w:t>-ja</w:t>
      </w:r>
      <w:r w:rsidRPr="00AF1BD6">
        <w:rPr>
          <w:rFonts w:ascii="Garamond" w:hAnsi="Garamond" w:cs="Linux Libertine G"/>
          <w:color w:val="000000"/>
          <w:sz w:val="24"/>
          <w:szCs w:val="24"/>
        </w:rPr>
        <w:t xml:space="preserve"> shqyrton apelimet ndaj vendimeve të Këshillit të Lartë Gjyqësor, KLP-së dhe Inspektorit të Lartë të Drejtësisë, duke vendosur masa disiplinore ndaj gjyqtarëve, prokurorëve dhe inspektorëve respektivisht (shih edhe paragrafin 28 më poshtë). </w:t>
      </w:r>
    </w:p>
    <w:p w14:paraId="6DF934B1" w14:textId="08F7CB9B"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21.</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Neni F i </w:t>
      </w:r>
      <w:r w:rsidR="00520F20" w:rsidRPr="00AF1BD6">
        <w:rPr>
          <w:rFonts w:ascii="Garamond" w:hAnsi="Garamond" w:cs="Linux Libertine G"/>
          <w:color w:val="000000"/>
          <w:sz w:val="24"/>
          <w:szCs w:val="24"/>
        </w:rPr>
        <w:t xml:space="preserve">aneksit </w:t>
      </w:r>
      <w:r w:rsidRPr="00AF1BD6">
        <w:rPr>
          <w:rFonts w:ascii="Garamond" w:hAnsi="Garamond" w:cs="Linux Libertine G"/>
          <w:color w:val="000000"/>
          <w:sz w:val="24"/>
          <w:szCs w:val="24"/>
        </w:rPr>
        <w:t xml:space="preserve">të Kushtetutës parashikon se gjatë shqyrtimit të një apelimi në </w:t>
      </w:r>
      <w:r w:rsidRPr="008166B0">
        <w:rPr>
          <w:rFonts w:ascii="Garamond" w:hAnsi="Garamond" w:cs="Linux Libertine G"/>
          <w:i/>
          <w:color w:val="000000"/>
          <w:sz w:val="24"/>
          <w:szCs w:val="24"/>
        </w:rPr>
        <w:t>vetting</w:t>
      </w:r>
      <w:r w:rsidRPr="00AF1BD6">
        <w:rPr>
          <w:rFonts w:ascii="Garamond" w:hAnsi="Garamond" w:cs="Linux Libertine G"/>
          <w:color w:val="000000"/>
          <w:sz w:val="24"/>
          <w:szCs w:val="24"/>
        </w:rPr>
        <w:t xml:space="preserve"> nga KPA</w:t>
      </w:r>
      <w:r w:rsidR="008166B0">
        <w:rPr>
          <w:rFonts w:ascii="Garamond" w:hAnsi="Garamond" w:cs="Linux Libertine G"/>
          <w:color w:val="000000"/>
          <w:sz w:val="24"/>
          <w:szCs w:val="24"/>
        </w:rPr>
        <w:t>-ja</w:t>
      </w:r>
      <w:r w:rsidRPr="00AF1BD6">
        <w:rPr>
          <w:rFonts w:ascii="Garamond" w:hAnsi="Garamond" w:cs="Linux Libertine G"/>
          <w:color w:val="000000"/>
          <w:sz w:val="24"/>
          <w:szCs w:val="24"/>
        </w:rPr>
        <w:t xml:space="preserve">, personi që rivlerësohet merr 75% të pagës së tij/saj; një vendim i formës së prerë që urdhëron shkarkimin nga detyra ka një efekt të menjëhershëm </w:t>
      </w:r>
      <w:r w:rsidRPr="00AF1BD6">
        <w:rPr>
          <w:rFonts w:ascii="Garamond" w:hAnsi="Garamond" w:cs="Linux Libertine G"/>
          <w:i/>
          <w:iCs/>
          <w:color w:val="000000"/>
          <w:sz w:val="24"/>
          <w:szCs w:val="24"/>
        </w:rPr>
        <w:t>ex lege</w:t>
      </w:r>
      <w:r w:rsidRPr="00AF1BD6">
        <w:rPr>
          <w:rFonts w:ascii="Garamond" w:hAnsi="Garamond" w:cs="Linux Libertine G"/>
          <w:color w:val="000000"/>
          <w:sz w:val="24"/>
          <w:szCs w:val="24"/>
        </w:rPr>
        <w:t xml:space="preserve">; dhe një person i cili është në procesin e rivlerësimit dhe që apelon masën disiplinore të shkarkimit, pezullohet nga detyra në pritje të vendimit të KPA-së. Në praktikë, personat në </w:t>
      </w:r>
      <w:r w:rsidRPr="00DB61B4">
        <w:rPr>
          <w:rFonts w:ascii="Garamond" w:hAnsi="Garamond" w:cs="Linux Libertine G"/>
          <w:i/>
          <w:color w:val="000000"/>
          <w:sz w:val="24"/>
          <w:szCs w:val="24"/>
        </w:rPr>
        <w:t>vetting</w:t>
      </w:r>
      <w:r w:rsidRPr="00AF1BD6">
        <w:rPr>
          <w:rFonts w:ascii="Garamond" w:hAnsi="Garamond" w:cs="Linux Libertine G"/>
          <w:color w:val="000000"/>
          <w:sz w:val="24"/>
          <w:szCs w:val="24"/>
        </w:rPr>
        <w:t xml:space="preserve"> janë konsideruar të pezulluar nga momenti i vendimit për shkarkim dhënë nga KPK</w:t>
      </w:r>
      <w:r w:rsidR="008B239B">
        <w:rPr>
          <w:rFonts w:ascii="Garamond" w:hAnsi="Garamond" w:cs="Linux Libertine G"/>
          <w:color w:val="000000"/>
          <w:sz w:val="24"/>
          <w:szCs w:val="24"/>
        </w:rPr>
        <w:t>-ja</w:t>
      </w:r>
      <w:r w:rsidRPr="00AF1BD6">
        <w:rPr>
          <w:rFonts w:ascii="Garamond" w:hAnsi="Garamond" w:cs="Linux Libertine G"/>
          <w:color w:val="000000"/>
          <w:sz w:val="24"/>
          <w:szCs w:val="24"/>
        </w:rPr>
        <w:t xml:space="preserve">, duke pasur parasysh vonesat e mundshme në ofrimin e një vendimi të arsyetuar për subjektet e rivlerësuar. </w:t>
      </w:r>
    </w:p>
    <w:p w14:paraId="0C6755FA" w14:textId="2B071E83"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22.</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8B239B"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Ç të </w:t>
      </w:r>
      <w:r w:rsidR="008B239B" w:rsidRPr="00AF1BD6">
        <w:rPr>
          <w:rFonts w:ascii="Garamond" w:hAnsi="Garamond" w:cs="Linux Libertine G"/>
          <w:color w:val="000000"/>
          <w:sz w:val="24"/>
          <w:szCs w:val="24"/>
        </w:rPr>
        <w:t xml:space="preserve">aneksit </w:t>
      </w:r>
      <w:r w:rsidRPr="00AF1BD6">
        <w:rPr>
          <w:rFonts w:ascii="Garamond" w:hAnsi="Garamond" w:cs="Linux Libertine G"/>
          <w:color w:val="000000"/>
          <w:sz w:val="24"/>
          <w:szCs w:val="24"/>
        </w:rPr>
        <w:t xml:space="preserve">të Kushtetutës, barra e provës kalon te personi i rivlerësuar vetëm për procesin e </w:t>
      </w:r>
      <w:r w:rsidRPr="008B239B">
        <w:rPr>
          <w:rFonts w:ascii="Garamond" w:hAnsi="Garamond" w:cs="Linux Libertine G"/>
          <w:i/>
          <w:color w:val="000000"/>
          <w:sz w:val="24"/>
          <w:szCs w:val="24"/>
        </w:rPr>
        <w:t>vetting</w:t>
      </w:r>
      <w:r w:rsidRPr="00AF1BD6">
        <w:rPr>
          <w:rFonts w:ascii="Garamond" w:hAnsi="Garamond" w:cs="Linux Libertine G"/>
          <w:color w:val="000000"/>
          <w:sz w:val="24"/>
          <w:szCs w:val="24"/>
        </w:rPr>
        <w:t xml:space="preserve">-ut, duke përjashtuar proceset e tjerë, veçanërisht, proceset penale. </w:t>
      </w:r>
    </w:p>
    <w:p w14:paraId="608CF2FC" w14:textId="30C478FF"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II.</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LIGJI NR. 84/2016</w:t>
      </w:r>
      <w:r w:rsidR="008B239B">
        <w:rPr>
          <w:rFonts w:ascii="Garamond" w:hAnsi="Garamond" w:cs="Linux Libertine G"/>
          <w:color w:val="000000"/>
          <w:sz w:val="24"/>
          <w:szCs w:val="24"/>
        </w:rPr>
        <w:t>,</w:t>
      </w:r>
      <w:r w:rsidRPr="00AF1BD6">
        <w:rPr>
          <w:rFonts w:ascii="Garamond" w:hAnsi="Garamond" w:cs="Linux Libertine G"/>
          <w:color w:val="000000"/>
          <w:sz w:val="24"/>
          <w:szCs w:val="24"/>
        </w:rPr>
        <w:t xml:space="preserve"> PËR RIVLERËSIMIN KALIMTAR TË GJYQTARËVE DHE PROKURORËVE (“LIGJI I </w:t>
      </w:r>
      <w:r w:rsidRPr="008B239B">
        <w:rPr>
          <w:rFonts w:ascii="Garamond" w:hAnsi="Garamond" w:cs="Linux Libertine G"/>
          <w:i/>
          <w:color w:val="000000"/>
          <w:sz w:val="24"/>
          <w:szCs w:val="24"/>
        </w:rPr>
        <w:t>VETTING</w:t>
      </w:r>
      <w:r w:rsidRPr="00AF1BD6">
        <w:rPr>
          <w:rFonts w:ascii="Garamond" w:hAnsi="Garamond" w:cs="Linux Libertine G"/>
          <w:color w:val="000000"/>
          <w:sz w:val="24"/>
          <w:szCs w:val="24"/>
        </w:rPr>
        <w:t>-</w:t>
      </w:r>
      <w:r w:rsidR="008B239B" w:rsidRPr="00AF1BD6">
        <w:rPr>
          <w:rFonts w:ascii="Garamond" w:hAnsi="Garamond" w:cs="Linux Libertine G"/>
          <w:color w:val="000000"/>
          <w:sz w:val="24"/>
          <w:szCs w:val="24"/>
        </w:rPr>
        <w:t>ut</w:t>
      </w:r>
      <w:r w:rsidRPr="00AF1BD6">
        <w:rPr>
          <w:rFonts w:ascii="Garamond" w:hAnsi="Garamond" w:cs="Linux Libertine G"/>
          <w:color w:val="000000"/>
          <w:sz w:val="24"/>
          <w:szCs w:val="24"/>
        </w:rPr>
        <w:t>”)</w:t>
      </w:r>
    </w:p>
    <w:p w14:paraId="7061F61C" w14:textId="04ECF688"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23.</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1845FF"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16, anëtarët e organeve të rivlerësimit mbajnë përgjegjësi disiplinore për, </w:t>
      </w:r>
      <w:r w:rsidRPr="00AF1BD6">
        <w:rPr>
          <w:rFonts w:ascii="Garamond" w:hAnsi="Garamond" w:cs="Linux Libertine G"/>
          <w:i/>
          <w:iCs/>
          <w:color w:val="000000"/>
          <w:sz w:val="24"/>
          <w:szCs w:val="24"/>
        </w:rPr>
        <w:t xml:space="preserve">inter alia, </w:t>
      </w:r>
      <w:r w:rsidRPr="00AF1BD6">
        <w:rPr>
          <w:rFonts w:ascii="Garamond" w:hAnsi="Garamond" w:cs="Linux Libertine G"/>
          <w:color w:val="000000"/>
          <w:sz w:val="24"/>
          <w:szCs w:val="24"/>
        </w:rPr>
        <w:t xml:space="preserve">shkeljen e detyrimit të konfidencialitetit dhe mospërhapjes së informacionit, që rezulton nga hetimi apo gjykimi, duke përfshirë publikimin dhe bërjen publike, edhe për shkak të neglizhencës, së vendimeve konfidenciale, informacioneve apo vendimeve procedurale, që rrjedhin nga çështjet që janë në proces hetimi ose gjykimi, si edhe për bërjen e deklaratave publike </w:t>
      </w:r>
      <w:r w:rsidR="002232DC">
        <w:rPr>
          <w:rFonts w:ascii="Garamond" w:hAnsi="Garamond" w:cs="Linux Libertine G"/>
          <w:color w:val="000000"/>
          <w:sz w:val="24"/>
          <w:szCs w:val="24"/>
        </w:rPr>
        <w:t>–</w:t>
      </w:r>
      <w:r w:rsidRPr="00AF1BD6">
        <w:rPr>
          <w:rFonts w:ascii="Garamond" w:hAnsi="Garamond" w:cs="Linux Libertine G"/>
          <w:color w:val="000000"/>
          <w:sz w:val="24"/>
          <w:szCs w:val="24"/>
        </w:rPr>
        <w:t xml:space="preserve"> duke përfshirë edhe në medi</w:t>
      </w:r>
      <w:r w:rsidR="002232DC">
        <w:rPr>
          <w:rFonts w:ascii="Garamond" w:hAnsi="Garamond" w:cs="Linux Libertine G"/>
          <w:color w:val="000000"/>
          <w:sz w:val="24"/>
          <w:szCs w:val="24"/>
        </w:rPr>
        <w:t>e</w:t>
      </w:r>
      <w:r w:rsidRPr="00AF1BD6">
        <w:rPr>
          <w:rFonts w:ascii="Garamond" w:hAnsi="Garamond" w:cs="Linux Libertine G"/>
          <w:color w:val="000000"/>
          <w:sz w:val="24"/>
          <w:szCs w:val="24"/>
        </w:rPr>
        <w:t xml:space="preserve"> - për çështjet, me përjashtim të komunikimeve për shtyp brenda qëllimeve të detyrës së tyre. Sipas </w:t>
      </w:r>
      <w:r w:rsidR="002232DC"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17, nëse ka të dhëna të mjaftueshme nga burime të besueshme se anëtari i institucioneve të rivlerësimit ka kryer një shkelje disiplinore ndaj tij fillon hetimi disiplinor, në mbështetje të kërkesës së një anëtari tjetër në të njëjtin organ rivlerësimi, ose së kërkesës bërë nga një vëzhgues ndërkombëtar ndaj një Komisioneri Publik, një Komisioneri ose anëtarëve të KPA-së. </w:t>
      </w:r>
    </w:p>
    <w:p w14:paraId="792B856E" w14:textId="71470D31"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24.</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3742A9"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28, anëtarët e organeve të rivlerësimit dhe personeli i tyre duhet të trajtojnë të gjithë informacionin në lidhje me procesin e rivlerësimit në përputhje me parimin e konfidencialitetit dhe mbrojtjen e të dhënave personale. Organet e rivlerësimit përjashtohen nga ky detyrim vetëm në rastet kur informacioni i jepet subjektit të rivlerësimit ose organeve që me ligj kanë të drejtë ta kërkojnë këtë informacion për shkak të detyrës së tyre zyrtare.</w:t>
      </w:r>
    </w:p>
    <w:p w14:paraId="561A4428" w14:textId="482D600E"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 xml:space="preserve"> III.</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LIGJI NR. 96/2016</w:t>
      </w:r>
      <w:r w:rsidR="009D34E7">
        <w:rPr>
          <w:rFonts w:ascii="Garamond" w:hAnsi="Garamond" w:cs="Linux Libertine G"/>
          <w:color w:val="000000"/>
          <w:sz w:val="24"/>
          <w:szCs w:val="24"/>
        </w:rPr>
        <w:t xml:space="preserve">, </w:t>
      </w:r>
      <w:r w:rsidRPr="00AF1BD6">
        <w:rPr>
          <w:rFonts w:ascii="Garamond" w:hAnsi="Garamond" w:cs="Linux Libertine G"/>
          <w:color w:val="000000"/>
          <w:sz w:val="24"/>
          <w:szCs w:val="24"/>
        </w:rPr>
        <w:t>LIGJI PËR STATUSIN E GJYQTARËVE DHE PROKURORËVE</w:t>
      </w:r>
    </w:p>
    <w:p w14:paraId="48B599A2" w14:textId="657927AF"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25.</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9D34E7"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151, nën emërtimin “Pezullimi i detyruar”, një magjistrat (gjyqtar ose prokuror) pezullohet nga detyra me vendim të Këshillit përkatës nëse, </w:t>
      </w:r>
      <w:r w:rsidRPr="00AF1BD6">
        <w:rPr>
          <w:rFonts w:ascii="Garamond" w:hAnsi="Garamond" w:cs="Linux Libertine G"/>
          <w:i/>
          <w:iCs/>
          <w:color w:val="000000"/>
          <w:sz w:val="24"/>
          <w:szCs w:val="24"/>
        </w:rPr>
        <w:t xml:space="preserve">inter alia, </w:t>
      </w:r>
      <w:r w:rsidRPr="00AF1BD6">
        <w:rPr>
          <w:rFonts w:ascii="Garamond" w:hAnsi="Garamond" w:cs="Linux Libertine G"/>
          <w:color w:val="000000"/>
          <w:sz w:val="24"/>
          <w:szCs w:val="24"/>
        </w:rPr>
        <w:t xml:space="preserve">ai merr statusin e të pandehurit për një krim të rëndë të kryer me dashje. Pezullimi zgjat deri në pushimin e procesit penal ose me dhënien enjë vendimi të formës së prerë. </w:t>
      </w:r>
    </w:p>
    <w:p w14:paraId="79D3B34A" w14:textId="4D552A6B"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26.</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9D34E7"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155, një magjistrat (gjyqtar ose prokuror) ka të drejtë të ankimojë vendimin për pezullimin nga detyra në gjykatën kompetente; një ankim i tillë nuk pezullon vendimin për pezullimin nga detyra të magjistratit. </w:t>
      </w:r>
    </w:p>
    <w:p w14:paraId="49921D1C" w14:textId="4E6B1085"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27.</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9D34E7"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157, një magjistrat përfiton pagë të plotë gjatë pezullimit, përveç rasteve specifike. Veçanërisht, nëse magjistrati dënohet për kryerjen e një vepre penale nga gjykata e shkallës së parë ose jepet masë disiplinore për një shkelje disiplinore nga Këshilli kompetent, Këshilli mund të pezullojë përfitimin e pagës deri në 50 për qind, si dhe përfitimet e tjera të magjistratit, derisa të vendoset mbi çdo ankim të paraqitur në një gjykatë më të lartë. Nëse vendimi i dhënë nga gjykata më e lartë është në favor të magjistratit, çdo shumë e mbajtur i kthehet menjëherë magjistratit. Nëse vendimi i dhënë nga gjykata më e lartë është në disfavor të magjistratit, shumat e mbajtura vazhdojnë të mbahen derisa çështja penale ose disiplinore, për të cilën është vendosur pezullimi i përfitimit, të përfundojë me vendim të formës së prerë.</w:t>
      </w:r>
    </w:p>
    <w:p w14:paraId="0573A580" w14:textId="467B7235"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28.</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9D34E7"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160, deri në krijimin e KLP-së, Prokurori i Përgjithshëm duhet të vijojë të ushtrojë kompetencat e Këshillit sipas Ligjit, duke përfshirë pezullimin e prokurorëve. </w:t>
      </w:r>
    </w:p>
    <w:p w14:paraId="7357C32C" w14:textId="08D92968"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IV.</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LIGJI NR. 115/2016</w:t>
      </w:r>
      <w:r w:rsidR="009D34E7">
        <w:rPr>
          <w:rFonts w:ascii="Garamond" w:hAnsi="Garamond" w:cs="Linux Libertine G"/>
          <w:color w:val="000000"/>
          <w:sz w:val="24"/>
          <w:szCs w:val="24"/>
        </w:rPr>
        <w:t>,</w:t>
      </w:r>
      <w:r w:rsidRPr="00AF1BD6">
        <w:rPr>
          <w:rFonts w:ascii="Garamond" w:hAnsi="Garamond" w:cs="Linux Libertine G"/>
          <w:color w:val="000000"/>
          <w:sz w:val="24"/>
          <w:szCs w:val="24"/>
        </w:rPr>
        <w:t xml:space="preserve"> PËR ORGANET E QEVERISJES SË SISTEMIT TË DREJTËSISË </w:t>
      </w:r>
    </w:p>
    <w:p w14:paraId="30BE4054" w14:textId="230211BB"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29.</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Sipas </w:t>
      </w:r>
      <w:r w:rsidR="009D34E7"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192(1), ndryshuar në vitin 2019, përveçse kur parashikohet ndryshe në këtë ligj, ndaj aktit administrativ individual të Këshillit mund të bëhet ankim në Gjykatën Administrative të Apelit. Aktet administrative individuale që vendosin masa disiplinore mbi prokurorët ankimohen në Gjykatën Kushtetuese (shih edhe paragrafin 20 më sipër).</w:t>
      </w:r>
    </w:p>
    <w:p w14:paraId="31932785" w14:textId="77777777"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LIGJI</w:t>
      </w:r>
    </w:p>
    <w:p w14:paraId="755FEEBB" w14:textId="60964706"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I.</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PRETENDIMI PËR SHKELJE TË SË DREJTËS PËR TË BËRË NJË KËRKESË</w:t>
      </w:r>
    </w:p>
    <w:p w14:paraId="7C567ED4" w14:textId="76ADEA91"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30.</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Qeveria argumentoi se kërkuesit kishin abuzuar me të drejtën e tyre për të bërë një kërkesë, sepse ata nuk kishin informuar Gjykatën për vendimin e datës 8 </w:t>
      </w:r>
      <w:r w:rsidR="00E5764A"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2018 dhe se kishin deklaruar se ILDKPKI</w:t>
      </w:r>
      <w:r w:rsidR="00E5764A">
        <w:rPr>
          <w:rFonts w:ascii="Garamond" w:hAnsi="Garamond" w:cs="Linux Libertine G"/>
          <w:color w:val="000000"/>
          <w:sz w:val="24"/>
          <w:szCs w:val="24"/>
        </w:rPr>
        <w:t xml:space="preserve">-ja </w:t>
      </w:r>
      <w:r w:rsidRPr="00AF1BD6">
        <w:rPr>
          <w:rFonts w:ascii="Garamond" w:hAnsi="Garamond" w:cs="Linux Libertine G"/>
          <w:color w:val="000000"/>
          <w:sz w:val="24"/>
          <w:szCs w:val="24"/>
        </w:rPr>
        <w:t xml:space="preserve">nuk kishte identifikuar problematika me deklarimet e tyre periodike të pasurisë. </w:t>
      </w:r>
    </w:p>
    <w:p w14:paraId="1D4C97CF" w14:textId="5CFD08C5"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31.</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Kërkuesit kundërshtuan. </w:t>
      </w:r>
    </w:p>
    <w:p w14:paraId="1E689F5E" w14:textId="1D785357"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32.</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Një kërkesë mund të kundërshtohet për abuzim me të drejtën për të bërë një kërkesë nëse, </w:t>
      </w:r>
      <w:r w:rsidRPr="00AF1BD6">
        <w:rPr>
          <w:rFonts w:ascii="Garamond" w:hAnsi="Garamond" w:cs="Linux Libertine G"/>
          <w:i/>
          <w:iCs/>
          <w:color w:val="000000"/>
          <w:sz w:val="24"/>
          <w:szCs w:val="24"/>
        </w:rPr>
        <w:t xml:space="preserve">inter alia, </w:t>
      </w:r>
      <w:r w:rsidRPr="00AF1BD6">
        <w:rPr>
          <w:rFonts w:ascii="Garamond" w:hAnsi="Garamond" w:cs="Linux Libertine G"/>
          <w:color w:val="000000"/>
          <w:sz w:val="24"/>
          <w:szCs w:val="24"/>
        </w:rPr>
        <w:t xml:space="preserve">me vetëdije, ajo mbështetet në fakte të pavërteta me qëllimin për të mashtruar Gjykatën (shih </w:t>
      </w:r>
      <w:r w:rsidRPr="00AF1BD6">
        <w:rPr>
          <w:rFonts w:ascii="Garamond" w:hAnsi="Garamond" w:cs="Linux Libertine G"/>
          <w:i/>
          <w:iCs/>
          <w:color w:val="000000"/>
          <w:sz w:val="24"/>
          <w:szCs w:val="24"/>
        </w:rPr>
        <w:t xml:space="preserve">X dhe të Tjerët kundër Bullgarisë </w:t>
      </w:r>
      <w:r w:rsidRPr="00AF1BD6">
        <w:rPr>
          <w:rFonts w:ascii="Garamond" w:hAnsi="Garamond" w:cs="Linux Libertine G"/>
          <w:color w:val="000000"/>
          <w:sz w:val="24"/>
          <w:szCs w:val="24"/>
        </w:rPr>
        <w:t xml:space="preserve">[DHM], nr. 22457/16, § 145, 2 </w:t>
      </w:r>
      <w:r w:rsidR="00BC323B" w:rsidRPr="00AF1BD6">
        <w:rPr>
          <w:rFonts w:ascii="Garamond" w:hAnsi="Garamond" w:cs="Linux Libertine G"/>
          <w:color w:val="000000"/>
          <w:sz w:val="24"/>
          <w:szCs w:val="24"/>
        </w:rPr>
        <w:t xml:space="preserve">shkurt </w:t>
      </w:r>
      <w:r w:rsidRPr="00AF1BD6">
        <w:rPr>
          <w:rFonts w:ascii="Garamond" w:hAnsi="Garamond" w:cs="Linux Libertine G"/>
          <w:color w:val="000000"/>
          <w:sz w:val="24"/>
          <w:szCs w:val="24"/>
        </w:rPr>
        <w:t xml:space="preserve">2021, dhe </w:t>
      </w:r>
      <w:r w:rsidRPr="00AF1BD6">
        <w:rPr>
          <w:rFonts w:ascii="Garamond" w:hAnsi="Garamond" w:cs="Linux Libertine G"/>
          <w:i/>
          <w:iCs/>
          <w:color w:val="000000"/>
          <w:sz w:val="24"/>
          <w:szCs w:val="24"/>
        </w:rPr>
        <w:t>G.I.E.M. S.R.L dhe të Tjerët kundër Italisë</w:t>
      </w:r>
      <w:r w:rsidRPr="00AF1BD6">
        <w:rPr>
          <w:rFonts w:ascii="Garamond" w:hAnsi="Garamond" w:cs="Linux Libertine G"/>
          <w:color w:val="000000"/>
          <w:sz w:val="24"/>
          <w:szCs w:val="24"/>
        </w:rPr>
        <w:t xml:space="preserve"> [DHM], nr. 1828/06 dhe 2 të tjerë, § 172, 28 </w:t>
      </w:r>
      <w:r w:rsidR="00BC323B" w:rsidRPr="00AF1BD6">
        <w:rPr>
          <w:rFonts w:ascii="Garamond" w:hAnsi="Garamond" w:cs="Linux Libertine G"/>
          <w:color w:val="000000"/>
          <w:sz w:val="24"/>
          <w:szCs w:val="24"/>
        </w:rPr>
        <w:t xml:space="preserve">qershor </w:t>
      </w:r>
      <w:r w:rsidRPr="00AF1BD6">
        <w:rPr>
          <w:rFonts w:ascii="Garamond" w:hAnsi="Garamond" w:cs="Linux Libertine G"/>
          <w:color w:val="000000"/>
          <w:sz w:val="24"/>
          <w:szCs w:val="24"/>
        </w:rPr>
        <w:t>2018). Dhënia e informacionit jo të plotë dhe mashtrues mund të sjellë edhe shkeljen e së drejtës për të paraqitur një kërkesë, veçanërisht nëse informacioni ka të bëjnë me thelbin e çështjes dhe nëse nuk ofrohen shpjegime të mjaftueshme me qëllim që ky informacion të mos</w:t>
      </w:r>
      <w:r w:rsidR="00890E03">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shpërndahet (shih </w:t>
      </w:r>
      <w:r w:rsidRPr="00AF1BD6">
        <w:rPr>
          <w:rFonts w:ascii="Garamond" w:hAnsi="Garamond" w:cs="Linux Libertine G"/>
          <w:i/>
          <w:iCs/>
          <w:color w:val="000000"/>
          <w:sz w:val="24"/>
          <w:szCs w:val="24"/>
        </w:rPr>
        <w:t>Gross kundër Zvicrës</w:t>
      </w:r>
      <w:r w:rsidRPr="00AF1BD6">
        <w:rPr>
          <w:rFonts w:ascii="Garamond" w:hAnsi="Garamond" w:cs="Linux Libertine G"/>
          <w:color w:val="000000"/>
          <w:sz w:val="24"/>
          <w:szCs w:val="24"/>
        </w:rPr>
        <w:t xml:space="preserve"> [DHM], nr. 67810/10, § 28, GJEDNJ 2014). I njëjti parashikim vlen edhe nëse gjatë procesit në Gjykatë ndodhin zhvillime të reja, dhe nëse, pavarësisht se parashikohet shprehimisht në Rregullin 47 § 7 të Rregullores së Gjykatës, kërkuesi nuk e paraqet informacionin përpara Gjykatës, duke e penguar Gjykatën që të gjykojë çështjen në dijeni të plotë të fakteve (shih </w:t>
      </w:r>
      <w:r w:rsidRPr="00AF1BD6">
        <w:rPr>
          <w:rFonts w:ascii="Garamond" w:hAnsi="Garamond" w:cs="Linux Libertine G"/>
          <w:i/>
          <w:iCs/>
          <w:color w:val="000000"/>
          <w:sz w:val="24"/>
          <w:szCs w:val="24"/>
        </w:rPr>
        <w:t>Mirolubovs dhe të Tjerë kundër Letonisë</w:t>
      </w:r>
      <w:r w:rsidRPr="00AF1BD6">
        <w:rPr>
          <w:rFonts w:ascii="Garamond" w:hAnsi="Garamond" w:cs="Linux Libertine G"/>
          <w:color w:val="000000"/>
          <w:sz w:val="24"/>
          <w:szCs w:val="24"/>
        </w:rPr>
        <w:t xml:space="preserve">, nr. 798/05, § 63, 15 </w:t>
      </w:r>
      <w:r w:rsidR="00890E03" w:rsidRPr="00AF1BD6">
        <w:rPr>
          <w:rFonts w:ascii="Garamond" w:hAnsi="Garamond" w:cs="Linux Libertine G"/>
          <w:color w:val="000000"/>
          <w:sz w:val="24"/>
          <w:szCs w:val="24"/>
        </w:rPr>
        <w:t xml:space="preserve">shtator </w:t>
      </w:r>
      <w:r w:rsidRPr="00AF1BD6">
        <w:rPr>
          <w:rFonts w:ascii="Garamond" w:hAnsi="Garamond" w:cs="Linux Libertine G"/>
          <w:color w:val="000000"/>
          <w:sz w:val="24"/>
          <w:szCs w:val="24"/>
        </w:rPr>
        <w:t xml:space="preserve">2009, dhe </w:t>
      </w:r>
      <w:r w:rsidRPr="00AF1BD6">
        <w:rPr>
          <w:rFonts w:ascii="Garamond" w:hAnsi="Garamond" w:cs="Linux Libertine G"/>
          <w:i/>
          <w:iCs/>
          <w:color w:val="000000"/>
          <w:sz w:val="24"/>
          <w:szCs w:val="24"/>
        </w:rPr>
        <w:t xml:space="preserve">Centro Europa 7 S.r.l. dhe Di Stefano kundër Italisë </w:t>
      </w:r>
      <w:r w:rsidRPr="00AF1BD6">
        <w:rPr>
          <w:rFonts w:ascii="Garamond" w:hAnsi="Garamond" w:cs="Linux Libertine G"/>
          <w:color w:val="000000"/>
          <w:sz w:val="24"/>
          <w:szCs w:val="24"/>
        </w:rPr>
        <w:t xml:space="preserve">[DHM], nr. 38433/09, § 97, GJEDNJ 2012). Edhe në të tilla raste, qëllimi i kërkuesit për të mashtruar Gjykatën duhet të provohet me siguri të mjaftueshme (shih </w:t>
      </w:r>
      <w:r w:rsidRPr="00AF1BD6">
        <w:rPr>
          <w:rFonts w:ascii="Garamond" w:hAnsi="Garamond" w:cs="Linux Libertine G"/>
          <w:i/>
          <w:iCs/>
          <w:color w:val="000000"/>
          <w:sz w:val="24"/>
          <w:szCs w:val="24"/>
        </w:rPr>
        <w:t>Centro Europa S.r.l. dhe Di Stefano</w:t>
      </w:r>
      <w:r w:rsidRPr="00AF1BD6">
        <w:rPr>
          <w:rFonts w:ascii="Garamond" w:hAnsi="Garamond" w:cs="Linux Libertine G"/>
          <w:color w:val="000000"/>
          <w:sz w:val="24"/>
          <w:szCs w:val="24"/>
        </w:rPr>
        <w:t xml:space="preserve">, § 97, dhe </w:t>
      </w:r>
      <w:r w:rsidRPr="00AF1BD6">
        <w:rPr>
          <w:rFonts w:ascii="Garamond" w:hAnsi="Garamond" w:cs="Linux Libertine G"/>
          <w:i/>
          <w:iCs/>
          <w:color w:val="000000"/>
          <w:sz w:val="24"/>
          <w:szCs w:val="24"/>
        </w:rPr>
        <w:t>Gross</w:t>
      </w:r>
      <w:r w:rsidRPr="00AF1BD6">
        <w:rPr>
          <w:rFonts w:ascii="Garamond" w:hAnsi="Garamond" w:cs="Linux Libertine G"/>
          <w:color w:val="000000"/>
          <w:sz w:val="24"/>
          <w:szCs w:val="24"/>
        </w:rPr>
        <w:t xml:space="preserve">, § 28, të dy cituar më sipër). </w:t>
      </w:r>
    </w:p>
    <w:p w14:paraId="2EB69159" w14:textId="0AE93E0D"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33.</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Në </w:t>
      </w:r>
      <w:r w:rsidR="00890E03" w:rsidRPr="00AF1BD6">
        <w:rPr>
          <w:rFonts w:ascii="Garamond" w:hAnsi="Garamond" w:cs="Linux Libertine G"/>
          <w:color w:val="000000"/>
          <w:sz w:val="24"/>
          <w:szCs w:val="24"/>
        </w:rPr>
        <w:t xml:space="preserve">dhjetor </w:t>
      </w:r>
      <w:r w:rsidRPr="00AF1BD6">
        <w:rPr>
          <w:rFonts w:ascii="Garamond" w:hAnsi="Garamond" w:cs="Linux Libertine G"/>
          <w:color w:val="000000"/>
          <w:sz w:val="24"/>
          <w:szCs w:val="24"/>
        </w:rPr>
        <w:t xml:space="preserve">2018, kërkuesit informuan me përpikëri Gjykatën për vendimin e datës 8 </w:t>
      </w:r>
      <w:r w:rsidR="00890E03"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 xml:space="preserve">2018. Edhe nëse hamendësohet se çështjet në lidhje me deklarimet periodike të pasurisë, edhe pse në një masë të kufizuar, mund të lidheshin me faktet thelbësore që kanë të bëjnë me qëllimin e çështjes në Gjykatë (shih paragrafët 34, 45, 72 dhe 80 më poshtë), nuk ka arsye të gjykohet se kërkuesit u përpoqën ta mashtronin apo keqinformonin atë. Gjykata nuk është penguar në gjykimin e çështjes në dijeni të plotë të fakteve. Për këtë arsye kundërshtimi i Qeverisë duhet të rrëzohet. </w:t>
      </w:r>
    </w:p>
    <w:p w14:paraId="77AF259C" w14:textId="3926428E"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II.</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PRETENDIM PËR SHKELJE TË NENIT 6 TË KONVENTËS</w:t>
      </w:r>
    </w:p>
    <w:p w14:paraId="3B867DA5" w14:textId="5419E082"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34.</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Kërkuesit u ankuan se KPA</w:t>
      </w:r>
      <w:r w:rsidR="00890E03">
        <w:rPr>
          <w:rFonts w:ascii="Garamond" w:hAnsi="Garamond" w:cs="Linux Libertine G"/>
          <w:color w:val="000000"/>
          <w:sz w:val="24"/>
          <w:szCs w:val="24"/>
        </w:rPr>
        <w:t>-ja</w:t>
      </w:r>
      <w:r w:rsidRPr="00AF1BD6">
        <w:rPr>
          <w:rFonts w:ascii="Garamond" w:hAnsi="Garamond" w:cs="Linux Libertine G"/>
          <w:color w:val="000000"/>
          <w:sz w:val="24"/>
          <w:szCs w:val="24"/>
        </w:rPr>
        <w:t xml:space="preserve">, e cila kishte refuzuar të shqyrtonte meritat e ankimit të tyre ndaj urdhrave të pezullimit, nuk kishte qenë një gjykatë e pavarur dhe e paanshme. Ata u mbështetën në </w:t>
      </w:r>
      <w:r w:rsidR="007F0DFA" w:rsidRPr="00AF1BD6">
        <w:rPr>
          <w:rFonts w:ascii="Garamond" w:hAnsi="Garamond" w:cs="Linux Libertine G"/>
          <w:color w:val="000000"/>
          <w:sz w:val="24"/>
          <w:szCs w:val="24"/>
        </w:rPr>
        <w:t xml:space="preserve">nenin </w:t>
      </w:r>
      <w:r w:rsidRPr="00AF1BD6">
        <w:rPr>
          <w:rFonts w:ascii="Garamond" w:hAnsi="Garamond" w:cs="Linux Libertine G"/>
          <w:color w:val="000000"/>
          <w:sz w:val="24"/>
          <w:szCs w:val="24"/>
        </w:rPr>
        <w:t xml:space="preserve">6 të Konventës, pjesët përkatëse të së cilit parashikojnë si më poshtë: </w:t>
      </w:r>
    </w:p>
    <w:p w14:paraId="556A777E" w14:textId="7FC6AB06"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“Çdo person ka të drejtë që çështja e tij të dëgjohet drejtësisht ... nga një gjykatë e pavarur dhe e paanshme, e krijuar me ligj...</w:t>
      </w:r>
      <w:r w:rsidR="007F0DFA">
        <w:rPr>
          <w:rFonts w:ascii="Garamond" w:hAnsi="Garamond" w:cs="Linux Libertine G"/>
          <w:color w:val="000000"/>
          <w:sz w:val="24"/>
          <w:szCs w:val="24"/>
        </w:rPr>
        <w:t>,</w:t>
      </w:r>
      <w:r w:rsidRPr="00AF1BD6">
        <w:rPr>
          <w:rFonts w:ascii="Garamond" w:hAnsi="Garamond" w:cs="Linux Libertine G"/>
          <w:color w:val="000000"/>
          <w:sz w:val="24"/>
          <w:szCs w:val="24"/>
        </w:rPr>
        <w:t xml:space="preserve"> e cila do të vendosë si për mosmarrëveshjet në lidhje me të drejtat dhe detyrimet e tij të natyrës civile...”</w:t>
      </w:r>
    </w:p>
    <w:p w14:paraId="1E9D99AF" w14:textId="4CE8AA42" w:rsidR="00D07213" w:rsidRPr="00AF1BD6" w:rsidRDefault="00D07213" w:rsidP="00C46B88">
      <w:pPr>
        <w:autoSpaceDE w:val="0"/>
        <w:autoSpaceDN w:val="0"/>
        <w:adjustRightInd w:val="0"/>
        <w:spacing w:after="0" w:line="240" w:lineRule="auto"/>
        <w:ind w:firstLine="284"/>
        <w:jc w:val="both"/>
        <w:rPr>
          <w:rFonts w:ascii="Garamond" w:hAnsi="Garamond" w:cs="Linux Libertine G"/>
          <w:b/>
          <w:bCs/>
          <w:color w:val="000000"/>
          <w:sz w:val="24"/>
          <w:szCs w:val="24"/>
        </w:rPr>
      </w:pPr>
      <w:r w:rsidRPr="00AF1BD6">
        <w:rPr>
          <w:rFonts w:ascii="Garamond" w:hAnsi="Garamond" w:cs="Linux Libertine G"/>
          <w:b/>
          <w:bCs/>
          <w:color w:val="000000"/>
          <w:sz w:val="24"/>
          <w:szCs w:val="24"/>
        </w:rPr>
        <w:t>A.</w:t>
      </w:r>
      <w:r w:rsidR="00C46B88" w:rsidRPr="00AF1BD6">
        <w:rPr>
          <w:rFonts w:ascii="Garamond" w:hAnsi="Garamond" w:cs="Linux Libertine G"/>
          <w:b/>
          <w:bCs/>
          <w:color w:val="000000"/>
          <w:sz w:val="24"/>
          <w:szCs w:val="24"/>
        </w:rPr>
        <w:t xml:space="preserve"> </w:t>
      </w:r>
      <w:r w:rsidRPr="00AF1BD6">
        <w:rPr>
          <w:rFonts w:ascii="Garamond" w:hAnsi="Garamond" w:cs="Linux Libertine G"/>
          <w:b/>
          <w:bCs/>
          <w:color w:val="000000"/>
          <w:sz w:val="24"/>
          <w:szCs w:val="24"/>
        </w:rPr>
        <w:t>Parashtrimet e palëve</w:t>
      </w:r>
    </w:p>
    <w:p w14:paraId="4CB95FE0" w14:textId="520AF6D2" w:rsidR="00D07213" w:rsidRPr="00AF1BD6" w:rsidRDefault="00D07213" w:rsidP="00C46B88">
      <w:pPr>
        <w:autoSpaceDE w:val="0"/>
        <w:autoSpaceDN w:val="0"/>
        <w:adjustRightInd w:val="0"/>
        <w:spacing w:after="0" w:line="240" w:lineRule="auto"/>
        <w:ind w:firstLine="284"/>
        <w:jc w:val="both"/>
        <w:rPr>
          <w:rFonts w:ascii="Garamond" w:hAnsi="Garamond" w:cs="Linux Libertine G"/>
          <w:i/>
          <w:iCs/>
          <w:color w:val="000000"/>
          <w:sz w:val="24"/>
          <w:szCs w:val="24"/>
        </w:rPr>
      </w:pPr>
      <w:r w:rsidRPr="00AF1BD6">
        <w:rPr>
          <w:rFonts w:ascii="Garamond" w:hAnsi="Garamond" w:cs="Linux Libertine G"/>
          <w:i/>
          <w:iCs/>
          <w:color w:val="000000"/>
          <w:sz w:val="24"/>
          <w:szCs w:val="24"/>
        </w:rPr>
        <w:t>1.</w:t>
      </w:r>
      <w:r w:rsidR="00C46B88" w:rsidRPr="00AF1BD6">
        <w:rPr>
          <w:rFonts w:ascii="Garamond" w:hAnsi="Garamond" w:cs="Linux Libertine G"/>
          <w:i/>
          <w:iCs/>
          <w:color w:val="000000"/>
          <w:sz w:val="24"/>
          <w:szCs w:val="24"/>
        </w:rPr>
        <w:t xml:space="preserve"> </w:t>
      </w:r>
      <w:r w:rsidRPr="00AF1BD6">
        <w:rPr>
          <w:rFonts w:ascii="Garamond" w:hAnsi="Garamond" w:cs="Linux Libertine G"/>
          <w:i/>
          <w:iCs/>
          <w:color w:val="000000"/>
          <w:sz w:val="24"/>
          <w:szCs w:val="24"/>
        </w:rPr>
        <w:t xml:space="preserve">Qeveria </w:t>
      </w:r>
    </w:p>
    <w:p w14:paraId="566BDDB5" w14:textId="54D09479"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35.</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Qeveria argumentoi se KPA</w:t>
      </w:r>
      <w:r w:rsidR="007F0DFA">
        <w:rPr>
          <w:rFonts w:ascii="Garamond" w:hAnsi="Garamond" w:cs="Linux Libertine G"/>
          <w:color w:val="000000"/>
          <w:sz w:val="24"/>
          <w:szCs w:val="24"/>
        </w:rPr>
        <w:t>-ja</w:t>
      </w:r>
      <w:r w:rsidRPr="00AF1BD6">
        <w:rPr>
          <w:rFonts w:ascii="Garamond" w:hAnsi="Garamond" w:cs="Linux Libertine G"/>
          <w:color w:val="000000"/>
          <w:sz w:val="24"/>
          <w:szCs w:val="24"/>
        </w:rPr>
        <w:t xml:space="preserve"> ishte një gjykatë e paanshme dhe e pavarur. Vendimi i datës 8 </w:t>
      </w:r>
      <w:r w:rsidR="007F0DFA"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 xml:space="preserve">nga Gjykata Administrative e Apelit kishte qenë në favor të kërkuesve, duke i hequr ata nga statusi i viktimës përpara Gjykatës. Gjithashtu, Qeveria informoi Gjykatën se kërkuesi i dytë ishte rikthyer në detyrën e tij zyrtare në </w:t>
      </w:r>
      <w:r w:rsidR="007F0DFA" w:rsidRPr="00AF1BD6">
        <w:rPr>
          <w:rFonts w:ascii="Garamond" w:hAnsi="Garamond" w:cs="Linux Libertine G"/>
          <w:color w:val="000000"/>
          <w:sz w:val="24"/>
          <w:szCs w:val="24"/>
        </w:rPr>
        <w:t xml:space="preserve">janar </w:t>
      </w:r>
      <w:r w:rsidRPr="00AF1BD6">
        <w:rPr>
          <w:rFonts w:ascii="Garamond" w:hAnsi="Garamond" w:cs="Linux Libertine G"/>
          <w:color w:val="000000"/>
          <w:sz w:val="24"/>
          <w:szCs w:val="24"/>
        </w:rPr>
        <w:t xml:space="preserve">2020. </w:t>
      </w:r>
    </w:p>
    <w:p w14:paraId="474A94F6" w14:textId="1971A815"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i/>
          <w:iCs/>
          <w:color w:val="000000"/>
          <w:sz w:val="24"/>
          <w:szCs w:val="24"/>
        </w:rPr>
        <w:t>2.</w:t>
      </w:r>
      <w:r w:rsidR="00C46B88" w:rsidRPr="00AF1BD6">
        <w:rPr>
          <w:rFonts w:ascii="Garamond" w:hAnsi="Garamond" w:cs="Linux Libertine G"/>
          <w:i/>
          <w:iCs/>
          <w:color w:val="000000"/>
          <w:sz w:val="24"/>
          <w:szCs w:val="24"/>
        </w:rPr>
        <w:t xml:space="preserve"> </w:t>
      </w:r>
      <w:r w:rsidRPr="00AF1BD6">
        <w:rPr>
          <w:rFonts w:ascii="Garamond" w:hAnsi="Garamond" w:cs="Linux Libertine G"/>
          <w:i/>
          <w:iCs/>
          <w:color w:val="000000"/>
          <w:sz w:val="24"/>
          <w:szCs w:val="24"/>
        </w:rPr>
        <w:t xml:space="preserve">Kërkuesit </w:t>
      </w:r>
    </w:p>
    <w:p w14:paraId="50715C54" w14:textId="4F93E4E0"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i/>
          <w:iCs/>
          <w:color w:val="000000"/>
          <w:sz w:val="24"/>
          <w:szCs w:val="24"/>
        </w:rPr>
        <w:t xml:space="preserve"> </w:t>
      </w:r>
      <w:r w:rsidRPr="00AF1BD6">
        <w:rPr>
          <w:rFonts w:ascii="Garamond" w:hAnsi="Garamond" w:cs="Linux Libertine G"/>
          <w:color w:val="000000"/>
          <w:sz w:val="24"/>
          <w:szCs w:val="24"/>
        </w:rPr>
        <w:t>36.</w:t>
      </w:r>
      <w:r w:rsidR="00AF1BD6"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Kërkuesit argumentuan se KPA</w:t>
      </w:r>
      <w:r w:rsidR="007F0DFA">
        <w:rPr>
          <w:rFonts w:ascii="Garamond" w:hAnsi="Garamond" w:cs="Linux Libertine G"/>
          <w:color w:val="000000"/>
          <w:sz w:val="24"/>
          <w:szCs w:val="24"/>
        </w:rPr>
        <w:t>-ja</w:t>
      </w:r>
      <w:r w:rsidRPr="00AF1BD6">
        <w:rPr>
          <w:rFonts w:ascii="Garamond" w:hAnsi="Garamond" w:cs="Linux Libertine G"/>
          <w:color w:val="000000"/>
          <w:sz w:val="24"/>
          <w:szCs w:val="24"/>
        </w:rPr>
        <w:t xml:space="preserve"> nuk kishte qenë një gjykatë e paanshme dhe e pavarur (shih, në të njëjtën linjë, </w:t>
      </w:r>
      <w:r w:rsidRPr="00AF1BD6">
        <w:rPr>
          <w:rFonts w:ascii="Garamond" w:hAnsi="Garamond" w:cs="Linux Libertine G"/>
          <w:i/>
          <w:iCs/>
          <w:color w:val="000000"/>
          <w:sz w:val="24"/>
          <w:szCs w:val="24"/>
        </w:rPr>
        <w:t>Xhoxhaj kundër Shqipërisë</w:t>
      </w:r>
      <w:r w:rsidRPr="00AF1BD6">
        <w:rPr>
          <w:rFonts w:ascii="Garamond" w:hAnsi="Garamond" w:cs="Linux Libertine G"/>
          <w:color w:val="000000"/>
          <w:sz w:val="24"/>
          <w:szCs w:val="24"/>
        </w:rPr>
        <w:t xml:space="preserve">, nr. 15227/19, §§ 260-65, 9 </w:t>
      </w:r>
      <w:r w:rsidR="007F0DFA" w:rsidRPr="00AF1BD6">
        <w:rPr>
          <w:rFonts w:ascii="Garamond" w:hAnsi="Garamond" w:cs="Linux Libertine G"/>
          <w:color w:val="000000"/>
          <w:sz w:val="24"/>
          <w:szCs w:val="24"/>
        </w:rPr>
        <w:t xml:space="preserve">shkurt </w:t>
      </w:r>
      <w:r w:rsidRPr="00AF1BD6">
        <w:rPr>
          <w:rFonts w:ascii="Garamond" w:hAnsi="Garamond" w:cs="Linux Libertine G"/>
          <w:color w:val="000000"/>
          <w:sz w:val="24"/>
          <w:szCs w:val="24"/>
        </w:rPr>
        <w:t xml:space="preserve">2021) dhe se trupa gjykuese për çështjen e tyre kishte qenë e paanshme, për shkak të përfshirjes së I.R në përbërje të trupës. Vendimi i datës 8 </w:t>
      </w:r>
      <w:r w:rsidR="007F0DFA"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 xml:space="preserve">2018 nuk kishte qenë i mjaftueshëm për t’i hequr nga statusi i tyre i viktimës sipas </w:t>
      </w:r>
      <w:r w:rsidR="007F0DFA" w:rsidRPr="00AF1BD6">
        <w:rPr>
          <w:rFonts w:ascii="Garamond" w:hAnsi="Garamond" w:cs="Linux Libertine G"/>
          <w:color w:val="000000"/>
          <w:sz w:val="24"/>
          <w:szCs w:val="24"/>
        </w:rPr>
        <w:t>nen</w:t>
      </w:r>
      <w:r w:rsidR="007F0DFA">
        <w:rPr>
          <w:rFonts w:ascii="Garamond" w:hAnsi="Garamond" w:cs="Linux Libertine G"/>
          <w:color w:val="000000"/>
          <w:sz w:val="24"/>
          <w:szCs w:val="24"/>
        </w:rPr>
        <w:t>eve</w:t>
      </w:r>
      <w:r w:rsidR="007F0DFA"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6 dhe 8 të Konventës. Përshtatshmëria dhe mjaftueshmëria e masës korrigjuese ishte në varësi të rrethanave specifike të çështjes, të tilla si natyra e së drejtës, arsyet dhënë për vendimin, shuma e kompensimit dhe vijueshmëria e rrethanave të pafavorshme për personin konkret pas atij vendimi. Ata ishin pezulluar për shkak të nisjes së një hetimi penal fals për mospërputhje në deklarimet e tyre. </w:t>
      </w:r>
    </w:p>
    <w:p w14:paraId="27EFD730" w14:textId="665A8D9C"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37.</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Kërkuesja e parë ishte e vetmja magjistrate në Shqipëri e cila kishte qenë subjekt i një procesi penal dhe ishte pezulluar nga pozicioni i saj zyrtar, teksa procesi i rivlerësimit ishte ende pezull. Në të gjitha çështjet e tjera, prokuroritë përkatëse kishin refuzuar nisjen e hetimeve penale</w:t>
      </w:r>
      <w:r w:rsidR="00BD0336">
        <w:rPr>
          <w:rFonts w:ascii="Garamond" w:hAnsi="Garamond" w:cs="Linux Libertine G"/>
          <w:color w:val="000000"/>
          <w:sz w:val="24"/>
          <w:szCs w:val="24"/>
        </w:rPr>
        <w:t>,</w:t>
      </w:r>
      <w:r w:rsidRPr="00AF1BD6">
        <w:rPr>
          <w:rFonts w:ascii="Garamond" w:hAnsi="Garamond" w:cs="Linux Libertine G"/>
          <w:color w:val="000000"/>
          <w:sz w:val="24"/>
          <w:szCs w:val="24"/>
        </w:rPr>
        <w:t xml:space="preserve"> ndërsa procesi i rivlerësimit ishte në vijimësi. Pezullimi i saj kishte pasur një ndikim përçarës në procesin e rivlerësimit dhe kishte ndikuar ndjeshëm në vendimin e KPK-së, e cila i ishte referuar pezullimit dhe e kishte shkarkuar nga detyra mbështetur në të njëjtat fakte për të cilat ajo po hetohej, në të njëjtën kohë, në procesin penal. Vendimi i datës 8 </w:t>
      </w:r>
      <w:r w:rsidR="00BD0336"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 xml:space="preserve">2018 ishte dhënë shumë vonë, sepse pas vendimit të KPK-së në </w:t>
      </w:r>
      <w:r w:rsidR="00F22454" w:rsidRPr="00AF1BD6">
        <w:rPr>
          <w:rFonts w:ascii="Garamond" w:hAnsi="Garamond" w:cs="Linux Libertine G"/>
          <w:color w:val="000000"/>
          <w:sz w:val="24"/>
          <w:szCs w:val="24"/>
        </w:rPr>
        <w:t xml:space="preserve">korrik </w:t>
      </w:r>
      <w:r w:rsidRPr="00AF1BD6">
        <w:rPr>
          <w:rFonts w:ascii="Garamond" w:hAnsi="Garamond" w:cs="Linux Libertine G"/>
          <w:color w:val="000000"/>
          <w:sz w:val="24"/>
          <w:szCs w:val="24"/>
        </w:rPr>
        <w:t xml:space="preserve">2020, ajo ishte pezulluar </w:t>
      </w:r>
      <w:r w:rsidRPr="00AF1BD6">
        <w:rPr>
          <w:rFonts w:ascii="Garamond" w:hAnsi="Garamond" w:cs="Linux Libertine G"/>
          <w:i/>
          <w:iCs/>
          <w:color w:val="000000"/>
          <w:sz w:val="24"/>
          <w:szCs w:val="24"/>
        </w:rPr>
        <w:t>ex lege</w:t>
      </w:r>
      <w:r w:rsidRPr="00AF1BD6">
        <w:rPr>
          <w:rFonts w:ascii="Garamond" w:hAnsi="Garamond" w:cs="Linux Libertine G"/>
          <w:color w:val="000000"/>
          <w:sz w:val="24"/>
          <w:szCs w:val="24"/>
        </w:rPr>
        <w:t xml:space="preserve"> në mbështetje të Ligjit të Rivlerësimit. </w:t>
      </w:r>
    </w:p>
    <w:p w14:paraId="371F09A8" w14:textId="1D7F6074"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38.</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Në parashtrimet e kërkuesve depozituar në muajin </w:t>
      </w:r>
      <w:r w:rsidR="007C232B" w:rsidRPr="00AF1BD6">
        <w:rPr>
          <w:rFonts w:ascii="Garamond" w:hAnsi="Garamond" w:cs="Linux Libertine G"/>
          <w:color w:val="000000"/>
          <w:sz w:val="24"/>
          <w:szCs w:val="24"/>
        </w:rPr>
        <w:t xml:space="preserve">prill </w:t>
      </w:r>
      <w:r w:rsidRPr="00AF1BD6">
        <w:rPr>
          <w:rFonts w:ascii="Garamond" w:hAnsi="Garamond" w:cs="Linux Libertine G"/>
          <w:color w:val="000000"/>
          <w:sz w:val="24"/>
          <w:szCs w:val="24"/>
        </w:rPr>
        <w:t xml:space="preserve">2019, kërkuesi i dytë argumentonte se teksa vendimi i datës 8 </w:t>
      </w:r>
      <w:r w:rsidR="007C232B"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 xml:space="preserve">2018 ishte i ekzekutueshëm në mënyrë të menjëhershme, autoritetet kompetente kishin refuzuar në mënyrë të paligjshme ta rikthenin në detyrë. Qeveria nuk kishte ofruar shpjegime për moszbatimin e atij vendimi. Kërkuesi i dytë nuk kishte përfituar nga ai vendim, që, në moszbatim, nuk kishte qenë masa korrigjuese efektive dhe e përshtatshme, sipas </w:t>
      </w:r>
      <w:r w:rsidR="007C232B"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34 të Konventës. Për shkak të pezullimit të tij të vazhduar, ai ishte ndaluar të merrte pjesë në zgjedhjen e anëtarëve të KLP-së në muajin </w:t>
      </w:r>
      <w:r w:rsidR="007C232B" w:rsidRPr="00AF1BD6">
        <w:rPr>
          <w:rFonts w:ascii="Garamond" w:hAnsi="Garamond" w:cs="Linux Libertine G"/>
          <w:color w:val="000000"/>
          <w:sz w:val="24"/>
          <w:szCs w:val="24"/>
        </w:rPr>
        <w:t xml:space="preserve">dhjetor </w:t>
      </w:r>
      <w:r w:rsidRPr="00AF1BD6">
        <w:rPr>
          <w:rFonts w:ascii="Garamond" w:hAnsi="Garamond" w:cs="Linux Libertine G"/>
          <w:color w:val="000000"/>
          <w:sz w:val="24"/>
          <w:szCs w:val="24"/>
        </w:rPr>
        <w:t xml:space="preserve">2018. </w:t>
      </w:r>
    </w:p>
    <w:p w14:paraId="01730364" w14:textId="415F9C29" w:rsidR="00D07213" w:rsidRPr="00AF1BD6" w:rsidRDefault="00D07213" w:rsidP="00C46B88">
      <w:pPr>
        <w:autoSpaceDE w:val="0"/>
        <w:autoSpaceDN w:val="0"/>
        <w:adjustRightInd w:val="0"/>
        <w:spacing w:after="0" w:line="240" w:lineRule="auto"/>
        <w:ind w:firstLine="284"/>
        <w:jc w:val="both"/>
        <w:rPr>
          <w:rFonts w:ascii="Garamond" w:hAnsi="Garamond" w:cs="Linux Libertine G"/>
          <w:i/>
          <w:iCs/>
          <w:color w:val="000000"/>
          <w:sz w:val="24"/>
          <w:szCs w:val="24"/>
        </w:rPr>
      </w:pPr>
      <w:r w:rsidRPr="00AF1BD6">
        <w:rPr>
          <w:rFonts w:ascii="Garamond" w:hAnsi="Garamond" w:cs="Linux Libertine G"/>
          <w:i/>
          <w:iCs/>
          <w:color w:val="000000"/>
          <w:sz w:val="24"/>
          <w:szCs w:val="24"/>
        </w:rPr>
        <w:t>3.</w:t>
      </w:r>
      <w:r w:rsidR="00C46B88" w:rsidRPr="00AF1BD6">
        <w:rPr>
          <w:rFonts w:ascii="Garamond" w:hAnsi="Garamond" w:cs="Linux Libertine G"/>
          <w:i/>
          <w:iCs/>
          <w:color w:val="000000"/>
          <w:sz w:val="24"/>
          <w:szCs w:val="24"/>
        </w:rPr>
        <w:t xml:space="preserve"> </w:t>
      </w:r>
      <w:r w:rsidRPr="00AF1BD6">
        <w:rPr>
          <w:rFonts w:ascii="Garamond" w:hAnsi="Garamond" w:cs="Linux Libertine G"/>
          <w:i/>
          <w:iCs/>
          <w:color w:val="000000"/>
          <w:sz w:val="24"/>
          <w:szCs w:val="24"/>
        </w:rPr>
        <w:t>Ndërhyrja e palës së tretë</w:t>
      </w:r>
    </w:p>
    <w:p w14:paraId="5987C0B5" w14:textId="0F5A32FC"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39.</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Parashtrimet e palës së tretë përmblidhen në vendimin </w:t>
      </w:r>
      <w:r w:rsidRPr="00AF1BD6">
        <w:rPr>
          <w:rFonts w:ascii="Garamond" w:hAnsi="Garamond" w:cs="Linux Libertine G"/>
          <w:i/>
          <w:iCs/>
          <w:color w:val="000000"/>
          <w:sz w:val="24"/>
          <w:szCs w:val="24"/>
        </w:rPr>
        <w:t xml:space="preserve">Xhoxhaj </w:t>
      </w:r>
      <w:r w:rsidRPr="00AF1BD6">
        <w:rPr>
          <w:rFonts w:ascii="Garamond" w:hAnsi="Garamond" w:cs="Linux Libertine G"/>
          <w:color w:val="000000"/>
          <w:sz w:val="24"/>
          <w:szCs w:val="24"/>
        </w:rPr>
        <w:t xml:space="preserve">(cituar më sipër, §§ 276-79). </w:t>
      </w:r>
    </w:p>
    <w:p w14:paraId="2C9CF64A" w14:textId="6B836377" w:rsidR="00D07213" w:rsidRPr="00AF1BD6" w:rsidRDefault="00D07213" w:rsidP="00C46B88">
      <w:pPr>
        <w:autoSpaceDE w:val="0"/>
        <w:autoSpaceDN w:val="0"/>
        <w:adjustRightInd w:val="0"/>
        <w:spacing w:after="0" w:line="240" w:lineRule="auto"/>
        <w:ind w:firstLine="284"/>
        <w:jc w:val="both"/>
        <w:rPr>
          <w:rFonts w:ascii="Garamond" w:hAnsi="Garamond" w:cs="Linux Libertine G"/>
          <w:b/>
          <w:bCs/>
          <w:color w:val="000000"/>
          <w:sz w:val="24"/>
          <w:szCs w:val="24"/>
        </w:rPr>
      </w:pPr>
      <w:r w:rsidRPr="00AF1BD6">
        <w:rPr>
          <w:rFonts w:ascii="Garamond" w:hAnsi="Garamond" w:cs="Linux Libertine G"/>
          <w:b/>
          <w:bCs/>
          <w:color w:val="000000"/>
          <w:sz w:val="24"/>
          <w:szCs w:val="24"/>
        </w:rPr>
        <w:t>B.</w:t>
      </w:r>
      <w:r w:rsidR="00C46B88" w:rsidRPr="00AF1BD6">
        <w:rPr>
          <w:rFonts w:ascii="Garamond" w:hAnsi="Garamond" w:cs="Linux Libertine G"/>
          <w:b/>
          <w:bCs/>
          <w:color w:val="000000"/>
          <w:sz w:val="24"/>
          <w:szCs w:val="24"/>
        </w:rPr>
        <w:t xml:space="preserve"> </w:t>
      </w:r>
      <w:r w:rsidRPr="00AF1BD6">
        <w:rPr>
          <w:rFonts w:ascii="Garamond" w:hAnsi="Garamond" w:cs="Linux Libertine G"/>
          <w:b/>
          <w:bCs/>
          <w:color w:val="000000"/>
          <w:sz w:val="24"/>
          <w:szCs w:val="24"/>
        </w:rPr>
        <w:t>Vlerësimi i Gjykatës</w:t>
      </w:r>
    </w:p>
    <w:p w14:paraId="711CBA7C" w14:textId="1399493C"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40.</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Edhe nëse </w:t>
      </w:r>
      <w:r w:rsidR="007C232B" w:rsidRPr="00AF1BD6">
        <w:rPr>
          <w:rFonts w:ascii="Garamond" w:hAnsi="Garamond" w:cs="Linux Libertine G"/>
          <w:color w:val="000000"/>
          <w:sz w:val="24"/>
          <w:szCs w:val="24"/>
        </w:rPr>
        <w:t xml:space="preserve">neni </w:t>
      </w:r>
      <w:r w:rsidRPr="00AF1BD6">
        <w:rPr>
          <w:rFonts w:ascii="Garamond" w:hAnsi="Garamond" w:cs="Linux Libertine G"/>
          <w:color w:val="000000"/>
          <w:sz w:val="24"/>
          <w:szCs w:val="24"/>
        </w:rPr>
        <w:t xml:space="preserve">6 § 1 i Konventës është i zbatueshëm për procedurat në të cilat prokurorët publikë kundërshtojnë pezullimet e tyre </w:t>
      </w:r>
      <w:r w:rsidRPr="00AF1BD6">
        <w:rPr>
          <w:rFonts w:ascii="Garamond" w:hAnsi="Garamond" w:cs="Linux Libertine G"/>
          <w:i/>
          <w:iCs/>
          <w:color w:val="000000"/>
          <w:sz w:val="24"/>
          <w:szCs w:val="24"/>
        </w:rPr>
        <w:t xml:space="preserve">ex lege </w:t>
      </w:r>
      <w:r w:rsidRPr="00AF1BD6">
        <w:rPr>
          <w:rFonts w:ascii="Garamond" w:hAnsi="Garamond" w:cs="Linux Libertine G"/>
          <w:color w:val="000000"/>
          <w:sz w:val="24"/>
          <w:szCs w:val="24"/>
        </w:rPr>
        <w:t xml:space="preserve">nga detyra (krahaso </w:t>
      </w:r>
      <w:r w:rsidRPr="00AF1BD6">
        <w:rPr>
          <w:rFonts w:ascii="Garamond" w:hAnsi="Garamond" w:cs="Linux Libertine G"/>
          <w:i/>
          <w:iCs/>
          <w:color w:val="000000"/>
          <w:sz w:val="24"/>
          <w:szCs w:val="24"/>
        </w:rPr>
        <w:t>Paluda kundër Sllovakisë</w:t>
      </w:r>
      <w:r w:rsidRPr="00AF1BD6">
        <w:rPr>
          <w:rFonts w:ascii="Garamond" w:hAnsi="Garamond" w:cs="Linux Libertine G"/>
          <w:color w:val="000000"/>
          <w:sz w:val="24"/>
          <w:szCs w:val="24"/>
        </w:rPr>
        <w:t>, nr. 33392/12, §§ 33</w:t>
      </w:r>
      <w:r w:rsidR="007C232B">
        <w:rPr>
          <w:rFonts w:ascii="Garamond" w:hAnsi="Garamond" w:cs="Linux Libertine G"/>
          <w:color w:val="000000"/>
          <w:sz w:val="24"/>
          <w:szCs w:val="24"/>
        </w:rPr>
        <w:t>–</w:t>
      </w:r>
      <w:r w:rsidRPr="00AF1BD6">
        <w:rPr>
          <w:rFonts w:ascii="Garamond" w:hAnsi="Garamond" w:cs="Linux Libertine G"/>
          <w:color w:val="000000"/>
          <w:sz w:val="24"/>
          <w:szCs w:val="24"/>
        </w:rPr>
        <w:t xml:space="preserve">34, 23 </w:t>
      </w:r>
      <w:r w:rsidR="007C232B" w:rsidRPr="00AF1BD6">
        <w:rPr>
          <w:rFonts w:ascii="Garamond" w:hAnsi="Garamond" w:cs="Linux Libertine G"/>
          <w:color w:val="000000"/>
          <w:sz w:val="24"/>
          <w:szCs w:val="24"/>
        </w:rPr>
        <w:t xml:space="preserve">maj </w:t>
      </w:r>
      <w:r w:rsidRPr="00AF1BD6">
        <w:rPr>
          <w:rFonts w:ascii="Garamond" w:hAnsi="Garamond" w:cs="Linux Libertine G"/>
          <w:color w:val="000000"/>
          <w:sz w:val="24"/>
          <w:szCs w:val="24"/>
        </w:rPr>
        <w:t xml:space="preserve">2017; </w:t>
      </w:r>
      <w:r w:rsidRPr="00AF1BD6">
        <w:rPr>
          <w:rFonts w:ascii="Garamond" w:hAnsi="Garamond" w:cs="Linux Libertine G"/>
          <w:i/>
          <w:iCs/>
          <w:color w:val="000000"/>
          <w:sz w:val="24"/>
          <w:szCs w:val="24"/>
        </w:rPr>
        <w:t>Camelia Bogdan kundër Rumanisë</w:t>
      </w:r>
      <w:r w:rsidRPr="00AF1BD6">
        <w:rPr>
          <w:rFonts w:ascii="Garamond" w:hAnsi="Garamond" w:cs="Linux Libertine G"/>
          <w:color w:val="000000"/>
          <w:sz w:val="24"/>
          <w:szCs w:val="24"/>
        </w:rPr>
        <w:t xml:space="preserve">, nr. 36889/18, § 70, 20 </w:t>
      </w:r>
      <w:r w:rsidR="007C232B" w:rsidRPr="00AF1BD6">
        <w:rPr>
          <w:rFonts w:ascii="Garamond" w:hAnsi="Garamond" w:cs="Linux Libertine G"/>
          <w:color w:val="000000"/>
          <w:sz w:val="24"/>
          <w:szCs w:val="24"/>
        </w:rPr>
        <w:t xml:space="preserve">tetor </w:t>
      </w:r>
      <w:r w:rsidRPr="00AF1BD6">
        <w:rPr>
          <w:rFonts w:ascii="Garamond" w:hAnsi="Garamond" w:cs="Linux Libertine G"/>
          <w:color w:val="000000"/>
          <w:sz w:val="24"/>
          <w:szCs w:val="24"/>
        </w:rPr>
        <w:t xml:space="preserve">2020; </w:t>
      </w:r>
      <w:r w:rsidRPr="00AF1BD6">
        <w:rPr>
          <w:rFonts w:ascii="Garamond" w:hAnsi="Garamond" w:cs="Linux Libertine G"/>
          <w:i/>
          <w:iCs/>
          <w:color w:val="000000"/>
          <w:sz w:val="24"/>
          <w:szCs w:val="24"/>
        </w:rPr>
        <w:t>Loquifer kundër Belgjikës</w:t>
      </w:r>
      <w:r w:rsidRPr="00AF1BD6">
        <w:rPr>
          <w:rFonts w:ascii="Garamond" w:hAnsi="Garamond" w:cs="Linux Libertine G"/>
          <w:color w:val="000000"/>
          <w:sz w:val="24"/>
          <w:szCs w:val="24"/>
        </w:rPr>
        <w:t xml:space="preserve">, nr. 79089/13 dhe 2 të tjerë § 41, 20 </w:t>
      </w:r>
      <w:r w:rsidR="007C232B" w:rsidRPr="00AF1BD6">
        <w:rPr>
          <w:rFonts w:ascii="Garamond" w:hAnsi="Garamond" w:cs="Linux Libertine G"/>
          <w:color w:val="000000"/>
          <w:sz w:val="24"/>
          <w:szCs w:val="24"/>
        </w:rPr>
        <w:t xml:space="preserve">korrik </w:t>
      </w:r>
      <w:r w:rsidRPr="00AF1BD6">
        <w:rPr>
          <w:rFonts w:ascii="Garamond" w:hAnsi="Garamond" w:cs="Linux Libertine G"/>
          <w:color w:val="000000"/>
          <w:sz w:val="24"/>
          <w:szCs w:val="24"/>
        </w:rPr>
        <w:t xml:space="preserve">2021; dhe </w:t>
      </w:r>
      <w:r w:rsidRPr="00AF1BD6">
        <w:rPr>
          <w:rFonts w:ascii="Garamond" w:hAnsi="Garamond" w:cs="Linux Libertine G"/>
          <w:i/>
          <w:iCs/>
          <w:color w:val="000000"/>
          <w:sz w:val="24"/>
          <w:szCs w:val="24"/>
        </w:rPr>
        <w:t>Juszczyszyn kundër Polonisë</w:t>
      </w:r>
      <w:r w:rsidRPr="00AF1BD6">
        <w:rPr>
          <w:rFonts w:ascii="Garamond" w:hAnsi="Garamond" w:cs="Linux Libertine G"/>
          <w:color w:val="000000"/>
          <w:sz w:val="24"/>
          <w:szCs w:val="24"/>
        </w:rPr>
        <w:t xml:space="preserve">, nr. 35599/20, § 137, 6 </w:t>
      </w:r>
      <w:r w:rsidR="007C232B" w:rsidRPr="00AF1BD6">
        <w:rPr>
          <w:rFonts w:ascii="Garamond" w:hAnsi="Garamond" w:cs="Linux Libertine G"/>
          <w:color w:val="000000"/>
          <w:sz w:val="24"/>
          <w:szCs w:val="24"/>
        </w:rPr>
        <w:t xml:space="preserve">tetor </w:t>
      </w:r>
      <w:r w:rsidRPr="00AF1BD6">
        <w:rPr>
          <w:rFonts w:ascii="Garamond" w:hAnsi="Garamond" w:cs="Linux Libertine G"/>
          <w:color w:val="000000"/>
          <w:sz w:val="24"/>
          <w:szCs w:val="24"/>
        </w:rPr>
        <w:t xml:space="preserve">2022), ankesat e kërkuesve në çështjen konkrete, në çdo rast, janë të papranueshme për arsyet e mëposhtme. </w:t>
      </w:r>
    </w:p>
    <w:p w14:paraId="762B0AC6" w14:textId="767CE56A"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41.</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Në lidhje me ankesën e kërkuesve në Gjykatë në muajin </w:t>
      </w:r>
      <w:r w:rsidR="007C232B" w:rsidRPr="00AF1BD6">
        <w:rPr>
          <w:rFonts w:ascii="Garamond" w:hAnsi="Garamond" w:cs="Linux Libertine G"/>
          <w:color w:val="000000"/>
          <w:sz w:val="24"/>
          <w:szCs w:val="24"/>
        </w:rPr>
        <w:t xml:space="preserve">qershor </w:t>
      </w:r>
      <w:r w:rsidRPr="00AF1BD6">
        <w:rPr>
          <w:rFonts w:ascii="Garamond" w:hAnsi="Garamond" w:cs="Linux Libertine G"/>
          <w:color w:val="000000"/>
          <w:sz w:val="24"/>
          <w:szCs w:val="24"/>
        </w:rPr>
        <w:t xml:space="preserve">2018 se iu ishte mohuar e drejta për t’iu drejtuar një gjykate përpara KPA-së, rezulton se çështja e tyre kishte mbetur e pashqyrtuar, sepse pezullimi sipas </w:t>
      </w:r>
      <w:r w:rsidR="007C232B"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151 të Ligjit për Statusin e Gjyqtarëve dhe Prokurorëve ishte jashtë kompetencës së KPA</w:t>
      </w:r>
      <w:r w:rsidR="007C232B">
        <w:rPr>
          <w:rFonts w:ascii="Garamond" w:hAnsi="Garamond" w:cs="Linux Libertine G"/>
          <w:color w:val="000000"/>
          <w:sz w:val="24"/>
          <w:szCs w:val="24"/>
        </w:rPr>
        <w:t>-së</w:t>
      </w:r>
      <w:r w:rsidRPr="00AF1BD6">
        <w:rPr>
          <w:rFonts w:ascii="Garamond" w:hAnsi="Garamond" w:cs="Linux Libertine G"/>
          <w:color w:val="000000"/>
          <w:sz w:val="24"/>
          <w:szCs w:val="24"/>
        </w:rPr>
        <w:t xml:space="preserve"> për proceset e zakonshme disiplinore. KPA</w:t>
      </w:r>
      <w:r w:rsidR="001875E0">
        <w:rPr>
          <w:rFonts w:ascii="Garamond" w:hAnsi="Garamond" w:cs="Linux Libertine G"/>
          <w:color w:val="000000"/>
          <w:sz w:val="24"/>
          <w:szCs w:val="24"/>
        </w:rPr>
        <w:t>-ja</w:t>
      </w:r>
      <w:r w:rsidRPr="00AF1BD6">
        <w:rPr>
          <w:rFonts w:ascii="Garamond" w:hAnsi="Garamond" w:cs="Linux Libertine G"/>
          <w:color w:val="000000"/>
          <w:sz w:val="24"/>
          <w:szCs w:val="24"/>
        </w:rPr>
        <w:t xml:space="preserve"> specifikoi se rruga e duhur për shqyrtim gjyqësor ishte Gjykata Administrative e Apelit. Në vijim kërkuesit e përdorën atë mundësi, dhe në </w:t>
      </w:r>
      <w:r w:rsidR="0052578A"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 xml:space="preserve">2018, çështja e tyre u shqyrtua për meritat e saj, duke ushtruar në këtë mënyrë të drejtën e tyre për t’iu drejtuar një gjykate. Gjithashtu, konstatohet se ata morën rezultatin që e konsideronin të ishte i kënaqshëm (krahaso </w:t>
      </w:r>
      <w:r w:rsidRPr="00AF1BD6">
        <w:rPr>
          <w:rFonts w:ascii="Garamond" w:hAnsi="Garamond" w:cs="Linux Libertine G"/>
          <w:i/>
          <w:iCs/>
          <w:color w:val="000000"/>
          <w:sz w:val="24"/>
          <w:szCs w:val="24"/>
        </w:rPr>
        <w:t>Antonyuk kundër Rusisë</w:t>
      </w:r>
      <w:r w:rsidRPr="00AF1BD6">
        <w:rPr>
          <w:rFonts w:ascii="Garamond" w:hAnsi="Garamond" w:cs="Linux Libertine G"/>
          <w:color w:val="000000"/>
          <w:sz w:val="24"/>
          <w:szCs w:val="24"/>
        </w:rPr>
        <w:t xml:space="preserve">, nr. 47721/10, § 105, 1 </w:t>
      </w:r>
      <w:r w:rsidR="0052578A" w:rsidRPr="00AF1BD6">
        <w:rPr>
          <w:rFonts w:ascii="Garamond" w:hAnsi="Garamond" w:cs="Linux Libertine G"/>
          <w:color w:val="000000"/>
          <w:sz w:val="24"/>
          <w:szCs w:val="24"/>
        </w:rPr>
        <w:t xml:space="preserve">gusht </w:t>
      </w:r>
      <w:r w:rsidRPr="00AF1BD6">
        <w:rPr>
          <w:rFonts w:ascii="Garamond" w:hAnsi="Garamond" w:cs="Linux Libertine G"/>
          <w:color w:val="000000"/>
          <w:sz w:val="24"/>
          <w:szCs w:val="24"/>
        </w:rPr>
        <w:t xml:space="preserve">2013). Kështu, kjo ankesë është qartazi e pambështetur në fakte dhe duhet të rrëzohet në përputhje me </w:t>
      </w:r>
      <w:r w:rsidR="0052578A" w:rsidRPr="00AF1BD6">
        <w:rPr>
          <w:rFonts w:ascii="Garamond" w:hAnsi="Garamond" w:cs="Linux Libertine G"/>
          <w:color w:val="000000"/>
          <w:sz w:val="24"/>
          <w:szCs w:val="24"/>
        </w:rPr>
        <w:t xml:space="preserve">nenin </w:t>
      </w:r>
      <w:r w:rsidRPr="00AF1BD6">
        <w:rPr>
          <w:rFonts w:ascii="Garamond" w:hAnsi="Garamond" w:cs="Linux Libertine G"/>
          <w:color w:val="000000"/>
          <w:sz w:val="24"/>
          <w:szCs w:val="24"/>
        </w:rPr>
        <w:t xml:space="preserve">35 §§ 3 (a) dhe 4 të Konventës. </w:t>
      </w:r>
    </w:p>
    <w:p w14:paraId="6C494523" w14:textId="67B4AE19"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42.</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Për sa ka të bëjë me pavarësinë dhe paanshmërinë, së pari, në lidhje me argumentet që i përkasin KPA-së si institucion, Gjykata e ka trajtuar këtë çështje në vendimin </w:t>
      </w:r>
      <w:r w:rsidRPr="00AF1BD6">
        <w:rPr>
          <w:rFonts w:ascii="Garamond" w:hAnsi="Garamond" w:cs="Linux Libertine G"/>
          <w:i/>
          <w:iCs/>
          <w:color w:val="000000"/>
          <w:sz w:val="24"/>
          <w:szCs w:val="24"/>
        </w:rPr>
        <w:t xml:space="preserve">Xhoxhaj </w:t>
      </w:r>
      <w:r w:rsidRPr="00AF1BD6">
        <w:rPr>
          <w:rFonts w:ascii="Garamond" w:hAnsi="Garamond" w:cs="Linux Libertine G"/>
          <w:color w:val="000000"/>
          <w:sz w:val="24"/>
          <w:szCs w:val="24"/>
        </w:rPr>
        <w:t xml:space="preserve">(cituar më sipër, §§ 309-16). Pas shqyrtimit të parashtrimeve të palëve në çështjen konkrete, Gjykata nuk konstaton asnjë arsye për t’u ndarë nga përfundimet në vendimin </w:t>
      </w:r>
      <w:r w:rsidRPr="00AF1BD6">
        <w:rPr>
          <w:rFonts w:ascii="Garamond" w:hAnsi="Garamond" w:cs="Linux Libertine G"/>
          <w:i/>
          <w:iCs/>
          <w:color w:val="000000"/>
          <w:sz w:val="24"/>
          <w:szCs w:val="24"/>
        </w:rPr>
        <w:t xml:space="preserve">Xhoxhaj. </w:t>
      </w:r>
      <w:r w:rsidRPr="00AF1BD6">
        <w:rPr>
          <w:rFonts w:ascii="Garamond" w:hAnsi="Garamond" w:cs="Linux Libertine G"/>
          <w:color w:val="000000"/>
          <w:sz w:val="24"/>
          <w:szCs w:val="24"/>
        </w:rPr>
        <w:t xml:space="preserve">Në këtë mënyrë, kjo ankesë është qartazi e pambështetur në fakte dhe duhet të rrëzohet në përputhje me </w:t>
      </w:r>
      <w:r w:rsidR="00506959" w:rsidRPr="00AF1BD6">
        <w:rPr>
          <w:rFonts w:ascii="Garamond" w:hAnsi="Garamond" w:cs="Linux Libertine G"/>
          <w:color w:val="000000"/>
          <w:sz w:val="24"/>
          <w:szCs w:val="24"/>
        </w:rPr>
        <w:t xml:space="preserve">nenin </w:t>
      </w:r>
      <w:r w:rsidRPr="00AF1BD6">
        <w:rPr>
          <w:rFonts w:ascii="Garamond" w:hAnsi="Garamond" w:cs="Linux Libertine G"/>
          <w:color w:val="000000"/>
          <w:sz w:val="24"/>
          <w:szCs w:val="24"/>
        </w:rPr>
        <w:t>35 §§ 3 (a) dhe 4 të Konventës.</w:t>
      </w:r>
    </w:p>
    <w:p w14:paraId="51EE4F9E" w14:textId="0A8CDA88"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43.</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Së dyti, në lidhje me argumentet që kanë të bëjnë me trupën e KPA-së për çështjen e kërkuesve, Gjykata konstaton se në rrethanat e çështjes konkrete, kërkuesit nuk vuajtën asnjë disavantazh të rëndë sipas interpretimit të </w:t>
      </w:r>
      <w:r w:rsidR="00506959"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35 § 3 (b) të Konventës (shih </w:t>
      </w:r>
      <w:r w:rsidRPr="00AF1BD6">
        <w:rPr>
          <w:rFonts w:ascii="Garamond" w:hAnsi="Garamond" w:cs="Linux Libertine G"/>
          <w:i/>
          <w:iCs/>
          <w:color w:val="000000"/>
          <w:sz w:val="24"/>
          <w:szCs w:val="24"/>
        </w:rPr>
        <w:t xml:space="preserve">Kapustina kundër Rusisë </w:t>
      </w:r>
      <w:r w:rsidRPr="00AF1BD6">
        <w:rPr>
          <w:rFonts w:ascii="Garamond" w:hAnsi="Garamond" w:cs="Linux Libertine G"/>
          <w:color w:val="000000"/>
          <w:sz w:val="24"/>
          <w:szCs w:val="24"/>
        </w:rPr>
        <w:t>(vendim), nr. 56109/13, §§ 12 dhe 19</w:t>
      </w:r>
      <w:r w:rsidR="00506959">
        <w:rPr>
          <w:rFonts w:ascii="Garamond" w:hAnsi="Garamond" w:cs="Linux Libertine G"/>
          <w:color w:val="000000"/>
          <w:sz w:val="24"/>
          <w:szCs w:val="24"/>
        </w:rPr>
        <w:t>–</w:t>
      </w:r>
      <w:r w:rsidRPr="00AF1BD6">
        <w:rPr>
          <w:rFonts w:ascii="Garamond" w:hAnsi="Garamond" w:cs="Linux Libertine G"/>
          <w:color w:val="000000"/>
          <w:sz w:val="24"/>
          <w:szCs w:val="24"/>
        </w:rPr>
        <w:t xml:space="preserve">25, 7 </w:t>
      </w:r>
      <w:r w:rsidR="00506959" w:rsidRPr="00AF1BD6">
        <w:rPr>
          <w:rFonts w:ascii="Garamond" w:hAnsi="Garamond" w:cs="Linux Libertine G"/>
          <w:color w:val="000000"/>
          <w:sz w:val="24"/>
          <w:szCs w:val="24"/>
        </w:rPr>
        <w:t xml:space="preserve">qershor </w:t>
      </w:r>
      <w:r w:rsidRPr="00AF1BD6">
        <w:rPr>
          <w:rFonts w:ascii="Garamond" w:hAnsi="Garamond" w:cs="Linux Libertine G"/>
          <w:color w:val="000000"/>
          <w:sz w:val="24"/>
          <w:szCs w:val="24"/>
        </w:rPr>
        <w:t xml:space="preserve">2022, dhe </w:t>
      </w:r>
      <w:r w:rsidRPr="00AF1BD6">
        <w:rPr>
          <w:rFonts w:ascii="Garamond" w:hAnsi="Garamond" w:cs="Linux Libertine G"/>
          <w:i/>
          <w:iCs/>
          <w:color w:val="000000"/>
          <w:sz w:val="24"/>
          <w:szCs w:val="24"/>
        </w:rPr>
        <w:t>C.P. kundër Mbretërisë së Bashkuar</w:t>
      </w:r>
      <w:r w:rsidRPr="00AF1BD6">
        <w:rPr>
          <w:rFonts w:ascii="Garamond" w:hAnsi="Garamond" w:cs="Linux Libertine G"/>
          <w:color w:val="000000"/>
          <w:sz w:val="24"/>
          <w:szCs w:val="24"/>
        </w:rPr>
        <w:t xml:space="preserve"> (vendim), nr. 300/11. § 41, 6 </w:t>
      </w:r>
      <w:r w:rsidR="00506959" w:rsidRPr="00AF1BD6">
        <w:rPr>
          <w:rFonts w:ascii="Garamond" w:hAnsi="Garamond" w:cs="Linux Libertine G"/>
          <w:color w:val="000000"/>
          <w:sz w:val="24"/>
          <w:szCs w:val="24"/>
        </w:rPr>
        <w:t xml:space="preserve">shtator </w:t>
      </w:r>
      <w:r w:rsidRPr="00AF1BD6">
        <w:rPr>
          <w:rFonts w:ascii="Garamond" w:hAnsi="Garamond" w:cs="Linux Libertine G"/>
          <w:color w:val="000000"/>
          <w:sz w:val="24"/>
          <w:szCs w:val="24"/>
        </w:rPr>
        <w:t xml:space="preserve">2016). Procesi i kundërshtuar përpara trupës së KPA-së kishte të bënte me, dhe rezultoi në, përcaktimin e aspektit të juridiksionit. Pretendimi i kërkuesve, më pas, u shqyrtua nga një gjykatë tjetër, për të cilën nuk u ngrit asnjë çështje për “një gjykim të drejtë nga një gjykatë e pavarur dhe e paanshme”. Ata morën një rezultat të favorshëm për meritat e pretendimit të tyre. Gjithashtu, respektimi i të drejtave të njeriut sipas parashikimit në Konventë nuk kërkon një shqyrtim të kësaj ankese për meritat. Më herët, Gjykata ka shqyrtuar çështje të ngjashme, duke përfshirë kontekstin e përjashtimit të një gjyqtari (shih, midis autoriteteve të tjerë, </w:t>
      </w:r>
      <w:r w:rsidRPr="00AF1BD6">
        <w:rPr>
          <w:rFonts w:ascii="Garamond" w:hAnsi="Garamond" w:cs="Linux Libertine G"/>
          <w:i/>
          <w:iCs/>
          <w:color w:val="000000"/>
          <w:sz w:val="24"/>
          <w:szCs w:val="24"/>
        </w:rPr>
        <w:t xml:space="preserve">Alexandru Marian Iancu kundër Rumanisë, </w:t>
      </w:r>
      <w:r w:rsidRPr="00AF1BD6">
        <w:rPr>
          <w:rFonts w:ascii="Garamond" w:hAnsi="Garamond" w:cs="Linux Libertine G"/>
          <w:color w:val="000000"/>
          <w:sz w:val="24"/>
          <w:szCs w:val="24"/>
        </w:rPr>
        <w:t xml:space="preserve">nr. 60858/15, § 69, 4 </w:t>
      </w:r>
      <w:r w:rsidR="00506959" w:rsidRPr="00AF1BD6">
        <w:rPr>
          <w:rFonts w:ascii="Garamond" w:hAnsi="Garamond" w:cs="Linux Libertine G"/>
          <w:color w:val="000000"/>
          <w:sz w:val="24"/>
          <w:szCs w:val="24"/>
        </w:rPr>
        <w:t xml:space="preserve">shkurt </w:t>
      </w:r>
      <w:r w:rsidRPr="00AF1BD6">
        <w:rPr>
          <w:rFonts w:ascii="Garamond" w:hAnsi="Garamond" w:cs="Linux Libertine G"/>
          <w:color w:val="000000"/>
          <w:sz w:val="24"/>
          <w:szCs w:val="24"/>
        </w:rPr>
        <w:t xml:space="preserve">2020, dhe </w:t>
      </w:r>
      <w:r w:rsidRPr="00AF1BD6">
        <w:rPr>
          <w:rFonts w:ascii="Garamond" w:hAnsi="Garamond" w:cs="Linux Libertine G"/>
          <w:i/>
          <w:iCs/>
          <w:color w:val="000000"/>
          <w:sz w:val="24"/>
          <w:szCs w:val="24"/>
        </w:rPr>
        <w:t>Paixão Moreira Sá Fernandes kundër Portugalisë</w:t>
      </w:r>
      <w:r w:rsidRPr="00AF1BD6">
        <w:rPr>
          <w:rFonts w:ascii="Garamond" w:hAnsi="Garamond" w:cs="Linux Libertine G"/>
          <w:color w:val="000000"/>
          <w:sz w:val="24"/>
          <w:szCs w:val="24"/>
        </w:rPr>
        <w:t xml:space="preserve">, nr. 78108/14, §§ 90-94, 25 </w:t>
      </w:r>
      <w:r w:rsidR="002940FC" w:rsidRPr="00AF1BD6">
        <w:rPr>
          <w:rFonts w:ascii="Garamond" w:hAnsi="Garamond" w:cs="Linux Libertine G"/>
          <w:color w:val="000000"/>
          <w:sz w:val="24"/>
          <w:szCs w:val="24"/>
        </w:rPr>
        <w:t xml:space="preserve">shkurt </w:t>
      </w:r>
      <w:r w:rsidRPr="00AF1BD6">
        <w:rPr>
          <w:rFonts w:ascii="Garamond" w:hAnsi="Garamond" w:cs="Linux Libertine G"/>
          <w:color w:val="000000"/>
          <w:sz w:val="24"/>
          <w:szCs w:val="24"/>
        </w:rPr>
        <w:t xml:space="preserve">2020). Ankesa e kërkuesve nuk ngre ndonjë çështje parimi apo ndonjë problem të ri ligjor, duke përfshirë problemet e natyrës strukturore (shih, në këtë aspekt, </w:t>
      </w:r>
      <w:r w:rsidRPr="00AF1BD6">
        <w:rPr>
          <w:rFonts w:ascii="Garamond" w:hAnsi="Garamond" w:cs="Linux Libertine G"/>
          <w:i/>
          <w:iCs/>
          <w:color w:val="000000"/>
          <w:sz w:val="24"/>
          <w:szCs w:val="24"/>
        </w:rPr>
        <w:t>Xhoxhaj</w:t>
      </w:r>
      <w:r w:rsidRPr="00AF1BD6">
        <w:rPr>
          <w:rFonts w:ascii="Garamond" w:hAnsi="Garamond" w:cs="Linux Libertine G"/>
          <w:color w:val="000000"/>
          <w:sz w:val="24"/>
          <w:szCs w:val="24"/>
        </w:rPr>
        <w:t xml:space="preserve">, cituar më sipër, §§ 309-16). Në këtë mënyrë, ajo duhet rrëzuar në përputhje me </w:t>
      </w:r>
      <w:r w:rsidR="00CB7165" w:rsidRPr="00AF1BD6">
        <w:rPr>
          <w:rFonts w:ascii="Garamond" w:hAnsi="Garamond" w:cs="Linux Libertine G"/>
          <w:color w:val="000000"/>
          <w:sz w:val="24"/>
          <w:szCs w:val="24"/>
        </w:rPr>
        <w:t xml:space="preserve">nenin </w:t>
      </w:r>
      <w:r w:rsidRPr="00AF1BD6">
        <w:rPr>
          <w:rFonts w:ascii="Garamond" w:hAnsi="Garamond" w:cs="Linux Libertine G"/>
          <w:color w:val="000000"/>
          <w:sz w:val="24"/>
          <w:szCs w:val="24"/>
        </w:rPr>
        <w:t>35 §§ 3 (b) dhe 4 të Konventës.</w:t>
      </w:r>
    </w:p>
    <w:p w14:paraId="3E713CA3" w14:textId="62BACE75" w:rsidR="00D07213" w:rsidRPr="00AF1BD6" w:rsidRDefault="00D07213" w:rsidP="00C46B88">
      <w:pPr>
        <w:autoSpaceDE w:val="0"/>
        <w:autoSpaceDN w:val="0"/>
        <w:adjustRightInd w:val="0"/>
        <w:spacing w:after="0" w:line="240" w:lineRule="auto"/>
        <w:ind w:firstLine="284"/>
        <w:jc w:val="both"/>
        <w:rPr>
          <w:rFonts w:ascii="Garamond" w:hAnsi="Garamond" w:cs="Linux Libertine G"/>
          <w:color w:val="000000"/>
          <w:sz w:val="24"/>
          <w:szCs w:val="24"/>
        </w:rPr>
      </w:pPr>
      <w:r w:rsidRPr="00AF1BD6">
        <w:rPr>
          <w:rFonts w:ascii="Garamond" w:hAnsi="Garamond" w:cs="Linux Libertine G"/>
          <w:color w:val="000000"/>
          <w:sz w:val="24"/>
          <w:szCs w:val="24"/>
        </w:rPr>
        <w:t>44.</w:t>
      </w:r>
      <w:r w:rsidR="00C46B88" w:rsidRPr="00AF1BD6">
        <w:rPr>
          <w:rFonts w:ascii="Garamond" w:hAnsi="Garamond" w:cs="Linux Libertine G"/>
          <w:color w:val="000000"/>
          <w:sz w:val="24"/>
          <w:szCs w:val="24"/>
        </w:rPr>
        <w:t xml:space="preserve"> </w:t>
      </w:r>
      <w:r w:rsidRPr="00AF1BD6">
        <w:rPr>
          <w:rFonts w:ascii="Garamond" w:hAnsi="Garamond" w:cs="Linux Libertine G"/>
          <w:color w:val="000000"/>
          <w:sz w:val="24"/>
          <w:szCs w:val="24"/>
        </w:rPr>
        <w:t xml:space="preserve">Duke marrë në konsideratë natyrën e ankesave, konkluzionet e mësipërme nuk ndikohen nga çështjet që kanë të bëjnë me ekzekutimin e menjëhershëm të urdhrave të pezullimit ose me garantimin për zbatueshmërinë apo ekzekutimin e vendimit të datës 8 </w:t>
      </w:r>
      <w:r w:rsidR="00CB7165" w:rsidRPr="00AF1BD6">
        <w:rPr>
          <w:rFonts w:ascii="Garamond" w:hAnsi="Garamond" w:cs="Linux Libertine G"/>
          <w:color w:val="000000"/>
          <w:sz w:val="24"/>
          <w:szCs w:val="24"/>
        </w:rPr>
        <w:t xml:space="preserve">nëntor </w:t>
      </w:r>
      <w:r w:rsidRPr="00AF1BD6">
        <w:rPr>
          <w:rFonts w:ascii="Garamond" w:hAnsi="Garamond" w:cs="Linux Libertine G"/>
          <w:color w:val="000000"/>
          <w:sz w:val="24"/>
          <w:szCs w:val="24"/>
        </w:rPr>
        <w:t xml:space="preserve">2018. Gjithashtu, këto konkluzione nuk paragjykojnë vlerësimin e këtyre çështjeve për aq sa mund të kenë lidhje me ankesën sipas </w:t>
      </w:r>
      <w:r w:rsidR="00CB7165" w:rsidRPr="00AF1BD6">
        <w:rPr>
          <w:rFonts w:ascii="Garamond" w:hAnsi="Garamond" w:cs="Linux Libertine G"/>
          <w:color w:val="000000"/>
          <w:sz w:val="24"/>
          <w:szCs w:val="24"/>
        </w:rPr>
        <w:t xml:space="preserve">nenit </w:t>
      </w:r>
      <w:r w:rsidRPr="00AF1BD6">
        <w:rPr>
          <w:rFonts w:ascii="Garamond" w:hAnsi="Garamond" w:cs="Linux Libertine G"/>
          <w:color w:val="000000"/>
          <w:sz w:val="24"/>
          <w:szCs w:val="24"/>
        </w:rPr>
        <w:t xml:space="preserve">8 të Konventës (shih më poshtë). </w:t>
      </w:r>
    </w:p>
    <w:p w14:paraId="620A8C45" w14:textId="0161EF94" w:rsidR="00D07213" w:rsidRPr="00AF1BD6" w:rsidRDefault="00D07213" w:rsidP="00CB7165">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III.</w:t>
      </w:r>
      <w:r w:rsidR="00C46B88" w:rsidRPr="00AF1BD6">
        <w:rPr>
          <w:rFonts w:ascii="Garamond" w:hAnsi="Garamond" w:cs="MS Mincho"/>
          <w:color w:val="000000"/>
          <w:sz w:val="24"/>
          <w:szCs w:val="24"/>
        </w:rPr>
        <w:t xml:space="preserve"> </w:t>
      </w:r>
      <w:r w:rsidRPr="00AF1BD6">
        <w:rPr>
          <w:rFonts w:ascii="Garamond" w:hAnsi="Garamond" w:cs="MS Mincho"/>
          <w:color w:val="000000"/>
          <w:sz w:val="24"/>
          <w:szCs w:val="24"/>
        </w:rPr>
        <w:t>PRETENDIMI PËR SHKELJE TË NENIT 8 TË KONVENTËS PËR PEZULLIMIN NGA DETYRA</w:t>
      </w:r>
    </w:p>
    <w:p w14:paraId="1B6E514F" w14:textId="7E600698"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45.</w:t>
      </w:r>
      <w:r w:rsidR="00C46B88" w:rsidRPr="00AF1BD6">
        <w:rPr>
          <w:rFonts w:ascii="Garamond" w:hAnsi="Garamond" w:cs="MS Mincho"/>
          <w:color w:val="000000"/>
          <w:sz w:val="24"/>
          <w:szCs w:val="24"/>
        </w:rPr>
        <w:t xml:space="preserve"> </w:t>
      </w:r>
      <w:r w:rsidRPr="00AF1BD6">
        <w:rPr>
          <w:rFonts w:ascii="Garamond" w:hAnsi="Garamond" w:cs="MS Mincho"/>
          <w:color w:val="000000"/>
          <w:sz w:val="24"/>
          <w:szCs w:val="24"/>
        </w:rPr>
        <w:t xml:space="preserve">Kërkuesit u ankuan se pezullimi i tyre nga detyra në mbështetje të urdhrave të pezullimit të datës 11 </w:t>
      </w:r>
      <w:r w:rsidR="00DA1474" w:rsidRPr="00AF1BD6">
        <w:rPr>
          <w:rFonts w:ascii="Garamond" w:hAnsi="Garamond" w:cs="MS Mincho"/>
          <w:color w:val="000000"/>
          <w:sz w:val="24"/>
          <w:szCs w:val="24"/>
        </w:rPr>
        <w:t xml:space="preserve">maj </w:t>
      </w:r>
      <w:r w:rsidRPr="00AF1BD6">
        <w:rPr>
          <w:rFonts w:ascii="Garamond" w:hAnsi="Garamond" w:cs="MS Mincho"/>
          <w:color w:val="000000"/>
          <w:sz w:val="24"/>
          <w:szCs w:val="24"/>
        </w:rPr>
        <w:t xml:space="preserve">2018 kishte shkelur të drejtën e tyre për respektimin e jetës private. Ata u mbështetën në </w:t>
      </w:r>
      <w:r w:rsidR="00DA1474" w:rsidRPr="00AF1BD6">
        <w:rPr>
          <w:rFonts w:ascii="Garamond" w:hAnsi="Garamond" w:cs="MS Mincho"/>
          <w:color w:val="000000"/>
          <w:sz w:val="24"/>
          <w:szCs w:val="24"/>
        </w:rPr>
        <w:t xml:space="preserve">nenin </w:t>
      </w:r>
      <w:r w:rsidRPr="00AF1BD6">
        <w:rPr>
          <w:rFonts w:ascii="Garamond" w:hAnsi="Garamond" w:cs="MS Mincho"/>
          <w:color w:val="000000"/>
          <w:sz w:val="24"/>
          <w:szCs w:val="24"/>
        </w:rPr>
        <w:t>8 të Konventës, i cili parashikon si më poshtë:</w:t>
      </w:r>
    </w:p>
    <w:p w14:paraId="047C4D26" w14:textId="77777777"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 xml:space="preserve">“1. Çdokush ka të drejtën e respektimit të jetës së tij private dhe familjare, banesës dhe korrespondencës së tij. </w:t>
      </w:r>
    </w:p>
    <w:p w14:paraId="2FA86506" w14:textId="77777777" w:rsidR="00D07213" w:rsidRPr="00AF1BD6" w:rsidRDefault="00D07213" w:rsidP="00C46B88">
      <w:pPr>
        <w:autoSpaceDE w:val="0"/>
        <w:autoSpaceDN w:val="0"/>
        <w:adjustRightInd w:val="0"/>
        <w:spacing w:after="0" w:line="240" w:lineRule="auto"/>
        <w:ind w:firstLine="284"/>
        <w:jc w:val="both"/>
        <w:rPr>
          <w:rFonts w:ascii="Garamond" w:hAnsi="Garamond" w:cs="MS Mincho"/>
          <w:color w:val="000000"/>
          <w:sz w:val="24"/>
          <w:szCs w:val="24"/>
        </w:rPr>
      </w:pPr>
      <w:r w:rsidRPr="00AF1BD6">
        <w:rPr>
          <w:rFonts w:ascii="Garamond" w:hAnsi="Garamond" w:cs="MS Mincho"/>
          <w:color w:val="000000"/>
          <w:sz w:val="24"/>
          <w:szCs w:val="24"/>
        </w:rPr>
        <w:t>2. Autoriteti publik nuk mund të ndërhyjë në ushtrimin e kësaj të drejte, përveçse në shkallën e parashikuar nga ligji dhe kur është e nevojshme në një shoqëri demokratike, në interes të sigurisë publike, për mbrojtjen e rendit publik, shëndetit ose moralit ose për mbrojtjen e të drejtave dhe lirive të të tjerëve.”</w:t>
      </w:r>
    </w:p>
    <w:p w14:paraId="131AF591" w14:textId="5EF3894A" w:rsidR="00D07213" w:rsidRPr="00AF1BD6" w:rsidRDefault="00D07213" w:rsidP="00C46B88">
      <w:pPr>
        <w:autoSpaceDE w:val="0"/>
        <w:autoSpaceDN w:val="0"/>
        <w:adjustRightInd w:val="0"/>
        <w:spacing w:after="0" w:line="240" w:lineRule="auto"/>
        <w:ind w:firstLine="284"/>
        <w:jc w:val="both"/>
        <w:rPr>
          <w:rFonts w:ascii="Garamond" w:hAnsi="Garamond" w:cs="MS Mincho"/>
          <w:b/>
          <w:bCs/>
          <w:color w:val="000000"/>
          <w:sz w:val="24"/>
          <w:szCs w:val="24"/>
        </w:rPr>
      </w:pPr>
      <w:r w:rsidRPr="00AF1BD6">
        <w:rPr>
          <w:rFonts w:ascii="Garamond" w:hAnsi="Garamond" w:cs="MS Mincho"/>
          <w:b/>
          <w:bCs/>
          <w:color w:val="000000"/>
          <w:sz w:val="24"/>
          <w:szCs w:val="24"/>
        </w:rPr>
        <w:t>A.</w:t>
      </w:r>
      <w:r w:rsidR="00C46B88" w:rsidRPr="00AF1BD6">
        <w:rPr>
          <w:rFonts w:ascii="Garamond" w:hAnsi="Garamond" w:cs="MS Mincho"/>
          <w:b/>
          <w:bCs/>
          <w:color w:val="000000"/>
          <w:sz w:val="24"/>
          <w:szCs w:val="24"/>
        </w:rPr>
        <w:t xml:space="preserve"> </w:t>
      </w:r>
      <w:r w:rsidRPr="00AF1BD6">
        <w:rPr>
          <w:rFonts w:ascii="Garamond" w:hAnsi="Garamond" w:cs="MS Mincho"/>
          <w:b/>
          <w:bCs/>
          <w:color w:val="000000"/>
          <w:sz w:val="24"/>
          <w:szCs w:val="24"/>
        </w:rPr>
        <w:t xml:space="preserve">Pranueshmëria </w:t>
      </w:r>
    </w:p>
    <w:p w14:paraId="4843F6B0" w14:textId="13712DE1" w:rsidR="00D07213" w:rsidRPr="00AF1BD6" w:rsidRDefault="00D07213" w:rsidP="00C46B88">
      <w:pPr>
        <w:autoSpaceDE w:val="0"/>
        <w:autoSpaceDN w:val="0"/>
        <w:adjustRightInd w:val="0"/>
        <w:spacing w:after="0" w:line="240" w:lineRule="auto"/>
        <w:ind w:firstLine="284"/>
        <w:jc w:val="both"/>
        <w:rPr>
          <w:rFonts w:ascii="Garamond" w:hAnsi="Garamond" w:cs="MS Mincho"/>
          <w:i/>
          <w:iCs/>
          <w:color w:val="000000"/>
          <w:sz w:val="24"/>
          <w:szCs w:val="24"/>
        </w:rPr>
      </w:pPr>
      <w:r w:rsidRPr="00AF1BD6">
        <w:rPr>
          <w:rFonts w:ascii="Garamond" w:hAnsi="Garamond" w:cs="MS Mincho"/>
          <w:i/>
          <w:iCs/>
          <w:color w:val="000000"/>
          <w:sz w:val="24"/>
          <w:szCs w:val="24"/>
        </w:rPr>
        <w:t>1.</w:t>
      </w:r>
      <w:r w:rsidR="00C46B88" w:rsidRPr="00AF1BD6">
        <w:rPr>
          <w:rFonts w:ascii="Garamond" w:hAnsi="Garamond" w:cs="MS Mincho"/>
          <w:i/>
          <w:iCs/>
          <w:color w:val="000000"/>
          <w:sz w:val="24"/>
          <w:szCs w:val="24"/>
        </w:rPr>
        <w:t xml:space="preserve"> </w:t>
      </w:r>
      <w:r w:rsidRPr="00AF1BD6">
        <w:rPr>
          <w:rFonts w:ascii="Garamond" w:hAnsi="Garamond" w:cs="MS Mincho"/>
          <w:i/>
          <w:iCs/>
          <w:color w:val="000000"/>
          <w:sz w:val="24"/>
          <w:szCs w:val="24"/>
        </w:rPr>
        <w:t>Parashtrimet e palëve</w:t>
      </w:r>
    </w:p>
    <w:p w14:paraId="40924B2E" w14:textId="7ADF3B84"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46.</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Qeveria i përsëriti parashtrimet e saj në mbështetje të </w:t>
      </w:r>
      <w:r w:rsidR="009C740A"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6 të Konventës (shih paragrafin 35 më sipër), duke argumentuar si vijon. Kërkuesit u pezulluan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pasi ndaj tyre nisi procesi penal. Sipas parashikimeve të legjislacionit të zbatueshëm, pezullimi duhej të zbatohej deri në përfundimin e procesit ose në shpalljen e një vendimi gjyqësor të formës së prerë. Gjatë gjithë periudhës, ata vijuan të merrnin pagat e tyre. Kërkuesit kishin pasur mundësinë të kërkonin shqyrtim gjyqësor për urdhrat e pezullimit dhe kishin pasur sukses. Ata nuk e kishin më statusin e viktimës në mbështetje të </w:t>
      </w:r>
      <w:r w:rsidR="009C740A"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të Konventës. </w:t>
      </w:r>
    </w:p>
    <w:p w14:paraId="475AEC77" w14:textId="1F89AF7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47.</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Kërkuesit i përsëritën parashtrimet e tyre në mbështetje të </w:t>
      </w:r>
      <w:r w:rsidR="005A269C"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6 të Konventës (shih paragrafët 36</w:t>
      </w:r>
      <w:r w:rsidR="005A269C">
        <w:rPr>
          <w:rFonts w:ascii="Garamond" w:hAnsi="Garamond" w:cs="Times New Roman"/>
          <w:color w:val="000000"/>
          <w:sz w:val="24"/>
          <w:szCs w:val="24"/>
        </w:rPr>
        <w:t>–</w:t>
      </w:r>
      <w:r w:rsidRPr="00AF1BD6">
        <w:rPr>
          <w:rFonts w:ascii="Garamond" w:hAnsi="Garamond" w:cs="Times New Roman"/>
          <w:color w:val="000000"/>
          <w:sz w:val="24"/>
          <w:szCs w:val="24"/>
        </w:rPr>
        <w:t xml:space="preserve">38 më sipër), duke argumentuar si vijon. Pezullimi i tyre i menjëhershëm nga detyra përbënte ndërhyrje në të drejtat e tyre në mbështetje të </w:t>
      </w:r>
      <w:r w:rsidR="00393622"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 1 të Konventës, gjë e cila nuk kishte qenë “në përputhje me ligjin”</w:t>
      </w:r>
      <w:r w:rsidR="00393622">
        <w:rPr>
          <w:rFonts w:ascii="Garamond" w:hAnsi="Garamond" w:cs="Times New Roman"/>
          <w:color w:val="000000"/>
          <w:sz w:val="24"/>
          <w:szCs w:val="24"/>
        </w:rPr>
        <w:t>,</w:t>
      </w:r>
      <w:r w:rsidRPr="00AF1BD6">
        <w:rPr>
          <w:rFonts w:ascii="Garamond" w:hAnsi="Garamond" w:cs="Times New Roman"/>
          <w:color w:val="000000"/>
          <w:sz w:val="24"/>
          <w:szCs w:val="24"/>
        </w:rPr>
        <w:t xml:space="preserve"> sipas interpretimit të </w:t>
      </w:r>
      <w:r w:rsidR="00393622"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 2, siç konfirmohet nga vendimi i datës 8 </w:t>
      </w:r>
      <w:r w:rsidR="00393622"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Hetimi penal ndaj tyre ishte ndërprerë në mungesë të provave për ndonjë shkelje dhe, çfarë ishte më e rëndësishme, për faktin se asnjë hetim nuk mund të nisej ndaj një zyrtari që ishte subjekt i procesit të rivlerësimit. Reputacioni, nderi dhe karriera e tyre kishte pësuar një goditje të parikuperueshme edhe për shkak të fushatës së mediave të ndërmarrë ndaj tyre. Pezullimi kishte pasur një ndikim negativ në procesin e rivlerësimit të kërkueses së parë. </w:t>
      </w:r>
    </w:p>
    <w:p w14:paraId="3FF36A83" w14:textId="4DA5E2BE" w:rsidR="00D07213" w:rsidRPr="00AF1BD6" w:rsidRDefault="00D07213" w:rsidP="00C46B88">
      <w:pPr>
        <w:autoSpaceDE w:val="0"/>
        <w:autoSpaceDN w:val="0"/>
        <w:adjustRightInd w:val="0"/>
        <w:spacing w:after="0" w:line="240" w:lineRule="auto"/>
        <w:ind w:firstLine="284"/>
        <w:jc w:val="both"/>
        <w:rPr>
          <w:rFonts w:ascii="Garamond" w:hAnsi="Garamond" w:cs="Times New Roman"/>
          <w:i/>
          <w:iCs/>
          <w:color w:val="000000"/>
          <w:sz w:val="24"/>
          <w:szCs w:val="24"/>
        </w:rPr>
      </w:pPr>
      <w:r w:rsidRPr="00AF1BD6">
        <w:rPr>
          <w:rFonts w:ascii="Garamond" w:hAnsi="Garamond" w:cs="Times New Roman"/>
          <w:i/>
          <w:iCs/>
          <w:color w:val="000000"/>
          <w:sz w:val="24"/>
          <w:szCs w:val="24"/>
        </w:rPr>
        <w:t>2.</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 xml:space="preserve">Vlerësimi i Gjykatës </w:t>
      </w:r>
    </w:p>
    <w:p w14:paraId="468139AE" w14:textId="001C8927" w:rsidR="00D07213" w:rsidRPr="00AF1BD6" w:rsidRDefault="00D07213" w:rsidP="00C46B88">
      <w:pPr>
        <w:autoSpaceDE w:val="0"/>
        <w:autoSpaceDN w:val="0"/>
        <w:adjustRightInd w:val="0"/>
        <w:spacing w:after="0" w:line="240" w:lineRule="auto"/>
        <w:ind w:firstLine="284"/>
        <w:jc w:val="both"/>
        <w:rPr>
          <w:rFonts w:ascii="Garamond" w:hAnsi="Garamond" w:cs="Times New Roman"/>
          <w:b/>
          <w:bCs/>
          <w:color w:val="000000"/>
          <w:sz w:val="24"/>
          <w:szCs w:val="24"/>
        </w:rPr>
      </w:pPr>
      <w:r w:rsidRPr="00AF1BD6">
        <w:rPr>
          <w:rFonts w:ascii="Garamond" w:hAnsi="Garamond" w:cs="Times New Roman"/>
          <w:b/>
          <w:bCs/>
          <w:color w:val="000000"/>
          <w:sz w:val="24"/>
          <w:szCs w:val="24"/>
        </w:rPr>
        <w:t>a)</w:t>
      </w:r>
      <w:r w:rsidR="00C46B88" w:rsidRPr="00AF1BD6">
        <w:rPr>
          <w:rFonts w:ascii="Garamond" w:hAnsi="Garamond" w:cs="Times New Roman"/>
          <w:b/>
          <w:bCs/>
          <w:color w:val="000000"/>
          <w:sz w:val="24"/>
          <w:szCs w:val="24"/>
        </w:rPr>
        <w:t xml:space="preserve"> </w:t>
      </w:r>
      <w:r w:rsidRPr="00AF1BD6">
        <w:rPr>
          <w:rFonts w:ascii="Garamond" w:hAnsi="Garamond" w:cs="Times New Roman"/>
          <w:b/>
          <w:bCs/>
          <w:color w:val="000000"/>
          <w:sz w:val="24"/>
          <w:szCs w:val="24"/>
        </w:rPr>
        <w:t xml:space="preserve">Parimet e përgjithshme </w:t>
      </w:r>
    </w:p>
    <w:p w14:paraId="098117AC" w14:textId="27C6184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48.</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Parimet e përgjithshme në lidhje me zbatueshmërinë e </w:t>
      </w:r>
      <w:r w:rsidR="00393622"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të mosmarrëveshjeve</w:t>
      </w:r>
      <w:r w:rsidR="00393622">
        <w:rPr>
          <w:rFonts w:ascii="Garamond" w:hAnsi="Garamond" w:cs="Times New Roman"/>
          <w:color w:val="000000"/>
          <w:sz w:val="24"/>
          <w:szCs w:val="24"/>
        </w:rPr>
        <w:t>,</w:t>
      </w:r>
      <w:r w:rsidRPr="00AF1BD6">
        <w:rPr>
          <w:rFonts w:ascii="Garamond" w:hAnsi="Garamond" w:cs="Times New Roman"/>
          <w:color w:val="000000"/>
          <w:sz w:val="24"/>
          <w:szCs w:val="24"/>
        </w:rPr>
        <w:t xml:space="preserve"> në lidhje me punësimin janë përmbledhur nga Gjykata në vendimin </w:t>
      </w:r>
      <w:r w:rsidRPr="00AF1BD6">
        <w:rPr>
          <w:rFonts w:ascii="Garamond" w:hAnsi="Garamond" w:cs="Times New Roman"/>
          <w:i/>
          <w:iCs/>
          <w:color w:val="000000"/>
          <w:sz w:val="24"/>
          <w:szCs w:val="24"/>
        </w:rPr>
        <w:t xml:space="preserve">Denisov kundër Ukrainës </w:t>
      </w:r>
      <w:r w:rsidRPr="00AF1BD6">
        <w:rPr>
          <w:rFonts w:ascii="Garamond" w:hAnsi="Garamond" w:cs="Times New Roman"/>
          <w:color w:val="000000"/>
          <w:sz w:val="24"/>
          <w:szCs w:val="24"/>
        </w:rPr>
        <w:t xml:space="preserve">([DHM], nr. 76639/11, 25 </w:t>
      </w:r>
      <w:r w:rsidR="00393622" w:rsidRPr="00AF1BD6">
        <w:rPr>
          <w:rFonts w:ascii="Garamond" w:hAnsi="Garamond" w:cs="Times New Roman"/>
          <w:color w:val="000000"/>
          <w:sz w:val="24"/>
          <w:szCs w:val="24"/>
        </w:rPr>
        <w:t xml:space="preserve">shtator </w:t>
      </w:r>
      <w:r w:rsidRPr="00AF1BD6">
        <w:rPr>
          <w:rFonts w:ascii="Garamond" w:hAnsi="Garamond" w:cs="Times New Roman"/>
          <w:color w:val="000000"/>
          <w:sz w:val="24"/>
          <w:szCs w:val="24"/>
        </w:rPr>
        <w:t>2018)</w:t>
      </w:r>
      <w:r w:rsidR="00393622">
        <w:rPr>
          <w:rFonts w:ascii="Garamond" w:hAnsi="Garamond" w:cs="Times New Roman"/>
          <w:color w:val="000000"/>
          <w:sz w:val="24"/>
          <w:szCs w:val="24"/>
        </w:rPr>
        <w:t>,</w:t>
      </w:r>
      <w:r w:rsidRPr="00AF1BD6">
        <w:rPr>
          <w:rFonts w:ascii="Garamond" w:hAnsi="Garamond" w:cs="Times New Roman"/>
          <w:color w:val="000000"/>
          <w:sz w:val="24"/>
          <w:szCs w:val="24"/>
        </w:rPr>
        <w:t xml:space="preserve"> si në vijim: </w:t>
      </w:r>
    </w:p>
    <w:p w14:paraId="1DC7D866" w14:textId="108C658B"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“115. ... mosmarrëveshjet në lidhje me punësimin nuk përjashtohen </w:t>
      </w:r>
      <w:r w:rsidRPr="00AF1BD6">
        <w:rPr>
          <w:rFonts w:ascii="Garamond" w:hAnsi="Garamond" w:cs="Times New Roman"/>
          <w:i/>
          <w:iCs/>
          <w:color w:val="000000"/>
          <w:sz w:val="24"/>
          <w:szCs w:val="24"/>
        </w:rPr>
        <w:t xml:space="preserve">per se </w:t>
      </w:r>
      <w:r w:rsidRPr="00AF1BD6">
        <w:rPr>
          <w:rFonts w:ascii="Garamond" w:hAnsi="Garamond" w:cs="Times New Roman"/>
          <w:color w:val="000000"/>
          <w:sz w:val="24"/>
          <w:szCs w:val="24"/>
        </w:rPr>
        <w:t xml:space="preserve">nga kuadri i ‘jetës private’ sipas interpretimit të </w:t>
      </w:r>
      <w:r w:rsidR="0020295D"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të Konventës. Ka disa aspekte tipike të jetës private që mund të ndikohen në të tilla mosmarrëveshjesh nga shkarkimi nga detyra, ulja në detyrë, mospranimi në një profesion apo nga masa të tjera po ashtu të pafavorshme. Këto aspekte përfshijnë</w:t>
      </w:r>
      <w:r w:rsidR="0020295D">
        <w:rPr>
          <w:rFonts w:ascii="Garamond" w:hAnsi="Garamond" w:cs="Times New Roman"/>
          <w:color w:val="000000"/>
          <w:sz w:val="24"/>
          <w:szCs w:val="24"/>
        </w:rPr>
        <w:t>:</w:t>
      </w:r>
      <w:r w:rsidRPr="00AF1BD6">
        <w:rPr>
          <w:rFonts w:ascii="Garamond" w:hAnsi="Garamond" w:cs="Times New Roman"/>
          <w:color w:val="000000"/>
          <w:sz w:val="24"/>
          <w:szCs w:val="24"/>
        </w:rPr>
        <w:t xml:space="preserve"> i</w:t>
      </w:r>
      <w:r w:rsidR="0020295D">
        <w:rPr>
          <w:rFonts w:ascii="Garamond" w:hAnsi="Garamond" w:cs="Times New Roman"/>
          <w:color w:val="000000"/>
          <w:sz w:val="24"/>
          <w:szCs w:val="24"/>
        </w:rPr>
        <w:t>:</w:t>
      </w:r>
      <w:r w:rsidRPr="00AF1BD6">
        <w:rPr>
          <w:rFonts w:ascii="Garamond" w:hAnsi="Garamond" w:cs="Times New Roman"/>
          <w:color w:val="000000"/>
          <w:sz w:val="24"/>
          <w:szCs w:val="24"/>
        </w:rPr>
        <w:t xml:space="preserve"> </w:t>
      </w:r>
      <w:r w:rsidR="0020295D">
        <w:rPr>
          <w:rFonts w:ascii="Garamond" w:hAnsi="Garamond" w:cs="Times New Roman"/>
          <w:color w:val="000000"/>
          <w:sz w:val="24"/>
          <w:szCs w:val="24"/>
        </w:rPr>
        <w:t>“</w:t>
      </w:r>
      <w:r w:rsidRPr="00AF1BD6">
        <w:rPr>
          <w:rFonts w:ascii="Garamond" w:hAnsi="Garamond" w:cs="Times New Roman"/>
          <w:color w:val="000000"/>
          <w:sz w:val="24"/>
          <w:szCs w:val="24"/>
        </w:rPr>
        <w:t>rrethin e brendshëm</w:t>
      </w:r>
      <w:r w:rsidR="0020295D">
        <w:rPr>
          <w:rFonts w:ascii="Garamond" w:hAnsi="Garamond" w:cs="Times New Roman"/>
          <w:color w:val="000000"/>
          <w:sz w:val="24"/>
          <w:szCs w:val="24"/>
        </w:rPr>
        <w:t>”</w:t>
      </w:r>
      <w:r w:rsidRPr="00AF1BD6">
        <w:rPr>
          <w:rFonts w:ascii="Garamond" w:hAnsi="Garamond" w:cs="Times New Roman"/>
          <w:color w:val="000000"/>
          <w:sz w:val="24"/>
          <w:szCs w:val="24"/>
        </w:rPr>
        <w:t xml:space="preserve"> të kërkuesit</w:t>
      </w:r>
      <w:r w:rsidR="0020295D">
        <w:rPr>
          <w:rFonts w:ascii="Garamond" w:hAnsi="Garamond" w:cs="Times New Roman"/>
          <w:color w:val="000000"/>
          <w:sz w:val="24"/>
          <w:szCs w:val="24"/>
        </w:rPr>
        <w:t>;</w:t>
      </w:r>
      <w:r w:rsidRPr="00AF1BD6">
        <w:rPr>
          <w:rFonts w:ascii="Garamond" w:hAnsi="Garamond" w:cs="Times New Roman"/>
          <w:color w:val="000000"/>
          <w:sz w:val="24"/>
          <w:szCs w:val="24"/>
        </w:rPr>
        <w:t xml:space="preserve"> ii</w:t>
      </w:r>
      <w:r w:rsidR="0020295D">
        <w:rPr>
          <w:rFonts w:ascii="Garamond" w:hAnsi="Garamond" w:cs="Times New Roman"/>
          <w:color w:val="000000"/>
          <w:sz w:val="24"/>
          <w:szCs w:val="24"/>
        </w:rPr>
        <w:t>.</w:t>
      </w:r>
      <w:r w:rsidRPr="00AF1BD6">
        <w:rPr>
          <w:rFonts w:ascii="Garamond" w:hAnsi="Garamond" w:cs="Times New Roman"/>
          <w:color w:val="000000"/>
          <w:sz w:val="24"/>
          <w:szCs w:val="24"/>
        </w:rPr>
        <w:t xml:space="preserve"> mundësinë e kërkuesit për të vendosur dhe zhvilluar marrëdhënie me të tjerët</w:t>
      </w:r>
      <w:r w:rsidR="0020295D">
        <w:rPr>
          <w:rFonts w:ascii="Garamond" w:hAnsi="Garamond" w:cs="Times New Roman"/>
          <w:color w:val="000000"/>
          <w:sz w:val="24"/>
          <w:szCs w:val="24"/>
        </w:rPr>
        <w:t>;</w:t>
      </w:r>
      <w:r w:rsidRPr="00AF1BD6">
        <w:rPr>
          <w:rFonts w:ascii="Garamond" w:hAnsi="Garamond" w:cs="Times New Roman"/>
          <w:color w:val="000000"/>
          <w:sz w:val="24"/>
          <w:szCs w:val="24"/>
        </w:rPr>
        <w:t xml:space="preserve"> dhe iii</w:t>
      </w:r>
      <w:r w:rsidR="0020295D">
        <w:rPr>
          <w:rFonts w:ascii="Garamond" w:hAnsi="Garamond" w:cs="Times New Roman"/>
          <w:color w:val="000000"/>
          <w:sz w:val="24"/>
          <w:szCs w:val="24"/>
        </w:rPr>
        <w:t>.</w:t>
      </w:r>
      <w:r w:rsidRPr="00AF1BD6">
        <w:rPr>
          <w:rFonts w:ascii="Garamond" w:hAnsi="Garamond" w:cs="Times New Roman"/>
          <w:color w:val="000000"/>
          <w:sz w:val="24"/>
          <w:szCs w:val="24"/>
        </w:rPr>
        <w:t xml:space="preserve"> reputacionin social dhe profesional të kërkuesit. Ka dy mënyra në të cilat një problematikë e jetës private zakonisht do të çonte në një mosmarrëveshje të tillë: ose për shkak të arsyeve të brendshme për masën e kundërshtuar (në një rast të tillë Gjykata zbaton qasjen e mbështetur në arsye), ose – në raste të caktuara – për shkak të pasojave për jetën private (në këtë rast Gjykata zbaton qasjen e mbështetur në pasoja). </w:t>
      </w:r>
    </w:p>
    <w:p w14:paraId="35051E2D" w14:textId="45FDDDD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116. Nëse qasja e mbështetur në rrethana është në rrezik, pragu i nivelit të seriozitetit të çështjes në lidhje me aspektet e sipërpërmendur merr një rëndësi të madhe. I takon kërkuesit të provojë bindshëm se pragu është arritur në rastin e tij apo të saj. Kërkuesi duhet të paraqesë prova që vërtetojnë pasojat e masës së kundërshtuar. Gjykata do të pranojë se </w:t>
      </w:r>
      <w:r w:rsidR="0020295D"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është i zbatueshëm vetëm në rastin kur këto pasoja janë shumë serioze dhe prekin jetën e tij ose të saj private në një nivel të lartë. </w:t>
      </w:r>
    </w:p>
    <w:p w14:paraId="22549B7A" w14:textId="44AD8DE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117. Gjykata ka përcaktuar kriteret për vlerësimin e rëndësisë apo seriozitetit të shkeljeve të pretenduara në kontekste të ndryshme rregullatorë. Vuajtja e një kërkuesi do të vlerësohet duke krahasuar jetën e tij apo të saj përpara dhe pas masës konkrete. Në vijim, Gjykata mban në konsideratë faktin se në përcaktimin e seriozitetit të pasojave në çështjet që kanë të bëjnë me punësimin është me vend që të vlerësohen perceptimet subjektive të pretenduara nga kërkuesi ndaj kuadrit të rrethanave objektive që ekzistojnë në një çështje të caktuar. Kjo analizë do të duhet të trajtojë si ndikimin material edhe atë jomaterial të masës. Megjithatë, i takon kërkuesit që të përcaktojë dhe të vërtetojë natyrën dhe përmasën e vuajtjes së tij ose saj, e cila duhet të ketë një lidhje shkakësore me</w:t>
      </w:r>
      <w:r w:rsidR="00AF1BD6"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masën e kundërshtuar. Për sa i përket rregullit për shterimin e mjeteve vend</w:t>
      </w:r>
      <w:r w:rsidR="0034575A">
        <w:rPr>
          <w:rFonts w:ascii="Garamond" w:hAnsi="Garamond" w:cs="Times New Roman"/>
          <w:color w:val="000000"/>
          <w:sz w:val="24"/>
          <w:szCs w:val="24"/>
        </w:rPr>
        <w:t>ë</w:t>
      </w:r>
      <w:r w:rsidRPr="00AF1BD6">
        <w:rPr>
          <w:rFonts w:ascii="Garamond" w:hAnsi="Garamond" w:cs="Times New Roman"/>
          <w:color w:val="000000"/>
          <w:sz w:val="24"/>
          <w:szCs w:val="24"/>
        </w:rPr>
        <w:t>se, element</w:t>
      </w:r>
      <w:r w:rsidR="0034575A">
        <w:rPr>
          <w:rFonts w:ascii="Garamond" w:hAnsi="Garamond" w:cs="Times New Roman"/>
          <w:color w:val="000000"/>
          <w:sz w:val="24"/>
          <w:szCs w:val="24"/>
        </w:rPr>
        <w:t>e</w:t>
      </w:r>
      <w:r w:rsidRPr="00AF1BD6">
        <w:rPr>
          <w:rFonts w:ascii="Garamond" w:hAnsi="Garamond" w:cs="Times New Roman"/>
          <w:color w:val="000000"/>
          <w:sz w:val="24"/>
          <w:szCs w:val="24"/>
        </w:rPr>
        <w:t>t thelbësor</w:t>
      </w:r>
      <w:r w:rsidR="0034575A">
        <w:rPr>
          <w:rFonts w:ascii="Garamond" w:hAnsi="Garamond" w:cs="Times New Roman"/>
          <w:color w:val="000000"/>
          <w:sz w:val="24"/>
          <w:szCs w:val="24"/>
        </w:rPr>
        <w:t xml:space="preserve">e </w:t>
      </w:r>
      <w:r w:rsidRPr="00AF1BD6">
        <w:rPr>
          <w:rFonts w:ascii="Garamond" w:hAnsi="Garamond" w:cs="Times New Roman"/>
          <w:color w:val="000000"/>
          <w:sz w:val="24"/>
          <w:szCs w:val="24"/>
        </w:rPr>
        <w:t>për pretendime të tilla duhet të ngrihen në mënyrë të mjaftueshme përpara autoriteteve vend</w:t>
      </w:r>
      <w:r w:rsidR="0034575A">
        <w:rPr>
          <w:rFonts w:ascii="Garamond" w:hAnsi="Garamond" w:cs="Times New Roman"/>
          <w:color w:val="000000"/>
          <w:sz w:val="24"/>
          <w:szCs w:val="24"/>
        </w:rPr>
        <w:t>ë</w:t>
      </w:r>
      <w:r w:rsidRPr="00AF1BD6">
        <w:rPr>
          <w:rFonts w:ascii="Garamond" w:hAnsi="Garamond" w:cs="Times New Roman"/>
          <w:color w:val="000000"/>
          <w:sz w:val="24"/>
          <w:szCs w:val="24"/>
        </w:rPr>
        <w:t>se që po trajtojnë çështjen.”</w:t>
      </w:r>
    </w:p>
    <w:p w14:paraId="1FEFB5BF" w14:textId="1488156C" w:rsidR="00D07213" w:rsidRPr="00AF1BD6" w:rsidRDefault="00D07213" w:rsidP="00C46B88">
      <w:pPr>
        <w:autoSpaceDE w:val="0"/>
        <w:autoSpaceDN w:val="0"/>
        <w:adjustRightInd w:val="0"/>
        <w:spacing w:after="0" w:line="240" w:lineRule="auto"/>
        <w:ind w:firstLine="284"/>
        <w:jc w:val="both"/>
        <w:rPr>
          <w:rFonts w:ascii="Garamond" w:hAnsi="Garamond" w:cs="Times New Roman"/>
          <w:b/>
          <w:bCs/>
          <w:color w:val="000000"/>
          <w:sz w:val="24"/>
          <w:szCs w:val="24"/>
        </w:rPr>
      </w:pPr>
      <w:r w:rsidRPr="00AF1BD6">
        <w:rPr>
          <w:rFonts w:ascii="Garamond" w:hAnsi="Garamond" w:cs="Times New Roman"/>
          <w:b/>
          <w:bCs/>
          <w:color w:val="000000"/>
          <w:sz w:val="24"/>
          <w:szCs w:val="24"/>
        </w:rPr>
        <w:t>b)</w:t>
      </w:r>
      <w:r w:rsidR="00C46B88" w:rsidRPr="00AF1BD6">
        <w:rPr>
          <w:rFonts w:ascii="Garamond" w:hAnsi="Garamond" w:cs="Times New Roman"/>
          <w:b/>
          <w:bCs/>
          <w:color w:val="000000"/>
          <w:sz w:val="24"/>
          <w:szCs w:val="24"/>
        </w:rPr>
        <w:t xml:space="preserve"> </w:t>
      </w:r>
      <w:r w:rsidRPr="00AF1BD6">
        <w:rPr>
          <w:rFonts w:ascii="Garamond" w:hAnsi="Garamond" w:cs="Times New Roman"/>
          <w:b/>
          <w:bCs/>
          <w:color w:val="000000"/>
          <w:sz w:val="24"/>
          <w:szCs w:val="24"/>
        </w:rPr>
        <w:t>Zbatimi i parimeve të përgjithshme për çështjen konkrete</w:t>
      </w:r>
    </w:p>
    <w:p w14:paraId="3609EABA" w14:textId="62960902"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49.</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Më 11 </w:t>
      </w:r>
      <w:r w:rsidR="00081238"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 xml:space="preserve">2018, Prokurori i Përgjithshëm i Përkohshëm lëshoi urdhrat e pezullimit për kërkuesit, duke i ndaluar ata në mënyrë të menjëhershme të ushtronin detyrat e tyre zyrtare si prokurorë (krahaso në lidhje me gjyqtarët, </w:t>
      </w:r>
      <w:r w:rsidRPr="00AF1BD6">
        <w:rPr>
          <w:rFonts w:ascii="Garamond" w:hAnsi="Garamond" w:cs="Times New Roman"/>
          <w:i/>
          <w:iCs/>
          <w:color w:val="000000"/>
          <w:sz w:val="24"/>
          <w:szCs w:val="24"/>
        </w:rPr>
        <w:t>Camelia Bogdan</w:t>
      </w:r>
      <w:r w:rsidRPr="00AF1BD6">
        <w:rPr>
          <w:rFonts w:ascii="Garamond" w:hAnsi="Garamond" w:cs="Times New Roman"/>
          <w:color w:val="000000"/>
          <w:sz w:val="24"/>
          <w:szCs w:val="24"/>
        </w:rPr>
        <w:t xml:space="preserve">, § 70, dhe </w:t>
      </w:r>
      <w:r w:rsidRPr="00AF1BD6">
        <w:rPr>
          <w:rFonts w:ascii="Garamond" w:hAnsi="Garamond" w:cs="Times New Roman"/>
          <w:i/>
          <w:iCs/>
          <w:color w:val="000000"/>
          <w:sz w:val="24"/>
          <w:szCs w:val="24"/>
        </w:rPr>
        <w:t>Juszczyszyn</w:t>
      </w:r>
      <w:r w:rsidRPr="00AF1BD6">
        <w:rPr>
          <w:rFonts w:ascii="Garamond" w:hAnsi="Garamond" w:cs="Times New Roman"/>
          <w:color w:val="000000"/>
          <w:sz w:val="24"/>
          <w:szCs w:val="24"/>
        </w:rPr>
        <w:t xml:space="preserve">, § 236, të dy cituar më sipër). Urdhrat mbështeteshin në faktin se ndaj tyre ishte në proces një hetim penal për një “krim të rëndë të kryer me dashje”, dhe për faktin se ndaj tyre ishin ngritur akuza. Pezullimi ishte i detyrueshëm sapo një magjistrat merrte statusin e të pandehurit në një hetim penal për veprën penale përkatëse dhe vijonte deri në përfundimin e procesit penal apo me shpalljen e një vendimi gjyqësor të formës së prerë (shih paragrafin 25 më sipër). </w:t>
      </w:r>
    </w:p>
    <w:p w14:paraId="357EC500" w14:textId="6C12388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50.</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Hetimi dhe akuzat penale kishin të bënin me pretendimin për sjellje të pahijshme</w:t>
      </w:r>
      <w:r w:rsidR="000F4A1A">
        <w:rPr>
          <w:rFonts w:ascii="Garamond" w:hAnsi="Garamond" w:cs="Times New Roman"/>
          <w:color w:val="000000"/>
          <w:sz w:val="24"/>
          <w:szCs w:val="24"/>
        </w:rPr>
        <w:t>,</w:t>
      </w:r>
      <w:r w:rsidRPr="00AF1BD6">
        <w:rPr>
          <w:rFonts w:ascii="Garamond" w:hAnsi="Garamond" w:cs="Times New Roman"/>
          <w:color w:val="000000"/>
          <w:sz w:val="24"/>
          <w:szCs w:val="24"/>
        </w:rPr>
        <w:t xml:space="preserve"> në lidhje me deklarimet e bëra në procesin e rivlerësimit të asaj periudhe</w:t>
      </w:r>
      <w:r w:rsidR="000F4A1A">
        <w:rPr>
          <w:rFonts w:ascii="Garamond" w:hAnsi="Garamond" w:cs="Times New Roman"/>
          <w:color w:val="000000"/>
          <w:sz w:val="24"/>
          <w:szCs w:val="24"/>
        </w:rPr>
        <w:t>,</w:t>
      </w:r>
      <w:r w:rsidRPr="00AF1BD6">
        <w:rPr>
          <w:rFonts w:ascii="Garamond" w:hAnsi="Garamond" w:cs="Times New Roman"/>
          <w:color w:val="000000"/>
          <w:sz w:val="24"/>
          <w:szCs w:val="24"/>
        </w:rPr>
        <w:t xml:space="preserve"> në lidhje me kërkuesen e parë, më konkretisht në kontekstin e vlerësimit të pasurisë së saj dhe të bashkëshortit të saj (kërkuesi i dytë), ku që të dy ishin zyrtarë publikë që i nënshtroheshin detyrimit për deklarim. Pretendimi për sjellje të pahijshme lidhej me detyrimet e tyre ligjore për përshtatshmëri financiare në marrëdhënien e tyre martesore dhe në veprimet me të tjerët. Kërkuesit nuk argumentuan nëse e drejta e tyre për respektimin e jetës familjare ishte në rrezik. Për sa i përket </w:t>
      </w:r>
      <w:r w:rsidR="000F4A1A">
        <w:rPr>
          <w:rFonts w:ascii="Garamond" w:hAnsi="Garamond" w:cs="Times New Roman"/>
          <w:color w:val="000000"/>
          <w:sz w:val="24"/>
          <w:szCs w:val="24"/>
        </w:rPr>
        <w:t>s</w:t>
      </w:r>
      <w:r w:rsidRPr="00AF1BD6">
        <w:rPr>
          <w:rFonts w:ascii="Garamond" w:hAnsi="Garamond" w:cs="Times New Roman"/>
          <w:color w:val="000000"/>
          <w:sz w:val="24"/>
          <w:szCs w:val="24"/>
        </w:rPr>
        <w:t xml:space="preserve">ë drejtës për respektimin e “jetës private”, Gjykata nuk vlerëson se arsyet e vërteta për urdhrat e pezullimit lidheshin me jetën private të kërkuesve pasi ato lidheshin me çështje që kishin të bënin me integritetin e tyre financiar si zyrtarë publikë dhe me respektimin nga ana e tyre e </w:t>
      </w:r>
      <w:r w:rsidR="007700F0">
        <w:rPr>
          <w:rFonts w:ascii="Garamond" w:hAnsi="Garamond" w:cs="Times New Roman"/>
          <w:color w:val="000000"/>
          <w:sz w:val="24"/>
          <w:szCs w:val="24"/>
        </w:rPr>
        <w:t>s</w:t>
      </w:r>
      <w:r w:rsidR="007700F0" w:rsidRPr="00AF1BD6">
        <w:rPr>
          <w:rFonts w:ascii="Garamond" w:hAnsi="Garamond" w:cs="Times New Roman"/>
          <w:color w:val="000000"/>
          <w:sz w:val="24"/>
          <w:szCs w:val="24"/>
        </w:rPr>
        <w:t xml:space="preserve">ë </w:t>
      </w:r>
      <w:r w:rsidRPr="00AF1BD6">
        <w:rPr>
          <w:rFonts w:ascii="Garamond" w:hAnsi="Garamond" w:cs="Times New Roman"/>
          <w:color w:val="000000"/>
          <w:sz w:val="24"/>
          <w:szCs w:val="24"/>
        </w:rPr>
        <w:t xml:space="preserve">drejtës penale (krahaso </w:t>
      </w:r>
      <w:r w:rsidRPr="00AF1BD6">
        <w:rPr>
          <w:rFonts w:ascii="Garamond" w:hAnsi="Garamond" w:cs="Times New Roman"/>
          <w:i/>
          <w:iCs/>
          <w:color w:val="000000"/>
          <w:sz w:val="24"/>
          <w:szCs w:val="24"/>
        </w:rPr>
        <w:t>Smith dhe Grady kundër Mbretërisë së Bashkuar</w:t>
      </w:r>
      <w:r w:rsidRPr="00AF1BD6">
        <w:rPr>
          <w:rFonts w:ascii="Garamond" w:hAnsi="Garamond" w:cs="Times New Roman"/>
          <w:color w:val="000000"/>
          <w:sz w:val="24"/>
          <w:szCs w:val="24"/>
        </w:rPr>
        <w:t xml:space="preserve">, nr. 33985/96 dhe 33986/96 § 71, GJEDNJ 1999-VI; </w:t>
      </w:r>
      <w:r w:rsidRPr="00AF1BD6">
        <w:rPr>
          <w:rFonts w:ascii="Garamond" w:hAnsi="Garamond" w:cs="Times New Roman"/>
          <w:i/>
          <w:iCs/>
          <w:color w:val="000000"/>
          <w:sz w:val="24"/>
          <w:szCs w:val="24"/>
        </w:rPr>
        <w:t>Özpınar kundër Turqisë</w:t>
      </w:r>
      <w:r w:rsidRPr="00AF1BD6">
        <w:rPr>
          <w:rFonts w:ascii="Garamond" w:hAnsi="Garamond" w:cs="Times New Roman"/>
          <w:color w:val="000000"/>
          <w:sz w:val="24"/>
          <w:szCs w:val="24"/>
        </w:rPr>
        <w:t xml:space="preserve">, nr. 20999/04, §§ 43 dhe 47, 19 </w:t>
      </w:r>
      <w:r w:rsidR="00A1005A" w:rsidRPr="00AF1BD6">
        <w:rPr>
          <w:rFonts w:ascii="Garamond" w:hAnsi="Garamond" w:cs="Times New Roman"/>
          <w:color w:val="000000"/>
          <w:sz w:val="24"/>
          <w:szCs w:val="24"/>
        </w:rPr>
        <w:t xml:space="preserve">tetor </w:t>
      </w:r>
      <w:r w:rsidRPr="00AF1BD6">
        <w:rPr>
          <w:rFonts w:ascii="Garamond" w:hAnsi="Garamond" w:cs="Times New Roman"/>
          <w:color w:val="000000"/>
          <w:sz w:val="24"/>
          <w:szCs w:val="24"/>
        </w:rPr>
        <w:t xml:space="preserve">2010; dhe </w:t>
      </w:r>
      <w:r w:rsidRPr="00AF1BD6">
        <w:rPr>
          <w:rFonts w:ascii="Garamond" w:hAnsi="Garamond" w:cs="Times New Roman"/>
          <w:i/>
          <w:iCs/>
          <w:color w:val="000000"/>
          <w:sz w:val="24"/>
          <w:szCs w:val="24"/>
        </w:rPr>
        <w:t>Sodan kundër Turqisë</w:t>
      </w:r>
      <w:r w:rsidRPr="00AF1BD6">
        <w:rPr>
          <w:rFonts w:ascii="Garamond" w:hAnsi="Garamond" w:cs="Times New Roman"/>
          <w:color w:val="000000"/>
          <w:sz w:val="24"/>
          <w:szCs w:val="24"/>
        </w:rPr>
        <w:t>, nr. 18650/05, §§ 47</w:t>
      </w:r>
      <w:r w:rsidR="00A1005A">
        <w:rPr>
          <w:rFonts w:ascii="Garamond" w:hAnsi="Garamond" w:cs="Times New Roman"/>
          <w:color w:val="000000"/>
          <w:sz w:val="24"/>
          <w:szCs w:val="24"/>
        </w:rPr>
        <w:t>–</w:t>
      </w:r>
      <w:r w:rsidRPr="00AF1BD6">
        <w:rPr>
          <w:rFonts w:ascii="Garamond" w:hAnsi="Garamond" w:cs="Times New Roman"/>
          <w:color w:val="000000"/>
          <w:sz w:val="24"/>
          <w:szCs w:val="24"/>
        </w:rPr>
        <w:t xml:space="preserve">49, 2 </w:t>
      </w:r>
      <w:r w:rsidR="00A1005A" w:rsidRPr="00AF1BD6">
        <w:rPr>
          <w:rFonts w:ascii="Garamond" w:hAnsi="Garamond" w:cs="Times New Roman"/>
          <w:color w:val="000000"/>
          <w:sz w:val="24"/>
          <w:szCs w:val="24"/>
        </w:rPr>
        <w:t xml:space="preserve">shkurt </w:t>
      </w:r>
      <w:r w:rsidRPr="00AF1BD6">
        <w:rPr>
          <w:rFonts w:ascii="Garamond" w:hAnsi="Garamond" w:cs="Times New Roman"/>
          <w:color w:val="000000"/>
          <w:sz w:val="24"/>
          <w:szCs w:val="24"/>
        </w:rPr>
        <w:t xml:space="preserve">2016). Mbetet për t’u vlerësuar nëse qasja e mbështetur në pasoja do të kërkojë që problematika të shqyrtohet nën </w:t>
      </w:r>
      <w:r w:rsidR="00A1005A"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8 të Konventës për çështjen konkrete (krahaso </w:t>
      </w:r>
      <w:r w:rsidRPr="00AF1BD6">
        <w:rPr>
          <w:rFonts w:ascii="Garamond" w:hAnsi="Garamond" w:cs="Times New Roman"/>
          <w:i/>
          <w:iCs/>
          <w:color w:val="000000"/>
          <w:sz w:val="24"/>
          <w:szCs w:val="24"/>
        </w:rPr>
        <w:t>Xhoxhaj</w:t>
      </w:r>
      <w:r w:rsidRPr="00AF1BD6">
        <w:rPr>
          <w:rFonts w:ascii="Garamond" w:hAnsi="Garamond" w:cs="Times New Roman"/>
          <w:color w:val="000000"/>
          <w:sz w:val="24"/>
          <w:szCs w:val="24"/>
        </w:rPr>
        <w:t xml:space="preserve">, cituar më sipër, § 362 për pasojat për jetën private në lidhje me shkarkimin nga detyra në procesin e rivlerësimit). </w:t>
      </w:r>
    </w:p>
    <w:p w14:paraId="5B586C43" w14:textId="5C6A2A36"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51.</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muajin </w:t>
      </w:r>
      <w:r w:rsidR="00A1005A"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2018, Gjykata Administrative e Apelit, si gjykatë e shkallës së parë për këtë çështje, gjykoi se urdhrat e pezullimit nuk ishin në përputhje me ligjin shqiptar. Gjykata vëren se gjetjet e asaj gjykate: i</w:t>
      </w:r>
      <w:r w:rsidR="00A1005A">
        <w:rPr>
          <w:rFonts w:ascii="Garamond" w:hAnsi="Garamond" w:cs="Times New Roman"/>
          <w:color w:val="000000"/>
          <w:sz w:val="24"/>
          <w:szCs w:val="24"/>
        </w:rPr>
        <w:t>.</w:t>
      </w:r>
      <w:r w:rsidRPr="00AF1BD6">
        <w:rPr>
          <w:rFonts w:ascii="Garamond" w:hAnsi="Garamond" w:cs="Times New Roman"/>
          <w:color w:val="000000"/>
          <w:sz w:val="24"/>
          <w:szCs w:val="24"/>
        </w:rPr>
        <w:t xml:space="preserve"> se pezullimi sipas </w:t>
      </w:r>
      <w:r w:rsidR="00A1005A"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151 të Ligjit për Statusin e Gjyqtarëve dhe Prokurorëve mund të lidhej vetëm me “një krim të rëndë të kryer me dashje”; dhe ii</w:t>
      </w:r>
      <w:r w:rsidR="00A1005A">
        <w:rPr>
          <w:rFonts w:ascii="Garamond" w:hAnsi="Garamond" w:cs="Times New Roman"/>
          <w:color w:val="000000"/>
          <w:sz w:val="24"/>
          <w:szCs w:val="24"/>
        </w:rPr>
        <w:t>.</w:t>
      </w:r>
      <w:r w:rsidRPr="00AF1BD6">
        <w:rPr>
          <w:rFonts w:ascii="Garamond" w:hAnsi="Garamond" w:cs="Times New Roman"/>
          <w:color w:val="000000"/>
          <w:sz w:val="24"/>
          <w:szCs w:val="24"/>
        </w:rPr>
        <w:t xml:space="preserve"> se vepra sipas </w:t>
      </w:r>
      <w:r w:rsidR="00A1005A"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257/a të Kodit Penal për të cilën akuzoheshin kërkuesit ishte jashtë fushës së veprimit të atij nocioni sipas ligjit shqiptar. Çështja kishte të bënte me interpretimin e një dispozite të re të legjislacionit që kishte qenë në fuqi që prej vitit 2016. Gjithashtu, ai ligj zbatohej në një situatë ku procesi i rivlerësimit ishte në vijim. Rezulton se interpretimi i gjykatës për ligjin nuk kishte avantazhin e të qënit i gjykuar më herët përpara Gjykatës së Lartë (shih </w:t>
      </w:r>
      <w:r w:rsidRPr="00AF1BD6">
        <w:rPr>
          <w:rFonts w:ascii="Garamond" w:hAnsi="Garamond" w:cs="Times New Roman"/>
          <w:i/>
          <w:iCs/>
          <w:color w:val="000000"/>
          <w:sz w:val="24"/>
          <w:szCs w:val="24"/>
        </w:rPr>
        <w:t>Bara dhe Kola kundër Shqipërisë</w:t>
      </w:r>
      <w:r w:rsidRPr="00AF1BD6">
        <w:rPr>
          <w:rFonts w:ascii="Garamond" w:hAnsi="Garamond" w:cs="Times New Roman"/>
          <w:color w:val="000000"/>
          <w:sz w:val="24"/>
          <w:szCs w:val="24"/>
        </w:rPr>
        <w:t>, nr. 43391/18 dhe 17766/19, §§ 23</w:t>
      </w:r>
      <w:r w:rsidR="00A1005A">
        <w:rPr>
          <w:rFonts w:ascii="Garamond" w:hAnsi="Garamond" w:cs="Times New Roman"/>
          <w:color w:val="000000"/>
          <w:sz w:val="24"/>
          <w:szCs w:val="24"/>
        </w:rPr>
        <w:t>–</w:t>
      </w:r>
      <w:r w:rsidRPr="00AF1BD6">
        <w:rPr>
          <w:rFonts w:ascii="Garamond" w:hAnsi="Garamond" w:cs="Times New Roman"/>
          <w:color w:val="000000"/>
          <w:sz w:val="24"/>
          <w:szCs w:val="24"/>
        </w:rPr>
        <w:t xml:space="preserve">29, 12 </w:t>
      </w:r>
      <w:r w:rsidR="00A1005A" w:rsidRPr="00AF1BD6">
        <w:rPr>
          <w:rFonts w:ascii="Garamond" w:hAnsi="Garamond" w:cs="Times New Roman"/>
          <w:color w:val="000000"/>
          <w:sz w:val="24"/>
          <w:szCs w:val="24"/>
        </w:rPr>
        <w:t xml:space="preserve">tetor </w:t>
      </w:r>
      <w:r w:rsidRPr="00AF1BD6">
        <w:rPr>
          <w:rFonts w:ascii="Garamond" w:hAnsi="Garamond" w:cs="Times New Roman"/>
          <w:color w:val="000000"/>
          <w:sz w:val="24"/>
          <w:szCs w:val="24"/>
        </w:rPr>
        <w:t xml:space="preserve">2021). Gjykata thekson, në lidhje me këtë aspekt, se roli i gjykimit që </w:t>
      </w:r>
      <w:r w:rsidR="00E8366F">
        <w:rPr>
          <w:rFonts w:ascii="Garamond" w:hAnsi="Garamond" w:cs="Times New Roman"/>
          <w:color w:val="000000"/>
          <w:sz w:val="24"/>
          <w:szCs w:val="24"/>
        </w:rPr>
        <w:t>u</w:t>
      </w:r>
      <w:r w:rsidRPr="00AF1BD6">
        <w:rPr>
          <w:rFonts w:ascii="Garamond" w:hAnsi="Garamond" w:cs="Times New Roman"/>
          <w:color w:val="000000"/>
          <w:sz w:val="24"/>
          <w:szCs w:val="24"/>
        </w:rPr>
        <w:t xml:space="preserve"> vishet gjykatave shërben për të hequr dyshimet në lidhje me interpretimet; do të vijë një ditë kur një normë ligjore e caktuar do të zbatohet për herë të parë (shih </w:t>
      </w:r>
      <w:r w:rsidRPr="00AF1BD6">
        <w:rPr>
          <w:rFonts w:ascii="Garamond" w:hAnsi="Garamond" w:cs="Times New Roman"/>
          <w:i/>
          <w:iCs/>
          <w:color w:val="000000"/>
          <w:sz w:val="24"/>
          <w:szCs w:val="24"/>
        </w:rPr>
        <w:t xml:space="preserve">mutatis mutandis, Selahattin Demirtaş kundër Turqisë </w:t>
      </w:r>
      <w:r w:rsidRPr="00AF1BD6">
        <w:rPr>
          <w:rFonts w:ascii="Garamond" w:hAnsi="Garamond" w:cs="Times New Roman"/>
          <w:color w:val="000000"/>
          <w:sz w:val="24"/>
          <w:szCs w:val="24"/>
        </w:rPr>
        <w:t xml:space="preserve">(nr. 2) [DHM], nr. 14305/17, §§ 250 dhe 253, 22 </w:t>
      </w:r>
      <w:r w:rsidR="00D36E6C" w:rsidRPr="00AF1BD6">
        <w:rPr>
          <w:rFonts w:ascii="Garamond" w:hAnsi="Garamond" w:cs="Times New Roman"/>
          <w:color w:val="000000"/>
          <w:sz w:val="24"/>
          <w:szCs w:val="24"/>
        </w:rPr>
        <w:t xml:space="preserve">dhjetor </w:t>
      </w:r>
      <w:r w:rsidRPr="00AF1BD6">
        <w:rPr>
          <w:rFonts w:ascii="Garamond" w:hAnsi="Garamond" w:cs="Times New Roman"/>
          <w:color w:val="000000"/>
          <w:sz w:val="24"/>
          <w:szCs w:val="24"/>
        </w:rPr>
        <w:t xml:space="preserve">2020). </w:t>
      </w:r>
    </w:p>
    <w:p w14:paraId="6A3E2951" w14:textId="3EC32E70"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52.</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Fillimisht u takon autoriteteve </w:t>
      </w:r>
      <w:r w:rsidR="00DD7C1A">
        <w:rPr>
          <w:rFonts w:ascii="Garamond" w:hAnsi="Garamond" w:cs="Times New Roman"/>
          <w:color w:val="000000"/>
          <w:sz w:val="24"/>
          <w:szCs w:val="24"/>
        </w:rPr>
        <w:t>vendë</w:t>
      </w:r>
      <w:r w:rsidRPr="00AF1BD6">
        <w:rPr>
          <w:rFonts w:ascii="Garamond" w:hAnsi="Garamond" w:cs="Times New Roman"/>
          <w:color w:val="000000"/>
          <w:sz w:val="24"/>
          <w:szCs w:val="24"/>
        </w:rPr>
        <w:t>se, që do të thotë gjykatave, të interpretojnë dhe zbatojnë ligjin vend</w:t>
      </w:r>
      <w:r w:rsidR="006776C5">
        <w:rPr>
          <w:rFonts w:ascii="Garamond" w:hAnsi="Garamond" w:cs="Times New Roman"/>
          <w:color w:val="000000"/>
          <w:sz w:val="24"/>
          <w:szCs w:val="24"/>
        </w:rPr>
        <w:t>ë</w:t>
      </w:r>
      <w:r w:rsidRPr="00AF1BD6">
        <w:rPr>
          <w:rFonts w:ascii="Garamond" w:hAnsi="Garamond" w:cs="Times New Roman"/>
          <w:color w:val="000000"/>
          <w:sz w:val="24"/>
          <w:szCs w:val="24"/>
        </w:rPr>
        <w:t>s (</w:t>
      </w:r>
      <w:r w:rsidRPr="00AF1BD6">
        <w:rPr>
          <w:rFonts w:ascii="Garamond" w:hAnsi="Garamond" w:cs="Times New Roman"/>
          <w:i/>
          <w:iCs/>
          <w:color w:val="000000"/>
          <w:sz w:val="24"/>
          <w:szCs w:val="24"/>
        </w:rPr>
        <w:t>ibid</w:t>
      </w:r>
      <w:r w:rsidRPr="00AF1BD6">
        <w:rPr>
          <w:rFonts w:ascii="Garamond" w:hAnsi="Garamond" w:cs="Times New Roman"/>
          <w:color w:val="000000"/>
          <w:sz w:val="24"/>
          <w:szCs w:val="24"/>
        </w:rPr>
        <w:t>., § 249). Në lidhje me klasifikimin vend</w:t>
      </w:r>
      <w:r w:rsidR="006776C5">
        <w:rPr>
          <w:rFonts w:ascii="Garamond" w:hAnsi="Garamond" w:cs="Times New Roman"/>
          <w:color w:val="000000"/>
          <w:sz w:val="24"/>
          <w:szCs w:val="24"/>
        </w:rPr>
        <w:t>ë</w:t>
      </w:r>
      <w:r w:rsidRPr="00AF1BD6">
        <w:rPr>
          <w:rFonts w:ascii="Garamond" w:hAnsi="Garamond" w:cs="Times New Roman"/>
          <w:color w:val="000000"/>
          <w:sz w:val="24"/>
          <w:szCs w:val="24"/>
        </w:rPr>
        <w:t xml:space="preserve">s të veprës penale, Gjykata thekson edhe vendimet e saj për qëllimet legjitime të ndjekura, veçanërisht në procesin e rivlerësimit në Shqipëri, si edhe për detyrimet ligjore përkatëse për prokurorët, si detyrimi për të dhënë një deklarim të plotë dhe të vërtetë të pasurisë (krahaso </w:t>
      </w:r>
      <w:r w:rsidRPr="00AF1BD6">
        <w:rPr>
          <w:rFonts w:ascii="Garamond" w:hAnsi="Garamond" w:cs="Times New Roman"/>
          <w:i/>
          <w:iCs/>
          <w:color w:val="000000"/>
          <w:sz w:val="24"/>
          <w:szCs w:val="24"/>
        </w:rPr>
        <w:t xml:space="preserve">Wypych kundër Polonisë </w:t>
      </w:r>
      <w:r w:rsidRPr="00AF1BD6">
        <w:rPr>
          <w:rFonts w:ascii="Garamond" w:hAnsi="Garamond" w:cs="Times New Roman"/>
          <w:color w:val="000000"/>
          <w:sz w:val="24"/>
          <w:szCs w:val="24"/>
        </w:rPr>
        <w:t xml:space="preserve">(vendim), nr. 2428/05, 24 </w:t>
      </w:r>
      <w:r w:rsidR="00606EFD" w:rsidRPr="00AF1BD6">
        <w:rPr>
          <w:rFonts w:ascii="Garamond" w:hAnsi="Garamond" w:cs="Times New Roman"/>
          <w:color w:val="000000"/>
          <w:sz w:val="24"/>
          <w:szCs w:val="24"/>
        </w:rPr>
        <w:t xml:space="preserve">tetor </w:t>
      </w:r>
      <w:r w:rsidRPr="00AF1BD6">
        <w:rPr>
          <w:rFonts w:ascii="Garamond" w:hAnsi="Garamond" w:cs="Times New Roman"/>
          <w:color w:val="000000"/>
          <w:sz w:val="24"/>
          <w:szCs w:val="24"/>
        </w:rPr>
        <w:t xml:space="preserve">2005) dhe, sipas interpretimit, detyrimi për nevojën për masa proporcionale me qëllim respektimin e detyrimeve, duke përfshirë përgjegjësitë disiplinore apo përgjegjësi të tjera për shkelje të rënda që kanë të bëjnë me mosrespektimin e tyre (shih </w:t>
      </w:r>
      <w:r w:rsidRPr="00AF1BD6">
        <w:rPr>
          <w:rFonts w:ascii="Garamond" w:hAnsi="Garamond" w:cs="Times New Roman"/>
          <w:i/>
          <w:iCs/>
          <w:color w:val="000000"/>
          <w:sz w:val="24"/>
          <w:szCs w:val="24"/>
        </w:rPr>
        <w:t xml:space="preserve">Xhoxhaj </w:t>
      </w:r>
      <w:r w:rsidRPr="00AF1BD6">
        <w:rPr>
          <w:rFonts w:ascii="Garamond" w:hAnsi="Garamond" w:cs="Times New Roman"/>
          <w:color w:val="000000"/>
          <w:sz w:val="24"/>
          <w:szCs w:val="24"/>
        </w:rPr>
        <w:t xml:space="preserve">cituar më sipër, § 221). </w:t>
      </w:r>
    </w:p>
    <w:p w14:paraId="6DC4069A" w14:textId="2021E2B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53.</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Vendimi për të nisur një hetim penal dhe për të akuzuar kërkuesit, që nuk është kundërshtuar në mënyrë specifikë përpara Gjykatës</w:t>
      </w:r>
      <w:r w:rsidR="003B1B50">
        <w:rPr>
          <w:rFonts w:ascii="Garamond" w:hAnsi="Garamond" w:cs="Times New Roman"/>
          <w:color w:val="000000"/>
          <w:sz w:val="24"/>
          <w:szCs w:val="24"/>
        </w:rPr>
        <w:t>,</w:t>
      </w:r>
      <w:r w:rsidRPr="00AF1BD6">
        <w:rPr>
          <w:rFonts w:ascii="Garamond" w:hAnsi="Garamond" w:cs="Times New Roman"/>
          <w:color w:val="000000"/>
          <w:sz w:val="24"/>
          <w:szCs w:val="24"/>
        </w:rPr>
        <w:t xml:space="preserve"> sipas </w:t>
      </w:r>
      <w:r w:rsidR="003B1B50"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të Konventës, si edhe pezullimi i tyre si rezultat i atij vendimi, u bënë objekt i një mbulimi disi të gjerë në medi</w:t>
      </w:r>
      <w:r w:rsidR="00312757">
        <w:rPr>
          <w:rFonts w:ascii="Garamond" w:hAnsi="Garamond" w:cs="Times New Roman"/>
          <w:color w:val="000000"/>
          <w:sz w:val="24"/>
          <w:szCs w:val="24"/>
        </w:rPr>
        <w:t>e</w:t>
      </w:r>
      <w:r w:rsidRPr="00AF1BD6">
        <w:rPr>
          <w:rFonts w:ascii="Garamond" w:hAnsi="Garamond" w:cs="Times New Roman"/>
          <w:color w:val="000000"/>
          <w:sz w:val="24"/>
          <w:szCs w:val="24"/>
        </w:rPr>
        <w:t xml:space="preserve">n </w:t>
      </w:r>
      <w:r w:rsidRPr="00312757">
        <w:rPr>
          <w:rFonts w:ascii="Garamond" w:hAnsi="Garamond" w:cs="Times New Roman"/>
          <w:i/>
          <w:color w:val="000000"/>
          <w:sz w:val="24"/>
          <w:szCs w:val="24"/>
        </w:rPr>
        <w:t>online</w:t>
      </w:r>
      <w:r w:rsidRPr="00AF1BD6">
        <w:rPr>
          <w:rFonts w:ascii="Garamond" w:hAnsi="Garamond" w:cs="Times New Roman"/>
          <w:color w:val="000000"/>
          <w:sz w:val="24"/>
          <w:szCs w:val="24"/>
        </w:rPr>
        <w:t xml:space="preserve"> (shih paragrafin 19 më sipër). Në sytë e të paktën disa qytetarëve të shoqërisë, mund të jetë venë në pikëpyetje aftësia e kërkuesve për të vijuar të kryenin funksionet e tyre si prokurorë. Urdhrat e pezullimit, edhe pse në mënyrë jo të drejtpërdrejtë, mund të ndikonin në mënyrë të parikuperueshme në reputacionin e tyre profesional në sytë e publikut. Në të njëjtën kohë, ata kishin të drejtën për prezumimin e pafajësisë. Edhe pse situata e të ardhurave të kërkuesve nuk ndryshoi në mënyrë të ndjeshme dhe “rrethi i tyre i brendshëm” nuk u ndikua nga kjo situatë, pezullimi i privoi ata nga mundësia për të vijuar profesionin e tyre dhe për të jetuar në mjedisin profesional ku ata do të mund të ndiqnin qëllimet e tyre për zhvillim profesional dhe personal (shih </w:t>
      </w:r>
      <w:r w:rsidRPr="00AF1BD6">
        <w:rPr>
          <w:rFonts w:ascii="Garamond" w:hAnsi="Garamond" w:cs="Times New Roman"/>
          <w:i/>
          <w:iCs/>
          <w:color w:val="000000"/>
          <w:sz w:val="24"/>
          <w:szCs w:val="24"/>
        </w:rPr>
        <w:t>Juszczyszyn</w:t>
      </w:r>
      <w:r w:rsidRPr="00AF1BD6">
        <w:rPr>
          <w:rFonts w:ascii="Garamond" w:hAnsi="Garamond" w:cs="Times New Roman"/>
          <w:color w:val="000000"/>
          <w:sz w:val="24"/>
          <w:szCs w:val="24"/>
        </w:rPr>
        <w:t xml:space="preserve">, cituar më sipër, § 235, dhe </w:t>
      </w:r>
      <w:r w:rsidRPr="00AF1BD6">
        <w:rPr>
          <w:rFonts w:ascii="Garamond" w:hAnsi="Garamond" w:cs="Times New Roman"/>
          <w:i/>
          <w:iCs/>
          <w:color w:val="000000"/>
          <w:sz w:val="24"/>
          <w:szCs w:val="24"/>
        </w:rPr>
        <w:t xml:space="preserve">Gumenyuk dhe të Tjerë kundër Ukrainës, </w:t>
      </w:r>
      <w:r w:rsidRPr="00AF1BD6">
        <w:rPr>
          <w:rFonts w:ascii="Garamond" w:hAnsi="Garamond" w:cs="Times New Roman"/>
          <w:color w:val="000000"/>
          <w:sz w:val="24"/>
          <w:szCs w:val="24"/>
        </w:rPr>
        <w:t>nr. 11423/19, § 88, 22 Korrik 2021).</w:t>
      </w:r>
    </w:p>
    <w:p w14:paraId="143E3DA8" w14:textId="2C0220EE"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54.</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Gjithashtu, theksohet se sipas vendimit të datës 8 </w:t>
      </w:r>
      <w:r w:rsidR="0013051E"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kërkuesit i morën kostot e tyre nga Prokuroria e Përgjithshme. </w:t>
      </w:r>
    </w:p>
    <w:p w14:paraId="32D00550" w14:textId="1CAF32C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55.</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këtë pikë, Gjykata vendos se pavarësisht rrethanave të caktuara të specifikuara më sipër, situata e kërkuesve ndryshon për sa i përket pranueshmërisë së kërkesës në mbështetje të </w:t>
      </w:r>
      <w:r w:rsidR="00BB3D92"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të Konventës. </w:t>
      </w:r>
    </w:p>
    <w:p w14:paraId="54C7D411" w14:textId="625AF943" w:rsidR="00D07213" w:rsidRPr="00AF1BD6" w:rsidRDefault="00D07213" w:rsidP="00C46B88">
      <w:pPr>
        <w:autoSpaceDE w:val="0"/>
        <w:autoSpaceDN w:val="0"/>
        <w:adjustRightInd w:val="0"/>
        <w:spacing w:after="0" w:line="240" w:lineRule="auto"/>
        <w:ind w:firstLine="284"/>
        <w:jc w:val="both"/>
        <w:rPr>
          <w:rFonts w:ascii="Garamond" w:hAnsi="Garamond" w:cs="Times New Roman"/>
          <w:i/>
          <w:iCs/>
          <w:color w:val="000000"/>
          <w:sz w:val="24"/>
          <w:szCs w:val="24"/>
        </w:rPr>
      </w:pPr>
      <w:r w:rsidRPr="00AF1BD6">
        <w:rPr>
          <w:rFonts w:ascii="Garamond" w:hAnsi="Garamond" w:cs="Times New Roman"/>
          <w:i/>
          <w:iCs/>
          <w:color w:val="000000"/>
          <w:sz w:val="24"/>
          <w:szCs w:val="24"/>
        </w:rPr>
        <w:t>i)</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 xml:space="preserve">Zbatueshmëria e </w:t>
      </w:r>
      <w:r w:rsidR="00BB3D92" w:rsidRPr="00AF1BD6">
        <w:rPr>
          <w:rFonts w:ascii="Garamond" w:hAnsi="Garamond" w:cs="Times New Roman"/>
          <w:i/>
          <w:iCs/>
          <w:color w:val="000000"/>
          <w:sz w:val="24"/>
          <w:szCs w:val="24"/>
        </w:rPr>
        <w:t xml:space="preserve">nenit </w:t>
      </w:r>
      <w:r w:rsidRPr="00AF1BD6">
        <w:rPr>
          <w:rFonts w:ascii="Garamond" w:hAnsi="Garamond" w:cs="Times New Roman"/>
          <w:i/>
          <w:iCs/>
          <w:color w:val="000000"/>
          <w:sz w:val="24"/>
          <w:szCs w:val="24"/>
        </w:rPr>
        <w:t>8 të Konventës</w:t>
      </w:r>
    </w:p>
    <w:p w14:paraId="7E132309" w14:textId="60EA6F88"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a)</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Kërkuesja e parë</w:t>
      </w:r>
    </w:p>
    <w:p w14:paraId="4929DD92" w14:textId="4D928E0E"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56.</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Kërkueses së parë iu ndalua të ushtronte detyrat e saj si prokurore në kontekstin e hetimeve penale, nga data 11 </w:t>
      </w:r>
      <w:r w:rsidR="00FB088F"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 xml:space="preserve">deri më 25 </w:t>
      </w:r>
      <w:r w:rsidR="00FB088F" w:rsidRPr="00AF1BD6">
        <w:rPr>
          <w:rFonts w:ascii="Garamond" w:hAnsi="Garamond" w:cs="Times New Roman"/>
          <w:color w:val="000000"/>
          <w:sz w:val="24"/>
          <w:szCs w:val="24"/>
        </w:rPr>
        <w:t xml:space="preserve">korrik </w:t>
      </w:r>
      <w:r w:rsidRPr="00AF1BD6">
        <w:rPr>
          <w:rFonts w:ascii="Garamond" w:hAnsi="Garamond" w:cs="Times New Roman"/>
          <w:color w:val="000000"/>
          <w:sz w:val="24"/>
          <w:szCs w:val="24"/>
        </w:rPr>
        <w:t>2018, kur KPK</w:t>
      </w:r>
      <w:r w:rsidR="00FB088F">
        <w:rPr>
          <w:rFonts w:ascii="Garamond" w:hAnsi="Garamond" w:cs="Times New Roman"/>
          <w:color w:val="000000"/>
          <w:sz w:val="24"/>
          <w:szCs w:val="24"/>
        </w:rPr>
        <w:t>-ja</w:t>
      </w:r>
      <w:r w:rsidRPr="00AF1BD6">
        <w:rPr>
          <w:rFonts w:ascii="Garamond" w:hAnsi="Garamond" w:cs="Times New Roman"/>
          <w:color w:val="000000"/>
          <w:sz w:val="24"/>
          <w:szCs w:val="24"/>
        </w:rPr>
        <w:t xml:space="preserve"> shpalli vendimin për ta shkarkuar nga detyra dhe ajo u pezullua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në mbështetje të </w:t>
      </w:r>
      <w:r w:rsidR="00CD4B02"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62(1) të Ligjit për Rivlerësimin. Palët nuk argumentuan midis tyre faktin se ndikimi negativ ndaj “jetës së saj private” pas urdhrit të pushimit dhënë nga Prokurori i Përgjithshëm i Përkohshëm nuk vihej më në dyshim pas vendimit të KPK-së në procesin e rivlerësimit. Për këtë arsye, “ndërhyrja” zgjati dy muaj e gjysmë. Nuk pati kundërshtime për faktin se gjatë asaj periudhe ajo vijoi të merrte pagën e saj (shih paragrafin 27 më sipër). </w:t>
      </w:r>
    </w:p>
    <w:p w14:paraId="6625F69D" w14:textId="3B44930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57.</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lidhje me argumentin e kërkueses së parë se pezullimi kishte një ndikim ndërhyrës në procesin e rivlerësimit dhe pati shumë ndikim në vendimin e KPK-së për ta shkarkuar nga detyra, Gjykata vëren se ajo nuk e provoi atë argument, përtej faktit se pezullimi, faktikisht, ishte përmendur në përcaktimin e statusit të saj të punësimit në atë periudhë. </w:t>
      </w:r>
    </w:p>
    <w:p w14:paraId="5972D74D" w14:textId="60ED250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58.</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Gjykata thekson</w:t>
      </w:r>
      <w:r w:rsidR="000A3242">
        <w:rPr>
          <w:rFonts w:ascii="Garamond" w:hAnsi="Garamond" w:cs="Times New Roman"/>
          <w:color w:val="000000"/>
          <w:sz w:val="24"/>
          <w:szCs w:val="24"/>
        </w:rPr>
        <w:t>,</w:t>
      </w:r>
      <w:r w:rsidRPr="00AF1BD6">
        <w:rPr>
          <w:rFonts w:ascii="Garamond" w:hAnsi="Garamond" w:cs="Times New Roman"/>
          <w:color w:val="000000"/>
          <w:sz w:val="24"/>
          <w:szCs w:val="24"/>
        </w:rPr>
        <w:t xml:space="preserve"> se sipas qasjes së mbështetur në pasoja, një kërkues duhet të paraqesë prova për të vërtetuar pasojat e masës së kundërshtuar, dhe se ato pasoja duhet të jenë shumë të rënda dhe të kenë ndikim në jetën e tij apo saj private në një masë shumë të rëndë (shih </w:t>
      </w:r>
      <w:r w:rsidRPr="00AF1BD6">
        <w:rPr>
          <w:rFonts w:ascii="Garamond" w:hAnsi="Garamond" w:cs="Times New Roman"/>
          <w:i/>
          <w:iCs/>
          <w:color w:val="000000"/>
          <w:sz w:val="24"/>
          <w:szCs w:val="24"/>
        </w:rPr>
        <w:t>Denisov</w:t>
      </w:r>
      <w:r w:rsidRPr="00AF1BD6">
        <w:rPr>
          <w:rFonts w:ascii="Garamond" w:hAnsi="Garamond" w:cs="Times New Roman"/>
          <w:color w:val="000000"/>
          <w:sz w:val="24"/>
          <w:szCs w:val="24"/>
        </w:rPr>
        <w:t xml:space="preserve">, cituar më sipër, § 116). Gjykata vlerëson se kërkuesja e parë nuk ka demonstruar se pasojat negative si rezultat i urdhrit të pezullimit ishin mjaftueshëm të rënda për të vënë në rrezik të drejtën e saj për respektimin e jetës private sipas </w:t>
      </w:r>
      <w:r w:rsidR="00496B72"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të Konventës (shih </w:t>
      </w:r>
      <w:r w:rsidRPr="00AF1BD6">
        <w:rPr>
          <w:rFonts w:ascii="Garamond" w:hAnsi="Garamond" w:cs="Times New Roman"/>
          <w:i/>
          <w:iCs/>
          <w:color w:val="000000"/>
          <w:sz w:val="24"/>
          <w:szCs w:val="24"/>
        </w:rPr>
        <w:t>Camelia Bogdan</w:t>
      </w:r>
      <w:r w:rsidRPr="00AF1BD6">
        <w:rPr>
          <w:rFonts w:ascii="Garamond" w:hAnsi="Garamond" w:cs="Times New Roman"/>
          <w:color w:val="000000"/>
          <w:sz w:val="24"/>
          <w:szCs w:val="24"/>
        </w:rPr>
        <w:t xml:space="preserve">, cituar më sipër, § 86; </w:t>
      </w:r>
      <w:r w:rsidRPr="00AF1BD6">
        <w:rPr>
          <w:rFonts w:ascii="Garamond" w:hAnsi="Garamond" w:cs="Times New Roman"/>
          <w:i/>
          <w:iCs/>
          <w:color w:val="000000"/>
          <w:sz w:val="24"/>
          <w:szCs w:val="24"/>
        </w:rPr>
        <w:t>Miroslava Todorova kundër Bullgarisë</w:t>
      </w:r>
      <w:r w:rsidRPr="00AF1BD6">
        <w:rPr>
          <w:rFonts w:ascii="Garamond" w:hAnsi="Garamond" w:cs="Times New Roman"/>
          <w:color w:val="000000"/>
          <w:sz w:val="24"/>
          <w:szCs w:val="24"/>
        </w:rPr>
        <w:t xml:space="preserve">, nr. 40072/13, §§136-45, 19 </w:t>
      </w:r>
      <w:r w:rsidR="00496B72" w:rsidRPr="00AF1BD6">
        <w:rPr>
          <w:rFonts w:ascii="Garamond" w:hAnsi="Garamond" w:cs="Times New Roman"/>
          <w:color w:val="000000"/>
          <w:sz w:val="24"/>
          <w:szCs w:val="24"/>
        </w:rPr>
        <w:t xml:space="preserve">tetor </w:t>
      </w:r>
      <w:r w:rsidRPr="00AF1BD6">
        <w:rPr>
          <w:rFonts w:ascii="Garamond" w:hAnsi="Garamond" w:cs="Times New Roman"/>
          <w:color w:val="000000"/>
          <w:sz w:val="24"/>
          <w:szCs w:val="24"/>
        </w:rPr>
        <w:t xml:space="preserve">2021; dhe </w:t>
      </w:r>
      <w:r w:rsidRPr="00AF1BD6">
        <w:rPr>
          <w:rFonts w:ascii="Garamond" w:hAnsi="Garamond" w:cs="Times New Roman"/>
          <w:i/>
          <w:iCs/>
          <w:color w:val="000000"/>
          <w:sz w:val="24"/>
          <w:szCs w:val="24"/>
        </w:rPr>
        <w:t xml:space="preserve">J.B. dhe të Tjerët kundër Hungarisë </w:t>
      </w:r>
      <w:r w:rsidRPr="00AF1BD6">
        <w:rPr>
          <w:rFonts w:ascii="Garamond" w:hAnsi="Garamond" w:cs="Times New Roman"/>
          <w:color w:val="000000"/>
          <w:sz w:val="24"/>
          <w:szCs w:val="24"/>
        </w:rPr>
        <w:t xml:space="preserve">(vendim), nr. 45434/12 dhe 2 të tjerë, §§ 130-38, 27 </w:t>
      </w:r>
      <w:r w:rsidR="00496B72"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Çdo ndikim tjetër negativ, për shembull në reputacion, kryesisht erdhi si pasojë e faktit se ajo ishte akuzuar për një vepër penale më shumë sesa nga pezullimi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pavarësisht faktit se i është dhënë paga. Rrjedhimisht, ankesa e saj nuk përputhet </w:t>
      </w:r>
      <w:r w:rsidRPr="00AF1BD6">
        <w:rPr>
          <w:rFonts w:ascii="Garamond" w:hAnsi="Garamond" w:cs="Times New Roman"/>
          <w:i/>
          <w:iCs/>
          <w:color w:val="000000"/>
          <w:sz w:val="24"/>
          <w:szCs w:val="24"/>
        </w:rPr>
        <w:t>ratione materiae</w:t>
      </w:r>
      <w:r w:rsidRPr="00AF1BD6">
        <w:rPr>
          <w:rFonts w:ascii="Garamond" w:hAnsi="Garamond" w:cs="Times New Roman"/>
          <w:color w:val="000000"/>
          <w:sz w:val="24"/>
          <w:szCs w:val="24"/>
        </w:rPr>
        <w:t xml:space="preserve"> me parashikimet e Konventës sipas interpretimit të </w:t>
      </w:r>
      <w:r w:rsidR="00C309D9"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35 § 3 (a) dhe duhet të rrëzohet në mbështetje të </w:t>
      </w:r>
      <w:r w:rsidR="00185AB6"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35 § 4. </w:t>
      </w:r>
    </w:p>
    <w:p w14:paraId="7EA2A31A" w14:textId="04B27582"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b)</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Kërkuesi i dytë</w:t>
      </w:r>
    </w:p>
    <w:p w14:paraId="0EA08605" w14:textId="067B3FE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59.</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Kërkuesi i dytë u pezullua nga data 11 </w:t>
      </w:r>
      <w:r w:rsidR="00896CE7"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 xml:space="preserve">deri më 8 </w:t>
      </w:r>
      <w:r w:rsidR="00896CE7"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Vendimi i shpallur në një datë të mëvonshme në atë periudhë, nuk hyri në fuqi për të, pa pasur ndonjë arsye të qartë, deri në </w:t>
      </w:r>
      <w:r w:rsidR="00254473" w:rsidRPr="00AF1BD6">
        <w:rPr>
          <w:rFonts w:ascii="Garamond" w:hAnsi="Garamond" w:cs="Times New Roman"/>
          <w:color w:val="000000"/>
          <w:sz w:val="24"/>
          <w:szCs w:val="24"/>
        </w:rPr>
        <w:t xml:space="preserve">janar </w:t>
      </w:r>
      <w:r w:rsidRPr="00AF1BD6">
        <w:rPr>
          <w:rFonts w:ascii="Garamond" w:hAnsi="Garamond" w:cs="Times New Roman"/>
          <w:color w:val="000000"/>
          <w:sz w:val="24"/>
          <w:szCs w:val="24"/>
        </w:rPr>
        <w:t>2020 – një periudhë e konsiderueshme</w:t>
      </w:r>
      <w:r w:rsidR="00254473">
        <w:rPr>
          <w:rFonts w:ascii="Garamond" w:hAnsi="Garamond" w:cs="Times New Roman"/>
          <w:color w:val="000000"/>
          <w:sz w:val="24"/>
          <w:szCs w:val="24"/>
        </w:rPr>
        <w:t>,</w:t>
      </w:r>
      <w:r w:rsidRPr="00AF1BD6">
        <w:rPr>
          <w:rFonts w:ascii="Garamond" w:hAnsi="Garamond" w:cs="Times New Roman"/>
          <w:color w:val="000000"/>
          <w:sz w:val="24"/>
          <w:szCs w:val="24"/>
        </w:rPr>
        <w:t xml:space="preserve"> duke pasur parasysh natyrën e çështjes në lidhje me punësimin. Qeveria nuk ka provuar se përse përfshirja e KLP-së, sipas ligjit shqiptar, ishte e domosdoshme për të vënë në zbatim vendimin (shih paragrafët 14</w:t>
      </w:r>
      <w:r w:rsidR="00254473">
        <w:rPr>
          <w:rFonts w:ascii="Garamond" w:hAnsi="Garamond" w:cs="Times New Roman"/>
          <w:color w:val="000000"/>
          <w:sz w:val="24"/>
          <w:szCs w:val="24"/>
        </w:rPr>
        <w:t>–</w:t>
      </w:r>
      <w:r w:rsidRPr="00AF1BD6">
        <w:rPr>
          <w:rFonts w:ascii="Garamond" w:hAnsi="Garamond" w:cs="Times New Roman"/>
          <w:color w:val="000000"/>
          <w:sz w:val="24"/>
          <w:szCs w:val="24"/>
        </w:rPr>
        <w:t>16 më sipër). Rezulton se nuk ka asnjë indicie që të provojë nëse u mor ndonjë vendim për këtë aspekt. Duke qenë se Gjykata Administrative e Apelit veproi si gjykatë e shkallës së parë për çështjen, ekziston mundësia që të drejtohet pyetja</w:t>
      </w:r>
      <w:r w:rsidR="0024186B">
        <w:rPr>
          <w:rFonts w:ascii="Garamond" w:hAnsi="Garamond" w:cs="Times New Roman"/>
          <w:color w:val="000000"/>
          <w:sz w:val="24"/>
          <w:szCs w:val="24"/>
        </w:rPr>
        <w:t>,</w:t>
      </w:r>
      <w:r w:rsidRPr="00AF1BD6">
        <w:rPr>
          <w:rFonts w:ascii="Garamond" w:hAnsi="Garamond" w:cs="Times New Roman"/>
          <w:color w:val="000000"/>
          <w:sz w:val="24"/>
          <w:szCs w:val="24"/>
        </w:rPr>
        <w:t xml:space="preserve"> nëse vendimi i saj ishte i formës së prerë. Megjithatë, Qeveria nuk ka paraqitur argumente për këtë aspekt. Kërkuesi i dytë u pengua në mënyrë të pajustifikueshme që të përfitonte nga rezultati i procesit të tij duke rimarrë pozicionin e tij zyrtar. Pra, atij i ishte ndaluar të ushtronte detyrën e tij zyrtare për më shumë se njëzet muaj. </w:t>
      </w:r>
    </w:p>
    <w:p w14:paraId="3F421D9F" w14:textId="49699332"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60.</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Është e rëndësishme të theksohet se, gjatë asaj periudhe, situata për të cilën u bë një ankesë, vijoi edhe pasi procesi penal ndaj kërkuesit të dytë kishte përfunduar nga një gjykatë në muajin </w:t>
      </w:r>
      <w:r w:rsidR="0024186B"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(krahaso </w:t>
      </w:r>
      <w:r w:rsidRPr="00AF1BD6">
        <w:rPr>
          <w:rFonts w:ascii="Garamond" w:hAnsi="Garamond" w:cs="Times New Roman"/>
          <w:i/>
          <w:iCs/>
          <w:color w:val="000000"/>
          <w:sz w:val="24"/>
          <w:szCs w:val="24"/>
        </w:rPr>
        <w:t>Gumenyuk dhe të Tjerë</w:t>
      </w:r>
      <w:r w:rsidRPr="00AF1BD6">
        <w:rPr>
          <w:rFonts w:ascii="Garamond" w:hAnsi="Garamond" w:cs="Times New Roman"/>
          <w:color w:val="000000"/>
          <w:sz w:val="24"/>
          <w:szCs w:val="24"/>
        </w:rPr>
        <w:t xml:space="preserve">, cituar më sipër, § 88). Atij vazhdoi t’i privohej mundësia për të rimarrë detyrën e tij zyrtare dhe për të jetuar në mjedisin profesional ku ai do të mund të ndiqte qëllimet e tij për zhvillim profesional dhe personal (shih </w:t>
      </w:r>
      <w:r w:rsidRPr="00AF1BD6">
        <w:rPr>
          <w:rFonts w:ascii="Garamond" w:hAnsi="Garamond" w:cs="Times New Roman"/>
          <w:i/>
          <w:iCs/>
          <w:color w:val="000000"/>
          <w:sz w:val="24"/>
          <w:szCs w:val="24"/>
        </w:rPr>
        <w:t>Juszczyszyn</w:t>
      </w:r>
      <w:r w:rsidRPr="00AF1BD6">
        <w:rPr>
          <w:rFonts w:ascii="Garamond" w:hAnsi="Garamond" w:cs="Times New Roman"/>
          <w:color w:val="000000"/>
          <w:sz w:val="24"/>
          <w:szCs w:val="24"/>
        </w:rPr>
        <w:t xml:space="preserve">, § 235 dhe </w:t>
      </w:r>
      <w:r w:rsidRPr="00AF1BD6">
        <w:rPr>
          <w:rFonts w:ascii="Garamond" w:hAnsi="Garamond" w:cs="Times New Roman"/>
          <w:i/>
          <w:iCs/>
          <w:color w:val="000000"/>
          <w:sz w:val="24"/>
          <w:szCs w:val="24"/>
        </w:rPr>
        <w:t xml:space="preserve">Gumenyuk dhe të Tjerë, </w:t>
      </w:r>
      <w:r w:rsidRPr="00AF1BD6">
        <w:rPr>
          <w:rFonts w:ascii="Garamond" w:hAnsi="Garamond" w:cs="Times New Roman"/>
          <w:color w:val="000000"/>
          <w:sz w:val="24"/>
          <w:szCs w:val="24"/>
        </w:rPr>
        <w:t xml:space="preserve">§ 88, të dy cituar më sipër). Vonesa në ekzekutimin e vendimit në favor të tij duhet të ketë pasur ndikim në pasigurinë e pozicionit të tij. </w:t>
      </w:r>
    </w:p>
    <w:p w14:paraId="66773241" w14:textId="5B204CA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61.</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Duke marrë në konsideratë zhvillimet në procesin vend</w:t>
      </w:r>
      <w:r w:rsidR="005526EF">
        <w:rPr>
          <w:rFonts w:ascii="Garamond" w:hAnsi="Garamond" w:cs="Times New Roman"/>
          <w:color w:val="000000"/>
          <w:sz w:val="24"/>
          <w:szCs w:val="24"/>
        </w:rPr>
        <w:t>ë</w:t>
      </w:r>
      <w:r w:rsidRPr="00AF1BD6">
        <w:rPr>
          <w:rFonts w:ascii="Garamond" w:hAnsi="Garamond" w:cs="Times New Roman"/>
          <w:color w:val="000000"/>
          <w:sz w:val="24"/>
          <w:szCs w:val="24"/>
        </w:rPr>
        <w:t xml:space="preserve">s, Gjykata vlerëson se kërkuesi i dytë ka vërtetuar se pasojat negative ishin mjaftueshëm të rënda për të vënë në rrezik të drejtën e tij për respektim të jetës private sipas të </w:t>
      </w:r>
      <w:r w:rsidR="005526E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të Konventës. Gjithashtu, Gjykata gjykon se, për sa i përket kësaj kërkese, ai nuk e ka humbur statusin e tij të viktimës. </w:t>
      </w:r>
    </w:p>
    <w:p w14:paraId="0FB02022" w14:textId="38EB21B4" w:rsidR="00D07213" w:rsidRPr="00AF1BD6" w:rsidRDefault="00D07213" w:rsidP="00C46B88">
      <w:pPr>
        <w:autoSpaceDE w:val="0"/>
        <w:autoSpaceDN w:val="0"/>
        <w:adjustRightInd w:val="0"/>
        <w:spacing w:after="0" w:line="240" w:lineRule="auto"/>
        <w:ind w:firstLine="284"/>
        <w:jc w:val="both"/>
        <w:rPr>
          <w:rFonts w:ascii="Garamond" w:hAnsi="Garamond" w:cs="Times New Roman"/>
          <w:i/>
          <w:iCs/>
          <w:color w:val="000000"/>
          <w:sz w:val="24"/>
          <w:szCs w:val="24"/>
        </w:rPr>
      </w:pPr>
      <w:r w:rsidRPr="00AF1BD6">
        <w:rPr>
          <w:rFonts w:ascii="Garamond" w:hAnsi="Garamond" w:cs="Times New Roman"/>
          <w:i/>
          <w:iCs/>
          <w:color w:val="000000"/>
          <w:sz w:val="24"/>
          <w:szCs w:val="24"/>
        </w:rPr>
        <w:t>ii</w:t>
      </w:r>
      <w:r w:rsidR="005526EF">
        <w:rPr>
          <w:rFonts w:ascii="Garamond" w:hAnsi="Garamond" w:cs="Times New Roman"/>
          <w:i/>
          <w:iCs/>
          <w:color w:val="000000"/>
          <w:sz w:val="24"/>
          <w:szCs w:val="24"/>
        </w:rPr>
        <w:t>.</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Shterimi i mjeteve vend</w:t>
      </w:r>
      <w:r w:rsidR="005526EF">
        <w:rPr>
          <w:rFonts w:ascii="Garamond" w:hAnsi="Garamond" w:cs="Times New Roman"/>
          <w:i/>
          <w:iCs/>
          <w:color w:val="000000"/>
          <w:sz w:val="24"/>
          <w:szCs w:val="24"/>
        </w:rPr>
        <w:t>ë</w:t>
      </w:r>
      <w:r w:rsidRPr="00AF1BD6">
        <w:rPr>
          <w:rFonts w:ascii="Garamond" w:hAnsi="Garamond" w:cs="Times New Roman"/>
          <w:i/>
          <w:iCs/>
          <w:color w:val="000000"/>
          <w:sz w:val="24"/>
          <w:szCs w:val="24"/>
        </w:rPr>
        <w:t>se nga kërkuesi i dytë</w:t>
      </w:r>
    </w:p>
    <w:p w14:paraId="4E6F0D06" w14:textId="0E22F956"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62.</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Gjithashtu, Qeveria argumentoi se përpara depozitimit të ankesës pranë Gjykatës në </w:t>
      </w:r>
      <w:r w:rsidR="00634635"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2018, kërkuesit nuk kishin shteruar mjetet vend</w:t>
      </w:r>
      <w:r w:rsidR="00DD7C1A">
        <w:rPr>
          <w:rFonts w:ascii="Garamond" w:hAnsi="Garamond" w:cs="Times New Roman"/>
          <w:color w:val="000000"/>
          <w:sz w:val="24"/>
          <w:szCs w:val="24"/>
        </w:rPr>
        <w:t>ë</w:t>
      </w:r>
      <w:r w:rsidRPr="00AF1BD6">
        <w:rPr>
          <w:rFonts w:ascii="Garamond" w:hAnsi="Garamond" w:cs="Times New Roman"/>
          <w:color w:val="000000"/>
          <w:sz w:val="24"/>
          <w:szCs w:val="24"/>
        </w:rPr>
        <w:t xml:space="preserve">se duke e paraqitur çështjen përpara Gjykatës Administrative të Apelit. Gjykata nuk përjashton mundësinë e ekzistencës së disa pasigurive në atë periudhë për rrugën specifike gjyqësore për të kontestuar një urdhër pezullimi (shih paragrafët 20, 26, 28 dhe 29 më sipër), veçanërisht në lidhje me faktin se urdhri i pezullimit u referua </w:t>
      </w:r>
      <w:r w:rsidR="007C18FB">
        <w:rPr>
          <w:rFonts w:ascii="Garamond" w:hAnsi="Garamond" w:cs="Times New Roman"/>
          <w:color w:val="000000"/>
          <w:sz w:val="24"/>
          <w:szCs w:val="24"/>
        </w:rPr>
        <w:t>–</w:t>
      </w:r>
      <w:r w:rsidRPr="00AF1BD6">
        <w:rPr>
          <w:rFonts w:ascii="Garamond" w:hAnsi="Garamond" w:cs="Times New Roman"/>
          <w:color w:val="000000"/>
          <w:sz w:val="24"/>
          <w:szCs w:val="24"/>
        </w:rPr>
        <w:t xml:space="preserve"> siç rezultoi më pas në mënyrë të gabuar </w:t>
      </w:r>
      <w:r w:rsidR="004B2FA1">
        <w:rPr>
          <w:rFonts w:ascii="Garamond" w:hAnsi="Garamond" w:cs="Times New Roman"/>
          <w:color w:val="000000"/>
          <w:sz w:val="24"/>
          <w:szCs w:val="24"/>
        </w:rPr>
        <w:t>–</w:t>
      </w:r>
      <w:r w:rsidRPr="00AF1BD6">
        <w:rPr>
          <w:rFonts w:ascii="Garamond" w:hAnsi="Garamond" w:cs="Times New Roman"/>
          <w:color w:val="000000"/>
          <w:sz w:val="24"/>
          <w:szCs w:val="24"/>
        </w:rPr>
        <w:t xml:space="preserve"> për apelim pranë KPA-së si mjeti i duhur (shih paragrafin 11 më sipër). Sidoqoftë, kërkuesi i dytë e shteroi mjetin e përmendur nga Qeveria, menjëherë pasi paraqiti ankesën pranë Gjykatës dhe pasi ngriti argumentet për mungesën e një mjeti efektiv (shih paragrafin 80 më poshtë). Në këto rrethana dhe në statusin aktual të çështjes kur pranueshmëria e ankesës po shqyrtohet pas zhvillimeve vend</w:t>
      </w:r>
      <w:r w:rsidR="00505B3A">
        <w:rPr>
          <w:rFonts w:ascii="Garamond" w:hAnsi="Garamond" w:cs="Times New Roman"/>
          <w:color w:val="000000"/>
          <w:sz w:val="24"/>
          <w:szCs w:val="24"/>
        </w:rPr>
        <w:t>ë</w:t>
      </w:r>
      <w:r w:rsidRPr="00AF1BD6">
        <w:rPr>
          <w:rFonts w:ascii="Garamond" w:hAnsi="Garamond" w:cs="Times New Roman"/>
          <w:color w:val="000000"/>
          <w:sz w:val="24"/>
          <w:szCs w:val="24"/>
        </w:rPr>
        <w:t>se, Gjykata nuk është e gatshme ta rrëzojë për mosshterim të mjeteve vend</w:t>
      </w:r>
      <w:r w:rsidR="000B1A04">
        <w:rPr>
          <w:rFonts w:ascii="Garamond" w:hAnsi="Garamond" w:cs="Times New Roman"/>
          <w:color w:val="000000"/>
          <w:sz w:val="24"/>
          <w:szCs w:val="24"/>
        </w:rPr>
        <w:t>ë</w:t>
      </w:r>
      <w:r w:rsidRPr="00AF1BD6">
        <w:rPr>
          <w:rFonts w:ascii="Garamond" w:hAnsi="Garamond" w:cs="Times New Roman"/>
          <w:color w:val="000000"/>
          <w:sz w:val="24"/>
          <w:szCs w:val="24"/>
        </w:rPr>
        <w:t xml:space="preserve">se (krahaso </w:t>
      </w:r>
      <w:r w:rsidRPr="00AF1BD6">
        <w:rPr>
          <w:rFonts w:ascii="Garamond" w:hAnsi="Garamond" w:cs="Times New Roman"/>
          <w:i/>
          <w:iCs/>
          <w:color w:val="000000"/>
          <w:sz w:val="24"/>
          <w:szCs w:val="24"/>
        </w:rPr>
        <w:t>Delijorgji kundër Shqipërisë</w:t>
      </w:r>
      <w:r w:rsidRPr="00AF1BD6">
        <w:rPr>
          <w:rFonts w:ascii="Garamond" w:hAnsi="Garamond" w:cs="Times New Roman"/>
          <w:color w:val="000000"/>
          <w:sz w:val="24"/>
          <w:szCs w:val="24"/>
        </w:rPr>
        <w:t xml:space="preserve">, nr. 6858/11, § 55, 28 </w:t>
      </w:r>
      <w:r w:rsidR="00BF40C4"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2015). Në këtë mënyrë, kundërshtimi i Qeverisë rrëzohet. </w:t>
      </w:r>
    </w:p>
    <w:p w14:paraId="3D25D433" w14:textId="54907EFC" w:rsidR="00D07213" w:rsidRPr="00AF1BD6" w:rsidRDefault="00D07213" w:rsidP="00C46B88">
      <w:pPr>
        <w:autoSpaceDE w:val="0"/>
        <w:autoSpaceDN w:val="0"/>
        <w:adjustRightInd w:val="0"/>
        <w:spacing w:after="0" w:line="240" w:lineRule="auto"/>
        <w:ind w:firstLine="284"/>
        <w:jc w:val="both"/>
        <w:rPr>
          <w:rFonts w:ascii="Garamond" w:hAnsi="Garamond" w:cs="Times New Roman"/>
          <w:i/>
          <w:iCs/>
          <w:color w:val="000000"/>
          <w:sz w:val="24"/>
          <w:szCs w:val="24"/>
        </w:rPr>
      </w:pPr>
      <w:r w:rsidRPr="00AF1BD6">
        <w:rPr>
          <w:rFonts w:ascii="Garamond" w:hAnsi="Garamond" w:cs="Times New Roman"/>
          <w:i/>
          <w:iCs/>
          <w:color w:val="000000"/>
          <w:sz w:val="24"/>
          <w:szCs w:val="24"/>
        </w:rPr>
        <w:t>iii</w:t>
      </w:r>
      <w:r w:rsidR="00BF40C4">
        <w:rPr>
          <w:rFonts w:ascii="Garamond" w:hAnsi="Garamond" w:cs="Times New Roman"/>
          <w:i/>
          <w:iCs/>
          <w:color w:val="000000"/>
          <w:sz w:val="24"/>
          <w:szCs w:val="24"/>
        </w:rPr>
        <w:t>.</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Përfundim</w:t>
      </w:r>
    </w:p>
    <w:p w14:paraId="14E04B35" w14:textId="7A72C35F"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63.</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Gjykata arrin në përfundimin se ankesa e kërkueses së parë është e papranueshme </w:t>
      </w:r>
      <w:r w:rsidRPr="00AF1BD6">
        <w:rPr>
          <w:rFonts w:ascii="Garamond" w:hAnsi="Garamond" w:cs="Times New Roman"/>
          <w:i/>
          <w:iCs/>
          <w:color w:val="000000"/>
          <w:sz w:val="24"/>
          <w:szCs w:val="24"/>
        </w:rPr>
        <w:t xml:space="preserve">ratione materiae. </w:t>
      </w:r>
    </w:p>
    <w:p w14:paraId="7BB1F1D0" w14:textId="627CEAC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64.</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vijim, ajo vëren se ankesa e kërkuesit të dytë nuk është as qartazi e pambështetur në fakte dhe as e papranueshme për ndonjë nga arsyet e listuara në </w:t>
      </w:r>
      <w:r w:rsidR="006C2C3D"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35 të Konventës. Për këtë arsye, ajo duhet të deklarohet e pranueshme. </w:t>
      </w:r>
    </w:p>
    <w:p w14:paraId="54DC2D4B" w14:textId="65FE0B62" w:rsidR="00D07213" w:rsidRPr="00AF1BD6" w:rsidRDefault="00D07213" w:rsidP="00C46B88">
      <w:pPr>
        <w:autoSpaceDE w:val="0"/>
        <w:autoSpaceDN w:val="0"/>
        <w:adjustRightInd w:val="0"/>
        <w:spacing w:after="0" w:line="240" w:lineRule="auto"/>
        <w:ind w:firstLine="284"/>
        <w:jc w:val="both"/>
        <w:rPr>
          <w:rFonts w:ascii="Garamond" w:hAnsi="Garamond" w:cs="Times New Roman"/>
          <w:b/>
          <w:bCs/>
          <w:color w:val="000000"/>
          <w:sz w:val="24"/>
          <w:szCs w:val="24"/>
        </w:rPr>
      </w:pPr>
      <w:r w:rsidRPr="00AF1BD6">
        <w:rPr>
          <w:rFonts w:ascii="Garamond" w:hAnsi="Garamond" w:cs="Times New Roman"/>
          <w:b/>
          <w:bCs/>
          <w:color w:val="000000"/>
          <w:sz w:val="24"/>
          <w:szCs w:val="24"/>
        </w:rPr>
        <w:t>B.</w:t>
      </w:r>
      <w:r w:rsidR="00C46B88" w:rsidRPr="00AF1BD6">
        <w:rPr>
          <w:rFonts w:ascii="Garamond" w:hAnsi="Garamond" w:cs="Times New Roman"/>
          <w:b/>
          <w:bCs/>
          <w:color w:val="000000"/>
          <w:sz w:val="24"/>
          <w:szCs w:val="24"/>
        </w:rPr>
        <w:t xml:space="preserve"> </w:t>
      </w:r>
      <w:r w:rsidRPr="00AF1BD6">
        <w:rPr>
          <w:rFonts w:ascii="Garamond" w:hAnsi="Garamond" w:cs="Times New Roman"/>
          <w:b/>
          <w:bCs/>
          <w:color w:val="000000"/>
          <w:sz w:val="24"/>
          <w:szCs w:val="24"/>
        </w:rPr>
        <w:t xml:space="preserve">Meritat </w:t>
      </w:r>
    </w:p>
    <w:p w14:paraId="46BD5464" w14:textId="17883104"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65.</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Në lidhje me gjetjet në paragrafët 59</w:t>
      </w:r>
      <w:r w:rsidR="004331ED">
        <w:rPr>
          <w:rFonts w:ascii="Garamond" w:hAnsi="Garamond" w:cs="Times New Roman"/>
          <w:color w:val="000000"/>
          <w:sz w:val="24"/>
          <w:szCs w:val="24"/>
        </w:rPr>
        <w:t>–</w:t>
      </w:r>
      <w:r w:rsidRPr="00AF1BD6">
        <w:rPr>
          <w:rFonts w:ascii="Garamond" w:hAnsi="Garamond" w:cs="Times New Roman"/>
          <w:color w:val="000000"/>
          <w:sz w:val="24"/>
          <w:szCs w:val="24"/>
        </w:rPr>
        <w:t xml:space="preserve">61 më sipër, Gjykata gjykon se ka pasur një “ndërhyrje” në të drejtën e kërkuesit të dytë për respektim të jetës së tij private në mbështetje të </w:t>
      </w:r>
      <w:r w:rsidR="004331ED"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të Konventës për pezullimin e tij nga Prokurori i Përgjithshëm i Përkohshëm nga ushtrimi i detyrave të tij si prokuror. </w:t>
      </w:r>
    </w:p>
    <w:p w14:paraId="685B49D5" w14:textId="10DCCD75"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66.</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Një ndërhyrje e tillë është në shkelje me </w:t>
      </w:r>
      <w:r w:rsidR="002E42C1"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8, me përjashtim të rastit kur justifikohet sipas paragrafit 2 të asaj dispozite si një ndërhyrje “në përputhje me ligjin” në respektim të një ose më shumë qëllimeve legjitime të listuara në të dhe si “e nevojshme në një shoqëri demokratike” për t’i përmbushur ato qëllime (shih </w:t>
      </w:r>
      <w:r w:rsidRPr="00AF1BD6">
        <w:rPr>
          <w:rFonts w:ascii="Garamond" w:hAnsi="Garamond" w:cs="Times New Roman"/>
          <w:i/>
          <w:iCs/>
          <w:color w:val="000000"/>
          <w:sz w:val="24"/>
          <w:szCs w:val="24"/>
        </w:rPr>
        <w:t xml:space="preserve">Xhoxhaj, </w:t>
      </w:r>
      <w:r w:rsidRPr="00AF1BD6">
        <w:rPr>
          <w:rFonts w:ascii="Garamond" w:hAnsi="Garamond" w:cs="Times New Roman"/>
          <w:color w:val="000000"/>
          <w:sz w:val="24"/>
          <w:szCs w:val="24"/>
        </w:rPr>
        <w:t xml:space="preserve">cituar më sipër, § 378). </w:t>
      </w:r>
    </w:p>
    <w:p w14:paraId="112C517D" w14:textId="430BF92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67.</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Shprehja “në përputhje me ligjin” kërkon që masa e kundërshtuar të jetë në respektim të shtetit të së drejtës (shih </w:t>
      </w:r>
      <w:r w:rsidRPr="00AF1BD6">
        <w:rPr>
          <w:rFonts w:ascii="Garamond" w:hAnsi="Garamond" w:cs="Times New Roman"/>
          <w:i/>
          <w:iCs/>
          <w:color w:val="000000"/>
          <w:sz w:val="24"/>
          <w:szCs w:val="24"/>
        </w:rPr>
        <w:t>Selahattin Demirtaş</w:t>
      </w:r>
      <w:r w:rsidRPr="00AF1BD6">
        <w:rPr>
          <w:rFonts w:ascii="Garamond" w:hAnsi="Garamond" w:cs="Times New Roman"/>
          <w:color w:val="000000"/>
          <w:sz w:val="24"/>
          <w:szCs w:val="24"/>
        </w:rPr>
        <w:t xml:space="preserve">, cituar më sipër, § 249). Anëtarët e gjyqësorit duhet të gëzojnë – ashtu si edhe qytetarët e tjerë – mbrojtjen nga arbitrariteti në pushtetin ekzekutiv (shih </w:t>
      </w:r>
      <w:r w:rsidRPr="00AF1BD6">
        <w:rPr>
          <w:rFonts w:ascii="Garamond" w:hAnsi="Garamond" w:cs="Times New Roman"/>
          <w:i/>
          <w:iCs/>
          <w:color w:val="000000"/>
          <w:sz w:val="24"/>
          <w:szCs w:val="24"/>
        </w:rPr>
        <w:t>Grzęda kundër Polonisë</w:t>
      </w:r>
      <w:r w:rsidRPr="00AF1BD6">
        <w:rPr>
          <w:rFonts w:ascii="Garamond" w:hAnsi="Garamond" w:cs="Times New Roman"/>
          <w:color w:val="000000"/>
          <w:sz w:val="24"/>
          <w:szCs w:val="24"/>
        </w:rPr>
        <w:t xml:space="preserve">, [DHM], nr. 43572/18, § 327, 15 Mars 2022, dhe </w:t>
      </w:r>
      <w:r w:rsidRPr="00AF1BD6">
        <w:rPr>
          <w:rFonts w:ascii="Garamond" w:hAnsi="Garamond" w:cs="Times New Roman"/>
          <w:i/>
          <w:iCs/>
          <w:color w:val="000000"/>
          <w:sz w:val="24"/>
          <w:szCs w:val="24"/>
        </w:rPr>
        <w:t>Kövesi kundër Rumanisë</w:t>
      </w:r>
      <w:r w:rsidRPr="00AF1BD6">
        <w:rPr>
          <w:rFonts w:ascii="Garamond" w:hAnsi="Garamond" w:cs="Times New Roman"/>
          <w:color w:val="000000"/>
          <w:sz w:val="24"/>
          <w:szCs w:val="24"/>
        </w:rPr>
        <w:t xml:space="preserve">, nr. 3594/19, § 124, 5 </w:t>
      </w:r>
      <w:r w:rsidR="002E42C1"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2020).</w:t>
      </w:r>
    </w:p>
    <w:p w14:paraId="6C3EEB78" w14:textId="39164D5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68.</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Gjykata vëren se pezullimi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i kërkuesit të dytë nga data 11 </w:t>
      </w:r>
      <w:r w:rsidR="00AB4404"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2018 e në vijim u mbështet në faktin se ndaj tij po zhvillohej një hetim që ishte në proces për një “krim të rëndë të kryer me qëllim”. Nga materiali në dispozicion rezulton se koncepti ngrinte një çështje interpretimi për një dispozitë të re në legjislacionin shqiptar (shih paragrafin 12 dhe 51 më sipër), kryesisht për faktin se çfarë përbënte një “krim të rëndë” për qëllimet përkatëse. Gjithashtu</w:t>
      </w:r>
      <w:r w:rsidR="00A13446">
        <w:rPr>
          <w:rFonts w:ascii="Garamond" w:hAnsi="Garamond" w:cs="Times New Roman"/>
          <w:color w:val="000000"/>
          <w:sz w:val="24"/>
          <w:szCs w:val="24"/>
        </w:rPr>
        <w:t>,</w:t>
      </w:r>
      <w:r w:rsidR="00A13446" w:rsidRPr="00AF1BD6">
        <w:rPr>
          <w:rFonts w:ascii="Garamond" w:hAnsi="Garamond" w:cs="Times New Roman"/>
          <w:color w:val="000000"/>
          <w:sz w:val="24"/>
          <w:szCs w:val="24"/>
        </w:rPr>
        <w:t xml:space="preserve"> vërehet se n</w:t>
      </w:r>
      <w:r w:rsidRPr="00AF1BD6">
        <w:rPr>
          <w:rFonts w:ascii="Garamond" w:hAnsi="Garamond" w:cs="Times New Roman"/>
          <w:color w:val="000000"/>
          <w:sz w:val="24"/>
          <w:szCs w:val="24"/>
        </w:rPr>
        <w:t xml:space="preserve">eni 151 i Ligjit për Statusin e Gjyqtarëve dhe Prokurorëve parashikonte se një pezullim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do të zbatohej deri në përfundimin e procesit penal ose deri në shpalljen e një vendimi gjyqësor të formës së prerë në çështjen penale. Sipas interpretimit, sa më shumë të zgjaste pezullimi, aq më të rënda ishin pasojat si për jetën private të personit dhe me shumë mundësi edhe për shtetin e së drejtës. Gjithashtu, Gjykata tashmë është shprehur se rezultonte të ekzistonte një pasiguri në periudhën përkatëse</w:t>
      </w:r>
      <w:r w:rsidR="00FF1EEE">
        <w:rPr>
          <w:rFonts w:ascii="Garamond" w:hAnsi="Garamond" w:cs="Times New Roman"/>
          <w:color w:val="000000"/>
          <w:sz w:val="24"/>
          <w:szCs w:val="24"/>
        </w:rPr>
        <w:t>,</w:t>
      </w:r>
      <w:r w:rsidRPr="00AF1BD6">
        <w:rPr>
          <w:rFonts w:ascii="Garamond" w:hAnsi="Garamond" w:cs="Times New Roman"/>
          <w:color w:val="000000"/>
          <w:sz w:val="24"/>
          <w:szCs w:val="24"/>
        </w:rPr>
        <w:t xml:space="preserve"> në lidhje me rrugën e duhur juridike për apelimin e një pezullimi </w:t>
      </w:r>
      <w:r w:rsidRPr="00AF1BD6">
        <w:rPr>
          <w:rFonts w:ascii="Garamond" w:hAnsi="Garamond" w:cs="Times New Roman"/>
          <w:i/>
          <w:iCs/>
          <w:color w:val="000000"/>
          <w:sz w:val="24"/>
          <w:szCs w:val="24"/>
        </w:rPr>
        <w:t>ex lege</w:t>
      </w:r>
      <w:r w:rsidRPr="00AF1BD6">
        <w:rPr>
          <w:rFonts w:ascii="Garamond" w:hAnsi="Garamond" w:cs="Times New Roman"/>
          <w:color w:val="000000"/>
          <w:sz w:val="24"/>
          <w:szCs w:val="24"/>
        </w:rPr>
        <w:t xml:space="preserve">, si edhe për zbatimin e menjëhershëm të vendimit të Gjykatës Administrative të Apelimeve në favor të një magjistrati. Rezulton se apelimi i Prokurorit të Përgjithshëm ndaj vendimit të gjykatës në çështjen e kërkuesve është ende pezull pranë Gjykatës së Lartë. </w:t>
      </w:r>
    </w:p>
    <w:p w14:paraId="44DC4A3D" w14:textId="20CC703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69.</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Rezulton se në periudhën nga data 18 </w:t>
      </w:r>
      <w:r w:rsidR="00FF1EEE"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datë kur Gjykata e Apelit Vlorë konfirmoi përfundimin e hetimit penal ndaj kërkuesve, deri më </w:t>
      </w:r>
      <w:r w:rsidR="00FF1EEE" w:rsidRPr="00AF1BD6">
        <w:rPr>
          <w:rFonts w:ascii="Garamond" w:hAnsi="Garamond" w:cs="Times New Roman"/>
          <w:color w:val="000000"/>
          <w:sz w:val="24"/>
          <w:szCs w:val="24"/>
        </w:rPr>
        <w:t xml:space="preserve">janar </w:t>
      </w:r>
      <w:r w:rsidRPr="00AF1BD6">
        <w:rPr>
          <w:rFonts w:ascii="Garamond" w:hAnsi="Garamond" w:cs="Times New Roman"/>
          <w:color w:val="000000"/>
          <w:sz w:val="24"/>
          <w:szCs w:val="24"/>
        </w:rPr>
        <w:t>2020, kur kërkuesi i dytë u rikthye në detyrën e tij si prokuror, Gjykata konstaton se</w:t>
      </w:r>
      <w:r w:rsidR="00AF1BD6"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pezullimi i vijuar i kërkuesit të dytë nuk kishte asnjë bazë ligjore pasi ndaj tij nuk ekzistonte më një hetim penal (shih paragrafët 25, 59 dhe 60 më sipër). Qeveria nuk i është referuar ndonjë baze tjetër ligjore për vijimësinë e ndalimit të tij nga rimarrja e detyrës si prokuror. </w:t>
      </w:r>
    </w:p>
    <w:p w14:paraId="5218D283" w14:textId="613DD54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70.</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Për sa më sipër, Gjykata nuk gjykon se ndërhyrja ishte “në përputhje me ligjin”, të paktën për sa i përket periudhës pas datës 18 </w:t>
      </w:r>
      <w:r w:rsidR="005471BD"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w:t>
      </w:r>
    </w:p>
    <w:p w14:paraId="1D50C8F4" w14:textId="493388BB"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71.</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Për këtë arsye, në lidhje me kërkuesin e dytë, është shkelur </w:t>
      </w:r>
      <w:r w:rsidR="005471BD" w:rsidRPr="00AF1BD6">
        <w:rPr>
          <w:rFonts w:ascii="Garamond" w:hAnsi="Garamond" w:cs="Times New Roman"/>
          <w:color w:val="000000"/>
          <w:sz w:val="24"/>
          <w:szCs w:val="24"/>
        </w:rPr>
        <w:t xml:space="preserve">neni </w:t>
      </w:r>
      <w:r w:rsidRPr="00AF1BD6">
        <w:rPr>
          <w:rFonts w:ascii="Garamond" w:hAnsi="Garamond" w:cs="Times New Roman"/>
          <w:color w:val="000000"/>
          <w:sz w:val="24"/>
          <w:szCs w:val="24"/>
        </w:rPr>
        <w:t>8 i Konventës.</w:t>
      </w:r>
    </w:p>
    <w:p w14:paraId="2E01371B" w14:textId="053DBCA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IV.</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PRETENDIMI PËR SHKELJE TË NENIT 8 TË KONVENTËS PËR DHËNIEN E DOKUMENTEVE MEDI</w:t>
      </w:r>
      <w:r w:rsidR="005471BD">
        <w:rPr>
          <w:rFonts w:ascii="Garamond" w:hAnsi="Garamond" w:cs="Times New Roman"/>
          <w:color w:val="000000"/>
          <w:sz w:val="24"/>
          <w:szCs w:val="24"/>
        </w:rPr>
        <w:t>E</w:t>
      </w:r>
      <w:r w:rsidRPr="00AF1BD6">
        <w:rPr>
          <w:rFonts w:ascii="Garamond" w:hAnsi="Garamond" w:cs="Times New Roman"/>
          <w:color w:val="000000"/>
          <w:sz w:val="24"/>
          <w:szCs w:val="24"/>
        </w:rPr>
        <w:t xml:space="preserve">S </w:t>
      </w:r>
    </w:p>
    <w:p w14:paraId="7AFC49D8" w14:textId="381C028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72.</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Kërkuesja e parë pretendonte se dokumente të caktuar i ishin dhënë medias në shkelje të </w:t>
      </w:r>
      <w:r w:rsidR="00AD3BB9"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të Konventës (cituar më sipër). </w:t>
      </w:r>
    </w:p>
    <w:p w14:paraId="7C1AB70F" w14:textId="2298389D" w:rsidR="00D07213" w:rsidRPr="00AF1BD6" w:rsidRDefault="00D07213" w:rsidP="00C46B88">
      <w:pPr>
        <w:autoSpaceDE w:val="0"/>
        <w:autoSpaceDN w:val="0"/>
        <w:adjustRightInd w:val="0"/>
        <w:spacing w:after="0" w:line="240" w:lineRule="auto"/>
        <w:ind w:firstLine="284"/>
        <w:jc w:val="both"/>
        <w:rPr>
          <w:rFonts w:ascii="Garamond" w:hAnsi="Garamond" w:cs="Times New Roman"/>
          <w:b/>
          <w:bCs/>
          <w:color w:val="000000"/>
          <w:sz w:val="24"/>
          <w:szCs w:val="24"/>
        </w:rPr>
      </w:pPr>
      <w:r w:rsidRPr="00AF1BD6">
        <w:rPr>
          <w:rFonts w:ascii="Garamond" w:hAnsi="Garamond" w:cs="Times New Roman"/>
          <w:b/>
          <w:bCs/>
          <w:color w:val="000000"/>
          <w:sz w:val="24"/>
          <w:szCs w:val="24"/>
        </w:rPr>
        <w:t>A.</w:t>
      </w:r>
      <w:r w:rsidR="00C46B88" w:rsidRPr="00AF1BD6">
        <w:rPr>
          <w:rFonts w:ascii="Garamond" w:hAnsi="Garamond" w:cs="Times New Roman"/>
          <w:b/>
          <w:bCs/>
          <w:color w:val="000000"/>
          <w:sz w:val="24"/>
          <w:szCs w:val="24"/>
        </w:rPr>
        <w:t xml:space="preserve"> </w:t>
      </w:r>
      <w:r w:rsidRPr="00AF1BD6">
        <w:rPr>
          <w:rFonts w:ascii="Garamond" w:hAnsi="Garamond" w:cs="Times New Roman"/>
          <w:b/>
          <w:bCs/>
          <w:color w:val="000000"/>
          <w:sz w:val="24"/>
          <w:szCs w:val="24"/>
        </w:rPr>
        <w:t>Parashtrimet e palëve</w:t>
      </w:r>
    </w:p>
    <w:p w14:paraId="6796F98C" w14:textId="40BEE914"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73.</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Qeveria argumentoi se kërkuesja e parë nuk kishte shteruar mjetet </w:t>
      </w:r>
      <w:r w:rsidR="006B0E57">
        <w:rPr>
          <w:rFonts w:ascii="Garamond" w:hAnsi="Garamond" w:cs="Times New Roman"/>
          <w:color w:val="000000"/>
          <w:sz w:val="24"/>
          <w:szCs w:val="24"/>
        </w:rPr>
        <w:t>vendë</w:t>
      </w:r>
      <w:r w:rsidRPr="00AF1BD6">
        <w:rPr>
          <w:rFonts w:ascii="Garamond" w:hAnsi="Garamond" w:cs="Times New Roman"/>
          <w:color w:val="000000"/>
          <w:sz w:val="24"/>
          <w:szCs w:val="24"/>
        </w:rPr>
        <w:t>se</w:t>
      </w:r>
      <w:r w:rsidR="006B0E57">
        <w:rPr>
          <w:rFonts w:ascii="Garamond" w:hAnsi="Garamond" w:cs="Times New Roman"/>
          <w:color w:val="000000"/>
          <w:sz w:val="24"/>
          <w:szCs w:val="24"/>
        </w:rPr>
        <w:t>,</w:t>
      </w:r>
      <w:r w:rsidRPr="00AF1BD6">
        <w:rPr>
          <w:rFonts w:ascii="Garamond" w:hAnsi="Garamond" w:cs="Times New Roman"/>
          <w:color w:val="000000"/>
          <w:sz w:val="24"/>
          <w:szCs w:val="24"/>
        </w:rPr>
        <w:t xml:space="preserve"> duke depozituar një ankesë pranë Komisionerit për Mbrojtjen e të Dhënave Personale ose duke bërë një padi civile për kompensimin e dëmeve shkaktuar nga shkeljet e autoriteteve. Nuk kishte pasur ndërhyrje sipas </w:t>
      </w:r>
      <w:r w:rsidR="006B0E57"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të Konventës, pasi nuk ishte bërë asnjë deklarim i paligjshëm nga një autoritet ose zyrtar publik – publikimi</w:t>
      </w:r>
      <w:r w:rsidR="006B0E57">
        <w:rPr>
          <w:rFonts w:ascii="Garamond" w:hAnsi="Garamond" w:cs="Times New Roman"/>
          <w:color w:val="000000"/>
          <w:sz w:val="24"/>
          <w:szCs w:val="24"/>
        </w:rPr>
        <w:t>/</w:t>
      </w:r>
      <w:r w:rsidRPr="00AF1BD6">
        <w:rPr>
          <w:rFonts w:ascii="Garamond" w:hAnsi="Garamond" w:cs="Times New Roman"/>
          <w:color w:val="000000"/>
          <w:sz w:val="24"/>
          <w:szCs w:val="24"/>
        </w:rPr>
        <w:t xml:space="preserve">et </w:t>
      </w:r>
      <w:r w:rsidRPr="006B0E57">
        <w:rPr>
          <w:rFonts w:ascii="Garamond" w:hAnsi="Garamond" w:cs="Times New Roman"/>
          <w:i/>
          <w:color w:val="000000"/>
          <w:sz w:val="24"/>
          <w:szCs w:val="24"/>
        </w:rPr>
        <w:t>online</w:t>
      </w:r>
      <w:r w:rsidRPr="00AF1BD6">
        <w:rPr>
          <w:rFonts w:ascii="Garamond" w:hAnsi="Garamond" w:cs="Times New Roman"/>
          <w:color w:val="000000"/>
          <w:sz w:val="24"/>
          <w:szCs w:val="24"/>
        </w:rPr>
        <w:t xml:space="preserve"> nuk përmbanin asnjë informacion që ishte konfidencial ose i paaksesueshëm për publikun e gjerë me anë të mjeteve të tjera. Kërkuesja nuk kishte kundërshtuar apo ishte ankuar kurrë se deklarimi i saj i pasurisë ishte bërë publik, duke u fokusuar te bërja publike e informacioneve ose dokumenteve në lidhje me kunatin dhe babanë e saj. Këto dokumente nuk ishin depozituar në KPK nga kërkuesja, dhe për çdo rast, ishin lehtësisht të aksesueshme nga publiku. </w:t>
      </w:r>
    </w:p>
    <w:p w14:paraId="25F0546A" w14:textId="0247AF64"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74.</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Kërkuesja e parë argumentoi se Qeveria nuk kishte provuar se një ankesë ose padi civile mbështetur në pretendimin për publikim të paligjshëm gjatë gjykimit në procesin e rivlerësimit do të kishte mundësi për sukses. Identiteti i personit përgjegjës për dëmin e pretenduar do të duhej të bëhej publik. Sidoqoftë, kërkuesja vazhdimisht u kishte kërkuar organeve të përfshira në rivlerësim (OMN, KPK dhe ILDKPKI) që të hetonin rrjedhjen e informacionit. </w:t>
      </w:r>
    </w:p>
    <w:p w14:paraId="1AC9B7C9" w14:textId="54CA0BE0" w:rsidR="00D07213" w:rsidRPr="00AF1BD6" w:rsidRDefault="00D07213" w:rsidP="00C46B88">
      <w:pPr>
        <w:autoSpaceDE w:val="0"/>
        <w:autoSpaceDN w:val="0"/>
        <w:adjustRightInd w:val="0"/>
        <w:spacing w:after="0" w:line="240" w:lineRule="auto"/>
        <w:ind w:firstLine="284"/>
        <w:jc w:val="both"/>
        <w:rPr>
          <w:rFonts w:ascii="Garamond" w:hAnsi="Garamond" w:cs="Times New Roman"/>
          <w:b/>
          <w:bCs/>
          <w:color w:val="000000"/>
          <w:sz w:val="24"/>
          <w:szCs w:val="24"/>
        </w:rPr>
      </w:pPr>
      <w:r w:rsidRPr="00AF1BD6">
        <w:rPr>
          <w:rFonts w:ascii="Garamond" w:hAnsi="Garamond" w:cs="Times New Roman"/>
          <w:b/>
          <w:bCs/>
          <w:color w:val="000000"/>
          <w:sz w:val="24"/>
          <w:szCs w:val="24"/>
        </w:rPr>
        <w:t>B.</w:t>
      </w:r>
      <w:r w:rsidR="00C46B88" w:rsidRPr="00AF1BD6">
        <w:rPr>
          <w:rFonts w:ascii="Garamond" w:hAnsi="Garamond" w:cs="Times New Roman"/>
          <w:b/>
          <w:bCs/>
          <w:color w:val="000000"/>
          <w:sz w:val="24"/>
          <w:szCs w:val="24"/>
        </w:rPr>
        <w:t xml:space="preserve"> </w:t>
      </w:r>
      <w:r w:rsidRPr="00AF1BD6">
        <w:rPr>
          <w:rFonts w:ascii="Garamond" w:hAnsi="Garamond" w:cs="Times New Roman"/>
          <w:b/>
          <w:bCs/>
          <w:color w:val="000000"/>
          <w:sz w:val="24"/>
          <w:szCs w:val="24"/>
        </w:rPr>
        <w:t>Vlerësimi i Gjykatës</w:t>
      </w:r>
    </w:p>
    <w:p w14:paraId="52DFCC9A" w14:textId="4454161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75.</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Qëllimi i një çështje referuar në Gjykatë sipas interpretimit të </w:t>
      </w:r>
      <w:r w:rsidR="00E420DD"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32 të Konventës në ushtrimin e së drejtës për një kërkesë individuale përcaktohet nga ankesa e kërkuesit. Një ankesë përbëhet nga pretendimet faktike dhe argumentet ligjore. Gjykata nuk mund ta mbështesë vendimin e saj mbi fakte që nuk përfshihen në ankesë dhe të gjykojë përtej qëllimit të një çështje, që do të thotë, për aspekte që nuk janë referuar në të (shih </w:t>
      </w:r>
      <w:r w:rsidRPr="00AF1BD6">
        <w:rPr>
          <w:rFonts w:ascii="Garamond" w:hAnsi="Garamond" w:cs="Times New Roman"/>
          <w:i/>
          <w:iCs/>
          <w:color w:val="000000"/>
          <w:sz w:val="24"/>
          <w:szCs w:val="24"/>
        </w:rPr>
        <w:t>Radomilja dhe të Tjerët kundër Kroacisë</w:t>
      </w:r>
      <w:r w:rsidRPr="00AF1BD6">
        <w:rPr>
          <w:rFonts w:ascii="Garamond" w:hAnsi="Garamond" w:cs="Times New Roman"/>
          <w:color w:val="000000"/>
          <w:sz w:val="24"/>
          <w:szCs w:val="24"/>
        </w:rPr>
        <w:t xml:space="preserve"> [DHM], nr. 37685/10 dhe 22768/12, § 126, 20 </w:t>
      </w:r>
      <w:r w:rsidR="00E420DD"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2018). Edhe nëse Qeveria, në parashtrimet e saj, nuk ka bërë kërkesë për papranueshmëri – në lidhje me ankesën specifike – për sa i përket respektimit të rregullit për afatin gjashtëmujor (në zbatim në periudhën konkrete), nuk i takon Gjykatës ta përjashtojë kërkesën vetëm për këtë rregull, pasi nuk është bërë një kundërshtim paraprak për këtë aspekt (</w:t>
      </w:r>
      <w:r w:rsidRPr="00AF1BD6">
        <w:rPr>
          <w:rFonts w:ascii="Garamond" w:hAnsi="Garamond" w:cs="Times New Roman"/>
          <w:i/>
          <w:iCs/>
          <w:color w:val="000000"/>
          <w:sz w:val="24"/>
          <w:szCs w:val="24"/>
        </w:rPr>
        <w:t>ibid</w:t>
      </w:r>
      <w:r w:rsidRPr="00AF1BD6">
        <w:rPr>
          <w:rFonts w:ascii="Garamond" w:hAnsi="Garamond" w:cs="Times New Roman"/>
          <w:color w:val="000000"/>
          <w:sz w:val="24"/>
          <w:szCs w:val="24"/>
        </w:rPr>
        <w:t xml:space="preserve">., § 138). Ankesa e kërkuesit duhet të përmbajë të gjitha parametrat e nevojshëm në mënyrë që Gjykata të përcaktojë problematikën që do t’i kërkohet të shqyrtojë, ashtu siç duhet të veprojë edhe Qeveria, nëse Gjykata vendos qa ta ftojë të paraqesë parashtrimet e saj për pranueshmërinë dhe/ose meritat e çështjes (shih </w:t>
      </w:r>
      <w:r w:rsidRPr="00AF1BD6">
        <w:rPr>
          <w:rFonts w:ascii="Garamond" w:hAnsi="Garamond" w:cs="Times New Roman"/>
          <w:i/>
          <w:iCs/>
          <w:color w:val="000000"/>
          <w:sz w:val="24"/>
          <w:szCs w:val="24"/>
        </w:rPr>
        <w:t xml:space="preserve">Ramos Nunes de Carvalho e Sá kundër Portugalisë </w:t>
      </w:r>
      <w:r w:rsidRPr="00AF1BD6">
        <w:rPr>
          <w:rFonts w:ascii="Garamond" w:hAnsi="Garamond" w:cs="Times New Roman"/>
          <w:color w:val="000000"/>
          <w:sz w:val="24"/>
          <w:szCs w:val="24"/>
        </w:rPr>
        <w:t xml:space="preserve">[DHM], nr. 55391/13 dhe 2 të tjerë, § 104, 6 </w:t>
      </w:r>
      <w:r w:rsidR="00E420DD"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në kontekstin e </w:t>
      </w:r>
      <w:r w:rsidR="00E420DD"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6 të Konventës). </w:t>
      </w:r>
    </w:p>
    <w:p w14:paraId="6EB90357" w14:textId="5129EC8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76.</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Gjykata vëren se në kërkesën e depozituar në muajin </w:t>
      </w:r>
      <w:r w:rsidR="00E420DD"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2018, kërkuesit parashtronin</w:t>
      </w:r>
      <w:r w:rsidR="00E420DD">
        <w:rPr>
          <w:rFonts w:ascii="Garamond" w:hAnsi="Garamond" w:cs="Times New Roman"/>
          <w:color w:val="000000"/>
          <w:sz w:val="24"/>
          <w:szCs w:val="24"/>
        </w:rPr>
        <w:t>,</w:t>
      </w:r>
      <w:r w:rsidRPr="00AF1BD6">
        <w:rPr>
          <w:rFonts w:ascii="Garamond" w:hAnsi="Garamond" w:cs="Times New Roman"/>
          <w:color w:val="000000"/>
          <w:sz w:val="24"/>
          <w:szCs w:val="24"/>
        </w:rPr>
        <w:t xml:space="preserve"> se “informacioni konfidencial [ishte] publikuar në Alpenews”, duke iu referuar, dhe bashkëlidhur, një artikull publikuar më 9 </w:t>
      </w:r>
      <w:r w:rsidR="00F0068F"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2018 (shih paragrafin 18 më sipër). Gjithashtu, ata parashtronin se “ishin ndjekur nga një fushatë e pamëshirshme në media kundër [kërkueses së parë], duke e sulmuar atë hapur me anë të një interpretimi arbitrar dhe selektiv të informacioneve për pasurinë e saj”. Në vijim, ankesa përkatëse u formulua si më poshtë: “rrjedhja e informacionit konfidencial depozituar pranë KPK-së në kontekstin e procesit të rivlerësimit shkakton</w:t>
      </w:r>
      <w:r w:rsidR="009934F4">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[shkaktoi] një ndërhyrje të paligjshme dhe joproporcionale me të drejtën e [kërkueses së parë] për privatësi në mbështetje të </w:t>
      </w:r>
      <w:r w:rsidR="009934F4"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të Konventës. Veçanërisht... informacioni konfidencial në lidhje me pasuritë [që ishin] publikuar në Alpenews... Publikimi [ishte] pasuar me një fushatë të pamëshirshme në medi</w:t>
      </w:r>
      <w:r w:rsidR="00B855DE">
        <w:rPr>
          <w:rFonts w:ascii="Garamond" w:hAnsi="Garamond" w:cs="Times New Roman"/>
          <w:color w:val="000000"/>
          <w:sz w:val="24"/>
          <w:szCs w:val="24"/>
        </w:rPr>
        <w:t>e</w:t>
      </w:r>
      <w:r w:rsidRPr="00AF1BD6">
        <w:rPr>
          <w:rFonts w:ascii="Garamond" w:hAnsi="Garamond" w:cs="Times New Roman"/>
          <w:color w:val="000000"/>
          <w:sz w:val="24"/>
          <w:szCs w:val="24"/>
        </w:rPr>
        <w:t xml:space="preserve"> ndaj [saj].”</w:t>
      </w:r>
    </w:p>
    <w:p w14:paraId="4AC200D0" w14:textId="50B7FCAC"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77.</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Për sa ka të bëjë me artikullin e referuar, ai nuk bënte publik asnjë dokument apo material në lidhje me kërkuesen e parë, përveç tekstit të cituar në paragrafin 18 më sipër. Nuk është provuar se, për sa i përket ankesës së kërkueses së parë për atë artikull, ka pasur ndonjë “ndërhyrje” në ndonjë aspekt të Shtetit përgjegjës, më konkretisht në lidhje me aksesin e paautorizuar te – dhe/ose bërjen publike në mënyrë të paligjshme ose transmetimin e – ndonjë dokument specifik konfidencial i depozituar ose marrë në procesin e rivlerësimit (krahaso </w:t>
      </w:r>
      <w:r w:rsidRPr="00AF1BD6">
        <w:rPr>
          <w:rFonts w:ascii="Garamond" w:hAnsi="Garamond" w:cs="Times New Roman"/>
          <w:i/>
          <w:iCs/>
          <w:color w:val="000000"/>
          <w:sz w:val="24"/>
          <w:szCs w:val="24"/>
        </w:rPr>
        <w:t>Cãşuneanu kundër Rumanisë</w:t>
      </w:r>
      <w:r w:rsidRPr="00AF1BD6">
        <w:rPr>
          <w:rFonts w:ascii="Garamond" w:hAnsi="Garamond" w:cs="Times New Roman"/>
          <w:color w:val="000000"/>
          <w:sz w:val="24"/>
          <w:szCs w:val="24"/>
        </w:rPr>
        <w:t>, nr. 22018/10, §§ 83</w:t>
      </w:r>
      <w:r w:rsidR="00C36CCB">
        <w:rPr>
          <w:rFonts w:ascii="Garamond" w:hAnsi="Garamond" w:cs="Times New Roman"/>
          <w:color w:val="000000"/>
          <w:sz w:val="24"/>
          <w:szCs w:val="24"/>
        </w:rPr>
        <w:t>–</w:t>
      </w:r>
      <w:r w:rsidRPr="00AF1BD6">
        <w:rPr>
          <w:rFonts w:ascii="Garamond" w:hAnsi="Garamond" w:cs="Times New Roman"/>
          <w:color w:val="000000"/>
          <w:sz w:val="24"/>
          <w:szCs w:val="24"/>
        </w:rPr>
        <w:t xml:space="preserve">84, dhe 97, 16 </w:t>
      </w:r>
      <w:r w:rsidR="00C36CCB"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2013, dhe </w:t>
      </w:r>
      <w:r w:rsidRPr="00AF1BD6">
        <w:rPr>
          <w:rFonts w:ascii="Garamond" w:hAnsi="Garamond" w:cs="Times New Roman"/>
          <w:i/>
          <w:iCs/>
          <w:color w:val="000000"/>
          <w:sz w:val="24"/>
          <w:szCs w:val="24"/>
        </w:rPr>
        <w:t>M.D. dhe të Tjerët kundër Spanjës</w:t>
      </w:r>
      <w:r w:rsidRPr="00AF1BD6">
        <w:rPr>
          <w:rFonts w:ascii="Garamond" w:hAnsi="Garamond" w:cs="Times New Roman"/>
          <w:color w:val="000000"/>
          <w:sz w:val="24"/>
          <w:szCs w:val="24"/>
        </w:rPr>
        <w:t xml:space="preserve">, nr. 36584/17, § 65, 28 </w:t>
      </w:r>
      <w:r w:rsidR="00C36CCB"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 xml:space="preserve">2022). Nuk provohet se artikulli përmbante ndonjë informacion sensitiv në lidhje me kërkuesen e parë apo pasuritë e saj. Në këtë mënyrë, ankesa e depozituar nuk pajtohet </w:t>
      </w:r>
      <w:r w:rsidRPr="00AF1BD6">
        <w:rPr>
          <w:rFonts w:ascii="Garamond" w:hAnsi="Garamond" w:cs="Times New Roman"/>
          <w:i/>
          <w:iCs/>
          <w:color w:val="000000"/>
          <w:sz w:val="24"/>
          <w:szCs w:val="24"/>
        </w:rPr>
        <w:t xml:space="preserve">ratione personae </w:t>
      </w:r>
      <w:r w:rsidRPr="00AF1BD6">
        <w:rPr>
          <w:rFonts w:ascii="Garamond" w:hAnsi="Garamond" w:cs="Times New Roman"/>
          <w:color w:val="000000"/>
          <w:sz w:val="24"/>
          <w:szCs w:val="24"/>
        </w:rPr>
        <w:t xml:space="preserve">me parashikimet e Konventës sipas </w:t>
      </w:r>
      <w:r w:rsidR="00B913C3"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35 § 3 (a) dhe duhet të kundërshtohet në përputhje me </w:t>
      </w:r>
      <w:r w:rsidR="00B913C3"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35 § 4. </w:t>
      </w:r>
    </w:p>
    <w:p w14:paraId="0FA60E19" w14:textId="3262E7A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78.</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lidhje me bërjen publike të dokumenteve shtesë në media dhe një fushate mediatike nga muaji </w:t>
      </w:r>
      <w:r w:rsidR="00B913C3"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 xml:space="preserve">deri në </w:t>
      </w:r>
      <w:r w:rsidR="00B913C3" w:rsidRPr="00AF1BD6">
        <w:rPr>
          <w:rFonts w:ascii="Garamond" w:hAnsi="Garamond" w:cs="Times New Roman"/>
          <w:color w:val="000000"/>
          <w:sz w:val="24"/>
          <w:szCs w:val="24"/>
        </w:rPr>
        <w:t xml:space="preserve">korrik </w:t>
      </w:r>
      <w:r w:rsidRPr="00AF1BD6">
        <w:rPr>
          <w:rFonts w:ascii="Garamond" w:hAnsi="Garamond" w:cs="Times New Roman"/>
          <w:color w:val="000000"/>
          <w:sz w:val="24"/>
          <w:szCs w:val="24"/>
        </w:rPr>
        <w:t>2018, për arsyet e mëposhtme, Gjykata nuk ka nevojë të përcaktojë nëse janë shteruar mjetet vend</w:t>
      </w:r>
      <w:r w:rsidR="00DD7C1A">
        <w:rPr>
          <w:rFonts w:ascii="Garamond" w:hAnsi="Garamond" w:cs="Times New Roman"/>
          <w:color w:val="000000"/>
          <w:sz w:val="24"/>
          <w:szCs w:val="24"/>
        </w:rPr>
        <w:t>ë</w:t>
      </w:r>
      <w:r w:rsidRPr="00AF1BD6">
        <w:rPr>
          <w:rFonts w:ascii="Garamond" w:hAnsi="Garamond" w:cs="Times New Roman"/>
          <w:color w:val="000000"/>
          <w:sz w:val="24"/>
          <w:szCs w:val="24"/>
        </w:rPr>
        <w:t xml:space="preserve">se. Pretendimet faktike nuk ishin as të detajuara dhe as të provuara në kërkesë. Vetëm në muajin </w:t>
      </w:r>
      <w:r w:rsidR="00B913C3"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2019, në parashtrimet e tyre si përgjigje ndaj parashtrimeve të Qeverisë, kërkuesit (kryesisht, kërkuesja e parë) paraqitën “thelbin e ankesës” (siç shpreheshin ata), duke artikuluar element</w:t>
      </w:r>
      <w:r w:rsidR="00B913C3">
        <w:rPr>
          <w:rFonts w:ascii="Garamond" w:hAnsi="Garamond" w:cs="Times New Roman"/>
          <w:color w:val="000000"/>
          <w:sz w:val="24"/>
          <w:szCs w:val="24"/>
        </w:rPr>
        <w:t>e</w:t>
      </w:r>
      <w:r w:rsidRPr="00AF1BD6">
        <w:rPr>
          <w:rFonts w:ascii="Garamond" w:hAnsi="Garamond" w:cs="Times New Roman"/>
          <w:color w:val="000000"/>
          <w:sz w:val="24"/>
          <w:szCs w:val="24"/>
        </w:rPr>
        <w:t>t thelbësor</w:t>
      </w:r>
      <w:r w:rsidR="00B913C3">
        <w:rPr>
          <w:rFonts w:ascii="Garamond" w:hAnsi="Garamond" w:cs="Times New Roman"/>
          <w:color w:val="000000"/>
          <w:sz w:val="24"/>
          <w:szCs w:val="24"/>
        </w:rPr>
        <w:t>e</w:t>
      </w:r>
      <w:r w:rsidRPr="00AF1BD6">
        <w:rPr>
          <w:rFonts w:ascii="Garamond" w:hAnsi="Garamond" w:cs="Times New Roman"/>
          <w:color w:val="000000"/>
          <w:sz w:val="24"/>
          <w:szCs w:val="24"/>
        </w:rPr>
        <w:t xml:space="preserve"> faktik</w:t>
      </w:r>
      <w:r w:rsidR="00B913C3">
        <w:rPr>
          <w:rFonts w:ascii="Garamond" w:hAnsi="Garamond" w:cs="Times New Roman"/>
          <w:color w:val="000000"/>
          <w:sz w:val="24"/>
          <w:szCs w:val="24"/>
        </w:rPr>
        <w:t>e</w:t>
      </w:r>
      <w:r w:rsidRPr="00AF1BD6">
        <w:rPr>
          <w:rFonts w:ascii="Garamond" w:hAnsi="Garamond" w:cs="Times New Roman"/>
          <w:color w:val="000000"/>
          <w:sz w:val="24"/>
          <w:szCs w:val="24"/>
        </w:rPr>
        <w:t>, duke cituar shembuj specifikë të artikujve të tjerë, disa prej të cilëve pretendoheshin se mbështeteshin në, ose ishin riprodhuar nga, kopje të dokumenteve që kishin rrjedhur, si edhe paraqitën kopje të këtyre artikujve. Në të njëjtat parashtrime, kërkuesit argumentuan, për herë të parë, se mediat kishin publikuar informacione konfidenciale në vitin 2018, duke shkelur në këtë mënyrë të drejtat e tyre</w:t>
      </w:r>
      <w:r w:rsidR="00D842E7">
        <w:rPr>
          <w:rFonts w:ascii="Garamond" w:hAnsi="Garamond" w:cs="Times New Roman"/>
          <w:color w:val="000000"/>
          <w:sz w:val="24"/>
          <w:szCs w:val="24"/>
        </w:rPr>
        <w:t>,</w:t>
      </w:r>
      <w:r w:rsidRPr="00AF1BD6">
        <w:rPr>
          <w:rFonts w:ascii="Garamond" w:hAnsi="Garamond" w:cs="Times New Roman"/>
          <w:color w:val="000000"/>
          <w:sz w:val="24"/>
          <w:szCs w:val="24"/>
        </w:rPr>
        <w:t xml:space="preserve"> sipas </w:t>
      </w:r>
      <w:r w:rsidR="00D842E7"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të Konventës. Kjo ankesë shkonte për një ose disa medi</w:t>
      </w:r>
      <w:r w:rsidR="0007565C">
        <w:rPr>
          <w:rFonts w:ascii="Garamond" w:hAnsi="Garamond" w:cs="Times New Roman"/>
          <w:color w:val="000000"/>
          <w:sz w:val="24"/>
          <w:szCs w:val="24"/>
        </w:rPr>
        <w:t>e</w:t>
      </w:r>
      <w:r w:rsidRPr="00AF1BD6">
        <w:rPr>
          <w:rFonts w:ascii="Garamond" w:hAnsi="Garamond" w:cs="Times New Roman"/>
          <w:color w:val="000000"/>
          <w:sz w:val="24"/>
          <w:szCs w:val="24"/>
        </w:rPr>
        <w:t xml:space="preserve"> private që kishin publikuar informacionin për të cilin ankoheshin kërkuesit. Gjykata konstaton se ankesa e sipërpëmendur u depozitua në muajin </w:t>
      </w:r>
      <w:r w:rsidR="0007565C"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Kërkuesit nuk kanë specifikuar nëse ankesa i ishte nënshtruar ndonjë procesi </w:t>
      </w:r>
      <w:r w:rsidR="00A930D9">
        <w:rPr>
          <w:rFonts w:ascii="Garamond" w:hAnsi="Garamond" w:cs="Times New Roman"/>
          <w:color w:val="000000"/>
          <w:sz w:val="24"/>
          <w:szCs w:val="24"/>
        </w:rPr>
        <w:t>vendë</w:t>
      </w:r>
      <w:r w:rsidRPr="00AF1BD6">
        <w:rPr>
          <w:rFonts w:ascii="Garamond" w:hAnsi="Garamond" w:cs="Times New Roman"/>
          <w:color w:val="000000"/>
          <w:sz w:val="24"/>
          <w:szCs w:val="24"/>
        </w:rPr>
        <w:t>s gjatë kohëve të fundit sipas afatit gjashtëmujor, për shembull, në lidhje me medi</w:t>
      </w:r>
      <w:r w:rsidR="00DD7C1A">
        <w:rPr>
          <w:rFonts w:ascii="Garamond" w:hAnsi="Garamond" w:cs="Times New Roman"/>
          <w:color w:val="000000"/>
          <w:sz w:val="24"/>
          <w:szCs w:val="24"/>
        </w:rPr>
        <w:t>e</w:t>
      </w:r>
      <w:r w:rsidRPr="00AF1BD6">
        <w:rPr>
          <w:rFonts w:ascii="Garamond" w:hAnsi="Garamond" w:cs="Times New Roman"/>
          <w:color w:val="000000"/>
          <w:sz w:val="24"/>
          <w:szCs w:val="24"/>
        </w:rPr>
        <w:t xml:space="preserve">n ose pronarëve të saj apo zyrtarëve publikë (shih paragrafin 19 më sipër). Ankesa u depozitua përtej afatit dhe duhet të rrëzohet në përputhje me </w:t>
      </w:r>
      <w:r w:rsidR="00A930D9"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35 §§ 1 dhe 4 të Konventës, në fuqi në periudhën konkrete. </w:t>
      </w:r>
    </w:p>
    <w:p w14:paraId="70778316" w14:textId="22C0417B"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79.</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Së fundmi, në vërejtjet e tyre, kërkuesja e parë aludoi edhe për një çështje tjetër në lidhje me një fakt të njëkohësishëm, më konkretisht shpërndarjen dhe publikimin në muajin </w:t>
      </w:r>
      <w:r w:rsidR="00A930D9"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2019 të një raporti konfidencial për kontrollin mbi figurën të lëshuar gjatë procesit të rivlerësimit. Gjykata gjykon se ky parashtrim nuk është një detajim i ankesës fillestare dhe se është jashtë qëllimit të çështjes përpara saj (shih </w:t>
      </w:r>
      <w:r w:rsidRPr="00AF1BD6">
        <w:rPr>
          <w:rFonts w:ascii="Garamond" w:hAnsi="Garamond" w:cs="Times New Roman"/>
          <w:i/>
          <w:iCs/>
          <w:color w:val="000000"/>
          <w:sz w:val="24"/>
          <w:szCs w:val="24"/>
        </w:rPr>
        <w:t>Denis dhe Irvine kundër Belgjikës</w:t>
      </w:r>
      <w:r w:rsidRPr="00AF1BD6">
        <w:rPr>
          <w:rFonts w:ascii="Garamond" w:hAnsi="Garamond" w:cs="Times New Roman"/>
          <w:color w:val="000000"/>
          <w:sz w:val="24"/>
          <w:szCs w:val="24"/>
        </w:rPr>
        <w:t xml:space="preserve"> [DHM], nr. 62819/17 dhe 63921/17, §§ 101-02 dhe 110-11, 1 </w:t>
      </w:r>
      <w:r w:rsidR="00A930D9"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 xml:space="preserve">2021, dhe </w:t>
      </w:r>
      <w:r w:rsidRPr="00AF1BD6">
        <w:rPr>
          <w:rFonts w:ascii="Garamond" w:hAnsi="Garamond" w:cs="Times New Roman"/>
          <w:i/>
          <w:iCs/>
          <w:color w:val="000000"/>
          <w:sz w:val="24"/>
          <w:szCs w:val="24"/>
        </w:rPr>
        <w:t>Antonyuk</w:t>
      </w:r>
      <w:r w:rsidRPr="00AF1BD6">
        <w:rPr>
          <w:rFonts w:ascii="Garamond" w:hAnsi="Garamond" w:cs="Times New Roman"/>
          <w:color w:val="000000"/>
          <w:sz w:val="24"/>
          <w:szCs w:val="24"/>
        </w:rPr>
        <w:t xml:space="preserve">, cituar më sipër, § 94). Gjykata gjykon se nuk është e nevojshme të shqyrtohet ky parashtrim në çështjen konkrete. </w:t>
      </w:r>
    </w:p>
    <w:p w14:paraId="1F1D2636" w14:textId="6A69DD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V.</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PRETENDIM PËR SHKELJE TË NENIT 13 TË KONVENTËS </w:t>
      </w:r>
    </w:p>
    <w:p w14:paraId="55A55466" w14:textId="3E1F306C"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80.</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muajin </w:t>
      </w:r>
      <w:r w:rsidR="00120D5D" w:rsidRPr="00AF1BD6">
        <w:rPr>
          <w:rFonts w:ascii="Garamond" w:hAnsi="Garamond" w:cs="Times New Roman"/>
          <w:color w:val="000000"/>
          <w:sz w:val="24"/>
          <w:szCs w:val="24"/>
        </w:rPr>
        <w:t xml:space="preserve">qershor </w:t>
      </w:r>
      <w:r w:rsidRPr="00AF1BD6">
        <w:rPr>
          <w:rFonts w:ascii="Garamond" w:hAnsi="Garamond" w:cs="Times New Roman"/>
          <w:color w:val="000000"/>
          <w:sz w:val="24"/>
          <w:szCs w:val="24"/>
        </w:rPr>
        <w:t xml:space="preserve">2018, kërkuesit u ankuan se, në kundërshtim me </w:t>
      </w:r>
      <w:r w:rsidR="00BA1E25"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13 të Konventës, ata nuk kishin pasur mjete efektive për ankesën e tyre sipas </w:t>
      </w:r>
      <w:r w:rsidR="0080742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8 të Konventës</w:t>
      </w:r>
      <w:r w:rsidR="00DD3506">
        <w:rPr>
          <w:rFonts w:ascii="Garamond" w:hAnsi="Garamond" w:cs="Times New Roman"/>
          <w:color w:val="000000"/>
          <w:sz w:val="24"/>
          <w:szCs w:val="24"/>
        </w:rPr>
        <w:t>,</w:t>
      </w:r>
      <w:r w:rsidRPr="00AF1BD6">
        <w:rPr>
          <w:rFonts w:ascii="Garamond" w:hAnsi="Garamond" w:cs="Times New Roman"/>
          <w:color w:val="000000"/>
          <w:sz w:val="24"/>
          <w:szCs w:val="24"/>
        </w:rPr>
        <w:t xml:space="preserve"> në lidhje me urdhrat e pezullimit. Pasi shqyrtoi parashtrimet e palëve dhe në mbështetje të konstatimeve të Gjykatës, në paragrafët 41 dhe 63 më sipër, ankesa bërë në mbështetje të </w:t>
      </w:r>
      <w:r w:rsidR="00067E1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13 është e papranueshme sipas </w:t>
      </w:r>
      <w:r w:rsidR="00067E1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35 § 3 (a) të Konventës, dhe për këtë arsye duhet të rrëzohet sipas </w:t>
      </w:r>
      <w:r w:rsidR="00067E1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35 § 4 në lidhje me kërkuesen e parë. Sipas konstatimeve në paragrafin 71 më sipër, kjo ankesë nuk është e nevojshme të shqyrtohet për kërkuesin e dytë. </w:t>
      </w:r>
    </w:p>
    <w:p w14:paraId="1A749A4F" w14:textId="1834C255"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VI.</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PRETENDIME PËR SHKELJE TË TJERA TË KONVENTËS </w:t>
      </w:r>
    </w:p>
    <w:p w14:paraId="57BE8745" w14:textId="6F7E559F"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81.</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parashtrimet e tyre, kërkuesit pretenduan si më poshtë. </w:t>
      </w:r>
    </w:p>
    <w:p w14:paraId="435848B8" w14:textId="4C23C26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a)</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Shteti përgjegjës nuk kishte informuar Gjykatën për rezultatin e apelimit në lidhje me vendimin e datës 8 </w:t>
      </w:r>
      <w:r w:rsidR="00067E1F"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Sipas të gjitha materialeve në zotërimin e saj (shih edhe paragrafët 12, 14 dhe 16 më sipër), Gjykata gjykon se Shteti përgjegjës ka respektuar detyrimin e tij sipas </w:t>
      </w:r>
      <w:r w:rsidR="00067E1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38 të Konventës. </w:t>
      </w:r>
    </w:p>
    <w:p w14:paraId="2CEA8ED7" w14:textId="6520D9F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b)</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“Zinxhiri i zhvillimeve që çuan” në pezullimin e tyre nga detyra shkaktoi një sulm të motivuar politikisht, në kundërshtim me </w:t>
      </w:r>
      <w:r w:rsidR="00067E1F"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18 të Konventës. Duke iu referuar praktikës gjyqësore përkatëse (shih </w:t>
      </w:r>
      <w:r w:rsidRPr="00AF1BD6">
        <w:rPr>
          <w:rFonts w:ascii="Garamond" w:hAnsi="Garamond" w:cs="Times New Roman"/>
          <w:i/>
          <w:iCs/>
          <w:color w:val="000000"/>
          <w:sz w:val="24"/>
          <w:szCs w:val="24"/>
        </w:rPr>
        <w:t>Merabishvili kundër Gjeorgjisë</w:t>
      </w:r>
      <w:r w:rsidRPr="00AF1BD6">
        <w:rPr>
          <w:rFonts w:ascii="Garamond" w:hAnsi="Garamond" w:cs="Times New Roman"/>
          <w:color w:val="000000"/>
          <w:sz w:val="24"/>
          <w:szCs w:val="24"/>
        </w:rPr>
        <w:t xml:space="preserve"> [DHM], nr. 72508/13, § 291, 28 </w:t>
      </w:r>
      <w:r w:rsidR="00067E1F"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2017, dhe </w:t>
      </w:r>
      <w:r w:rsidRPr="00AF1BD6">
        <w:rPr>
          <w:rFonts w:ascii="Garamond" w:hAnsi="Garamond" w:cs="Times New Roman"/>
          <w:i/>
          <w:iCs/>
          <w:color w:val="000000"/>
          <w:sz w:val="24"/>
          <w:szCs w:val="24"/>
        </w:rPr>
        <w:t>Navalnyy kundër Rusisë</w:t>
      </w:r>
      <w:r w:rsidRPr="00AF1BD6">
        <w:rPr>
          <w:rFonts w:ascii="Garamond" w:hAnsi="Garamond" w:cs="Times New Roman"/>
          <w:color w:val="000000"/>
          <w:sz w:val="24"/>
          <w:szCs w:val="24"/>
        </w:rPr>
        <w:t xml:space="preserve"> [DHM], nr. 29580/12 dhe 4 të tjerë, § 154 e në vijim, 15 </w:t>
      </w:r>
      <w:r w:rsidR="00067E1F" w:rsidRPr="00AF1BD6">
        <w:rPr>
          <w:rFonts w:ascii="Garamond" w:hAnsi="Garamond" w:cs="Times New Roman"/>
          <w:color w:val="000000"/>
          <w:sz w:val="24"/>
          <w:szCs w:val="24"/>
        </w:rPr>
        <w:t xml:space="preserve">nëntor </w:t>
      </w:r>
      <w:r w:rsidRPr="00AF1BD6">
        <w:rPr>
          <w:rFonts w:ascii="Garamond" w:hAnsi="Garamond" w:cs="Times New Roman"/>
          <w:color w:val="000000"/>
          <w:sz w:val="24"/>
          <w:szCs w:val="24"/>
        </w:rPr>
        <w:t xml:space="preserve">2018) dhe sipas të gjitha materialeve në zotërimin e saj, dhe për aq sa problematikat në ankesë janë nën kompetencën e saj (shih edhe paragrafët 41 dhe 63 më sipër), Gjykata vendos se kjo ankesë është e pambështetur në fakte dhe duhet të rrëzohet në përputhje me </w:t>
      </w:r>
      <w:r w:rsidR="00067E1F"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35 §§ 3 (a) dhe 4 të Konventës. </w:t>
      </w:r>
    </w:p>
    <w:p w14:paraId="3D769955" w14:textId="48353D55"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c)</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Edhe shkarkimi i kërkueses së parë nga detyra në procesin e rivlerësimit solli një sulm të motivuar politikisht në kundërshtim me </w:t>
      </w:r>
      <w:r w:rsidR="00AF45D6"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18 të Konventës. Gjykata vëren se ankesat në lidhje me vendimet e datës 25 </w:t>
      </w:r>
      <w:r w:rsidR="00AF45D6" w:rsidRPr="00AF1BD6">
        <w:rPr>
          <w:rFonts w:ascii="Garamond" w:hAnsi="Garamond" w:cs="Times New Roman"/>
          <w:color w:val="000000"/>
          <w:sz w:val="24"/>
          <w:szCs w:val="24"/>
        </w:rPr>
        <w:t xml:space="preserve">korrik </w:t>
      </w:r>
      <w:r w:rsidRPr="00AF1BD6">
        <w:rPr>
          <w:rFonts w:ascii="Garamond" w:hAnsi="Garamond" w:cs="Times New Roman"/>
          <w:color w:val="000000"/>
          <w:sz w:val="24"/>
          <w:szCs w:val="24"/>
        </w:rPr>
        <w:t xml:space="preserve">2018 dhe 29 </w:t>
      </w:r>
      <w:r w:rsidR="00AF45D6" w:rsidRPr="00AF1BD6">
        <w:rPr>
          <w:rFonts w:ascii="Garamond" w:hAnsi="Garamond" w:cs="Times New Roman"/>
          <w:color w:val="000000"/>
          <w:sz w:val="24"/>
          <w:szCs w:val="24"/>
        </w:rPr>
        <w:t xml:space="preserve">maj </w:t>
      </w:r>
      <w:r w:rsidRPr="00AF1BD6">
        <w:rPr>
          <w:rFonts w:ascii="Garamond" w:hAnsi="Garamond" w:cs="Times New Roman"/>
          <w:color w:val="000000"/>
          <w:sz w:val="24"/>
          <w:szCs w:val="24"/>
        </w:rPr>
        <w:t>2019 nuk ishin pjesë e çështjes komunikuar Qeverisë përgjegjëse. Kërkuesja e parë ka depozituar kërkesa të veçanta në mbështetje të Rregullit 47 § 1 të Rregullores së Gjykatës të interpretuar së bashku me Drejtimin e Praktikës për Nisjen e Proceseve (veçanërisht paragrafët 1</w:t>
      </w:r>
      <w:r w:rsidR="00AF45D6">
        <w:rPr>
          <w:rFonts w:ascii="Garamond" w:hAnsi="Garamond" w:cs="Times New Roman"/>
          <w:color w:val="000000"/>
          <w:sz w:val="24"/>
          <w:szCs w:val="24"/>
        </w:rPr>
        <w:t>–</w:t>
      </w:r>
      <w:r w:rsidRPr="00AF1BD6">
        <w:rPr>
          <w:rFonts w:ascii="Garamond" w:hAnsi="Garamond" w:cs="Times New Roman"/>
          <w:color w:val="000000"/>
          <w:sz w:val="24"/>
          <w:szCs w:val="24"/>
        </w:rPr>
        <w:t xml:space="preserve">5). Këto kërkesa janë pezull në Gjykatë. Për këtë arsye, nuk është e nevojshme që këto parashtrime të shqyrtohen në çështjen konkrete. </w:t>
      </w:r>
    </w:p>
    <w:p w14:paraId="39E76B34" w14:textId="44A0D8E6"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VII.</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ZBATIMI I NENIT 41 TË KONVENTËS </w:t>
      </w:r>
    </w:p>
    <w:p w14:paraId="2681BC51" w14:textId="4D897D0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82.</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Neni 41 i Konventës parashikon si më poshtë: </w:t>
      </w:r>
    </w:p>
    <w:p w14:paraId="6CC9B0C2"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55BD891E" w14:textId="3870AEFB" w:rsidR="00D07213" w:rsidRPr="00902AE7" w:rsidRDefault="00D07213" w:rsidP="00C46B88">
      <w:pPr>
        <w:autoSpaceDE w:val="0"/>
        <w:autoSpaceDN w:val="0"/>
        <w:adjustRightInd w:val="0"/>
        <w:spacing w:after="0" w:line="240" w:lineRule="auto"/>
        <w:ind w:firstLine="284"/>
        <w:jc w:val="both"/>
        <w:rPr>
          <w:rFonts w:ascii="Garamond" w:hAnsi="Garamond" w:cs="Times New Roman"/>
          <w:bCs/>
          <w:color w:val="000000"/>
          <w:sz w:val="24"/>
          <w:szCs w:val="24"/>
        </w:rPr>
      </w:pPr>
      <w:r w:rsidRPr="00902AE7">
        <w:rPr>
          <w:rFonts w:ascii="Garamond" w:hAnsi="Garamond" w:cs="Times New Roman"/>
          <w:bCs/>
          <w:color w:val="000000"/>
          <w:sz w:val="24"/>
          <w:szCs w:val="24"/>
        </w:rPr>
        <w:t>A.</w:t>
      </w:r>
      <w:r w:rsidR="00C46B88" w:rsidRPr="00902AE7">
        <w:rPr>
          <w:rFonts w:ascii="Garamond" w:hAnsi="Garamond" w:cs="Times New Roman"/>
          <w:bCs/>
          <w:color w:val="000000"/>
          <w:sz w:val="24"/>
          <w:szCs w:val="24"/>
        </w:rPr>
        <w:t xml:space="preserve"> </w:t>
      </w:r>
      <w:r w:rsidRPr="00902AE7">
        <w:rPr>
          <w:rFonts w:ascii="Garamond" w:hAnsi="Garamond" w:cs="Times New Roman"/>
          <w:bCs/>
          <w:color w:val="000000"/>
          <w:sz w:val="24"/>
          <w:szCs w:val="24"/>
        </w:rPr>
        <w:t>DËMSHPËRBLIMI</w:t>
      </w:r>
    </w:p>
    <w:p w14:paraId="7B9280C9" w14:textId="3EF6491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83.</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Kërkuesi i dytë kërkoi 200,000 euro për dëmin jopasuror dhe 1,350 euro për dëmin pasuror për uljen e tij në detyrë në vitin 2018.</w:t>
      </w:r>
    </w:p>
    <w:p w14:paraId="3E638EAA" w14:textId="3C40CBD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84.</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Qeveria i kundërshtoi pretendimet, duke argumentuar </w:t>
      </w:r>
      <w:r w:rsidRPr="00AF1BD6">
        <w:rPr>
          <w:rFonts w:ascii="Garamond" w:hAnsi="Garamond" w:cs="Times New Roman"/>
          <w:i/>
          <w:iCs/>
          <w:color w:val="000000"/>
          <w:sz w:val="24"/>
          <w:szCs w:val="24"/>
        </w:rPr>
        <w:t xml:space="preserve">inter alia, </w:t>
      </w:r>
      <w:r w:rsidRPr="00AF1BD6">
        <w:rPr>
          <w:rFonts w:ascii="Garamond" w:hAnsi="Garamond" w:cs="Times New Roman"/>
          <w:color w:val="000000"/>
          <w:sz w:val="24"/>
          <w:szCs w:val="24"/>
        </w:rPr>
        <w:t xml:space="preserve">se kërkuesi i dytë nuk kishte paraqitur një padi civile për dëmshpërblim. </w:t>
      </w:r>
    </w:p>
    <w:p w14:paraId="0C64DC1D" w14:textId="797F0DD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85.</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Gjykata nuk konstaton ndonjë lidhje shkakësore midis shkeljes së konstatuar dhe dëmshpërblimit pasuror të pretenduar; për këtë arsye, ajo e rrëzon këtë pretendim. Gjykata ka kompetencën t’i akordojë palës së dëmtuar një kompensim të tillë për aq sa ajo e gjykon të përshtatshme, sipas </w:t>
      </w:r>
      <w:r w:rsidR="00B954D2"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41 të Konventës, nëse ligji </w:t>
      </w:r>
      <w:r w:rsidR="00377C74">
        <w:rPr>
          <w:rFonts w:ascii="Garamond" w:hAnsi="Garamond" w:cs="Times New Roman"/>
          <w:color w:val="000000"/>
          <w:sz w:val="24"/>
          <w:szCs w:val="24"/>
        </w:rPr>
        <w:t>vendë</w:t>
      </w:r>
      <w:r w:rsidRPr="00AF1BD6">
        <w:rPr>
          <w:rFonts w:ascii="Garamond" w:hAnsi="Garamond" w:cs="Times New Roman"/>
          <w:color w:val="000000"/>
          <w:sz w:val="24"/>
          <w:szCs w:val="24"/>
        </w:rPr>
        <w:t>s nuk lejon – ose lejon vetëm pjesërisht – që të bëhet korrigjim. Në të njëjtën kohë, rregulli për shterimin e mjeteve vend</w:t>
      </w:r>
      <w:r w:rsidR="00DD7C1A">
        <w:rPr>
          <w:rFonts w:ascii="Garamond" w:hAnsi="Garamond" w:cs="Times New Roman"/>
          <w:color w:val="000000"/>
          <w:sz w:val="24"/>
          <w:szCs w:val="24"/>
        </w:rPr>
        <w:t>ë</w:t>
      </w:r>
      <w:r w:rsidRPr="00AF1BD6">
        <w:rPr>
          <w:rFonts w:ascii="Garamond" w:hAnsi="Garamond" w:cs="Times New Roman"/>
          <w:color w:val="000000"/>
          <w:sz w:val="24"/>
          <w:szCs w:val="24"/>
        </w:rPr>
        <w:t xml:space="preserve">se, sipas </w:t>
      </w:r>
      <w:r w:rsidR="00B03C2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35 § 1, nuk zbatohet për shpërblim të drejtë sipas </w:t>
      </w:r>
      <w:r w:rsidR="00B03C2F"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41 (shih </w:t>
      </w:r>
      <w:r w:rsidRPr="00AF1BD6">
        <w:rPr>
          <w:rFonts w:ascii="Garamond" w:hAnsi="Garamond" w:cs="Times New Roman"/>
          <w:i/>
          <w:iCs/>
          <w:color w:val="000000"/>
          <w:sz w:val="24"/>
          <w:szCs w:val="24"/>
        </w:rPr>
        <w:t xml:space="preserve">Nagmetov kundër Rusisë </w:t>
      </w:r>
      <w:r w:rsidRPr="00AF1BD6">
        <w:rPr>
          <w:rFonts w:ascii="Garamond" w:hAnsi="Garamond" w:cs="Times New Roman"/>
          <w:color w:val="000000"/>
          <w:sz w:val="24"/>
          <w:szCs w:val="24"/>
        </w:rPr>
        <w:t xml:space="preserve">[DHM], nr. 35589/08, § 66, 30 </w:t>
      </w:r>
      <w:r w:rsidR="00B03C2F" w:rsidRPr="00AF1BD6">
        <w:rPr>
          <w:rFonts w:ascii="Garamond" w:hAnsi="Garamond" w:cs="Times New Roman"/>
          <w:color w:val="000000"/>
          <w:sz w:val="24"/>
          <w:szCs w:val="24"/>
        </w:rPr>
        <w:t xml:space="preserve">mars </w:t>
      </w:r>
      <w:r w:rsidRPr="00AF1BD6">
        <w:rPr>
          <w:rFonts w:ascii="Garamond" w:hAnsi="Garamond" w:cs="Times New Roman"/>
          <w:color w:val="000000"/>
          <w:sz w:val="24"/>
          <w:szCs w:val="24"/>
        </w:rPr>
        <w:t xml:space="preserve">2017, dhe </w:t>
      </w:r>
      <w:r w:rsidRPr="00AF1BD6">
        <w:rPr>
          <w:rFonts w:ascii="Garamond" w:hAnsi="Garamond" w:cs="Times New Roman"/>
          <w:i/>
          <w:iCs/>
          <w:color w:val="000000"/>
          <w:sz w:val="24"/>
          <w:szCs w:val="24"/>
        </w:rPr>
        <w:t>Tërshana kundër Shqipërisë</w:t>
      </w:r>
      <w:r w:rsidRPr="00AF1BD6">
        <w:rPr>
          <w:rFonts w:ascii="Garamond" w:hAnsi="Garamond" w:cs="Times New Roman"/>
          <w:color w:val="000000"/>
          <w:sz w:val="24"/>
          <w:szCs w:val="24"/>
        </w:rPr>
        <w:t xml:space="preserve">, nr. 48756/14, § 176, 4 </w:t>
      </w:r>
      <w:r w:rsidR="00902AE7" w:rsidRPr="00AF1BD6">
        <w:rPr>
          <w:rFonts w:ascii="Garamond" w:hAnsi="Garamond" w:cs="Times New Roman"/>
          <w:color w:val="000000"/>
          <w:sz w:val="24"/>
          <w:szCs w:val="24"/>
        </w:rPr>
        <w:t xml:space="preserve">gusht </w:t>
      </w:r>
      <w:r w:rsidRPr="00AF1BD6">
        <w:rPr>
          <w:rFonts w:ascii="Garamond" w:hAnsi="Garamond" w:cs="Times New Roman"/>
          <w:color w:val="000000"/>
          <w:sz w:val="24"/>
          <w:szCs w:val="24"/>
        </w:rPr>
        <w:t xml:space="preserve">2020). Gjykata i akordon kërkuesit të dytë 4,500 euro për dëmin jopasuror, plus çdo taksë që mund të ishte e tarifueshme. </w:t>
      </w:r>
    </w:p>
    <w:p w14:paraId="4E2A76AF" w14:textId="06BA6E6F"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b/>
          <w:bCs/>
          <w:color w:val="000000"/>
          <w:sz w:val="24"/>
          <w:szCs w:val="24"/>
        </w:rPr>
        <w:t>B.</w:t>
      </w:r>
      <w:r w:rsidR="00C46B88" w:rsidRPr="00AF1BD6">
        <w:rPr>
          <w:rFonts w:ascii="Garamond" w:hAnsi="Garamond" w:cs="Times New Roman"/>
          <w:b/>
          <w:bCs/>
          <w:color w:val="000000"/>
          <w:sz w:val="24"/>
          <w:szCs w:val="24"/>
        </w:rPr>
        <w:t xml:space="preserve"> </w:t>
      </w:r>
      <w:r w:rsidRPr="00AF1BD6">
        <w:rPr>
          <w:rFonts w:ascii="Garamond" w:hAnsi="Garamond" w:cs="Times New Roman"/>
          <w:b/>
          <w:bCs/>
          <w:color w:val="000000"/>
          <w:sz w:val="24"/>
          <w:szCs w:val="24"/>
        </w:rPr>
        <w:t xml:space="preserve">Kostot dhe shpenzimet </w:t>
      </w:r>
    </w:p>
    <w:p w14:paraId="073C2531" w14:textId="2A72421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86.</w:t>
      </w:r>
      <w:r w:rsidR="00AF1BD6"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Kërkuesi i dytë, së bashku me kërkuesen e parë, kërkuan 57,608 euro për kostot dhe shpenzimet e bëra për çështjen pranë Gjykatës (shih paragrafët 34, 45, 72 dhe 80 më sipër) dhe për depozitimin e parashtrimeve të mëtejshme (shih paragrafët 78</w:t>
      </w:r>
      <w:r w:rsidR="00377C74">
        <w:rPr>
          <w:rFonts w:ascii="Garamond" w:hAnsi="Garamond" w:cs="Times New Roman"/>
          <w:color w:val="000000"/>
          <w:sz w:val="24"/>
          <w:szCs w:val="24"/>
        </w:rPr>
        <w:t>–</w:t>
      </w:r>
      <w:r w:rsidRPr="00AF1BD6">
        <w:rPr>
          <w:rFonts w:ascii="Garamond" w:hAnsi="Garamond" w:cs="Times New Roman"/>
          <w:color w:val="000000"/>
          <w:sz w:val="24"/>
          <w:szCs w:val="24"/>
        </w:rPr>
        <w:t xml:space="preserve">79 dhe 81 më sipër). </w:t>
      </w:r>
    </w:p>
    <w:p w14:paraId="296B887E" w14:textId="15E669F6"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87.</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Qeveria e kundërshtoi pretendimin. </w:t>
      </w:r>
    </w:p>
    <w:p w14:paraId="1D600C63" w14:textId="4722EF92"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88.</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Një kërkues ka të drejtën të rimbursohet për kostot dhe shpenzimet vetëm për aq sa është provuar se këto kosto dhe shpenzime janë bërë në të vërtetë dhe kanë qenë të nevojshme dhe janë të arsyeshme për kuantin. Janë marrë në konsideratë dokumentet në zotërimin e saj dhe kriteret e mësipërme, dhe për aq sa pretendimi është i lidhur me një ankesë të pranueshme që ka të bëjë me konstatimin e një shkelje për kërkuesin e dytë (shih </w:t>
      </w:r>
      <w:r w:rsidRPr="00AF1BD6">
        <w:rPr>
          <w:rFonts w:ascii="Garamond" w:hAnsi="Garamond" w:cs="Times New Roman"/>
          <w:i/>
          <w:iCs/>
          <w:color w:val="000000"/>
          <w:sz w:val="24"/>
          <w:szCs w:val="24"/>
        </w:rPr>
        <w:t>Bici kundër Shqipërisë</w:t>
      </w:r>
      <w:r w:rsidRPr="00AF1BD6">
        <w:rPr>
          <w:rFonts w:ascii="Garamond" w:hAnsi="Garamond" w:cs="Times New Roman"/>
          <w:color w:val="000000"/>
          <w:sz w:val="24"/>
          <w:szCs w:val="24"/>
        </w:rPr>
        <w:t xml:space="preserve">, nr. 5250/07, § 59, 3 </w:t>
      </w:r>
      <w:r w:rsidR="00377C74" w:rsidRPr="00AF1BD6">
        <w:rPr>
          <w:rFonts w:ascii="Garamond" w:hAnsi="Garamond" w:cs="Times New Roman"/>
          <w:color w:val="000000"/>
          <w:sz w:val="24"/>
          <w:szCs w:val="24"/>
        </w:rPr>
        <w:t xml:space="preserve">dhjetor </w:t>
      </w:r>
      <w:r w:rsidRPr="00AF1BD6">
        <w:rPr>
          <w:rFonts w:ascii="Garamond" w:hAnsi="Garamond" w:cs="Times New Roman"/>
          <w:color w:val="000000"/>
          <w:sz w:val="24"/>
          <w:szCs w:val="24"/>
        </w:rPr>
        <w:t xml:space="preserve">2015), Gjykata e vlerëson të arsyeshme që t’i akordojë 3,000 euro, plus çdo taksë që mund t’i tarifohet atij. </w:t>
      </w:r>
    </w:p>
    <w:p w14:paraId="7A7A3209"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PËR KËTO ARSYE, GJYKATA:</w:t>
      </w:r>
    </w:p>
    <w:p w14:paraId="3D80C0A3" w14:textId="1420843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 </w:t>
      </w:r>
      <w:r w:rsidRPr="00AF1BD6">
        <w:rPr>
          <w:rFonts w:ascii="Garamond" w:hAnsi="Garamond" w:cs="Times New Roman"/>
          <w:i/>
          <w:iCs/>
          <w:color w:val="000000"/>
          <w:sz w:val="24"/>
          <w:szCs w:val="24"/>
        </w:rPr>
        <w:t>1.</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E deklaron</w:t>
      </w:r>
      <w:r w:rsidRPr="00AF1BD6">
        <w:rPr>
          <w:rFonts w:ascii="Garamond" w:hAnsi="Garamond" w:cs="Times New Roman"/>
          <w:color w:val="000000"/>
          <w:sz w:val="24"/>
          <w:szCs w:val="24"/>
        </w:rPr>
        <w:t xml:space="preserve">, unanimisht, të pranueshme ankesën e kërkuesit të dytë në lidhje me pezullimin e tij nga detyra në mbështetje të </w:t>
      </w:r>
      <w:r w:rsidR="00377C74"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8 të Konventës; </w:t>
      </w:r>
    </w:p>
    <w:p w14:paraId="0F6AF41A" w14:textId="2DAFE19E"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i/>
          <w:iCs/>
          <w:color w:val="000000"/>
          <w:sz w:val="24"/>
          <w:szCs w:val="24"/>
        </w:rPr>
        <w:t>2.</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I deklaron</w:t>
      </w:r>
      <w:r w:rsidRPr="00AF1BD6">
        <w:rPr>
          <w:rFonts w:ascii="Garamond" w:hAnsi="Garamond" w:cs="Times New Roman"/>
          <w:color w:val="000000"/>
          <w:sz w:val="24"/>
          <w:szCs w:val="24"/>
        </w:rPr>
        <w:t xml:space="preserve">, me shumicë, të papranueshme ankesat e kërkueses së parë në mbështetje të </w:t>
      </w:r>
      <w:r w:rsidR="00377C74" w:rsidRPr="00AF1BD6">
        <w:rPr>
          <w:rFonts w:ascii="Garamond" w:hAnsi="Garamond" w:cs="Times New Roman"/>
          <w:color w:val="000000"/>
          <w:sz w:val="24"/>
          <w:szCs w:val="24"/>
        </w:rPr>
        <w:t>n</w:t>
      </w:r>
      <w:r w:rsidRPr="00AF1BD6">
        <w:rPr>
          <w:rFonts w:ascii="Garamond" w:hAnsi="Garamond" w:cs="Times New Roman"/>
          <w:color w:val="000000"/>
          <w:sz w:val="24"/>
          <w:szCs w:val="24"/>
        </w:rPr>
        <w:t xml:space="preserve">enit 8 dhe 13, dhe ankesat e të dy kërkuesve në mbështetje të </w:t>
      </w:r>
      <w:r w:rsidR="00377C74" w:rsidRPr="00AF1BD6">
        <w:rPr>
          <w:rFonts w:ascii="Garamond" w:hAnsi="Garamond" w:cs="Times New Roman"/>
          <w:color w:val="000000"/>
          <w:sz w:val="24"/>
          <w:szCs w:val="24"/>
        </w:rPr>
        <w:t>n</w:t>
      </w:r>
      <w:r w:rsidRPr="00AF1BD6">
        <w:rPr>
          <w:rFonts w:ascii="Garamond" w:hAnsi="Garamond" w:cs="Times New Roman"/>
          <w:color w:val="000000"/>
          <w:sz w:val="24"/>
          <w:szCs w:val="24"/>
        </w:rPr>
        <w:t xml:space="preserve">eneve 6 dhe 18 të Konventës; </w:t>
      </w:r>
    </w:p>
    <w:p w14:paraId="1523367B" w14:textId="77B9CAF0"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i/>
          <w:iCs/>
          <w:color w:val="000000"/>
          <w:sz w:val="24"/>
          <w:szCs w:val="24"/>
        </w:rPr>
        <w:t>3.</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 xml:space="preserve">Gjykon, </w:t>
      </w:r>
      <w:r w:rsidRPr="00AF1BD6">
        <w:rPr>
          <w:rFonts w:ascii="Garamond" w:hAnsi="Garamond" w:cs="Times New Roman"/>
          <w:color w:val="000000"/>
          <w:sz w:val="24"/>
          <w:szCs w:val="24"/>
        </w:rPr>
        <w:t xml:space="preserve">unanimisht, se është shkelur </w:t>
      </w:r>
      <w:r w:rsidR="00377C74" w:rsidRPr="00AF1BD6">
        <w:rPr>
          <w:rFonts w:ascii="Garamond" w:hAnsi="Garamond" w:cs="Times New Roman"/>
          <w:color w:val="000000"/>
          <w:sz w:val="24"/>
          <w:szCs w:val="24"/>
        </w:rPr>
        <w:t>n</w:t>
      </w:r>
      <w:r w:rsidRPr="00AF1BD6">
        <w:rPr>
          <w:rFonts w:ascii="Garamond" w:hAnsi="Garamond" w:cs="Times New Roman"/>
          <w:color w:val="000000"/>
          <w:sz w:val="24"/>
          <w:szCs w:val="24"/>
        </w:rPr>
        <w:t xml:space="preserve">eni 8 i Konventës për kërkuesin e dytë; </w:t>
      </w:r>
    </w:p>
    <w:p w14:paraId="02EDC688" w14:textId="03F46F53"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i/>
          <w:iCs/>
          <w:color w:val="000000"/>
          <w:sz w:val="24"/>
          <w:szCs w:val="24"/>
        </w:rPr>
        <w:t>4.</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 xml:space="preserve">Gjykon, </w:t>
      </w:r>
      <w:r w:rsidRPr="00AF1BD6">
        <w:rPr>
          <w:rFonts w:ascii="Garamond" w:hAnsi="Garamond" w:cs="Times New Roman"/>
          <w:color w:val="000000"/>
          <w:sz w:val="24"/>
          <w:szCs w:val="24"/>
        </w:rPr>
        <w:t xml:space="preserve">me gjashtë vota pro dhe një kundër, se Shteti përgjegjës ka përmbushur detyrimin e tij në mbështetje të </w:t>
      </w:r>
      <w:r w:rsidR="00377C74"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38 të Konventës; </w:t>
      </w:r>
    </w:p>
    <w:p w14:paraId="76E60B92" w14:textId="5BEA751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i/>
          <w:iCs/>
          <w:color w:val="000000"/>
          <w:sz w:val="24"/>
          <w:szCs w:val="24"/>
        </w:rPr>
        <w:t>5.</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Gjykon</w:t>
      </w:r>
      <w:r w:rsidRPr="00AF1BD6">
        <w:rPr>
          <w:rFonts w:ascii="Garamond" w:hAnsi="Garamond" w:cs="Times New Roman"/>
          <w:color w:val="000000"/>
          <w:sz w:val="24"/>
          <w:szCs w:val="24"/>
        </w:rPr>
        <w:t xml:space="preserve">, me gjashtë vota pro dhe një kundër, se nuk është e nevojshme të shqyrtojë ankesën e kërkuesit të dytë në mbështetje të </w:t>
      </w:r>
      <w:r w:rsidR="00377C74" w:rsidRPr="00AF1BD6">
        <w:rPr>
          <w:rFonts w:ascii="Garamond" w:hAnsi="Garamond" w:cs="Times New Roman"/>
          <w:color w:val="000000"/>
          <w:sz w:val="24"/>
          <w:szCs w:val="24"/>
        </w:rPr>
        <w:t xml:space="preserve">nenit </w:t>
      </w:r>
      <w:r w:rsidRPr="00AF1BD6">
        <w:rPr>
          <w:rFonts w:ascii="Garamond" w:hAnsi="Garamond" w:cs="Times New Roman"/>
          <w:color w:val="000000"/>
          <w:sz w:val="24"/>
          <w:szCs w:val="24"/>
        </w:rPr>
        <w:t xml:space="preserve">13 të Konventës dhe parashtrimet shtesë të kërkuesve; </w:t>
      </w:r>
    </w:p>
    <w:p w14:paraId="7256DAC5" w14:textId="4085CC0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i/>
          <w:iCs/>
          <w:color w:val="000000"/>
          <w:sz w:val="24"/>
          <w:szCs w:val="24"/>
        </w:rPr>
        <w:t>6.</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Gjykon</w:t>
      </w:r>
      <w:r w:rsidRPr="00AF1BD6">
        <w:rPr>
          <w:rFonts w:ascii="Garamond" w:hAnsi="Garamond" w:cs="Times New Roman"/>
          <w:color w:val="000000"/>
          <w:sz w:val="24"/>
          <w:szCs w:val="24"/>
        </w:rPr>
        <w:t xml:space="preserve">, në mënyrë unanime, </w:t>
      </w:r>
    </w:p>
    <w:p w14:paraId="0913BCB8" w14:textId="69E685D0"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a)</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se Shteti përgjegjës duhet t’i paguajë kërkuesit të dytë, brenda tre muajve nga data në të cilën vendimi bëhet i formës së prerë në përputhje me </w:t>
      </w:r>
      <w:r w:rsidR="00377C74"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44 § 2 të Konventës, shumat e mëposhtme, që do të konvertohen në monedhën e Shtetit përgjegjës në normën e zbatueshme në datën e shlyerjes: </w:t>
      </w:r>
    </w:p>
    <w:p w14:paraId="553B89C7" w14:textId="4BA8726D"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i</w:t>
      </w:r>
      <w:r w:rsidR="00377C74">
        <w:rPr>
          <w:rFonts w:ascii="Garamond" w:hAnsi="Garamond" w:cs="Times New Roman"/>
          <w:color w:val="000000"/>
          <w:sz w:val="24"/>
          <w:szCs w:val="24"/>
        </w:rPr>
        <w:t>.</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4,500 euro (katër mijë e pesëqind euro) plus çdo taksë që mund të jetë e tarifueshme, për dëmin j pasuror; </w:t>
      </w:r>
    </w:p>
    <w:p w14:paraId="68217434" w14:textId="77B4661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ii</w:t>
      </w:r>
      <w:r w:rsidR="00377C74">
        <w:rPr>
          <w:rFonts w:ascii="Garamond" w:hAnsi="Garamond" w:cs="Times New Roman"/>
          <w:color w:val="000000"/>
          <w:sz w:val="24"/>
          <w:szCs w:val="24"/>
        </w:rPr>
        <w:t>.</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3,000 euro (tre mijë euro) plus çdo taksë që mund t’i tarifohet kërkuesit të dytë, për kostot dhe shpenzimet; </w:t>
      </w:r>
    </w:p>
    <w:p w14:paraId="6673D1B8" w14:textId="6D6B0515"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b)</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se nga përfundimi i afatit tremujor përmendur më sipër deri në shlyerje, për shumat e mësipërme do të paguhet interes i thjeshtë në normën e barasvlershme me normën margjinale huadhënëse të Bankës Qendrore Evropiane gjatë periudhës së mospagimit plus tre për qind pikë; </w:t>
      </w:r>
    </w:p>
    <w:p w14:paraId="04417017" w14:textId="183A8EBA"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i/>
          <w:iCs/>
          <w:color w:val="000000"/>
          <w:sz w:val="24"/>
          <w:szCs w:val="24"/>
        </w:rPr>
        <w:t>c)</w:t>
      </w:r>
      <w:r w:rsidR="00C46B88" w:rsidRPr="00AF1BD6">
        <w:rPr>
          <w:rFonts w:ascii="Garamond" w:hAnsi="Garamond" w:cs="Times New Roman"/>
          <w:i/>
          <w:iCs/>
          <w:color w:val="000000"/>
          <w:sz w:val="24"/>
          <w:szCs w:val="24"/>
        </w:rPr>
        <w:t xml:space="preserve"> </w:t>
      </w:r>
      <w:r w:rsidRPr="00AF1BD6">
        <w:rPr>
          <w:rFonts w:ascii="Garamond" w:hAnsi="Garamond" w:cs="Times New Roman"/>
          <w:i/>
          <w:iCs/>
          <w:color w:val="000000"/>
          <w:sz w:val="24"/>
          <w:szCs w:val="24"/>
        </w:rPr>
        <w:t xml:space="preserve">Rrëzon, </w:t>
      </w:r>
      <w:r w:rsidRPr="00AF1BD6">
        <w:rPr>
          <w:rFonts w:ascii="Garamond" w:hAnsi="Garamond" w:cs="Times New Roman"/>
          <w:color w:val="000000"/>
          <w:sz w:val="24"/>
          <w:szCs w:val="24"/>
        </w:rPr>
        <w:t>me gjashtë vota pro dhe një kundër, pjesën tjetër të kërkesës për shpërblim të drejtë.</w:t>
      </w:r>
    </w:p>
    <w:p w14:paraId="0D28D796" w14:textId="350767A1"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Hartuar në anglisht dhe njoftuar</w:t>
      </w:r>
      <w:r w:rsidR="00AF1BD6"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me shkrim më 4 </w:t>
      </w:r>
      <w:r w:rsidR="00E02E0E" w:rsidRPr="00AF1BD6">
        <w:rPr>
          <w:rFonts w:ascii="Garamond" w:hAnsi="Garamond" w:cs="Times New Roman"/>
          <w:color w:val="000000"/>
          <w:sz w:val="24"/>
          <w:szCs w:val="24"/>
        </w:rPr>
        <w:t xml:space="preserve">prill </w:t>
      </w:r>
      <w:r w:rsidRPr="00AF1BD6">
        <w:rPr>
          <w:rFonts w:ascii="Garamond" w:hAnsi="Garamond" w:cs="Times New Roman"/>
          <w:color w:val="000000"/>
          <w:sz w:val="24"/>
          <w:szCs w:val="24"/>
        </w:rPr>
        <w:t xml:space="preserve">2023, sipas </w:t>
      </w:r>
      <w:r w:rsidR="00E02E0E" w:rsidRPr="00AF1BD6">
        <w:rPr>
          <w:rFonts w:ascii="Garamond" w:hAnsi="Garamond" w:cs="Times New Roman"/>
          <w:color w:val="000000"/>
          <w:sz w:val="24"/>
          <w:szCs w:val="24"/>
        </w:rPr>
        <w:t xml:space="preserve">rregullit </w:t>
      </w:r>
      <w:r w:rsidRPr="00AF1BD6">
        <w:rPr>
          <w:rFonts w:ascii="Garamond" w:hAnsi="Garamond" w:cs="Times New Roman"/>
          <w:color w:val="000000"/>
          <w:sz w:val="24"/>
          <w:szCs w:val="24"/>
        </w:rPr>
        <w:t xml:space="preserve">77 §§ 2 dhe 3 të Rregullores së Gjykatës. </w:t>
      </w:r>
    </w:p>
    <w:p w14:paraId="72E360A4"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p>
    <w:p w14:paraId="17FF7AE7" w14:textId="1887FA35" w:rsidR="00D07213" w:rsidRPr="00AF1BD6" w:rsidRDefault="00F636A6"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MILAN BLAŠKO PERE PASTOR VILANOVA</w:t>
      </w:r>
    </w:p>
    <w:p w14:paraId="3F1AA531" w14:textId="39F6219F" w:rsidR="00D07213" w:rsidRPr="00F636A6" w:rsidRDefault="00D07213" w:rsidP="00C46B88">
      <w:pPr>
        <w:autoSpaceDE w:val="0"/>
        <w:autoSpaceDN w:val="0"/>
        <w:adjustRightInd w:val="0"/>
        <w:spacing w:after="0" w:line="240" w:lineRule="auto"/>
        <w:ind w:firstLine="284"/>
        <w:jc w:val="both"/>
        <w:rPr>
          <w:rFonts w:ascii="Garamond" w:hAnsi="Garamond" w:cs="Times New Roman"/>
          <w:b/>
          <w:color w:val="000000"/>
          <w:sz w:val="24"/>
          <w:szCs w:val="24"/>
        </w:rPr>
      </w:pPr>
      <w:r w:rsidRPr="00F636A6">
        <w:rPr>
          <w:rFonts w:ascii="Garamond" w:hAnsi="Garamond" w:cs="Times New Roman"/>
          <w:b/>
          <w:color w:val="000000"/>
          <w:sz w:val="24"/>
          <w:szCs w:val="24"/>
        </w:rPr>
        <w:t>Regjistrar</w:t>
      </w:r>
      <w:r w:rsidR="00AF1BD6" w:rsidRPr="00F636A6">
        <w:rPr>
          <w:rFonts w:ascii="Garamond" w:hAnsi="Garamond" w:cs="Times New Roman"/>
          <w:b/>
          <w:color w:val="000000"/>
          <w:sz w:val="24"/>
          <w:szCs w:val="24"/>
        </w:rPr>
        <w:t xml:space="preserve"> </w:t>
      </w:r>
      <w:r w:rsidRPr="00F636A6">
        <w:rPr>
          <w:rFonts w:ascii="Garamond" w:hAnsi="Garamond" w:cs="Times New Roman"/>
          <w:b/>
          <w:color w:val="000000"/>
          <w:sz w:val="24"/>
          <w:szCs w:val="24"/>
        </w:rPr>
        <w:t xml:space="preserve">Kryetar </w:t>
      </w:r>
    </w:p>
    <w:p w14:paraId="4455558D"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p>
    <w:p w14:paraId="130867E2" w14:textId="7AC54350"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 xml:space="preserve">Në përputhje me </w:t>
      </w:r>
      <w:r w:rsidR="00F636A6"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 xml:space="preserve">45 § 2 të Konventës dhe Rregullit 74 § 2 të Rregullores së Gjykatës, opinioni i ndarë i Gjyqtarit Serghides paraqitet në një shtojcë në këtë vendim. </w:t>
      </w:r>
    </w:p>
    <w:p w14:paraId="44861527" w14:textId="6B3C35CB"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P.P.V</w:t>
      </w:r>
    </w:p>
    <w:p w14:paraId="66E66104" w14:textId="7FE88A8E"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M.B</w:t>
      </w:r>
    </w:p>
    <w:p w14:paraId="0CBCAC74" w14:textId="77777777" w:rsidR="00AF1BD6" w:rsidRPr="00AF1BD6" w:rsidRDefault="00AF1BD6" w:rsidP="00C46B88">
      <w:pPr>
        <w:autoSpaceDE w:val="0"/>
        <w:autoSpaceDN w:val="0"/>
        <w:adjustRightInd w:val="0"/>
        <w:spacing w:after="0" w:line="240" w:lineRule="auto"/>
        <w:ind w:firstLine="284"/>
        <w:jc w:val="both"/>
        <w:rPr>
          <w:rFonts w:ascii="Garamond" w:hAnsi="Garamond" w:cs="Times New Roman"/>
          <w:color w:val="000000"/>
          <w:sz w:val="24"/>
          <w:szCs w:val="24"/>
        </w:rPr>
      </w:pPr>
    </w:p>
    <w:p w14:paraId="7BF52052" w14:textId="1AE2E01E"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OPINIONI PJESËRISHT KUNDËRSHTUES I GJYQTARIT SERGHIDES</w:t>
      </w:r>
    </w:p>
    <w:p w14:paraId="607C84F3" w14:textId="719E81C8"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1.</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Unë jam dakord me pikën 1 të masave operative të vendimit ku gjykohet se ankesa e kërkuesit të dytë bërë në përputhje me </w:t>
      </w:r>
      <w:r w:rsidR="00E02E0E" w:rsidRPr="00AF1BD6">
        <w:rPr>
          <w:rFonts w:ascii="Garamond" w:hAnsi="Garamond" w:cs="Times New Roman"/>
          <w:color w:val="000000"/>
          <w:sz w:val="24"/>
          <w:szCs w:val="24"/>
        </w:rPr>
        <w:t xml:space="preserve">nenin </w:t>
      </w:r>
      <w:r w:rsidRPr="00AF1BD6">
        <w:rPr>
          <w:rFonts w:ascii="Garamond" w:hAnsi="Garamond" w:cs="Times New Roman"/>
          <w:color w:val="000000"/>
          <w:sz w:val="24"/>
          <w:szCs w:val="24"/>
        </w:rPr>
        <w:t>8 të Konventës</w:t>
      </w:r>
      <w:r w:rsidR="00F158DF">
        <w:rPr>
          <w:rFonts w:ascii="Garamond" w:hAnsi="Garamond" w:cs="Times New Roman"/>
          <w:color w:val="000000"/>
          <w:sz w:val="24"/>
          <w:szCs w:val="24"/>
        </w:rPr>
        <w:t>,</w:t>
      </w:r>
      <w:r w:rsidRPr="00AF1BD6">
        <w:rPr>
          <w:rFonts w:ascii="Garamond" w:hAnsi="Garamond" w:cs="Times New Roman"/>
          <w:color w:val="000000"/>
          <w:sz w:val="24"/>
          <w:szCs w:val="24"/>
        </w:rPr>
        <w:t xml:space="preserve"> në lidhje me pezullimin e tij nga detyra është e pranueshme</w:t>
      </w:r>
      <w:r w:rsidR="00F158DF">
        <w:rPr>
          <w:rFonts w:ascii="Garamond" w:hAnsi="Garamond" w:cs="Times New Roman"/>
          <w:color w:val="000000"/>
          <w:sz w:val="24"/>
          <w:szCs w:val="24"/>
        </w:rPr>
        <w:t xml:space="preserve"> </w:t>
      </w:r>
      <w:r w:rsidRPr="00AF1BD6">
        <w:rPr>
          <w:rFonts w:ascii="Garamond" w:hAnsi="Garamond" w:cs="Times New Roman"/>
          <w:color w:val="000000"/>
          <w:sz w:val="24"/>
          <w:szCs w:val="24"/>
        </w:rPr>
        <w:t>dhe</w:t>
      </w:r>
      <w:r w:rsidR="00F158DF">
        <w:rPr>
          <w:rFonts w:ascii="Garamond" w:hAnsi="Garamond" w:cs="Times New Roman"/>
          <w:color w:val="000000"/>
          <w:sz w:val="24"/>
          <w:szCs w:val="24"/>
        </w:rPr>
        <w:t>,</w:t>
      </w:r>
      <w:r w:rsidRPr="00AF1BD6">
        <w:rPr>
          <w:rFonts w:ascii="Garamond" w:hAnsi="Garamond" w:cs="Times New Roman"/>
          <w:color w:val="000000"/>
          <w:sz w:val="24"/>
          <w:szCs w:val="24"/>
        </w:rPr>
        <w:t xml:space="preserve"> gjithashtu, jam dakord me pikën 3 të</w:t>
      </w:r>
      <w:r w:rsidR="00AF1BD6"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masave operative për faktin se është shkelur </w:t>
      </w:r>
      <w:r w:rsidR="00F158DF" w:rsidRPr="00AF1BD6">
        <w:rPr>
          <w:rFonts w:ascii="Garamond" w:hAnsi="Garamond" w:cs="Times New Roman"/>
          <w:color w:val="000000"/>
          <w:sz w:val="24"/>
          <w:szCs w:val="24"/>
        </w:rPr>
        <w:t xml:space="preserve">neni </w:t>
      </w:r>
      <w:r w:rsidRPr="00AF1BD6">
        <w:rPr>
          <w:rFonts w:ascii="Garamond" w:hAnsi="Garamond" w:cs="Times New Roman"/>
          <w:color w:val="000000"/>
          <w:sz w:val="24"/>
          <w:szCs w:val="24"/>
        </w:rPr>
        <w:t xml:space="preserve">8 i Konventës për pezullimin nga detyra të kërkuesit të dytë. Gjithashtu, jam dakord me paragrafin 6 të masave operative në lidhje me akordimet për dëmin jopasuror dhe kostot dhe shpenzimet. </w:t>
      </w:r>
    </w:p>
    <w:p w14:paraId="2405496D" w14:textId="0BC67C79"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2.</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Megjithatë, unë nuk jam dakord me paragrafin 2 të masave operative të vendimit ku gjykohet se ankesat e kërkueses së parë bërë në mbështetje të </w:t>
      </w:r>
      <w:r w:rsidR="00F158DF" w:rsidRPr="00AF1BD6">
        <w:rPr>
          <w:rFonts w:ascii="Garamond" w:hAnsi="Garamond" w:cs="Times New Roman"/>
          <w:color w:val="000000"/>
          <w:sz w:val="24"/>
          <w:szCs w:val="24"/>
        </w:rPr>
        <w:t xml:space="preserve">neneve </w:t>
      </w:r>
      <w:r w:rsidRPr="00AF1BD6">
        <w:rPr>
          <w:rFonts w:ascii="Garamond" w:hAnsi="Garamond" w:cs="Times New Roman"/>
          <w:color w:val="000000"/>
          <w:sz w:val="24"/>
          <w:szCs w:val="24"/>
        </w:rPr>
        <w:t xml:space="preserve">8 dhe 13, dhe ankesat e të dy kërkuesve bërë në mbështetje të </w:t>
      </w:r>
      <w:r w:rsidR="00F158DF" w:rsidRPr="00AF1BD6">
        <w:rPr>
          <w:rFonts w:ascii="Garamond" w:hAnsi="Garamond" w:cs="Times New Roman"/>
          <w:color w:val="000000"/>
          <w:sz w:val="24"/>
          <w:szCs w:val="24"/>
        </w:rPr>
        <w:t xml:space="preserve">neneve </w:t>
      </w:r>
      <w:r w:rsidRPr="00AF1BD6">
        <w:rPr>
          <w:rFonts w:ascii="Garamond" w:hAnsi="Garamond" w:cs="Times New Roman"/>
          <w:color w:val="000000"/>
          <w:sz w:val="24"/>
          <w:szCs w:val="24"/>
        </w:rPr>
        <w:t xml:space="preserve">6 dhe 18 të Konventës, janë të papranueshme. Gjithashtu, unë nuk jam dakord me paragrafët 4, 5 dhe 7 të masave operative të vendimit. </w:t>
      </w:r>
    </w:p>
    <w:p w14:paraId="79DEAAB1" w14:textId="1EACA26B"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r w:rsidRPr="00AF1BD6">
        <w:rPr>
          <w:rFonts w:ascii="Garamond" w:hAnsi="Garamond" w:cs="Times New Roman"/>
          <w:color w:val="000000"/>
          <w:sz w:val="24"/>
          <w:szCs w:val="24"/>
        </w:rPr>
        <w:t>3.</w:t>
      </w:r>
      <w:r w:rsidR="00C46B88" w:rsidRPr="00AF1BD6">
        <w:rPr>
          <w:rFonts w:ascii="Garamond" w:hAnsi="Garamond" w:cs="Times New Roman"/>
          <w:color w:val="000000"/>
          <w:sz w:val="24"/>
          <w:szCs w:val="24"/>
        </w:rPr>
        <w:t xml:space="preserve"> </w:t>
      </w:r>
      <w:r w:rsidRPr="00AF1BD6">
        <w:rPr>
          <w:rFonts w:ascii="Garamond" w:hAnsi="Garamond" w:cs="Times New Roman"/>
          <w:color w:val="000000"/>
          <w:sz w:val="24"/>
          <w:szCs w:val="24"/>
        </w:rPr>
        <w:t xml:space="preserve">Në lidhje me paragrafët 2, 4, 5 dhe 7 të masave operative të vendimit, në vend që të jap një opinion të veçantë të plotë apo të votoj në mënyrë anonime ndaj atyre paragrafëve, kam zgjedhur të bashkëlidh këtë “deklaratë të thjeshtë kundërshtuese”, një deklaratë e thjeshtë mosdakordësimi me një pjesë të vendimit, një nga mënyrat e të shprehurit të kundërshtimit të cilën gjyqtarët kanë të drejtë ta përdorin në mbështetje të Rregullit 74 § 2 të Rregullores së Gjykatës. </w:t>
      </w:r>
    </w:p>
    <w:p w14:paraId="6E474F2B" w14:textId="77777777" w:rsidR="00D07213" w:rsidRPr="00AF1BD6" w:rsidRDefault="00D07213" w:rsidP="00C46B88">
      <w:pPr>
        <w:autoSpaceDE w:val="0"/>
        <w:autoSpaceDN w:val="0"/>
        <w:adjustRightInd w:val="0"/>
        <w:spacing w:after="0" w:line="240" w:lineRule="auto"/>
        <w:ind w:firstLine="284"/>
        <w:jc w:val="both"/>
        <w:rPr>
          <w:rFonts w:ascii="Garamond" w:hAnsi="Garamond" w:cs="Times New Roman"/>
          <w:color w:val="000000"/>
          <w:sz w:val="24"/>
          <w:szCs w:val="24"/>
        </w:rPr>
      </w:pPr>
    </w:p>
    <w:p w14:paraId="40B52307" w14:textId="77777777" w:rsidR="00B56218" w:rsidRPr="00AF1BD6" w:rsidRDefault="00B56218" w:rsidP="00C46B88">
      <w:pPr>
        <w:spacing w:after="0" w:line="240" w:lineRule="auto"/>
        <w:ind w:firstLine="284"/>
        <w:rPr>
          <w:rFonts w:ascii="Garamond" w:hAnsi="Garamond"/>
          <w:sz w:val="24"/>
          <w:szCs w:val="24"/>
        </w:rPr>
      </w:pPr>
    </w:p>
    <w:sectPr w:rsidR="00B56218" w:rsidRPr="00AF1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inux Libertine G">
    <w:altName w:val="Cambria"/>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2745"/>
    <w:rsid w:val="00031098"/>
    <w:rsid w:val="00035A69"/>
    <w:rsid w:val="000427A6"/>
    <w:rsid w:val="000458EB"/>
    <w:rsid w:val="0006026E"/>
    <w:rsid w:val="00066B42"/>
    <w:rsid w:val="00067E1F"/>
    <w:rsid w:val="0007565C"/>
    <w:rsid w:val="00075D23"/>
    <w:rsid w:val="00081238"/>
    <w:rsid w:val="00090D05"/>
    <w:rsid w:val="0009171B"/>
    <w:rsid w:val="000956ED"/>
    <w:rsid w:val="000A3242"/>
    <w:rsid w:val="000A39B7"/>
    <w:rsid w:val="000A77D9"/>
    <w:rsid w:val="000A7BC4"/>
    <w:rsid w:val="000B1A04"/>
    <w:rsid w:val="000B4A3F"/>
    <w:rsid w:val="000C3D4A"/>
    <w:rsid w:val="000C55A5"/>
    <w:rsid w:val="000D7F01"/>
    <w:rsid w:val="000F4A1A"/>
    <w:rsid w:val="001149C8"/>
    <w:rsid w:val="00120D5D"/>
    <w:rsid w:val="00121461"/>
    <w:rsid w:val="0012538B"/>
    <w:rsid w:val="001268DB"/>
    <w:rsid w:val="0013051E"/>
    <w:rsid w:val="00135329"/>
    <w:rsid w:val="0014112D"/>
    <w:rsid w:val="00141B18"/>
    <w:rsid w:val="0014205A"/>
    <w:rsid w:val="00142C2B"/>
    <w:rsid w:val="00160647"/>
    <w:rsid w:val="00160E68"/>
    <w:rsid w:val="00167FB5"/>
    <w:rsid w:val="00175424"/>
    <w:rsid w:val="00183018"/>
    <w:rsid w:val="001845FF"/>
    <w:rsid w:val="00185AB6"/>
    <w:rsid w:val="001875E0"/>
    <w:rsid w:val="00190C3D"/>
    <w:rsid w:val="001944EB"/>
    <w:rsid w:val="0019635C"/>
    <w:rsid w:val="00197D4A"/>
    <w:rsid w:val="001A2195"/>
    <w:rsid w:val="001C0519"/>
    <w:rsid w:val="001D2ABC"/>
    <w:rsid w:val="001D2F1F"/>
    <w:rsid w:val="001D3A2F"/>
    <w:rsid w:val="001F5C53"/>
    <w:rsid w:val="0020295D"/>
    <w:rsid w:val="00204F93"/>
    <w:rsid w:val="00213728"/>
    <w:rsid w:val="002232DC"/>
    <w:rsid w:val="00226F88"/>
    <w:rsid w:val="00234715"/>
    <w:rsid w:val="0024186B"/>
    <w:rsid w:val="00252C2A"/>
    <w:rsid w:val="00254473"/>
    <w:rsid w:val="00257E0A"/>
    <w:rsid w:val="00263D3A"/>
    <w:rsid w:val="00267801"/>
    <w:rsid w:val="002821F2"/>
    <w:rsid w:val="00286AF9"/>
    <w:rsid w:val="00287FB8"/>
    <w:rsid w:val="002929DC"/>
    <w:rsid w:val="002940FC"/>
    <w:rsid w:val="002A23A7"/>
    <w:rsid w:val="002B1C09"/>
    <w:rsid w:val="002B7B82"/>
    <w:rsid w:val="002C3DC5"/>
    <w:rsid w:val="002C7879"/>
    <w:rsid w:val="002D71C7"/>
    <w:rsid w:val="002E2CDE"/>
    <w:rsid w:val="002E42C1"/>
    <w:rsid w:val="002F0DDD"/>
    <w:rsid w:val="003016B9"/>
    <w:rsid w:val="00312757"/>
    <w:rsid w:val="003346E6"/>
    <w:rsid w:val="00334BDB"/>
    <w:rsid w:val="00336C31"/>
    <w:rsid w:val="0034575A"/>
    <w:rsid w:val="00345F96"/>
    <w:rsid w:val="0034608A"/>
    <w:rsid w:val="00354F7A"/>
    <w:rsid w:val="00361A1B"/>
    <w:rsid w:val="003661C2"/>
    <w:rsid w:val="003673CA"/>
    <w:rsid w:val="00373E4A"/>
    <w:rsid w:val="00373E84"/>
    <w:rsid w:val="003742A9"/>
    <w:rsid w:val="00375DE4"/>
    <w:rsid w:val="00376CC6"/>
    <w:rsid w:val="00377C74"/>
    <w:rsid w:val="003852E7"/>
    <w:rsid w:val="00390D00"/>
    <w:rsid w:val="00393622"/>
    <w:rsid w:val="003956A3"/>
    <w:rsid w:val="00397301"/>
    <w:rsid w:val="003A0634"/>
    <w:rsid w:val="003A40CD"/>
    <w:rsid w:val="003A489E"/>
    <w:rsid w:val="003A6CF4"/>
    <w:rsid w:val="003B1B50"/>
    <w:rsid w:val="003B4312"/>
    <w:rsid w:val="003B57C7"/>
    <w:rsid w:val="003C0E48"/>
    <w:rsid w:val="003C48C0"/>
    <w:rsid w:val="003C6DE6"/>
    <w:rsid w:val="003D12F1"/>
    <w:rsid w:val="003D54AD"/>
    <w:rsid w:val="003D693A"/>
    <w:rsid w:val="003E0134"/>
    <w:rsid w:val="003E6C19"/>
    <w:rsid w:val="00410C90"/>
    <w:rsid w:val="00421355"/>
    <w:rsid w:val="00425784"/>
    <w:rsid w:val="004331ED"/>
    <w:rsid w:val="004518B7"/>
    <w:rsid w:val="00452990"/>
    <w:rsid w:val="004604CD"/>
    <w:rsid w:val="00462CFB"/>
    <w:rsid w:val="00470757"/>
    <w:rsid w:val="004840E1"/>
    <w:rsid w:val="00486681"/>
    <w:rsid w:val="00490071"/>
    <w:rsid w:val="004948FB"/>
    <w:rsid w:val="00496B72"/>
    <w:rsid w:val="00497200"/>
    <w:rsid w:val="004A2477"/>
    <w:rsid w:val="004B2FA1"/>
    <w:rsid w:val="004C0C4E"/>
    <w:rsid w:val="004C25A2"/>
    <w:rsid w:val="004C3178"/>
    <w:rsid w:val="004C691E"/>
    <w:rsid w:val="004D4267"/>
    <w:rsid w:val="004E16A3"/>
    <w:rsid w:val="004F53D3"/>
    <w:rsid w:val="00500069"/>
    <w:rsid w:val="00504AE4"/>
    <w:rsid w:val="00505829"/>
    <w:rsid w:val="00505B3A"/>
    <w:rsid w:val="00506959"/>
    <w:rsid w:val="00520F20"/>
    <w:rsid w:val="00523B5F"/>
    <w:rsid w:val="0052578A"/>
    <w:rsid w:val="005305D6"/>
    <w:rsid w:val="005471BD"/>
    <w:rsid w:val="00551CD1"/>
    <w:rsid w:val="005526EF"/>
    <w:rsid w:val="0055542F"/>
    <w:rsid w:val="00567F21"/>
    <w:rsid w:val="00571959"/>
    <w:rsid w:val="00571B80"/>
    <w:rsid w:val="0058238F"/>
    <w:rsid w:val="00592C00"/>
    <w:rsid w:val="00597694"/>
    <w:rsid w:val="005A269C"/>
    <w:rsid w:val="005B0B35"/>
    <w:rsid w:val="005B1FD9"/>
    <w:rsid w:val="005B46A4"/>
    <w:rsid w:val="005B5967"/>
    <w:rsid w:val="005B7AE1"/>
    <w:rsid w:val="005C301C"/>
    <w:rsid w:val="005D5D41"/>
    <w:rsid w:val="005E27BA"/>
    <w:rsid w:val="005F5040"/>
    <w:rsid w:val="006032E2"/>
    <w:rsid w:val="00606EFD"/>
    <w:rsid w:val="00615BAF"/>
    <w:rsid w:val="0061609B"/>
    <w:rsid w:val="00617A51"/>
    <w:rsid w:val="00623E07"/>
    <w:rsid w:val="00632A0C"/>
    <w:rsid w:val="00634113"/>
    <w:rsid w:val="00634635"/>
    <w:rsid w:val="006379E9"/>
    <w:rsid w:val="006425E0"/>
    <w:rsid w:val="00666247"/>
    <w:rsid w:val="006662BF"/>
    <w:rsid w:val="006776C5"/>
    <w:rsid w:val="00677AD4"/>
    <w:rsid w:val="00681454"/>
    <w:rsid w:val="00687BAF"/>
    <w:rsid w:val="006945EE"/>
    <w:rsid w:val="006A512D"/>
    <w:rsid w:val="006A554D"/>
    <w:rsid w:val="006B0E57"/>
    <w:rsid w:val="006C2C3D"/>
    <w:rsid w:val="006C5AF5"/>
    <w:rsid w:val="006C5CF7"/>
    <w:rsid w:val="006D77AF"/>
    <w:rsid w:val="006E6768"/>
    <w:rsid w:val="006F6F8F"/>
    <w:rsid w:val="006F76BB"/>
    <w:rsid w:val="00706CA3"/>
    <w:rsid w:val="00710CF1"/>
    <w:rsid w:val="007113FC"/>
    <w:rsid w:val="007136C7"/>
    <w:rsid w:val="0072369E"/>
    <w:rsid w:val="00723DC0"/>
    <w:rsid w:val="0073468F"/>
    <w:rsid w:val="0073621D"/>
    <w:rsid w:val="00751451"/>
    <w:rsid w:val="007700F0"/>
    <w:rsid w:val="007735DA"/>
    <w:rsid w:val="00773738"/>
    <w:rsid w:val="0077527A"/>
    <w:rsid w:val="00775B4C"/>
    <w:rsid w:val="00793D30"/>
    <w:rsid w:val="007978C7"/>
    <w:rsid w:val="007A0E53"/>
    <w:rsid w:val="007A6FEA"/>
    <w:rsid w:val="007B1688"/>
    <w:rsid w:val="007C18FB"/>
    <w:rsid w:val="007C232B"/>
    <w:rsid w:val="007C2D06"/>
    <w:rsid w:val="007D20DA"/>
    <w:rsid w:val="007D4E26"/>
    <w:rsid w:val="007E3B0E"/>
    <w:rsid w:val="007E4822"/>
    <w:rsid w:val="007E4A74"/>
    <w:rsid w:val="007F0DFA"/>
    <w:rsid w:val="007F1F00"/>
    <w:rsid w:val="007F20FF"/>
    <w:rsid w:val="007F3EF7"/>
    <w:rsid w:val="0080141E"/>
    <w:rsid w:val="00801642"/>
    <w:rsid w:val="008037E4"/>
    <w:rsid w:val="00804031"/>
    <w:rsid w:val="008044AD"/>
    <w:rsid w:val="0080742F"/>
    <w:rsid w:val="00811C33"/>
    <w:rsid w:val="008166B0"/>
    <w:rsid w:val="00857B14"/>
    <w:rsid w:val="00867646"/>
    <w:rsid w:val="0087040E"/>
    <w:rsid w:val="00883980"/>
    <w:rsid w:val="00886A96"/>
    <w:rsid w:val="00890E03"/>
    <w:rsid w:val="00893102"/>
    <w:rsid w:val="00896CE7"/>
    <w:rsid w:val="008A2062"/>
    <w:rsid w:val="008A7BB6"/>
    <w:rsid w:val="008B239B"/>
    <w:rsid w:val="008C2627"/>
    <w:rsid w:val="008D0BB7"/>
    <w:rsid w:val="008D0DF7"/>
    <w:rsid w:val="008D2BEA"/>
    <w:rsid w:val="008E44CB"/>
    <w:rsid w:val="00902AE7"/>
    <w:rsid w:val="00915403"/>
    <w:rsid w:val="00922072"/>
    <w:rsid w:val="00943A32"/>
    <w:rsid w:val="00950BCD"/>
    <w:rsid w:val="009547F5"/>
    <w:rsid w:val="00983036"/>
    <w:rsid w:val="0098745D"/>
    <w:rsid w:val="009934F4"/>
    <w:rsid w:val="009954E6"/>
    <w:rsid w:val="009B2B45"/>
    <w:rsid w:val="009B6191"/>
    <w:rsid w:val="009C740A"/>
    <w:rsid w:val="009D34C0"/>
    <w:rsid w:val="009D34E7"/>
    <w:rsid w:val="009E40DB"/>
    <w:rsid w:val="009E4E0D"/>
    <w:rsid w:val="00A0127D"/>
    <w:rsid w:val="00A0283C"/>
    <w:rsid w:val="00A1005A"/>
    <w:rsid w:val="00A13446"/>
    <w:rsid w:val="00A20C98"/>
    <w:rsid w:val="00A24CF9"/>
    <w:rsid w:val="00A25B9A"/>
    <w:rsid w:val="00A26E5B"/>
    <w:rsid w:val="00A32E87"/>
    <w:rsid w:val="00A4586F"/>
    <w:rsid w:val="00A46623"/>
    <w:rsid w:val="00A52EE5"/>
    <w:rsid w:val="00A6527C"/>
    <w:rsid w:val="00A72D95"/>
    <w:rsid w:val="00A824E6"/>
    <w:rsid w:val="00A925C9"/>
    <w:rsid w:val="00A930D9"/>
    <w:rsid w:val="00AA2B7C"/>
    <w:rsid w:val="00AA3CC7"/>
    <w:rsid w:val="00AA47BF"/>
    <w:rsid w:val="00AA6249"/>
    <w:rsid w:val="00AB4404"/>
    <w:rsid w:val="00AC1022"/>
    <w:rsid w:val="00AC10B8"/>
    <w:rsid w:val="00AC7415"/>
    <w:rsid w:val="00AC7C81"/>
    <w:rsid w:val="00AD2604"/>
    <w:rsid w:val="00AD3BB9"/>
    <w:rsid w:val="00AD3E46"/>
    <w:rsid w:val="00AD7C20"/>
    <w:rsid w:val="00AF1BD6"/>
    <w:rsid w:val="00AF4476"/>
    <w:rsid w:val="00AF45D6"/>
    <w:rsid w:val="00B034C3"/>
    <w:rsid w:val="00B03C2F"/>
    <w:rsid w:val="00B11BC7"/>
    <w:rsid w:val="00B1293F"/>
    <w:rsid w:val="00B20A36"/>
    <w:rsid w:val="00B33946"/>
    <w:rsid w:val="00B416C3"/>
    <w:rsid w:val="00B4296B"/>
    <w:rsid w:val="00B56218"/>
    <w:rsid w:val="00B63506"/>
    <w:rsid w:val="00B70659"/>
    <w:rsid w:val="00B71250"/>
    <w:rsid w:val="00B7328E"/>
    <w:rsid w:val="00B76F3D"/>
    <w:rsid w:val="00B800A0"/>
    <w:rsid w:val="00B848A9"/>
    <w:rsid w:val="00B855DE"/>
    <w:rsid w:val="00B86D15"/>
    <w:rsid w:val="00B913C3"/>
    <w:rsid w:val="00B954D2"/>
    <w:rsid w:val="00BA1E25"/>
    <w:rsid w:val="00BA244C"/>
    <w:rsid w:val="00BA2E85"/>
    <w:rsid w:val="00BB3C5E"/>
    <w:rsid w:val="00BB3D92"/>
    <w:rsid w:val="00BB55ED"/>
    <w:rsid w:val="00BC323B"/>
    <w:rsid w:val="00BD0336"/>
    <w:rsid w:val="00BD0463"/>
    <w:rsid w:val="00BD0BEA"/>
    <w:rsid w:val="00BD36DF"/>
    <w:rsid w:val="00BE3604"/>
    <w:rsid w:val="00BF40C4"/>
    <w:rsid w:val="00C01F4D"/>
    <w:rsid w:val="00C042A6"/>
    <w:rsid w:val="00C0464F"/>
    <w:rsid w:val="00C07057"/>
    <w:rsid w:val="00C1476F"/>
    <w:rsid w:val="00C20549"/>
    <w:rsid w:val="00C309D9"/>
    <w:rsid w:val="00C30D0F"/>
    <w:rsid w:val="00C35508"/>
    <w:rsid w:val="00C3572F"/>
    <w:rsid w:val="00C36CCB"/>
    <w:rsid w:val="00C45955"/>
    <w:rsid w:val="00C46B88"/>
    <w:rsid w:val="00C5044F"/>
    <w:rsid w:val="00C5501C"/>
    <w:rsid w:val="00C634C1"/>
    <w:rsid w:val="00C71BED"/>
    <w:rsid w:val="00C72247"/>
    <w:rsid w:val="00C871B3"/>
    <w:rsid w:val="00C87472"/>
    <w:rsid w:val="00CA3579"/>
    <w:rsid w:val="00CA67DB"/>
    <w:rsid w:val="00CA70A2"/>
    <w:rsid w:val="00CB54DF"/>
    <w:rsid w:val="00CB7165"/>
    <w:rsid w:val="00CC12D4"/>
    <w:rsid w:val="00CD264C"/>
    <w:rsid w:val="00CD3537"/>
    <w:rsid w:val="00CD4B02"/>
    <w:rsid w:val="00CE2A8A"/>
    <w:rsid w:val="00CE5249"/>
    <w:rsid w:val="00CF257C"/>
    <w:rsid w:val="00CF6387"/>
    <w:rsid w:val="00CF65FE"/>
    <w:rsid w:val="00D07213"/>
    <w:rsid w:val="00D12A76"/>
    <w:rsid w:val="00D20D88"/>
    <w:rsid w:val="00D36E6C"/>
    <w:rsid w:val="00D46DCE"/>
    <w:rsid w:val="00D63ABD"/>
    <w:rsid w:val="00D664EF"/>
    <w:rsid w:val="00D67248"/>
    <w:rsid w:val="00D70F22"/>
    <w:rsid w:val="00D71E80"/>
    <w:rsid w:val="00D77F86"/>
    <w:rsid w:val="00D8097B"/>
    <w:rsid w:val="00D842E7"/>
    <w:rsid w:val="00DA0E6B"/>
    <w:rsid w:val="00DA1474"/>
    <w:rsid w:val="00DA3185"/>
    <w:rsid w:val="00DA4EAA"/>
    <w:rsid w:val="00DB1844"/>
    <w:rsid w:val="00DB61B4"/>
    <w:rsid w:val="00DD3506"/>
    <w:rsid w:val="00DD7C1A"/>
    <w:rsid w:val="00DE03AC"/>
    <w:rsid w:val="00E02E0E"/>
    <w:rsid w:val="00E04762"/>
    <w:rsid w:val="00E05E21"/>
    <w:rsid w:val="00E24542"/>
    <w:rsid w:val="00E410D0"/>
    <w:rsid w:val="00E4133D"/>
    <w:rsid w:val="00E420DD"/>
    <w:rsid w:val="00E458A5"/>
    <w:rsid w:val="00E53A57"/>
    <w:rsid w:val="00E56153"/>
    <w:rsid w:val="00E5764A"/>
    <w:rsid w:val="00E61BC2"/>
    <w:rsid w:val="00E702BD"/>
    <w:rsid w:val="00E71C53"/>
    <w:rsid w:val="00E73692"/>
    <w:rsid w:val="00E8366F"/>
    <w:rsid w:val="00E90C21"/>
    <w:rsid w:val="00E944F8"/>
    <w:rsid w:val="00EC5652"/>
    <w:rsid w:val="00EC5ECD"/>
    <w:rsid w:val="00ED307F"/>
    <w:rsid w:val="00ED4F1D"/>
    <w:rsid w:val="00ED57FF"/>
    <w:rsid w:val="00EE4477"/>
    <w:rsid w:val="00EF1574"/>
    <w:rsid w:val="00EF2190"/>
    <w:rsid w:val="00EF5D20"/>
    <w:rsid w:val="00F0068F"/>
    <w:rsid w:val="00F158DF"/>
    <w:rsid w:val="00F22454"/>
    <w:rsid w:val="00F46CB3"/>
    <w:rsid w:val="00F50B83"/>
    <w:rsid w:val="00F51CB4"/>
    <w:rsid w:val="00F52037"/>
    <w:rsid w:val="00F56A94"/>
    <w:rsid w:val="00F636A6"/>
    <w:rsid w:val="00F67838"/>
    <w:rsid w:val="00F67E1E"/>
    <w:rsid w:val="00F83D31"/>
    <w:rsid w:val="00F9053B"/>
    <w:rsid w:val="00FB088F"/>
    <w:rsid w:val="00FB2D9C"/>
    <w:rsid w:val="00FC3948"/>
    <w:rsid w:val="00FC51DA"/>
    <w:rsid w:val="00FC5391"/>
    <w:rsid w:val="00FC6CAA"/>
    <w:rsid w:val="00FD7CC4"/>
    <w:rsid w:val="00FE24E7"/>
    <w:rsid w:val="00FE32FE"/>
    <w:rsid w:val="00FE408A"/>
    <w:rsid w:val="00FE5DBE"/>
    <w:rsid w:val="00FE5DFC"/>
    <w:rsid w:val="00FF1204"/>
    <w:rsid w:val="00FF1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1F52"/>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0721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Para">
    <w:name w:val="Ju_Para"/>
    <w:aliases w:val="_Para"/>
    <w:basedOn w:val="Normal"/>
    <w:uiPriority w:val="99"/>
    <w:rsid w:val="00D07213"/>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paragraph" w:customStyle="1" w:styleId="DecHTitle">
    <w:name w:val="Dec_H_Title"/>
    <w:aliases w:val="_Title_1"/>
    <w:uiPriority w:val="99"/>
    <w:rsid w:val="00D07213"/>
    <w:pPr>
      <w:keepNext/>
      <w:keepLines/>
      <w:autoSpaceDE w:val="0"/>
      <w:autoSpaceDN w:val="0"/>
      <w:adjustRightInd w:val="0"/>
      <w:spacing w:after="240" w:line="240" w:lineRule="auto"/>
      <w:jc w:val="center"/>
    </w:pPr>
    <w:rPr>
      <w:rFonts w:ascii="Times New Roman" w:hAnsi="Times New Roman" w:cs="Times New Roman"/>
      <w:color w:val="000000"/>
      <w:sz w:val="28"/>
      <w:szCs w:val="28"/>
    </w:rPr>
  </w:style>
  <w:style w:type="paragraph" w:styleId="ListParagraph">
    <w:name w:val="List Paragraph"/>
    <w:basedOn w:val="Normal"/>
    <w:uiPriority w:val="99"/>
    <w:qFormat/>
    <w:rsid w:val="00D07213"/>
    <w:pPr>
      <w:autoSpaceDE w:val="0"/>
      <w:autoSpaceDN w:val="0"/>
      <w:adjustRightInd w:val="0"/>
      <w:spacing w:after="0" w:line="240" w:lineRule="auto"/>
      <w:ind w:left="720"/>
    </w:pPr>
    <w:rPr>
      <w:rFonts w:ascii="Linux Libertine G" w:hAnsi="Linux Libertine G" w:cs="Linux Libertine G"/>
      <w:color w:val="000000"/>
      <w:sz w:val="20"/>
      <w:szCs w:val="20"/>
    </w:rPr>
  </w:style>
  <w:style w:type="paragraph" w:styleId="NoSpacing">
    <w:name w:val="No Spacing"/>
    <w:uiPriority w:val="99"/>
    <w:qFormat/>
    <w:rsid w:val="00D07213"/>
    <w:pPr>
      <w:autoSpaceDE w:val="0"/>
      <w:autoSpaceDN w:val="0"/>
      <w:adjustRightInd w:val="0"/>
      <w:spacing w:after="0" w:line="240" w:lineRule="auto"/>
    </w:pPr>
    <w:rPr>
      <w:rFonts w:ascii="MS Mincho" w:hAnsi="Times New Roman" w:cs="MS Minch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02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B0BE419D0EA42A68BDD800273B46E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29943-18</Nr_x002e__x0020_akti>
    <Data_x0020_e_x0020_Krijimit xmlns="0e656187-b300-4fb0-8bf4-3a50f872073c">2023-08-02T11:21:53Z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2023-08-01T22:00:00Z</Date_x0020_protokolli>
    <Titulli xmlns="0e656187-b300-4fb0-8bf4-3a50f872073c">Çështja Gashi dhe Gina kundër Shqipërisë</Titulli>
    <Modifikuesi xmlns="0e656187-b300-4fb0-8bf4-3a50f872073c">alma.lisaku</Modifikuesi>
    <Nr_x002e__x0020_prot_x0020_QBZ xmlns="0e656187-b300-4fb0-8bf4-3a50f872073c">1214</Nr_x002e__x0020_prot_x0020_QBZ>
    <Data_x0020_e_x0020_Modifikimit xmlns="0e656187-b300-4fb0-8bf4-3a50f872073c">2023-08-03T10:16:51Z</Data_x0020_e_x0020_Modifikimit>
    <Dekretuar xmlns="0e656187-b300-4fb0-8bf4-3a50f872073c">false</Dekretuar>
    <Data xmlns="0e656187-b300-4fb0-8bf4-3a50f872073c">2023-04-03T22:00:00Z</Data>
    <Nr_x002e__x0020_protokolli_x0020_i_x0020_aktit xmlns="0e656187-b300-4fb0-8bf4-3a50f872073c">4568/1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0BE419D0EA42A68BDD800273B46E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271CB67-918B-4EF7-8340-6375A35E4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968EB4-EC87-4A0C-9C2B-7A99D32CF465}">
  <ds:schemaRefs>
    <ds:schemaRef ds:uri="http://purl.org/dc/dcmitype/"/>
    <ds:schemaRef ds:uri="http://schemas.microsoft.com/office/2006/documentManagement/types"/>
    <ds:schemaRef ds:uri="http://www.w3.org/XML/1998/namespace"/>
    <ds:schemaRef ds:uri="http://purl.org/dc/elements/1.1/"/>
    <ds:schemaRef ds:uri="0e656187-b300-4fb0-8bf4-3a50f872073c"/>
    <ds:schemaRef ds:uri="http://purl.org/dc/terms/"/>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7FD3B5A3-462B-48F3-A84E-CDF956E0A2E7}">
  <ds:schemaRefs>
    <ds:schemaRef ds:uri="http://schemas.microsoft.com/sharepoint/v3/contenttype/forms"/>
  </ds:schemaRefs>
</ds:datastoreItem>
</file>

<file path=customXml/itemProps4.xml><?xml version="1.0" encoding="utf-8"?>
<ds:datastoreItem xmlns:ds="http://schemas.openxmlformats.org/officeDocument/2006/customXml" ds:itemID="{8781C1CF-9900-484E-8738-E072202D8F7E}">
  <ds:schemaRefs>
    <ds:schemaRef ds:uri="http://schemas.microsoft.com/sharepoint/v3/contenttype/forms"/>
  </ds:schemaRefs>
</ds:datastoreItem>
</file>

<file path=customXml/itemProps5.xml><?xml version="1.0" encoding="utf-8"?>
<ds:datastoreItem xmlns:ds="http://schemas.openxmlformats.org/officeDocument/2006/customXml" ds:itemID="{7304E0A6-2F05-4D46-A9D5-F96239541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17</Pages>
  <Words>9938</Words>
  <Characters>56649</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Çështja Gashi dhe Gina kundër Shqipërisë</vt:lpstr>
    </vt:vector>
  </TitlesOfParts>
  <Company/>
  <LinksUpToDate>false</LinksUpToDate>
  <CharactersWithSpaces>66455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Gashi dhe Gina kundër Shqipërisë</dc:title>
  <dc:creator>Entela Suli</dc:creator>
  <cp:lastModifiedBy>Entela Suli</cp:lastModifiedBy>
  <cp:revision>146</cp:revision>
  <dcterms:created xsi:type="dcterms:W3CDTF">2023-08-02T11:06:00Z</dcterms:created>
  <dcterms:modified xsi:type="dcterms:W3CDTF">2023-08-03T10:30:00Z</dcterms:modified>
</cp:coreProperties>
</file>