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81EF0" w14:textId="18259386" w:rsidR="008D1AA0" w:rsidRPr="008D1AA0" w:rsidRDefault="008D1AA0" w:rsidP="005571FB">
      <w:pPr>
        <w:keepNext/>
        <w:keepLines/>
        <w:autoSpaceDE w:val="0"/>
        <w:autoSpaceDN w:val="0"/>
        <w:adjustRightInd w:val="0"/>
        <w:ind w:firstLine="284"/>
        <w:jc w:val="center"/>
        <w:rPr>
          <w:rFonts w:ascii="Garamond" w:hAnsi="Garamond" w:cs="Times New Roman"/>
        </w:rPr>
      </w:pPr>
      <w:r w:rsidRPr="008D1AA0">
        <w:rPr>
          <w:rFonts w:ascii="Garamond" w:hAnsi="Garamond" w:cs="Times New Roman"/>
        </w:rPr>
        <w:t xml:space="preserve">GJYKATA </w:t>
      </w:r>
      <w:proofErr w:type="spellStart"/>
      <w:r w:rsidRPr="008D1AA0">
        <w:rPr>
          <w:rFonts w:ascii="Garamond" w:hAnsi="Garamond" w:cs="Times New Roman"/>
        </w:rPr>
        <w:t>EUROPIANE</w:t>
      </w:r>
      <w:proofErr w:type="spellEnd"/>
      <w:r w:rsidRPr="008D1AA0">
        <w:rPr>
          <w:rFonts w:ascii="Garamond" w:hAnsi="Garamond" w:cs="Times New Roman"/>
        </w:rPr>
        <w:t xml:space="preserve"> E TË DREJTAVE TË NJERIUT </w:t>
      </w:r>
    </w:p>
    <w:p w14:paraId="35D61621" w14:textId="364A2D49" w:rsidR="005571FB" w:rsidRPr="008D1AA0" w:rsidRDefault="005571FB" w:rsidP="005571FB">
      <w:pPr>
        <w:keepNext/>
        <w:keepLines/>
        <w:autoSpaceDE w:val="0"/>
        <w:autoSpaceDN w:val="0"/>
        <w:adjustRightInd w:val="0"/>
        <w:ind w:firstLine="284"/>
        <w:jc w:val="center"/>
        <w:rPr>
          <w:rFonts w:ascii="Garamond" w:hAnsi="Garamond" w:cs="Times New Roman"/>
        </w:rPr>
      </w:pPr>
      <w:r w:rsidRPr="008D1AA0">
        <w:rPr>
          <w:rFonts w:ascii="Garamond" w:hAnsi="Garamond" w:cs="Times New Roman"/>
        </w:rPr>
        <w:t>SEKSIONI I TRETË</w:t>
      </w:r>
    </w:p>
    <w:p w14:paraId="264CB155" w14:textId="77777777" w:rsidR="005571FB" w:rsidRPr="008D1AA0" w:rsidRDefault="005571FB" w:rsidP="005571FB">
      <w:pPr>
        <w:keepNext/>
        <w:keepLines/>
        <w:autoSpaceDE w:val="0"/>
        <w:autoSpaceDN w:val="0"/>
        <w:adjustRightInd w:val="0"/>
        <w:ind w:firstLine="284"/>
        <w:jc w:val="center"/>
        <w:rPr>
          <w:rFonts w:ascii="Garamond" w:hAnsi="Garamond" w:cs="Times New Roman"/>
          <w:b/>
        </w:rPr>
      </w:pPr>
    </w:p>
    <w:p w14:paraId="711BD297" w14:textId="50C8114E" w:rsidR="005571FB" w:rsidRPr="008D1AA0" w:rsidRDefault="005571FB" w:rsidP="005571FB">
      <w:pPr>
        <w:keepNext/>
        <w:keepLines/>
        <w:autoSpaceDE w:val="0"/>
        <w:autoSpaceDN w:val="0"/>
        <w:adjustRightInd w:val="0"/>
        <w:ind w:firstLine="284"/>
        <w:jc w:val="center"/>
        <w:rPr>
          <w:rFonts w:ascii="Garamond" w:hAnsi="Garamond" w:cs="Times New Roman"/>
          <w:b/>
        </w:rPr>
      </w:pPr>
      <w:r w:rsidRPr="008D1AA0">
        <w:rPr>
          <w:rFonts w:ascii="Garamond" w:hAnsi="Garamond" w:cs="Times New Roman"/>
          <w:b/>
        </w:rPr>
        <w:t>VENDIM</w:t>
      </w:r>
    </w:p>
    <w:p w14:paraId="536AEC8E" w14:textId="77777777" w:rsidR="005571FB" w:rsidRPr="008D1AA0" w:rsidRDefault="005571FB" w:rsidP="005571FB">
      <w:pPr>
        <w:autoSpaceDE w:val="0"/>
        <w:autoSpaceDN w:val="0"/>
        <w:adjustRightInd w:val="0"/>
        <w:ind w:firstLine="284"/>
        <w:jc w:val="center"/>
        <w:rPr>
          <w:rFonts w:ascii="Garamond" w:hAnsi="Garamond" w:cs="Times New Roman"/>
          <w:i/>
        </w:rPr>
      </w:pPr>
      <w:r w:rsidRPr="008D1AA0">
        <w:rPr>
          <w:rFonts w:ascii="Garamond" w:hAnsi="Garamond" w:cs="Times New Roman"/>
          <w:i/>
        </w:rPr>
        <w:t>Kërkesa nr. 56080/19</w:t>
      </w:r>
    </w:p>
    <w:p w14:paraId="4801ED9C" w14:textId="53D8180E" w:rsidR="005571FB" w:rsidRPr="008D1AA0" w:rsidRDefault="005571FB" w:rsidP="005571FB">
      <w:pPr>
        <w:autoSpaceDE w:val="0"/>
        <w:autoSpaceDN w:val="0"/>
        <w:adjustRightInd w:val="0"/>
        <w:ind w:firstLine="284"/>
        <w:jc w:val="center"/>
        <w:rPr>
          <w:rFonts w:ascii="Garamond" w:hAnsi="Garamond" w:cs="Times New Roman"/>
          <w:i/>
        </w:rPr>
      </w:pPr>
      <w:r w:rsidRPr="008D1AA0">
        <w:rPr>
          <w:rFonts w:ascii="Garamond" w:hAnsi="Garamond" w:cs="Times New Roman"/>
          <w:i/>
        </w:rPr>
        <w:t xml:space="preserve">2001 </w:t>
      </w:r>
      <w:proofErr w:type="spellStart"/>
      <w:r w:rsidR="003823DA" w:rsidRPr="008D1AA0">
        <w:rPr>
          <w:rFonts w:ascii="Garamond" w:hAnsi="Garamond" w:cs="Times New Roman"/>
          <w:i/>
        </w:rPr>
        <w:t>sh.p.k</w:t>
      </w:r>
      <w:proofErr w:type="spellEnd"/>
      <w:r w:rsidR="003823DA" w:rsidRPr="008D1AA0">
        <w:rPr>
          <w:rFonts w:ascii="Garamond" w:hAnsi="Garamond" w:cs="Times New Roman"/>
          <w:i/>
        </w:rPr>
        <w:t>.</w:t>
      </w:r>
      <w:bookmarkStart w:id="0" w:name="_GoBack"/>
      <w:bookmarkEnd w:id="0"/>
    </w:p>
    <w:p w14:paraId="0D055457" w14:textId="77777777" w:rsidR="005571FB" w:rsidRPr="008D1AA0" w:rsidRDefault="005571FB" w:rsidP="005571FB">
      <w:pPr>
        <w:autoSpaceDE w:val="0"/>
        <w:autoSpaceDN w:val="0"/>
        <w:adjustRightInd w:val="0"/>
        <w:ind w:firstLine="284"/>
        <w:jc w:val="center"/>
        <w:rPr>
          <w:rFonts w:ascii="Garamond" w:hAnsi="Garamond" w:cs="Times New Roman"/>
          <w:i/>
        </w:rPr>
      </w:pPr>
      <w:r w:rsidRPr="008D1AA0">
        <w:rPr>
          <w:rFonts w:ascii="Garamond" w:hAnsi="Garamond" w:cs="Times New Roman"/>
          <w:i/>
        </w:rPr>
        <w:t>kundër Shqipërisë</w:t>
      </w:r>
    </w:p>
    <w:p w14:paraId="186E6288" w14:textId="77777777" w:rsidR="005571FB" w:rsidRPr="008D1AA0" w:rsidRDefault="005571FB" w:rsidP="005571FB">
      <w:pPr>
        <w:autoSpaceDE w:val="0"/>
        <w:autoSpaceDN w:val="0"/>
        <w:adjustRightInd w:val="0"/>
        <w:ind w:firstLine="284"/>
        <w:jc w:val="both"/>
        <w:rPr>
          <w:rFonts w:ascii="Garamond" w:hAnsi="Garamond" w:cs="Times New Roman"/>
        </w:rPr>
      </w:pPr>
    </w:p>
    <w:p w14:paraId="5DC6A763" w14:textId="3CEFC36F"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Gjykata </w:t>
      </w:r>
      <w:proofErr w:type="spellStart"/>
      <w:r w:rsidRPr="008D1AA0">
        <w:rPr>
          <w:rFonts w:ascii="Garamond" w:hAnsi="Garamond" w:cs="Times New Roman"/>
        </w:rPr>
        <w:t>Europiane</w:t>
      </w:r>
      <w:proofErr w:type="spellEnd"/>
      <w:r w:rsidRPr="008D1AA0">
        <w:rPr>
          <w:rFonts w:ascii="Garamond" w:hAnsi="Garamond" w:cs="Times New Roman"/>
        </w:rPr>
        <w:t xml:space="preserve"> e të Drejtave të Njeriut (Seksioni i Tretë)</w:t>
      </w:r>
      <w:r w:rsidR="00CF0F6F">
        <w:rPr>
          <w:rFonts w:ascii="Garamond" w:hAnsi="Garamond" w:cs="Times New Roman"/>
        </w:rPr>
        <w:t>,</w:t>
      </w:r>
      <w:r w:rsidRPr="008D1AA0">
        <w:rPr>
          <w:rFonts w:ascii="Garamond" w:hAnsi="Garamond" w:cs="Times New Roman"/>
        </w:rPr>
        <w:t xml:space="preserve"> e mbledhur më 30 </w:t>
      </w:r>
      <w:r w:rsidR="00CF0F6F">
        <w:rPr>
          <w:rFonts w:ascii="Garamond" w:hAnsi="Garamond" w:cs="Times New Roman"/>
        </w:rPr>
        <w:t>m</w:t>
      </w:r>
      <w:r w:rsidRPr="008D1AA0">
        <w:rPr>
          <w:rFonts w:ascii="Garamond" w:hAnsi="Garamond" w:cs="Times New Roman"/>
        </w:rPr>
        <w:t xml:space="preserve">aj 2023, si Komision, i përbërë nga: </w:t>
      </w:r>
    </w:p>
    <w:p w14:paraId="291072B5" w14:textId="380E3107" w:rsidR="005571FB" w:rsidRPr="008D1AA0" w:rsidRDefault="005571FB" w:rsidP="005571FB">
      <w:pPr>
        <w:tabs>
          <w:tab w:val="left" w:pos="567"/>
          <w:tab w:val="left" w:pos="1134"/>
        </w:tabs>
        <w:autoSpaceDE w:val="0"/>
        <w:autoSpaceDN w:val="0"/>
        <w:adjustRightInd w:val="0"/>
        <w:ind w:firstLine="284"/>
        <w:rPr>
          <w:rFonts w:ascii="Garamond" w:hAnsi="Garamond" w:cs="Times New Roman"/>
          <w:i/>
          <w:iCs/>
        </w:rPr>
      </w:pPr>
      <w:proofErr w:type="spellStart"/>
      <w:r w:rsidRPr="008D1AA0">
        <w:rPr>
          <w:rFonts w:ascii="Garamond" w:hAnsi="Garamond" w:cs="Times New Roman"/>
        </w:rPr>
        <w:t>Georgios</w:t>
      </w:r>
      <w:proofErr w:type="spellEnd"/>
      <w:r w:rsidRPr="008D1AA0">
        <w:rPr>
          <w:rFonts w:ascii="Garamond" w:hAnsi="Garamond" w:cs="Times New Roman"/>
        </w:rPr>
        <w:t xml:space="preserve"> A. </w:t>
      </w:r>
      <w:proofErr w:type="spellStart"/>
      <w:r w:rsidRPr="008D1AA0">
        <w:rPr>
          <w:rFonts w:ascii="Garamond" w:hAnsi="Garamond" w:cs="Times New Roman"/>
        </w:rPr>
        <w:t>Serghides</w:t>
      </w:r>
      <w:proofErr w:type="spellEnd"/>
      <w:r w:rsidRPr="008D1AA0">
        <w:rPr>
          <w:rFonts w:ascii="Garamond" w:hAnsi="Garamond" w:cs="Times New Roman"/>
        </w:rPr>
        <w:t>,</w:t>
      </w:r>
      <w:r w:rsidRPr="008D1AA0">
        <w:rPr>
          <w:rFonts w:ascii="Garamond" w:hAnsi="Garamond" w:cs="Times New Roman"/>
          <w:i/>
          <w:iCs/>
        </w:rPr>
        <w:t xml:space="preserve"> </w:t>
      </w:r>
      <w:r w:rsidR="008D1AA0" w:rsidRPr="008D1AA0">
        <w:rPr>
          <w:rFonts w:ascii="Garamond" w:hAnsi="Garamond" w:cs="Times New Roman"/>
          <w:i/>
          <w:iCs/>
        </w:rPr>
        <w:t>k</w:t>
      </w:r>
      <w:r w:rsidRPr="008D1AA0">
        <w:rPr>
          <w:rFonts w:ascii="Garamond" w:hAnsi="Garamond" w:cs="Times New Roman"/>
          <w:i/>
          <w:iCs/>
        </w:rPr>
        <w:t>ryetar,</w:t>
      </w:r>
    </w:p>
    <w:p w14:paraId="432D32C0" w14:textId="77777777" w:rsidR="00511B0A" w:rsidRDefault="005571FB" w:rsidP="005571FB">
      <w:pPr>
        <w:tabs>
          <w:tab w:val="left" w:pos="567"/>
          <w:tab w:val="left" w:pos="1134"/>
        </w:tabs>
        <w:autoSpaceDE w:val="0"/>
        <w:autoSpaceDN w:val="0"/>
        <w:adjustRightInd w:val="0"/>
        <w:ind w:firstLine="284"/>
        <w:rPr>
          <w:rFonts w:ascii="Garamond" w:hAnsi="Garamond" w:cs="Times New Roman"/>
          <w:i/>
          <w:iCs/>
        </w:rPr>
      </w:pPr>
      <w:proofErr w:type="spellStart"/>
      <w:r w:rsidRPr="008D1AA0">
        <w:rPr>
          <w:rFonts w:ascii="Garamond" w:hAnsi="Garamond" w:cs="Times New Roman"/>
        </w:rPr>
        <w:t>Darian</w:t>
      </w:r>
      <w:proofErr w:type="spellEnd"/>
      <w:r w:rsidRPr="008D1AA0">
        <w:rPr>
          <w:rFonts w:ascii="Garamond" w:hAnsi="Garamond" w:cs="Times New Roman"/>
        </w:rPr>
        <w:t xml:space="preserve"> </w:t>
      </w:r>
      <w:proofErr w:type="spellStart"/>
      <w:r w:rsidRPr="008D1AA0">
        <w:rPr>
          <w:rFonts w:ascii="Garamond" w:hAnsi="Garamond" w:cs="Times New Roman"/>
        </w:rPr>
        <w:t>Pavli</w:t>
      </w:r>
      <w:proofErr w:type="spellEnd"/>
      <w:r w:rsidRPr="008D1AA0">
        <w:rPr>
          <w:rFonts w:ascii="Garamond" w:hAnsi="Garamond" w:cs="Times New Roman"/>
        </w:rPr>
        <w:t xml:space="preserve">, </w:t>
      </w:r>
    </w:p>
    <w:p w14:paraId="770D5940" w14:textId="3054E04A" w:rsidR="005571FB" w:rsidRPr="008D1AA0" w:rsidRDefault="005571FB" w:rsidP="005571FB">
      <w:pPr>
        <w:tabs>
          <w:tab w:val="left" w:pos="567"/>
          <w:tab w:val="left" w:pos="1134"/>
        </w:tabs>
        <w:autoSpaceDE w:val="0"/>
        <w:autoSpaceDN w:val="0"/>
        <w:adjustRightInd w:val="0"/>
        <w:ind w:firstLine="284"/>
        <w:rPr>
          <w:rFonts w:ascii="Garamond" w:hAnsi="Garamond" w:cs="Times New Roman"/>
          <w:i/>
          <w:iCs/>
        </w:rPr>
      </w:pPr>
      <w:proofErr w:type="spellStart"/>
      <w:r w:rsidRPr="008D1AA0">
        <w:rPr>
          <w:rFonts w:ascii="Garamond" w:hAnsi="Garamond" w:cs="Times New Roman"/>
        </w:rPr>
        <w:t>Oddný</w:t>
      </w:r>
      <w:proofErr w:type="spellEnd"/>
      <w:r w:rsidRPr="008D1AA0">
        <w:rPr>
          <w:rFonts w:ascii="Garamond" w:hAnsi="Garamond" w:cs="Times New Roman"/>
        </w:rPr>
        <w:t xml:space="preserve"> </w:t>
      </w:r>
      <w:proofErr w:type="spellStart"/>
      <w:r w:rsidRPr="008D1AA0">
        <w:rPr>
          <w:rFonts w:ascii="Garamond" w:hAnsi="Garamond" w:cs="Times New Roman"/>
        </w:rPr>
        <w:t>Mjöll</w:t>
      </w:r>
      <w:proofErr w:type="spellEnd"/>
      <w:r w:rsidRPr="008D1AA0">
        <w:rPr>
          <w:rFonts w:ascii="Garamond" w:hAnsi="Garamond" w:cs="Times New Roman"/>
        </w:rPr>
        <w:t xml:space="preserve"> </w:t>
      </w:r>
      <w:proofErr w:type="spellStart"/>
      <w:r w:rsidRPr="008D1AA0">
        <w:rPr>
          <w:rFonts w:ascii="Garamond" w:hAnsi="Garamond" w:cs="Times New Roman"/>
        </w:rPr>
        <w:t>Arnardóttir</w:t>
      </w:r>
      <w:proofErr w:type="spellEnd"/>
      <w:r w:rsidRPr="008D1AA0">
        <w:rPr>
          <w:rFonts w:ascii="Garamond" w:hAnsi="Garamond" w:cs="Times New Roman"/>
        </w:rPr>
        <w:t xml:space="preserve">, </w:t>
      </w:r>
      <w:r w:rsidRPr="008D1AA0">
        <w:rPr>
          <w:rFonts w:ascii="Garamond" w:hAnsi="Garamond" w:cs="Times New Roman"/>
          <w:i/>
          <w:iCs/>
        </w:rPr>
        <w:t>gjyqtarë,</w:t>
      </w:r>
      <w:r w:rsidRPr="008D1AA0">
        <w:rPr>
          <w:rFonts w:ascii="Garamond" w:hAnsi="Garamond" w:cs="Times New Roman"/>
        </w:rPr>
        <w:br/>
        <w:t xml:space="preserve">dhe </w:t>
      </w:r>
      <w:proofErr w:type="spellStart"/>
      <w:r w:rsidRPr="008D1AA0">
        <w:rPr>
          <w:rFonts w:ascii="Garamond" w:hAnsi="Garamond" w:cs="Times New Roman"/>
        </w:rPr>
        <w:t>Olga</w:t>
      </w:r>
      <w:proofErr w:type="spellEnd"/>
      <w:r w:rsidRPr="008D1AA0">
        <w:rPr>
          <w:rFonts w:ascii="Garamond" w:hAnsi="Garamond" w:cs="Times New Roman"/>
        </w:rPr>
        <w:t xml:space="preserve"> </w:t>
      </w:r>
      <w:proofErr w:type="spellStart"/>
      <w:r w:rsidRPr="008D1AA0">
        <w:rPr>
          <w:rFonts w:ascii="Garamond" w:hAnsi="Garamond" w:cs="Times New Roman"/>
        </w:rPr>
        <w:t>Chernishova</w:t>
      </w:r>
      <w:proofErr w:type="spellEnd"/>
      <w:r w:rsidRPr="008D1AA0">
        <w:rPr>
          <w:rFonts w:ascii="Garamond" w:hAnsi="Garamond" w:cs="Times New Roman"/>
        </w:rPr>
        <w:t xml:space="preserve">, </w:t>
      </w:r>
      <w:proofErr w:type="spellStart"/>
      <w:r w:rsidR="008D1AA0" w:rsidRPr="008D1AA0">
        <w:rPr>
          <w:rFonts w:ascii="Garamond" w:hAnsi="Garamond" w:cs="Times New Roman"/>
          <w:i/>
          <w:iCs/>
        </w:rPr>
        <w:t>z</w:t>
      </w:r>
      <w:r w:rsidRPr="008D1AA0">
        <w:rPr>
          <w:rFonts w:ascii="Garamond" w:hAnsi="Garamond" w:cs="Times New Roman"/>
          <w:i/>
          <w:iCs/>
        </w:rPr>
        <w:t>ëvendësregjistrare</w:t>
      </w:r>
      <w:proofErr w:type="spellEnd"/>
      <w:r w:rsidRPr="008D1AA0">
        <w:rPr>
          <w:rFonts w:ascii="Garamond" w:hAnsi="Garamond" w:cs="Times New Roman"/>
          <w:i/>
          <w:iCs/>
        </w:rPr>
        <w:t xml:space="preserve"> e Seksionit, </w:t>
      </w:r>
    </w:p>
    <w:p w14:paraId="5625E1BD" w14:textId="71C756CD" w:rsidR="005571FB" w:rsidRPr="008D1AA0" w:rsidRDefault="005571FB" w:rsidP="005571FB">
      <w:pPr>
        <w:tabs>
          <w:tab w:val="left" w:pos="567"/>
          <w:tab w:val="left" w:pos="1134"/>
        </w:tabs>
        <w:autoSpaceDE w:val="0"/>
        <w:autoSpaceDN w:val="0"/>
        <w:adjustRightInd w:val="0"/>
        <w:ind w:firstLine="284"/>
        <w:rPr>
          <w:rFonts w:ascii="Garamond" w:hAnsi="Garamond" w:cs="Times New Roman"/>
        </w:rPr>
      </w:pPr>
      <w:r w:rsidRPr="008D1AA0">
        <w:rPr>
          <w:rFonts w:ascii="Garamond" w:hAnsi="Garamond" w:cs="Times New Roman"/>
        </w:rPr>
        <w:t xml:space="preserve">Duke pasur parasysh, </w:t>
      </w:r>
    </w:p>
    <w:p w14:paraId="0651E24F" w14:textId="0B8B710C" w:rsidR="005571FB" w:rsidRPr="008D1AA0" w:rsidRDefault="005571FB" w:rsidP="008D1AA0">
      <w:pPr>
        <w:tabs>
          <w:tab w:val="left" w:pos="567"/>
          <w:tab w:val="left" w:pos="1134"/>
        </w:tabs>
        <w:autoSpaceDE w:val="0"/>
        <w:autoSpaceDN w:val="0"/>
        <w:adjustRightInd w:val="0"/>
        <w:ind w:firstLine="284"/>
        <w:jc w:val="both"/>
        <w:rPr>
          <w:rFonts w:ascii="Garamond" w:hAnsi="Garamond" w:cs="Times New Roman"/>
        </w:rPr>
      </w:pPr>
      <w:r w:rsidRPr="008D1AA0">
        <w:rPr>
          <w:rFonts w:ascii="Garamond" w:hAnsi="Garamond" w:cs="Times New Roman"/>
        </w:rPr>
        <w:t xml:space="preserve">kërkesën (nr. 56080/19) ndaj Republikës së Shqipërisë depozituar pranë Gjykatës në mbështetje të </w:t>
      </w:r>
      <w:r w:rsidR="009A79A5">
        <w:rPr>
          <w:rFonts w:ascii="Garamond" w:hAnsi="Garamond" w:cs="Times New Roman"/>
        </w:rPr>
        <w:t>n</w:t>
      </w:r>
      <w:r w:rsidRPr="008D1AA0">
        <w:rPr>
          <w:rFonts w:ascii="Garamond" w:hAnsi="Garamond" w:cs="Times New Roman"/>
        </w:rPr>
        <w:t>enit 34 të Konventës për Mbrojtjen e të Drejtave të Njeriut dhe Lirive Themelore (“Konventa”)</w:t>
      </w:r>
      <w:r w:rsidR="005A753E">
        <w:rPr>
          <w:rFonts w:ascii="Garamond" w:hAnsi="Garamond" w:cs="Times New Roman"/>
        </w:rPr>
        <w:t>,</w:t>
      </w:r>
      <w:r w:rsidRPr="008D1AA0">
        <w:rPr>
          <w:rFonts w:ascii="Garamond" w:hAnsi="Garamond" w:cs="Times New Roman"/>
        </w:rPr>
        <w:t xml:space="preserve"> më 18 </w:t>
      </w:r>
      <w:r w:rsidR="009A79A5">
        <w:rPr>
          <w:rFonts w:ascii="Garamond" w:hAnsi="Garamond" w:cs="Times New Roman"/>
        </w:rPr>
        <w:t>t</w:t>
      </w:r>
      <w:r w:rsidRPr="008D1AA0">
        <w:rPr>
          <w:rFonts w:ascii="Garamond" w:hAnsi="Garamond" w:cs="Times New Roman"/>
        </w:rPr>
        <w:t>etor 2019</w:t>
      </w:r>
      <w:r w:rsidR="005A753E">
        <w:rPr>
          <w:rFonts w:ascii="Garamond" w:hAnsi="Garamond" w:cs="Times New Roman"/>
        </w:rPr>
        <w:t>,</w:t>
      </w:r>
      <w:r w:rsidRPr="008D1AA0">
        <w:rPr>
          <w:rFonts w:ascii="Garamond" w:hAnsi="Garamond" w:cs="Times New Roman"/>
        </w:rPr>
        <w:t xml:space="preserve"> nga një kompani shqiptare, “2001” </w:t>
      </w:r>
      <w:proofErr w:type="spellStart"/>
      <w:r w:rsidRPr="008D1AA0">
        <w:rPr>
          <w:rFonts w:ascii="Garamond" w:hAnsi="Garamond" w:cs="Times New Roman"/>
        </w:rPr>
        <w:t>sh.p.k</w:t>
      </w:r>
      <w:proofErr w:type="spellEnd"/>
      <w:r w:rsidRPr="008D1AA0">
        <w:rPr>
          <w:rFonts w:ascii="Garamond" w:hAnsi="Garamond" w:cs="Times New Roman"/>
        </w:rPr>
        <w:t xml:space="preserve">, themeluar në vitin 2006 dhe me seli në Lezhë (“kompania kërkuese”), e cila u përfaqësua nga </w:t>
      </w:r>
      <w:r w:rsidR="002667A7">
        <w:rPr>
          <w:rFonts w:ascii="Garamond" w:hAnsi="Garamond" w:cs="Times New Roman"/>
        </w:rPr>
        <w:t>z</w:t>
      </w:r>
      <w:r w:rsidRPr="008D1AA0">
        <w:rPr>
          <w:rFonts w:ascii="Garamond" w:hAnsi="Garamond" w:cs="Times New Roman"/>
        </w:rPr>
        <w:t xml:space="preserve">. P. </w:t>
      </w:r>
      <w:proofErr w:type="spellStart"/>
      <w:r w:rsidRPr="008D1AA0">
        <w:rPr>
          <w:rFonts w:ascii="Garamond" w:hAnsi="Garamond" w:cs="Times New Roman"/>
        </w:rPr>
        <w:t>Ndreca</w:t>
      </w:r>
      <w:proofErr w:type="spellEnd"/>
      <w:r w:rsidRPr="008D1AA0">
        <w:rPr>
          <w:rFonts w:ascii="Garamond" w:hAnsi="Garamond" w:cs="Times New Roman"/>
        </w:rPr>
        <w:t xml:space="preserve">, avokat i cili ushtron ligjin në Tiranë; </w:t>
      </w:r>
    </w:p>
    <w:p w14:paraId="0E63B197" w14:textId="006043D2" w:rsidR="005571FB" w:rsidRPr="008D1AA0" w:rsidRDefault="005571FB" w:rsidP="008D1AA0">
      <w:pPr>
        <w:tabs>
          <w:tab w:val="left" w:pos="567"/>
          <w:tab w:val="left" w:pos="1134"/>
        </w:tabs>
        <w:autoSpaceDE w:val="0"/>
        <w:autoSpaceDN w:val="0"/>
        <w:adjustRightInd w:val="0"/>
        <w:ind w:firstLine="284"/>
        <w:jc w:val="both"/>
        <w:rPr>
          <w:rFonts w:ascii="Garamond" w:hAnsi="Garamond" w:cs="Times New Roman"/>
        </w:rPr>
      </w:pPr>
      <w:r w:rsidRPr="008D1AA0">
        <w:rPr>
          <w:rFonts w:ascii="Garamond" w:hAnsi="Garamond" w:cs="Times New Roman"/>
        </w:rPr>
        <w:t xml:space="preserve">vendimin për të vënë në dijeni në lidhje me kërkesën Qeverinë Shqiptare (“Qeveria”), e cila u përfaqësua nga Agjenti i saj në atë periudhë, </w:t>
      </w:r>
      <w:proofErr w:type="spellStart"/>
      <w:r w:rsidR="00424F97">
        <w:rPr>
          <w:rFonts w:ascii="Garamond" w:hAnsi="Garamond" w:cs="Times New Roman"/>
        </w:rPr>
        <w:t>z</w:t>
      </w:r>
      <w:r w:rsidR="008D1AA0">
        <w:rPr>
          <w:rFonts w:ascii="Garamond" w:hAnsi="Garamond" w:cs="Times New Roman"/>
        </w:rPr>
        <w:t>n</w:t>
      </w:r>
      <w:r w:rsidRPr="008D1AA0">
        <w:rPr>
          <w:rFonts w:ascii="Garamond" w:hAnsi="Garamond" w:cs="Times New Roman"/>
        </w:rPr>
        <w:t>j</w:t>
      </w:r>
      <w:proofErr w:type="spellEnd"/>
      <w:r w:rsidRPr="008D1AA0">
        <w:rPr>
          <w:rFonts w:ascii="Garamond" w:hAnsi="Garamond" w:cs="Times New Roman"/>
        </w:rPr>
        <w:t xml:space="preserve">. B. </w:t>
      </w:r>
      <w:proofErr w:type="spellStart"/>
      <w:r w:rsidRPr="008D1AA0">
        <w:rPr>
          <w:rFonts w:ascii="Garamond" w:hAnsi="Garamond" w:cs="Times New Roman"/>
        </w:rPr>
        <w:t>Lilo</w:t>
      </w:r>
      <w:proofErr w:type="spellEnd"/>
      <w:r w:rsidRPr="008D1AA0">
        <w:rPr>
          <w:rFonts w:ascii="Garamond" w:hAnsi="Garamond" w:cs="Times New Roman"/>
        </w:rPr>
        <w:t xml:space="preserve"> dhe më pas </w:t>
      </w:r>
      <w:r w:rsidR="00424F97">
        <w:rPr>
          <w:rFonts w:ascii="Garamond" w:hAnsi="Garamond" w:cs="Times New Roman"/>
        </w:rPr>
        <w:t>z</w:t>
      </w:r>
      <w:r w:rsidRPr="008D1AA0">
        <w:rPr>
          <w:rFonts w:ascii="Garamond" w:hAnsi="Garamond" w:cs="Times New Roman"/>
        </w:rPr>
        <w:t xml:space="preserve">. O. </w:t>
      </w:r>
      <w:proofErr w:type="spellStart"/>
      <w:r w:rsidRPr="008D1AA0">
        <w:rPr>
          <w:rFonts w:ascii="Garamond" w:hAnsi="Garamond" w:cs="Times New Roman"/>
        </w:rPr>
        <w:t>Moçka</w:t>
      </w:r>
      <w:proofErr w:type="spellEnd"/>
      <w:r w:rsidRPr="008D1AA0">
        <w:rPr>
          <w:rFonts w:ascii="Garamond" w:hAnsi="Garamond" w:cs="Times New Roman"/>
        </w:rPr>
        <w:t xml:space="preserve">, Avokati i Përgjithshëm i Shtetit; </w:t>
      </w:r>
    </w:p>
    <w:p w14:paraId="21A0ACDF" w14:textId="77777777" w:rsidR="005571FB" w:rsidRPr="008D1AA0" w:rsidRDefault="005571FB" w:rsidP="008D1AA0">
      <w:pPr>
        <w:autoSpaceDE w:val="0"/>
        <w:autoSpaceDN w:val="0"/>
        <w:adjustRightInd w:val="0"/>
        <w:ind w:firstLine="284"/>
        <w:jc w:val="both"/>
        <w:rPr>
          <w:rFonts w:ascii="Garamond" w:hAnsi="Garamond" w:cs="Times New Roman"/>
        </w:rPr>
      </w:pPr>
      <w:r w:rsidRPr="008D1AA0">
        <w:rPr>
          <w:rFonts w:ascii="Garamond" w:hAnsi="Garamond" w:cs="Times New Roman"/>
        </w:rPr>
        <w:t xml:space="preserve">Pasi diskutoi, vendos si më poshtë: </w:t>
      </w:r>
    </w:p>
    <w:p w14:paraId="31D5ACC7" w14:textId="77777777"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LËNDA E ÇËSHTJES</w:t>
      </w:r>
    </w:p>
    <w:p w14:paraId="7F42C6EA" w14:textId="20C0C387" w:rsidR="005571FB" w:rsidRPr="008D1AA0" w:rsidRDefault="005571FB" w:rsidP="005571FB">
      <w:pPr>
        <w:numPr>
          <w:ilvl w:val="0"/>
          <w:numId w:val="38"/>
        </w:numPr>
        <w:tabs>
          <w:tab w:val="left" w:pos="360"/>
        </w:tabs>
        <w:autoSpaceDE w:val="0"/>
        <w:autoSpaceDN w:val="0"/>
        <w:adjustRightInd w:val="0"/>
        <w:ind w:firstLine="284"/>
        <w:jc w:val="both"/>
        <w:rPr>
          <w:rFonts w:ascii="Garamond" w:hAnsi="Garamond" w:cs="Times New Roman"/>
        </w:rPr>
      </w:pPr>
      <w:r w:rsidRPr="008D1AA0">
        <w:rPr>
          <w:rFonts w:ascii="Garamond" w:hAnsi="Garamond" w:cs="Times New Roman"/>
        </w:rPr>
        <w:t xml:space="preserve"> Kërkesa ka të bëjë me drejtën për t’iu drejtuar gjykatës dhe kohëzgjatjen e procesit civil, si edhe aspektin e shterimit të mjeteve vendase, më konkretisht duke paraqitur ankesa përpara Gjykatës së Lartë dhe Gjykatës Kushtetuese, në kontekstin ku ato gjykata nuk kishin mjaftueshëm gjyqtarë në staf për një periudhë të caktuar kohore. </w:t>
      </w:r>
    </w:p>
    <w:p w14:paraId="0F3F5148" w14:textId="77777777" w:rsidR="005571FB" w:rsidRPr="008D1AA0" w:rsidRDefault="005571FB" w:rsidP="005571FB">
      <w:pPr>
        <w:numPr>
          <w:ilvl w:val="0"/>
          <w:numId w:val="39"/>
        </w:numPr>
        <w:autoSpaceDE w:val="0"/>
        <w:autoSpaceDN w:val="0"/>
        <w:adjustRightInd w:val="0"/>
        <w:ind w:firstLine="284"/>
        <w:jc w:val="both"/>
        <w:rPr>
          <w:rFonts w:ascii="Garamond" w:hAnsi="Garamond" w:cs="Times New Roman"/>
          <w:b/>
          <w:bCs/>
        </w:rPr>
      </w:pPr>
      <w:r w:rsidRPr="008D1AA0">
        <w:rPr>
          <w:rFonts w:ascii="Garamond" w:hAnsi="Garamond" w:cs="Times New Roman"/>
          <w:b/>
          <w:bCs/>
        </w:rPr>
        <w:t xml:space="preserve">Procesi vendas </w:t>
      </w:r>
    </w:p>
    <w:p w14:paraId="1731E9D8" w14:textId="02E16F06"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2. Më 2 </w:t>
      </w:r>
      <w:r w:rsidR="009A79A5">
        <w:rPr>
          <w:rFonts w:ascii="Garamond" w:hAnsi="Garamond" w:cs="Times New Roman"/>
        </w:rPr>
        <w:t>p</w:t>
      </w:r>
      <w:r w:rsidRPr="008D1AA0">
        <w:rPr>
          <w:rFonts w:ascii="Garamond" w:hAnsi="Garamond" w:cs="Times New Roman"/>
        </w:rPr>
        <w:t xml:space="preserve">rill 2009, kompania kërkuese depozitoi një padi për dëmshpërblim në shumën prej 169,895,010 lekë (rreth 1,300,000 euro në periudhën konkrete) ndaj një pale private  pranë Gjykatës së Rrethit Tiranë. </w:t>
      </w:r>
    </w:p>
    <w:p w14:paraId="70E4BBF6" w14:textId="156A6CC5"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3. Në një datë të papërcaktuar në vitin 2012, kompania kërkuese iu referua situatës së saj të vështirë financiare për t’i kërkuar gjykatës që të përjashtohej nga detyrimi për të paguar tarifën gjyqësore, e cila, sipas ligjit vendas, përbënte një për qind të shumës së kërkuar. Gjykata e kundërshtoi kërkesën dhe i kërkoi kompanisë kërkuese që të paguante tarifën gjyqësore përkatëse. </w:t>
      </w:r>
    </w:p>
    <w:p w14:paraId="120BCAED" w14:textId="0475EA2C"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4. Më 16 </w:t>
      </w:r>
      <w:r w:rsidR="009A79A5" w:rsidRPr="008D1AA0">
        <w:rPr>
          <w:rFonts w:ascii="Garamond" w:hAnsi="Garamond" w:cs="Times New Roman"/>
        </w:rPr>
        <w:t xml:space="preserve">maj </w:t>
      </w:r>
      <w:r w:rsidRPr="008D1AA0">
        <w:rPr>
          <w:rFonts w:ascii="Garamond" w:hAnsi="Garamond" w:cs="Times New Roman"/>
        </w:rPr>
        <w:t xml:space="preserve">2013, Gjykata e Rrethit Tiranë konstatoi se kompania kërkuese nuk e kishte paguar tarifën gjyqësore dhe ndërpreu shqyrtimin e padisë. Kompania kërkuese e apeloi vendimin, duke argumentuar se i përmbushte kushtet për t’u përjashtuar nga detyrimi për të paguar tarifën gjyqësore dhe se e drejta e saj për t’iu drejtuar një gjykate nuk mund të ndikohej nga një legjislacion dytësor që parashikonte detyrimin për shlyerjen e tarifës gjyqësore. </w:t>
      </w:r>
    </w:p>
    <w:p w14:paraId="697491A1" w14:textId="0163F12D"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lastRenderedPageBreak/>
        <w:t xml:space="preserve">5. Më 20 </w:t>
      </w:r>
      <w:r w:rsidR="009A79A5" w:rsidRPr="008D1AA0">
        <w:rPr>
          <w:rFonts w:ascii="Garamond" w:hAnsi="Garamond" w:cs="Times New Roman"/>
        </w:rPr>
        <w:t xml:space="preserve">nëntor </w:t>
      </w:r>
      <w:r w:rsidRPr="008D1AA0">
        <w:rPr>
          <w:rFonts w:ascii="Garamond" w:hAnsi="Garamond" w:cs="Times New Roman"/>
        </w:rPr>
        <w:t xml:space="preserve">2013, Gjykata e Apelit Tiranë la në fuqi vendimin e gjykatës së shkallës së parë. Ajo gjykoi se detyrimi për të paguar tarifën gjyqësore parashikohej nga ligji dhe ndërprerja e procesit nga gjykata e shkallës së parë ishte i justifikuar. Më 25 </w:t>
      </w:r>
      <w:r w:rsidR="009A79A5" w:rsidRPr="008D1AA0">
        <w:rPr>
          <w:rFonts w:ascii="Garamond" w:hAnsi="Garamond" w:cs="Times New Roman"/>
        </w:rPr>
        <w:t xml:space="preserve">nëntor </w:t>
      </w:r>
      <w:r w:rsidRPr="008D1AA0">
        <w:rPr>
          <w:rFonts w:ascii="Garamond" w:hAnsi="Garamond" w:cs="Times New Roman"/>
        </w:rPr>
        <w:t xml:space="preserve">2013, kompania kërkuese depozitoi një rekurs në Gjykatën e Lartë. </w:t>
      </w:r>
    </w:p>
    <w:p w14:paraId="3803BBC9" w14:textId="2B658277"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6. Më 18 </w:t>
      </w:r>
      <w:r w:rsidR="009A79A5" w:rsidRPr="008D1AA0">
        <w:rPr>
          <w:rFonts w:ascii="Garamond" w:hAnsi="Garamond" w:cs="Times New Roman"/>
        </w:rPr>
        <w:t xml:space="preserve">tetor </w:t>
      </w:r>
      <w:r w:rsidRPr="008D1AA0">
        <w:rPr>
          <w:rFonts w:ascii="Garamond" w:hAnsi="Garamond" w:cs="Times New Roman"/>
        </w:rPr>
        <w:t xml:space="preserve">2019, kompania kërkuese depozitoi pranë Gjykatës kërkesën konkrete, që më pas iu komunikua Qeverisë më 10 </w:t>
      </w:r>
      <w:r w:rsidR="009A79A5" w:rsidRPr="008D1AA0">
        <w:rPr>
          <w:rFonts w:ascii="Garamond" w:hAnsi="Garamond" w:cs="Times New Roman"/>
        </w:rPr>
        <w:t xml:space="preserve">maj </w:t>
      </w:r>
      <w:r w:rsidRPr="008D1AA0">
        <w:rPr>
          <w:rFonts w:ascii="Garamond" w:hAnsi="Garamond" w:cs="Times New Roman"/>
        </w:rPr>
        <w:t xml:space="preserve">2021. </w:t>
      </w:r>
    </w:p>
    <w:p w14:paraId="0247CFE3" w14:textId="625475D0"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7. Më 14 </w:t>
      </w:r>
      <w:r w:rsidR="009A79A5" w:rsidRPr="008D1AA0">
        <w:rPr>
          <w:rFonts w:ascii="Garamond" w:hAnsi="Garamond" w:cs="Times New Roman"/>
        </w:rPr>
        <w:t xml:space="preserve">korrik </w:t>
      </w:r>
      <w:r w:rsidRPr="008D1AA0">
        <w:rPr>
          <w:rFonts w:ascii="Garamond" w:hAnsi="Garamond" w:cs="Times New Roman"/>
        </w:rPr>
        <w:t xml:space="preserve">2021, Gjykata e Lartë e rrëzoi si të papranueshëm rekursin depozituar nga kompania kërkuese pranë Gjykatës së Lartë. </w:t>
      </w:r>
    </w:p>
    <w:p w14:paraId="17FEDDFB" w14:textId="58E61D4C"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8. Më 28 </w:t>
      </w:r>
      <w:r w:rsidR="009A79A5" w:rsidRPr="008D1AA0">
        <w:rPr>
          <w:rFonts w:ascii="Garamond" w:hAnsi="Garamond" w:cs="Times New Roman"/>
        </w:rPr>
        <w:t xml:space="preserve">shkurt </w:t>
      </w:r>
      <w:r w:rsidRPr="008D1AA0">
        <w:rPr>
          <w:rFonts w:ascii="Garamond" w:hAnsi="Garamond" w:cs="Times New Roman"/>
        </w:rPr>
        <w:t xml:space="preserve">2022, kompania kërkuese paraqiti parashtrimet e saj përfundimtare pranë Gjykatës, duke përfshirë pretendimet për dëmshpërblim të drejtë. </w:t>
      </w:r>
    </w:p>
    <w:p w14:paraId="59A87903" w14:textId="150A176F" w:rsidR="005571FB" w:rsidRPr="008D1AA0" w:rsidRDefault="005571FB" w:rsidP="005571FB">
      <w:pPr>
        <w:autoSpaceDE w:val="0"/>
        <w:autoSpaceDN w:val="0"/>
        <w:adjustRightInd w:val="0"/>
        <w:ind w:firstLine="284"/>
        <w:jc w:val="both"/>
        <w:rPr>
          <w:rFonts w:ascii="Garamond" w:hAnsi="Garamond" w:cs="Times New Roman"/>
          <w:b/>
          <w:bCs/>
        </w:rPr>
      </w:pPr>
      <w:r w:rsidRPr="008D1AA0">
        <w:rPr>
          <w:rFonts w:ascii="Garamond" w:hAnsi="Garamond" w:cs="Times New Roman"/>
          <w:b/>
          <w:bCs/>
        </w:rPr>
        <w:t>B. Kuadri ligjor përkatës dhe informacioni për Gjykatën e Lartë dhe Gjykatën Kushtetuese</w:t>
      </w:r>
    </w:p>
    <w:p w14:paraId="7A58860C" w14:textId="40D94709"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9. Neni 31 § 2 i </w:t>
      </w:r>
      <w:r w:rsidR="009A79A5" w:rsidRPr="008D1AA0">
        <w:rPr>
          <w:rFonts w:ascii="Garamond" w:hAnsi="Garamond" w:cs="Times New Roman"/>
        </w:rPr>
        <w:t xml:space="preserve">ligjit </w:t>
      </w:r>
      <w:r w:rsidRPr="008D1AA0">
        <w:rPr>
          <w:rFonts w:ascii="Garamond" w:hAnsi="Garamond" w:cs="Times New Roman"/>
        </w:rPr>
        <w:t xml:space="preserve">për </w:t>
      </w:r>
      <w:r w:rsidR="009A79A5" w:rsidRPr="008D1AA0">
        <w:rPr>
          <w:rFonts w:ascii="Garamond" w:hAnsi="Garamond" w:cs="Times New Roman"/>
        </w:rPr>
        <w:t xml:space="preserve">gjyqësorin </w:t>
      </w:r>
      <w:r w:rsidRPr="008D1AA0">
        <w:rPr>
          <w:rFonts w:ascii="Garamond" w:hAnsi="Garamond" w:cs="Times New Roman"/>
        </w:rPr>
        <w:t>(</w:t>
      </w:r>
      <w:r w:rsidR="009A79A5" w:rsidRPr="008D1AA0">
        <w:rPr>
          <w:rFonts w:ascii="Garamond" w:hAnsi="Garamond" w:cs="Times New Roman"/>
        </w:rPr>
        <w:t xml:space="preserve">ligji </w:t>
      </w:r>
      <w:r w:rsidRPr="008D1AA0">
        <w:rPr>
          <w:rFonts w:ascii="Garamond" w:hAnsi="Garamond" w:cs="Times New Roman"/>
        </w:rPr>
        <w:t xml:space="preserve">nr. 98/2016 “Për </w:t>
      </w:r>
      <w:r w:rsidR="009A79A5" w:rsidRPr="008D1AA0">
        <w:rPr>
          <w:rFonts w:ascii="Garamond" w:hAnsi="Garamond" w:cs="Times New Roman"/>
        </w:rPr>
        <w:t xml:space="preserve">organizimin </w:t>
      </w:r>
      <w:r w:rsidRPr="008D1AA0">
        <w:rPr>
          <w:rFonts w:ascii="Garamond" w:hAnsi="Garamond" w:cs="Times New Roman"/>
        </w:rPr>
        <w:t xml:space="preserve">e </w:t>
      </w:r>
      <w:r w:rsidR="009A79A5" w:rsidRPr="008D1AA0">
        <w:rPr>
          <w:rFonts w:ascii="Garamond" w:hAnsi="Garamond" w:cs="Times New Roman"/>
        </w:rPr>
        <w:t>pushtetit gjyqësor</w:t>
      </w:r>
      <w:r w:rsidRPr="008D1AA0">
        <w:rPr>
          <w:rFonts w:ascii="Garamond" w:hAnsi="Garamond" w:cs="Times New Roman"/>
        </w:rPr>
        <w:t>”) parashikon se, si rregull, trupi gjykues për proceset civile në Gjykatën e Lartë i shqyrton rekurset në trupa gjyqësore të përbërë nga tre gjyqtarë.</w:t>
      </w:r>
    </w:p>
    <w:p w14:paraId="311B698E" w14:textId="73B32CDD"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10. Sipas </w:t>
      </w:r>
      <w:r w:rsidR="009A79A5" w:rsidRPr="008D1AA0">
        <w:rPr>
          <w:rFonts w:ascii="Garamond" w:hAnsi="Garamond" w:cs="Times New Roman"/>
        </w:rPr>
        <w:t xml:space="preserve">nenit </w:t>
      </w:r>
      <w:r w:rsidRPr="008D1AA0">
        <w:rPr>
          <w:rFonts w:ascii="Garamond" w:hAnsi="Garamond" w:cs="Times New Roman"/>
        </w:rPr>
        <w:t>399/6 të Kodit të Procedurës Civile (“</w:t>
      </w:r>
      <w:proofErr w:type="spellStart"/>
      <w:r w:rsidRPr="008D1AA0">
        <w:rPr>
          <w:rFonts w:ascii="Garamond" w:hAnsi="Garamond" w:cs="Times New Roman"/>
        </w:rPr>
        <w:t>KPC</w:t>
      </w:r>
      <w:proofErr w:type="spellEnd"/>
      <w:r w:rsidRPr="008D1AA0">
        <w:rPr>
          <w:rFonts w:ascii="Garamond" w:hAnsi="Garamond" w:cs="Times New Roman"/>
        </w:rPr>
        <w:t xml:space="preserve">”), në rastin kur një çështje është pezull pranë një trupe gjyqësore në Gjykatën e Lartë, ankesat në lidhje me kohëzgjatjen e procesit do të duhet të dëgjohen nga një trupë tjetër gjyqësore në Gjykatën e Lartë (shih </w:t>
      </w:r>
      <w:proofErr w:type="spellStart"/>
      <w:r w:rsidRPr="008D1AA0">
        <w:rPr>
          <w:rFonts w:ascii="Garamond" w:hAnsi="Garamond" w:cs="Times New Roman"/>
          <w:i/>
          <w:iCs/>
        </w:rPr>
        <w:t>Bara</w:t>
      </w:r>
      <w:proofErr w:type="spellEnd"/>
      <w:r w:rsidRPr="008D1AA0">
        <w:rPr>
          <w:rFonts w:ascii="Garamond" w:hAnsi="Garamond" w:cs="Times New Roman"/>
          <w:i/>
          <w:iCs/>
        </w:rPr>
        <w:t xml:space="preserve"> dhe </w:t>
      </w:r>
      <w:proofErr w:type="spellStart"/>
      <w:r w:rsidRPr="008D1AA0">
        <w:rPr>
          <w:rFonts w:ascii="Garamond" w:hAnsi="Garamond" w:cs="Times New Roman"/>
          <w:i/>
          <w:iCs/>
        </w:rPr>
        <w:t>Kola</w:t>
      </w:r>
      <w:proofErr w:type="spellEnd"/>
      <w:r w:rsidRPr="008D1AA0">
        <w:rPr>
          <w:rFonts w:ascii="Garamond" w:hAnsi="Garamond" w:cs="Times New Roman"/>
          <w:i/>
          <w:iCs/>
        </w:rPr>
        <w:t xml:space="preserve"> kundër Shqipërisë</w:t>
      </w:r>
      <w:r w:rsidRPr="008D1AA0">
        <w:rPr>
          <w:rFonts w:ascii="Garamond" w:hAnsi="Garamond" w:cs="Times New Roman"/>
        </w:rPr>
        <w:t xml:space="preserve">, nr. 43391/18 dhe 17766/19, § 37, 12 </w:t>
      </w:r>
      <w:r w:rsidR="009A79A5">
        <w:rPr>
          <w:rFonts w:ascii="Garamond" w:hAnsi="Garamond" w:cs="Times New Roman"/>
        </w:rPr>
        <w:t>t</w:t>
      </w:r>
      <w:r w:rsidRPr="008D1AA0">
        <w:rPr>
          <w:rFonts w:ascii="Garamond" w:hAnsi="Garamond" w:cs="Times New Roman"/>
        </w:rPr>
        <w:t xml:space="preserve">etor 2021). </w:t>
      </w:r>
    </w:p>
    <w:p w14:paraId="03AD3558" w14:textId="1007FBEC"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11. Pas një sërë shkarkimesh dhe dorëheqjesh të gjyqtarëve nga detyra, nga data 22 </w:t>
      </w:r>
      <w:r w:rsidR="009A79A5">
        <w:rPr>
          <w:rFonts w:ascii="Garamond" w:hAnsi="Garamond" w:cs="Times New Roman"/>
        </w:rPr>
        <w:t>m</w:t>
      </w:r>
      <w:r w:rsidRPr="008D1AA0">
        <w:rPr>
          <w:rFonts w:ascii="Garamond" w:hAnsi="Garamond" w:cs="Times New Roman"/>
        </w:rPr>
        <w:t xml:space="preserve">aj 2019 deri më 18 </w:t>
      </w:r>
      <w:r w:rsidR="009A79A5">
        <w:rPr>
          <w:rFonts w:ascii="Garamond" w:hAnsi="Garamond" w:cs="Times New Roman"/>
        </w:rPr>
        <w:t>m</w:t>
      </w:r>
      <w:r w:rsidRPr="008D1AA0">
        <w:rPr>
          <w:rFonts w:ascii="Garamond" w:hAnsi="Garamond" w:cs="Times New Roman"/>
        </w:rPr>
        <w:t xml:space="preserve">ars 2020, Gjykatës së Lartë i mungonte kuorumi </w:t>
      </w:r>
      <w:proofErr w:type="spellStart"/>
      <w:r w:rsidRPr="008D1AA0">
        <w:rPr>
          <w:rFonts w:ascii="Garamond" w:hAnsi="Garamond" w:cs="Times New Roman"/>
        </w:rPr>
        <w:t>statutor</w:t>
      </w:r>
      <w:proofErr w:type="spellEnd"/>
      <w:r w:rsidRPr="008D1AA0">
        <w:rPr>
          <w:rFonts w:ascii="Garamond" w:hAnsi="Garamond" w:cs="Times New Roman"/>
        </w:rPr>
        <w:t xml:space="preserve"> prej tre gjyqtarësh për shqyrtimin e padive pranë saj. Gjykata e Lartë e rifitoi kuorumin minimal të gjyqtarëve më 18 </w:t>
      </w:r>
      <w:r w:rsidR="009A79A5">
        <w:rPr>
          <w:rFonts w:ascii="Garamond" w:hAnsi="Garamond" w:cs="Times New Roman"/>
        </w:rPr>
        <w:t>m</w:t>
      </w:r>
      <w:r w:rsidRPr="008D1AA0">
        <w:rPr>
          <w:rFonts w:ascii="Garamond" w:hAnsi="Garamond" w:cs="Times New Roman"/>
        </w:rPr>
        <w:t xml:space="preserve">aj 2020, dhe gjatë muajve në vijim u emëruan gjyqtarë të tjerë. </w:t>
      </w:r>
    </w:p>
    <w:p w14:paraId="26E432C2" w14:textId="4CAEABCD"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12. Për sa i përket Gjykatës Kushtetuese, sipas të dhënave zyrtare, nga data 16 </w:t>
      </w:r>
      <w:r w:rsidR="009A79A5">
        <w:rPr>
          <w:rFonts w:ascii="Garamond" w:hAnsi="Garamond" w:cs="Times New Roman"/>
        </w:rPr>
        <w:t>k</w:t>
      </w:r>
      <w:r w:rsidRPr="008D1AA0">
        <w:rPr>
          <w:rFonts w:ascii="Garamond" w:hAnsi="Garamond" w:cs="Times New Roman"/>
        </w:rPr>
        <w:t xml:space="preserve">orrik 2018 deri më 14 </w:t>
      </w:r>
      <w:r w:rsidR="009A79A5">
        <w:rPr>
          <w:rFonts w:ascii="Garamond" w:hAnsi="Garamond" w:cs="Times New Roman"/>
        </w:rPr>
        <w:t>n</w:t>
      </w:r>
      <w:r w:rsidRPr="008D1AA0">
        <w:rPr>
          <w:rFonts w:ascii="Garamond" w:hAnsi="Garamond" w:cs="Times New Roman"/>
        </w:rPr>
        <w:t xml:space="preserve">ëntor 2019, gjykatës i mungonte kuorumi </w:t>
      </w:r>
      <w:proofErr w:type="spellStart"/>
      <w:r w:rsidRPr="008D1AA0">
        <w:rPr>
          <w:rFonts w:ascii="Garamond" w:hAnsi="Garamond" w:cs="Times New Roman"/>
        </w:rPr>
        <w:t>statutor</w:t>
      </w:r>
      <w:proofErr w:type="spellEnd"/>
      <w:r w:rsidRPr="008D1AA0">
        <w:rPr>
          <w:rFonts w:ascii="Garamond" w:hAnsi="Garamond" w:cs="Times New Roman"/>
        </w:rPr>
        <w:t xml:space="preserve"> i gjyqtarëve prej tre gjyqtarësh për të shqyrtuar apelimet pranë saj. Ajo e rifitoi kuorumin minimal të gjyqtarëve më 14 </w:t>
      </w:r>
      <w:r w:rsidR="009A79A5">
        <w:rPr>
          <w:rFonts w:ascii="Garamond" w:hAnsi="Garamond" w:cs="Times New Roman"/>
        </w:rPr>
        <w:t>n</w:t>
      </w:r>
      <w:r w:rsidRPr="008D1AA0">
        <w:rPr>
          <w:rFonts w:ascii="Garamond" w:hAnsi="Garamond" w:cs="Times New Roman"/>
        </w:rPr>
        <w:t xml:space="preserve">ëntor 2019, dhe gjatë muajve në vijim u emëruan gjyqtarë të tjerë. </w:t>
      </w:r>
    </w:p>
    <w:p w14:paraId="7F74557F" w14:textId="77777777"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VLERËSIMI I GJYKATËS </w:t>
      </w:r>
    </w:p>
    <w:p w14:paraId="14809D53" w14:textId="23BAB87B" w:rsidR="005571FB" w:rsidRPr="008D1AA0" w:rsidRDefault="005571FB" w:rsidP="005571FB">
      <w:pPr>
        <w:numPr>
          <w:ilvl w:val="0"/>
          <w:numId w:val="40"/>
        </w:numPr>
        <w:autoSpaceDE w:val="0"/>
        <w:autoSpaceDN w:val="0"/>
        <w:adjustRightInd w:val="0"/>
        <w:ind w:firstLine="284"/>
        <w:jc w:val="both"/>
        <w:rPr>
          <w:rFonts w:ascii="Garamond" w:hAnsi="Garamond" w:cs="Times New Roman"/>
          <w:b/>
          <w:bCs/>
        </w:rPr>
      </w:pPr>
      <w:r w:rsidRPr="008D1AA0">
        <w:rPr>
          <w:rFonts w:ascii="Garamond" w:hAnsi="Garamond" w:cs="Times New Roman"/>
          <w:b/>
          <w:bCs/>
        </w:rPr>
        <w:t xml:space="preserve"> Pretendim për shkelje të </w:t>
      </w:r>
      <w:r w:rsidR="00A929C9">
        <w:rPr>
          <w:rFonts w:ascii="Garamond" w:hAnsi="Garamond" w:cs="Times New Roman"/>
          <w:b/>
          <w:bCs/>
        </w:rPr>
        <w:t>n</w:t>
      </w:r>
      <w:r w:rsidRPr="008D1AA0">
        <w:rPr>
          <w:rFonts w:ascii="Garamond" w:hAnsi="Garamond" w:cs="Times New Roman"/>
          <w:b/>
          <w:bCs/>
        </w:rPr>
        <w:t>enit 6 të Konventës</w:t>
      </w:r>
    </w:p>
    <w:p w14:paraId="5FB2FEC5" w14:textId="5408116C"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13. Kompania kërkuese u ankua në mbështetje të </w:t>
      </w:r>
      <w:r w:rsidR="00A929C9">
        <w:rPr>
          <w:rFonts w:ascii="Garamond" w:hAnsi="Garamond" w:cs="Times New Roman"/>
        </w:rPr>
        <w:t>n</w:t>
      </w:r>
      <w:r w:rsidRPr="008D1AA0">
        <w:rPr>
          <w:rFonts w:ascii="Garamond" w:hAnsi="Garamond" w:cs="Times New Roman"/>
        </w:rPr>
        <w:t xml:space="preserve">enit 6 § 1 të Konventës për refuzimin nga ana e gjykatave vendase për ta përjashtuar nga tarifa gjyqësore, dhe vlerësonte se meritat e padisë së saj paraqisnin një shkelje të </w:t>
      </w:r>
      <w:proofErr w:type="spellStart"/>
      <w:r w:rsidRPr="008D1AA0">
        <w:rPr>
          <w:rFonts w:ascii="Garamond" w:hAnsi="Garamond" w:cs="Times New Roman"/>
        </w:rPr>
        <w:t>të</w:t>
      </w:r>
      <w:proofErr w:type="spellEnd"/>
      <w:r w:rsidRPr="008D1AA0">
        <w:rPr>
          <w:rFonts w:ascii="Garamond" w:hAnsi="Garamond" w:cs="Times New Roman"/>
        </w:rPr>
        <w:t xml:space="preserve"> drejtave të saj për t’iu drejtuar gjykatës. Sipas së njëjtit parashtrim, kompania kërkuese u ankua për një kohëzgjatje të tepruar të procesit. Në vijim, në mbështetje të </w:t>
      </w:r>
      <w:r w:rsidR="00A929C9">
        <w:rPr>
          <w:rFonts w:ascii="Garamond" w:hAnsi="Garamond" w:cs="Times New Roman"/>
        </w:rPr>
        <w:t>n</w:t>
      </w:r>
      <w:r w:rsidRPr="008D1AA0">
        <w:rPr>
          <w:rFonts w:ascii="Garamond" w:hAnsi="Garamond" w:cs="Times New Roman"/>
        </w:rPr>
        <w:t xml:space="preserve">enit 13 të Konventës, kompania kërkuese u ankua se nuk kishte asnjë mjet vendas efektiv për ankesat e saj. </w:t>
      </w:r>
    </w:p>
    <w:p w14:paraId="70E4AD45" w14:textId="346E8048"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14. Qeveria parashtroi se kompania kërkuese nuk kishte shteruar mjetet vendase. Kompania kërkuese e kundërshtoi pretendimin, duke argumentuar se në periudhën kur kompania kërkuese kishte depozituar kërkesën e saj pranë Gjykatës, nuk ekzistonin mjetet vendase efikase për t’u shteruar. </w:t>
      </w:r>
    </w:p>
    <w:p w14:paraId="0FD82AE1" w14:textId="10885A1A"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15. Parimet e përgjithshme në lidhje me shterimin e mjeteve vendase dhe parimi i </w:t>
      </w:r>
      <w:proofErr w:type="spellStart"/>
      <w:r w:rsidRPr="008D1AA0">
        <w:rPr>
          <w:rFonts w:ascii="Garamond" w:hAnsi="Garamond" w:cs="Times New Roman"/>
        </w:rPr>
        <w:t>subsidiaritetit</w:t>
      </w:r>
      <w:proofErr w:type="spellEnd"/>
      <w:r w:rsidRPr="008D1AA0">
        <w:rPr>
          <w:rFonts w:ascii="Garamond" w:hAnsi="Garamond" w:cs="Times New Roman"/>
        </w:rPr>
        <w:t xml:space="preserve"> janë përmbledhur në vendimin </w:t>
      </w:r>
      <w:proofErr w:type="spellStart"/>
      <w:r w:rsidRPr="008D1AA0">
        <w:rPr>
          <w:rFonts w:ascii="Garamond" w:hAnsi="Garamond" w:cs="Times New Roman"/>
          <w:i/>
          <w:iCs/>
        </w:rPr>
        <w:t>Vučković</w:t>
      </w:r>
      <w:proofErr w:type="spellEnd"/>
      <w:r w:rsidRPr="008D1AA0">
        <w:rPr>
          <w:rFonts w:ascii="Garamond" w:hAnsi="Garamond" w:cs="Times New Roman"/>
          <w:i/>
          <w:iCs/>
        </w:rPr>
        <w:t xml:space="preserve"> dhe të </w:t>
      </w:r>
      <w:r w:rsidR="00A929C9">
        <w:rPr>
          <w:rFonts w:ascii="Garamond" w:hAnsi="Garamond" w:cs="Times New Roman"/>
          <w:i/>
          <w:iCs/>
        </w:rPr>
        <w:t>t</w:t>
      </w:r>
      <w:r w:rsidRPr="008D1AA0">
        <w:rPr>
          <w:rFonts w:ascii="Garamond" w:hAnsi="Garamond" w:cs="Times New Roman"/>
          <w:i/>
          <w:iCs/>
        </w:rPr>
        <w:t xml:space="preserve">jerët kundër Serbisë </w:t>
      </w:r>
      <w:r w:rsidRPr="008D1AA0">
        <w:rPr>
          <w:rFonts w:ascii="Garamond" w:hAnsi="Garamond" w:cs="Times New Roman"/>
        </w:rPr>
        <w:t>((kundërshtimi paraprak) [</w:t>
      </w:r>
      <w:proofErr w:type="spellStart"/>
      <w:r w:rsidRPr="008D1AA0">
        <w:rPr>
          <w:rFonts w:ascii="Garamond" w:hAnsi="Garamond" w:cs="Times New Roman"/>
        </w:rPr>
        <w:t>DHM</w:t>
      </w:r>
      <w:proofErr w:type="spellEnd"/>
      <w:r w:rsidRPr="008D1AA0">
        <w:rPr>
          <w:rFonts w:ascii="Garamond" w:hAnsi="Garamond" w:cs="Times New Roman"/>
        </w:rPr>
        <w:t xml:space="preserve">], nr. 17153/11 dhe 29 të tjerë, §§ 69-77, 25 </w:t>
      </w:r>
      <w:r w:rsidR="00A929C9">
        <w:rPr>
          <w:rFonts w:ascii="Garamond" w:hAnsi="Garamond" w:cs="Times New Roman"/>
        </w:rPr>
        <w:t>m</w:t>
      </w:r>
      <w:r w:rsidRPr="008D1AA0">
        <w:rPr>
          <w:rFonts w:ascii="Garamond" w:hAnsi="Garamond" w:cs="Times New Roman"/>
        </w:rPr>
        <w:t xml:space="preserve">ars 2014). Veçanërisht për sa i përket Shqipërisë, pas ndryshimeve të datës 12 </w:t>
      </w:r>
      <w:r w:rsidR="00A929C9">
        <w:rPr>
          <w:rFonts w:ascii="Garamond" w:hAnsi="Garamond" w:cs="Times New Roman"/>
        </w:rPr>
        <w:t>g</w:t>
      </w:r>
      <w:r w:rsidRPr="008D1AA0">
        <w:rPr>
          <w:rFonts w:ascii="Garamond" w:hAnsi="Garamond" w:cs="Times New Roman"/>
        </w:rPr>
        <w:t xml:space="preserve">usht 2016 në lidhje me juridiksionin e Gjykatës Kushtetuese, në parim, një rekurs kushtetues bëhej mjeti </w:t>
      </w:r>
      <w:r w:rsidRPr="008D1AA0">
        <w:rPr>
          <w:rFonts w:ascii="Garamond" w:hAnsi="Garamond" w:cs="Times New Roman"/>
        </w:rPr>
        <w:lastRenderedPageBreak/>
        <w:t xml:space="preserve">efektiv për t’u shteruar për të gjitha ankesat e bëra në mbështetje të Konventës (shih </w:t>
      </w:r>
      <w:proofErr w:type="spellStart"/>
      <w:r w:rsidRPr="008D1AA0">
        <w:rPr>
          <w:rFonts w:ascii="Garamond" w:hAnsi="Garamond" w:cs="Times New Roman"/>
          <w:i/>
          <w:iCs/>
        </w:rPr>
        <w:t>Fullani</w:t>
      </w:r>
      <w:proofErr w:type="spellEnd"/>
      <w:r w:rsidRPr="008D1AA0">
        <w:rPr>
          <w:rFonts w:ascii="Garamond" w:hAnsi="Garamond" w:cs="Times New Roman"/>
          <w:i/>
          <w:iCs/>
        </w:rPr>
        <w:t xml:space="preserve"> kundër Shqipërisë</w:t>
      </w:r>
      <w:r w:rsidRPr="008D1AA0">
        <w:rPr>
          <w:rFonts w:ascii="Garamond" w:hAnsi="Garamond" w:cs="Times New Roman"/>
        </w:rPr>
        <w:t xml:space="preserve">, (vendim) nr. 4586/18, § 79, 20 </w:t>
      </w:r>
      <w:r w:rsidR="00A929C9" w:rsidRPr="008D1AA0">
        <w:rPr>
          <w:rFonts w:ascii="Garamond" w:hAnsi="Garamond" w:cs="Times New Roman"/>
        </w:rPr>
        <w:t xml:space="preserve">shtator </w:t>
      </w:r>
      <w:r w:rsidRPr="008D1AA0">
        <w:rPr>
          <w:rFonts w:ascii="Garamond" w:hAnsi="Garamond" w:cs="Times New Roman"/>
        </w:rPr>
        <w:t xml:space="preserve">2022). Gjithashtu, në lidhje me ankesat për kohëzgjatjen e procesit, mjeti i ri që hyri në fuqi më 5 </w:t>
      </w:r>
      <w:r w:rsidR="00A929C9" w:rsidRPr="008D1AA0">
        <w:rPr>
          <w:rFonts w:ascii="Garamond" w:hAnsi="Garamond" w:cs="Times New Roman"/>
        </w:rPr>
        <w:t xml:space="preserve">nëntor </w:t>
      </w:r>
      <w:r w:rsidRPr="008D1AA0">
        <w:rPr>
          <w:rFonts w:ascii="Garamond" w:hAnsi="Garamond" w:cs="Times New Roman"/>
        </w:rPr>
        <w:t xml:space="preserve">2017, në parim duhet të shterohet përpara depozitimit të një ankese pranë Gjykatës (shih </w:t>
      </w:r>
      <w:proofErr w:type="spellStart"/>
      <w:r w:rsidRPr="008D1AA0">
        <w:rPr>
          <w:rFonts w:ascii="Garamond" w:hAnsi="Garamond" w:cs="Times New Roman"/>
          <w:i/>
          <w:iCs/>
        </w:rPr>
        <w:t>Bara</w:t>
      </w:r>
      <w:proofErr w:type="spellEnd"/>
      <w:r w:rsidRPr="008D1AA0">
        <w:rPr>
          <w:rFonts w:ascii="Garamond" w:hAnsi="Garamond" w:cs="Times New Roman"/>
          <w:i/>
          <w:iCs/>
        </w:rPr>
        <w:t xml:space="preserve"> dhe </w:t>
      </w:r>
      <w:proofErr w:type="spellStart"/>
      <w:r w:rsidRPr="008D1AA0">
        <w:rPr>
          <w:rFonts w:ascii="Garamond" w:hAnsi="Garamond" w:cs="Times New Roman"/>
          <w:i/>
          <w:iCs/>
        </w:rPr>
        <w:t>Kola</w:t>
      </w:r>
      <w:proofErr w:type="spellEnd"/>
      <w:r w:rsidRPr="008D1AA0">
        <w:rPr>
          <w:rFonts w:ascii="Garamond" w:hAnsi="Garamond" w:cs="Times New Roman"/>
          <w:i/>
          <w:iCs/>
        </w:rPr>
        <w:t xml:space="preserve"> kundër Shqipërisë, </w:t>
      </w:r>
      <w:r w:rsidRPr="008D1AA0">
        <w:rPr>
          <w:rFonts w:ascii="Garamond" w:hAnsi="Garamond" w:cs="Times New Roman"/>
        </w:rPr>
        <w:t>nr. 43391/18 dhe 17766/19</w:t>
      </w:r>
      <w:r w:rsidRPr="008D1AA0">
        <w:rPr>
          <w:rFonts w:ascii="Garamond" w:hAnsi="Garamond" w:cs="Times New Roman"/>
          <w:i/>
          <w:iCs/>
        </w:rPr>
        <w:t xml:space="preserve">, </w:t>
      </w:r>
      <w:r w:rsidRPr="008D1AA0">
        <w:rPr>
          <w:rFonts w:ascii="Garamond" w:hAnsi="Garamond" w:cs="Times New Roman"/>
        </w:rPr>
        <w:t xml:space="preserve">§ 119, 12 </w:t>
      </w:r>
      <w:r w:rsidR="00892ACA">
        <w:rPr>
          <w:rFonts w:ascii="Garamond" w:hAnsi="Garamond" w:cs="Times New Roman"/>
        </w:rPr>
        <w:t>t</w:t>
      </w:r>
      <w:r w:rsidRPr="008D1AA0">
        <w:rPr>
          <w:rFonts w:ascii="Garamond" w:hAnsi="Garamond" w:cs="Times New Roman"/>
        </w:rPr>
        <w:t xml:space="preserve">etor 2021). </w:t>
      </w:r>
    </w:p>
    <w:p w14:paraId="3AE57BCB" w14:textId="436FE5DF" w:rsidR="005571FB" w:rsidRPr="008D1AA0" w:rsidRDefault="005571FB" w:rsidP="005571FB">
      <w:pPr>
        <w:numPr>
          <w:ilvl w:val="0"/>
          <w:numId w:val="41"/>
        </w:numPr>
        <w:autoSpaceDE w:val="0"/>
        <w:autoSpaceDN w:val="0"/>
        <w:adjustRightInd w:val="0"/>
        <w:ind w:firstLine="284"/>
        <w:jc w:val="both"/>
        <w:rPr>
          <w:rFonts w:ascii="Garamond" w:hAnsi="Garamond" w:cs="Times New Roman"/>
          <w:i/>
          <w:iCs/>
        </w:rPr>
      </w:pPr>
      <w:r w:rsidRPr="008D1AA0">
        <w:rPr>
          <w:rFonts w:ascii="Garamond" w:hAnsi="Garamond" w:cs="Times New Roman"/>
          <w:i/>
          <w:iCs/>
        </w:rPr>
        <w:t xml:space="preserve"> E drejta për t’iu drejtuar gjykatës</w:t>
      </w:r>
    </w:p>
    <w:p w14:paraId="5474F768" w14:textId="74F36969"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16. Gjykata thekson se më 18 </w:t>
      </w:r>
      <w:r w:rsidR="00A929C9" w:rsidRPr="008D1AA0">
        <w:rPr>
          <w:rFonts w:ascii="Garamond" w:hAnsi="Garamond" w:cs="Times New Roman"/>
        </w:rPr>
        <w:t xml:space="preserve">tetor </w:t>
      </w:r>
      <w:r w:rsidRPr="008D1AA0">
        <w:rPr>
          <w:rFonts w:ascii="Garamond" w:hAnsi="Garamond" w:cs="Times New Roman"/>
        </w:rPr>
        <w:t xml:space="preserve">2019, kur kompania kërkuese depozitoi kërkesën konkrete pranë Gjykatës, Gjykata e Lartë dhe Gjykata Kushtetuese në të vërtetë nuk mund të merrnin një vendim të menjëhershëm për ankesën e saj në lidhje me të drejtën e saj për t’iu drejtuar gjykatës, ankesë e cila tashmë është përpara Gjykatës. Megjithatë, nuk diskutohet që kjo ishte një situatë e përkohshme që autoritetet vendase po përpiqeshin ta adresonin, dhe që gjykatat më të larta po pranonin rekurse të depozituar pranë tyre në mënyrën tradicionale. Gjithashtu, palët nuk trajtojnë midis tyre se më 14 </w:t>
      </w:r>
      <w:r w:rsidR="00A929C9" w:rsidRPr="008D1AA0">
        <w:rPr>
          <w:rFonts w:ascii="Garamond" w:hAnsi="Garamond" w:cs="Times New Roman"/>
        </w:rPr>
        <w:t xml:space="preserve">korrik </w:t>
      </w:r>
      <w:r w:rsidRPr="008D1AA0">
        <w:rPr>
          <w:rFonts w:ascii="Garamond" w:hAnsi="Garamond" w:cs="Times New Roman"/>
        </w:rPr>
        <w:t xml:space="preserve">2021, datë kur Gjykata e Lartë shpalli vendimin për rekursin e kompanisë kërkuese në Gjykatën e Lartë (shih paragrafin 7 më sipër), Gjykata Kushtetuese ishte operative. Në të vërtetë, në atë periudhë, Gjykata Kushtetuese kishte qenë operative për më shumë se 21 muaj, që prej datës 14 </w:t>
      </w:r>
      <w:r w:rsidR="00A929C9" w:rsidRPr="008D1AA0">
        <w:rPr>
          <w:rFonts w:ascii="Garamond" w:hAnsi="Garamond" w:cs="Times New Roman"/>
        </w:rPr>
        <w:t xml:space="preserve">nëntor </w:t>
      </w:r>
      <w:r w:rsidRPr="008D1AA0">
        <w:rPr>
          <w:rFonts w:ascii="Garamond" w:hAnsi="Garamond" w:cs="Times New Roman"/>
        </w:rPr>
        <w:t xml:space="preserve">2019, datë në të cilën kishte rifituar kuorumin e nevojshëm për të gjykuar për disa prej rekurseve depozituar pranë saj (shih paragrafin 12). Edhe pse mundësia praktike e dëgjimit të rekursit kushtetues u mundësua vetëm pas datës së depozitimit të kërkesës së saj, kompanisë kërkuese iu kërkua sidoqoftë që ta shteronte atë mjet për të drejtën e saj për ta drejtuar ankesën në gjykatë. </w:t>
      </w:r>
    </w:p>
    <w:p w14:paraId="26442AC6" w14:textId="61E75A9A"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17. Në parashtrimet e saj të fundit, më 28 </w:t>
      </w:r>
      <w:r w:rsidR="00F571A1">
        <w:rPr>
          <w:rFonts w:ascii="Garamond" w:hAnsi="Garamond" w:cs="Times New Roman"/>
        </w:rPr>
        <w:t>s</w:t>
      </w:r>
      <w:r w:rsidRPr="008D1AA0">
        <w:rPr>
          <w:rFonts w:ascii="Garamond" w:hAnsi="Garamond" w:cs="Times New Roman"/>
        </w:rPr>
        <w:t xml:space="preserve">hkurt 2022 pranë Gjykatës, kompania kërkuese nuk bëri të qartë nëse kishte paraqitur një ankesë kushtetuese ndaj vendimit të Gjykatës së Lartë. Nëse ajo e ka depozituar një rekurs të tillë kushtetues, nuk ka ende asnjë </w:t>
      </w:r>
      <w:proofErr w:type="spellStart"/>
      <w:r w:rsidRPr="008D1AA0">
        <w:rPr>
          <w:rFonts w:ascii="Garamond" w:hAnsi="Garamond" w:cs="Times New Roman"/>
        </w:rPr>
        <w:t>indicie</w:t>
      </w:r>
      <w:proofErr w:type="spellEnd"/>
      <w:r w:rsidRPr="008D1AA0">
        <w:rPr>
          <w:rFonts w:ascii="Garamond" w:hAnsi="Garamond" w:cs="Times New Roman"/>
        </w:rPr>
        <w:t xml:space="preserve"> se Gjykata Kushtetuese ka nisur gjykimin për të. Për këtë arsye, kjo ankesë pranë Gjykatës në çdo rast është e parakohshme (shih në të njëjtin koncept, </w:t>
      </w:r>
      <w:proofErr w:type="spellStart"/>
      <w:r w:rsidRPr="008D1AA0">
        <w:rPr>
          <w:rFonts w:ascii="Garamond" w:hAnsi="Garamond" w:cs="Times New Roman"/>
          <w:i/>
          <w:iCs/>
        </w:rPr>
        <w:t>Gjinarari</w:t>
      </w:r>
      <w:proofErr w:type="spellEnd"/>
      <w:r w:rsidRPr="008D1AA0">
        <w:rPr>
          <w:rFonts w:ascii="Garamond" w:hAnsi="Garamond" w:cs="Times New Roman"/>
          <w:i/>
          <w:iCs/>
        </w:rPr>
        <w:t xml:space="preserve"> kundër Shqipërisë </w:t>
      </w:r>
      <w:r w:rsidRPr="008D1AA0">
        <w:rPr>
          <w:rFonts w:ascii="Garamond" w:hAnsi="Garamond" w:cs="Times New Roman"/>
        </w:rPr>
        <w:t xml:space="preserve">(vendim) [Komisioni], nr. 52610/19, §§ 14 dhe 20, 22 </w:t>
      </w:r>
      <w:r w:rsidR="00F571A1">
        <w:rPr>
          <w:rFonts w:ascii="Garamond" w:hAnsi="Garamond" w:cs="Times New Roman"/>
        </w:rPr>
        <w:t>n</w:t>
      </w:r>
      <w:r w:rsidRPr="008D1AA0">
        <w:rPr>
          <w:rFonts w:ascii="Garamond" w:hAnsi="Garamond" w:cs="Times New Roman"/>
        </w:rPr>
        <w:t xml:space="preserve">ëntor 2022). I takon kompanisë kërkuese që </w:t>
      </w:r>
      <w:r w:rsidR="00F571A1">
        <w:rPr>
          <w:rFonts w:ascii="Garamond" w:hAnsi="Garamond" w:cs="Times New Roman"/>
        </w:rPr>
        <w:t>t</w:t>
      </w:r>
      <w:r w:rsidRPr="008D1AA0">
        <w:rPr>
          <w:rFonts w:ascii="Garamond" w:hAnsi="Garamond" w:cs="Times New Roman"/>
        </w:rPr>
        <w:t xml:space="preserve">ë </w:t>
      </w:r>
      <w:proofErr w:type="spellStart"/>
      <w:r w:rsidRPr="008D1AA0">
        <w:rPr>
          <w:rFonts w:ascii="Garamond" w:hAnsi="Garamond" w:cs="Times New Roman"/>
        </w:rPr>
        <w:t>ridepozitojë</w:t>
      </w:r>
      <w:proofErr w:type="spellEnd"/>
      <w:r w:rsidRPr="008D1AA0">
        <w:rPr>
          <w:rFonts w:ascii="Garamond" w:hAnsi="Garamond" w:cs="Times New Roman"/>
        </w:rPr>
        <w:t xml:space="preserve"> ankesën pranë Gjykatës pas shterimit të mjeteve vendase. </w:t>
      </w:r>
    </w:p>
    <w:p w14:paraId="78FF3A7E" w14:textId="358A7F3F" w:rsidR="005571FB" w:rsidRPr="008D1AA0" w:rsidRDefault="005571FB" w:rsidP="005571FB">
      <w:pPr>
        <w:autoSpaceDE w:val="0"/>
        <w:autoSpaceDN w:val="0"/>
        <w:adjustRightInd w:val="0"/>
        <w:ind w:firstLine="284"/>
        <w:jc w:val="both"/>
        <w:rPr>
          <w:rFonts w:ascii="Garamond" w:hAnsi="Garamond" w:cs="Times New Roman"/>
          <w:i/>
          <w:iCs/>
        </w:rPr>
      </w:pPr>
      <w:r w:rsidRPr="008D1AA0">
        <w:rPr>
          <w:rFonts w:ascii="Garamond" w:hAnsi="Garamond" w:cs="Times New Roman"/>
          <w:i/>
          <w:iCs/>
        </w:rPr>
        <w:t>2. Kohëzgjatja e procesit</w:t>
      </w:r>
    </w:p>
    <w:p w14:paraId="63C2C264" w14:textId="6E24FE2D"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18. Në lidhje me pretendimin për shkelje të kërkesës për “afat të arsyeshëm”, sipas </w:t>
      </w:r>
      <w:r w:rsidR="00F571A1">
        <w:rPr>
          <w:rFonts w:ascii="Garamond" w:hAnsi="Garamond" w:cs="Times New Roman"/>
        </w:rPr>
        <w:t>n</w:t>
      </w:r>
      <w:r w:rsidRPr="008D1AA0">
        <w:rPr>
          <w:rFonts w:ascii="Garamond" w:hAnsi="Garamond" w:cs="Times New Roman"/>
        </w:rPr>
        <w:t xml:space="preserve">enit 6 § 1 të Konventës, që prej datës 5 </w:t>
      </w:r>
      <w:r w:rsidR="00F571A1">
        <w:rPr>
          <w:rFonts w:ascii="Garamond" w:hAnsi="Garamond" w:cs="Times New Roman"/>
        </w:rPr>
        <w:t>n</w:t>
      </w:r>
      <w:r w:rsidRPr="008D1AA0">
        <w:rPr>
          <w:rFonts w:ascii="Garamond" w:hAnsi="Garamond" w:cs="Times New Roman"/>
        </w:rPr>
        <w:t xml:space="preserve">ëntor 2017, sistemi ligjor shqiptar ka parashikuar një mjet të posaçëm në lidhje me këtë ankesë, i cili ka të bëjë me masën </w:t>
      </w:r>
      <w:proofErr w:type="spellStart"/>
      <w:r w:rsidRPr="008D1AA0">
        <w:rPr>
          <w:rFonts w:ascii="Garamond" w:hAnsi="Garamond" w:cs="Times New Roman"/>
        </w:rPr>
        <w:t>kompensuese</w:t>
      </w:r>
      <w:proofErr w:type="spellEnd"/>
      <w:r w:rsidRPr="008D1AA0">
        <w:rPr>
          <w:rFonts w:ascii="Garamond" w:hAnsi="Garamond" w:cs="Times New Roman"/>
        </w:rPr>
        <w:t xml:space="preserve"> dhe/ose përshpejtuese sipas </w:t>
      </w:r>
      <w:r w:rsidR="00F571A1">
        <w:rPr>
          <w:rFonts w:ascii="Garamond" w:hAnsi="Garamond" w:cs="Times New Roman"/>
        </w:rPr>
        <w:t>n</w:t>
      </w:r>
      <w:r w:rsidRPr="008D1AA0">
        <w:rPr>
          <w:rFonts w:ascii="Garamond" w:hAnsi="Garamond" w:cs="Times New Roman"/>
        </w:rPr>
        <w:t xml:space="preserve">enit 399/1 e në vijim të </w:t>
      </w:r>
      <w:proofErr w:type="spellStart"/>
      <w:r w:rsidRPr="008D1AA0">
        <w:rPr>
          <w:rFonts w:ascii="Garamond" w:hAnsi="Garamond" w:cs="Times New Roman"/>
        </w:rPr>
        <w:t>KPC</w:t>
      </w:r>
      <w:proofErr w:type="spellEnd"/>
      <w:r w:rsidRPr="008D1AA0">
        <w:rPr>
          <w:rFonts w:ascii="Garamond" w:hAnsi="Garamond" w:cs="Times New Roman"/>
        </w:rPr>
        <w:t xml:space="preserve"> (shih </w:t>
      </w:r>
      <w:proofErr w:type="spellStart"/>
      <w:r w:rsidRPr="008D1AA0">
        <w:rPr>
          <w:rFonts w:ascii="Garamond" w:hAnsi="Garamond" w:cs="Times New Roman"/>
          <w:i/>
          <w:iCs/>
        </w:rPr>
        <w:t>Bara</w:t>
      </w:r>
      <w:proofErr w:type="spellEnd"/>
      <w:r w:rsidRPr="008D1AA0">
        <w:rPr>
          <w:rFonts w:ascii="Garamond" w:hAnsi="Garamond" w:cs="Times New Roman"/>
          <w:i/>
          <w:iCs/>
        </w:rPr>
        <w:t xml:space="preserve"> dhe </w:t>
      </w:r>
      <w:proofErr w:type="spellStart"/>
      <w:r w:rsidRPr="008D1AA0">
        <w:rPr>
          <w:rFonts w:ascii="Garamond" w:hAnsi="Garamond" w:cs="Times New Roman"/>
          <w:i/>
          <w:iCs/>
        </w:rPr>
        <w:t>Kola</w:t>
      </w:r>
      <w:proofErr w:type="spellEnd"/>
      <w:r w:rsidRPr="008D1AA0">
        <w:rPr>
          <w:rFonts w:ascii="Garamond" w:hAnsi="Garamond" w:cs="Times New Roman"/>
        </w:rPr>
        <w:t xml:space="preserve">, cituar më sipër, §§ 37 dhe 119). </w:t>
      </w:r>
    </w:p>
    <w:p w14:paraId="41A873D5" w14:textId="1C466FF3"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19. Në periudhën midis datës 5 </w:t>
      </w:r>
      <w:r w:rsidR="00F571A1">
        <w:rPr>
          <w:rFonts w:ascii="Garamond" w:hAnsi="Garamond" w:cs="Times New Roman"/>
        </w:rPr>
        <w:t>n</w:t>
      </w:r>
      <w:r w:rsidRPr="008D1AA0">
        <w:rPr>
          <w:rFonts w:ascii="Garamond" w:hAnsi="Garamond" w:cs="Times New Roman"/>
        </w:rPr>
        <w:t xml:space="preserve">ëntor 2017 dhe 22 </w:t>
      </w:r>
      <w:r w:rsidR="00F571A1">
        <w:rPr>
          <w:rFonts w:ascii="Garamond" w:hAnsi="Garamond" w:cs="Times New Roman"/>
        </w:rPr>
        <w:t>m</w:t>
      </w:r>
      <w:r w:rsidRPr="008D1AA0">
        <w:rPr>
          <w:rFonts w:ascii="Garamond" w:hAnsi="Garamond" w:cs="Times New Roman"/>
        </w:rPr>
        <w:t xml:space="preserve">aj 2019, periudhë në të cilën Gjykata e Lartë humbi përkohësisht kuorumin e nevojshëm për të gjykuar çfarëdo kërkese (shih paragrafët 10 dhe 11 më sipër), çështja e kompanisë kërkuese ishte ende pezull pranë Gjykatës së Lartë. Për këtë arsye, i takonte kompanisë kërkuese të depozitonte një padi dhe të merrte vendimin e Gjykatës së Lartë sipas </w:t>
      </w:r>
      <w:r w:rsidR="00F571A1">
        <w:rPr>
          <w:rFonts w:ascii="Garamond" w:hAnsi="Garamond" w:cs="Times New Roman"/>
        </w:rPr>
        <w:t>n</w:t>
      </w:r>
      <w:r w:rsidRPr="008D1AA0">
        <w:rPr>
          <w:rFonts w:ascii="Garamond" w:hAnsi="Garamond" w:cs="Times New Roman"/>
        </w:rPr>
        <w:t xml:space="preserve">enit 399/1 e në vijim të </w:t>
      </w:r>
      <w:proofErr w:type="spellStart"/>
      <w:r w:rsidRPr="008D1AA0">
        <w:rPr>
          <w:rFonts w:ascii="Garamond" w:hAnsi="Garamond" w:cs="Times New Roman"/>
        </w:rPr>
        <w:t>KPC</w:t>
      </w:r>
      <w:proofErr w:type="spellEnd"/>
      <w:r w:rsidRPr="008D1AA0">
        <w:rPr>
          <w:rFonts w:ascii="Garamond" w:hAnsi="Garamond" w:cs="Times New Roman"/>
        </w:rPr>
        <w:t xml:space="preserve">. Në të vërtetë, gjykata mori dhe gjykoi çështje të tjera të ngjashme gjatë asaj periudhe (shih </w:t>
      </w:r>
      <w:proofErr w:type="spellStart"/>
      <w:r w:rsidRPr="008D1AA0">
        <w:rPr>
          <w:rFonts w:ascii="Garamond" w:hAnsi="Garamond" w:cs="Times New Roman"/>
          <w:i/>
          <w:iCs/>
        </w:rPr>
        <w:t>Bara</w:t>
      </w:r>
      <w:proofErr w:type="spellEnd"/>
      <w:r w:rsidRPr="008D1AA0">
        <w:rPr>
          <w:rFonts w:ascii="Garamond" w:hAnsi="Garamond" w:cs="Times New Roman"/>
          <w:i/>
          <w:iCs/>
        </w:rPr>
        <w:t xml:space="preserve"> dhe </w:t>
      </w:r>
      <w:proofErr w:type="spellStart"/>
      <w:r w:rsidRPr="008D1AA0">
        <w:rPr>
          <w:rFonts w:ascii="Garamond" w:hAnsi="Garamond" w:cs="Times New Roman"/>
          <w:i/>
          <w:iCs/>
        </w:rPr>
        <w:t>Kola</w:t>
      </w:r>
      <w:proofErr w:type="spellEnd"/>
      <w:r w:rsidRPr="008D1AA0">
        <w:rPr>
          <w:rFonts w:ascii="Garamond" w:hAnsi="Garamond" w:cs="Times New Roman"/>
        </w:rPr>
        <w:t xml:space="preserve">, cituar më sipër, §§ 39-43). Megjithatë, kompania kërkuese nuk e përdori atë mundësi për të paraqitur ankesën e saj për kohëzgjatjen e procesit pranë Gjykatës së Lartë. </w:t>
      </w:r>
    </w:p>
    <w:p w14:paraId="767095BB" w14:textId="243B8483"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lastRenderedPageBreak/>
        <w:t xml:space="preserve">20. Nga data 22 </w:t>
      </w:r>
      <w:r w:rsidR="00F571A1" w:rsidRPr="008D1AA0">
        <w:rPr>
          <w:rFonts w:ascii="Garamond" w:hAnsi="Garamond" w:cs="Times New Roman"/>
        </w:rPr>
        <w:t xml:space="preserve">maj </w:t>
      </w:r>
      <w:r w:rsidRPr="008D1AA0">
        <w:rPr>
          <w:rFonts w:ascii="Garamond" w:hAnsi="Garamond" w:cs="Times New Roman"/>
        </w:rPr>
        <w:t xml:space="preserve">2019 deri më 18 </w:t>
      </w:r>
      <w:r w:rsidR="00F571A1" w:rsidRPr="008D1AA0">
        <w:rPr>
          <w:rFonts w:ascii="Garamond" w:hAnsi="Garamond" w:cs="Times New Roman"/>
        </w:rPr>
        <w:t xml:space="preserve">mars </w:t>
      </w:r>
      <w:r w:rsidRPr="008D1AA0">
        <w:rPr>
          <w:rFonts w:ascii="Garamond" w:hAnsi="Garamond" w:cs="Times New Roman"/>
        </w:rPr>
        <w:t xml:space="preserve">2020, Gjykatës së Lartë i mungonte kuorumi për shqyrtimin e një padie të mundshme, sipas </w:t>
      </w:r>
      <w:r w:rsidR="00F571A1" w:rsidRPr="008D1AA0">
        <w:rPr>
          <w:rFonts w:ascii="Garamond" w:hAnsi="Garamond" w:cs="Times New Roman"/>
        </w:rPr>
        <w:t xml:space="preserve">nenit </w:t>
      </w:r>
      <w:r w:rsidRPr="008D1AA0">
        <w:rPr>
          <w:rFonts w:ascii="Garamond" w:hAnsi="Garamond" w:cs="Times New Roman"/>
        </w:rPr>
        <w:t xml:space="preserve">399/1 e në vijim të </w:t>
      </w:r>
      <w:proofErr w:type="spellStart"/>
      <w:r w:rsidRPr="008D1AA0">
        <w:rPr>
          <w:rFonts w:ascii="Garamond" w:hAnsi="Garamond" w:cs="Times New Roman"/>
        </w:rPr>
        <w:t>KPC</w:t>
      </w:r>
      <w:proofErr w:type="spellEnd"/>
      <w:r w:rsidRPr="008D1AA0">
        <w:rPr>
          <w:rFonts w:ascii="Garamond" w:hAnsi="Garamond" w:cs="Times New Roman"/>
        </w:rPr>
        <w:t xml:space="preserve">, gjë e cila, është e kuptueshme, që mund të ketë shkaktuar ngurrim për kompaninë kërkuese që ta paraqiste atë kërkesë pranë gjykatës. Megjithatë, theksohet përsëri se pranë Gjykatës nuk u ngrit çështja se mungesa e kuorumit ishte një situatë e përkohshme  dhe për këtë arsye çdo kërkesë depozituar pranë gjykatës gjatë asaj periudhe do të shqyrtohej sapo Gjykata e Lartë të rifitonte kuorumin e nevojshëm. Në të vërtetë, Gjykata e Lartë rifitoi kuorumin e nevojshëm më 18 </w:t>
      </w:r>
      <w:r w:rsidR="00F571A1">
        <w:rPr>
          <w:rFonts w:ascii="Garamond" w:hAnsi="Garamond" w:cs="Times New Roman"/>
        </w:rPr>
        <w:t>m</w:t>
      </w:r>
      <w:r w:rsidRPr="008D1AA0">
        <w:rPr>
          <w:rFonts w:ascii="Garamond" w:hAnsi="Garamond" w:cs="Times New Roman"/>
        </w:rPr>
        <w:t xml:space="preserve">ars 2020 (shih paragrafin 11 më sipër), datë në të cilën pranë saj nuk kishte asnjë kërkesë pezull paraqitur nga kompania kërkuese sipas </w:t>
      </w:r>
      <w:r w:rsidR="00F571A1" w:rsidRPr="008D1AA0">
        <w:rPr>
          <w:rFonts w:ascii="Garamond" w:hAnsi="Garamond" w:cs="Times New Roman"/>
        </w:rPr>
        <w:t xml:space="preserve">nenit </w:t>
      </w:r>
      <w:r w:rsidRPr="008D1AA0">
        <w:rPr>
          <w:rFonts w:ascii="Garamond" w:hAnsi="Garamond" w:cs="Times New Roman"/>
        </w:rPr>
        <w:t xml:space="preserve">399/1 e në vijim të </w:t>
      </w:r>
      <w:proofErr w:type="spellStart"/>
      <w:r w:rsidRPr="008D1AA0">
        <w:rPr>
          <w:rFonts w:ascii="Garamond" w:hAnsi="Garamond" w:cs="Times New Roman"/>
        </w:rPr>
        <w:t>KPC</w:t>
      </w:r>
      <w:proofErr w:type="spellEnd"/>
      <w:r w:rsidR="00F571A1">
        <w:rPr>
          <w:rFonts w:ascii="Garamond" w:hAnsi="Garamond" w:cs="Times New Roman"/>
        </w:rPr>
        <w:t>-s</w:t>
      </w:r>
      <w:r w:rsidR="00F571A1" w:rsidRPr="008D1AA0">
        <w:rPr>
          <w:rFonts w:ascii="Garamond" w:hAnsi="Garamond" w:cs="Times New Roman"/>
        </w:rPr>
        <w:t>ë</w:t>
      </w:r>
      <w:r w:rsidRPr="008D1AA0">
        <w:rPr>
          <w:rFonts w:ascii="Garamond" w:hAnsi="Garamond" w:cs="Times New Roman"/>
        </w:rPr>
        <w:t xml:space="preserve">. </w:t>
      </w:r>
    </w:p>
    <w:p w14:paraId="582D2197" w14:textId="1F10D222"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21. Së fundmi, nuk kishte asnjë arsye që e pengonte kompaninë kërkuese të paraqiste një kërkesë të tillë pranë gjykatës në periudhën nga data 18 </w:t>
      </w:r>
      <w:r w:rsidR="00D46302">
        <w:rPr>
          <w:rFonts w:ascii="Garamond" w:hAnsi="Garamond" w:cs="Times New Roman"/>
        </w:rPr>
        <w:t>m</w:t>
      </w:r>
      <w:r w:rsidRPr="008D1AA0">
        <w:rPr>
          <w:rFonts w:ascii="Garamond" w:hAnsi="Garamond" w:cs="Times New Roman"/>
        </w:rPr>
        <w:t xml:space="preserve">ars 2020 dhe 24 </w:t>
      </w:r>
      <w:r w:rsidR="00D46302">
        <w:rPr>
          <w:rFonts w:ascii="Garamond" w:hAnsi="Garamond" w:cs="Times New Roman"/>
        </w:rPr>
        <w:t>k</w:t>
      </w:r>
      <w:r w:rsidRPr="008D1AA0">
        <w:rPr>
          <w:rFonts w:ascii="Garamond" w:hAnsi="Garamond" w:cs="Times New Roman"/>
        </w:rPr>
        <w:t xml:space="preserve">orrik 2021, datë në të cilën Gjykata e Lartë e rrëzoi rekursin depozituar pranë saj në lidhje me meritat e mosmarrëveshjes (shih paragrafin 7 më sipër dhe </w:t>
      </w:r>
      <w:proofErr w:type="spellStart"/>
      <w:r w:rsidRPr="008D1AA0">
        <w:rPr>
          <w:rFonts w:ascii="Garamond" w:hAnsi="Garamond" w:cs="Times New Roman"/>
          <w:i/>
          <w:iCs/>
        </w:rPr>
        <w:t>Bara</w:t>
      </w:r>
      <w:proofErr w:type="spellEnd"/>
      <w:r w:rsidRPr="008D1AA0">
        <w:rPr>
          <w:rFonts w:ascii="Garamond" w:hAnsi="Garamond" w:cs="Times New Roman"/>
          <w:i/>
          <w:iCs/>
        </w:rPr>
        <w:t xml:space="preserve"> dhe </w:t>
      </w:r>
      <w:proofErr w:type="spellStart"/>
      <w:r w:rsidRPr="008D1AA0">
        <w:rPr>
          <w:rFonts w:ascii="Garamond" w:hAnsi="Garamond" w:cs="Times New Roman"/>
          <w:i/>
          <w:iCs/>
        </w:rPr>
        <w:t>Kola</w:t>
      </w:r>
      <w:proofErr w:type="spellEnd"/>
      <w:r w:rsidRPr="008D1AA0">
        <w:rPr>
          <w:rFonts w:ascii="Garamond" w:hAnsi="Garamond" w:cs="Times New Roman"/>
          <w:i/>
          <w:iCs/>
        </w:rPr>
        <w:t xml:space="preserve">, </w:t>
      </w:r>
      <w:r w:rsidRPr="008D1AA0">
        <w:rPr>
          <w:rFonts w:ascii="Garamond" w:hAnsi="Garamond" w:cs="Times New Roman"/>
        </w:rPr>
        <w:t xml:space="preserve">cituar më sipër, § 15, ku tregohet se gjatë asaj periudhe Gjykata e Lartë gjykonte kërkesat e depozituara nga palë të tjera sipas </w:t>
      </w:r>
      <w:r w:rsidR="00F714B4">
        <w:rPr>
          <w:rFonts w:ascii="Garamond" w:hAnsi="Garamond" w:cs="Times New Roman"/>
        </w:rPr>
        <w:t>n</w:t>
      </w:r>
      <w:r w:rsidRPr="008D1AA0">
        <w:rPr>
          <w:rFonts w:ascii="Garamond" w:hAnsi="Garamond" w:cs="Times New Roman"/>
        </w:rPr>
        <w:t xml:space="preserve">enit 399/1 e në vijim të </w:t>
      </w:r>
      <w:proofErr w:type="spellStart"/>
      <w:r w:rsidRPr="008D1AA0">
        <w:rPr>
          <w:rFonts w:ascii="Garamond" w:hAnsi="Garamond" w:cs="Times New Roman"/>
        </w:rPr>
        <w:t>KPC</w:t>
      </w:r>
      <w:proofErr w:type="spellEnd"/>
      <w:r w:rsidRPr="008D1AA0">
        <w:rPr>
          <w:rFonts w:ascii="Garamond" w:hAnsi="Garamond" w:cs="Times New Roman"/>
        </w:rPr>
        <w:t xml:space="preserve">). </w:t>
      </w:r>
    </w:p>
    <w:p w14:paraId="566E8508" w14:textId="11A187F8"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22. Në një vlerësim të përgjithshëm për rrethanat specifike të çështjes konkrete dhe pavarësisht çdo ngurrimi të krijuar nga mungesa e gjyqtarëve të mjaftueshëm në Gjykatën e Lartë për një periudhë të caktuar, Gjykata është e mendimin se kompanisë kërkuese, sidoqoftë, i është kërkuar që t’i jepte gjykatës mundësinë që të gjykonte ankesën e saj për pretendimin për kohëzgjatje të procesit sipas </w:t>
      </w:r>
      <w:r w:rsidR="00F714B4">
        <w:rPr>
          <w:rFonts w:ascii="Garamond" w:hAnsi="Garamond" w:cs="Times New Roman"/>
        </w:rPr>
        <w:t>n</w:t>
      </w:r>
      <w:r w:rsidRPr="008D1AA0">
        <w:rPr>
          <w:rFonts w:ascii="Garamond" w:hAnsi="Garamond" w:cs="Times New Roman"/>
        </w:rPr>
        <w:t xml:space="preserve">enit 399/1 e në vijim të </w:t>
      </w:r>
      <w:proofErr w:type="spellStart"/>
      <w:r w:rsidRPr="008D1AA0">
        <w:rPr>
          <w:rFonts w:ascii="Garamond" w:hAnsi="Garamond" w:cs="Times New Roman"/>
        </w:rPr>
        <w:t>KPC</w:t>
      </w:r>
      <w:proofErr w:type="spellEnd"/>
      <w:r w:rsidRPr="008D1AA0">
        <w:rPr>
          <w:rFonts w:ascii="Garamond" w:hAnsi="Garamond" w:cs="Times New Roman"/>
        </w:rPr>
        <w:t xml:space="preserve">. Pasi një gjë e tillë nuk u përmbush, ankesa është e papranueshme për mosshfrytëzim të mjeteve vendase sipas </w:t>
      </w:r>
      <w:r w:rsidR="00F714B4">
        <w:rPr>
          <w:rFonts w:ascii="Garamond" w:hAnsi="Garamond" w:cs="Times New Roman"/>
        </w:rPr>
        <w:t>n</w:t>
      </w:r>
      <w:r w:rsidRPr="008D1AA0">
        <w:rPr>
          <w:rFonts w:ascii="Garamond" w:hAnsi="Garamond" w:cs="Times New Roman"/>
        </w:rPr>
        <w:t>enit 35 §§ 1 dhe 4 të Konventës.</w:t>
      </w:r>
    </w:p>
    <w:p w14:paraId="35B2922C" w14:textId="7948778B" w:rsidR="005571FB" w:rsidRPr="008D1AA0" w:rsidRDefault="005571FB" w:rsidP="005571FB">
      <w:pPr>
        <w:autoSpaceDE w:val="0"/>
        <w:autoSpaceDN w:val="0"/>
        <w:adjustRightInd w:val="0"/>
        <w:ind w:firstLine="284"/>
        <w:jc w:val="both"/>
        <w:rPr>
          <w:rFonts w:ascii="Garamond" w:hAnsi="Garamond" w:cs="Times New Roman"/>
          <w:b/>
          <w:bCs/>
        </w:rPr>
      </w:pPr>
      <w:r w:rsidRPr="008D1AA0">
        <w:rPr>
          <w:rFonts w:ascii="Garamond" w:hAnsi="Garamond" w:cs="Times New Roman"/>
          <w:b/>
          <w:bCs/>
        </w:rPr>
        <w:t>B. E drejta për një mjet efektiv</w:t>
      </w:r>
    </w:p>
    <w:p w14:paraId="3DC264B3" w14:textId="4365DE68"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23. Kompania kërkuese e kishte pasur mundësinë për të paraqitur ankesat e saj pranë autoriteteve vendase (shih paragrafët 17 dhe 22 më sipër). Ankesa e saj në mbështetje të </w:t>
      </w:r>
      <w:r w:rsidR="00F714B4">
        <w:rPr>
          <w:rFonts w:ascii="Garamond" w:hAnsi="Garamond" w:cs="Times New Roman"/>
        </w:rPr>
        <w:t>n</w:t>
      </w:r>
      <w:r w:rsidRPr="008D1AA0">
        <w:rPr>
          <w:rFonts w:ascii="Garamond" w:hAnsi="Garamond" w:cs="Times New Roman"/>
        </w:rPr>
        <w:t xml:space="preserve">enit 13, së bashku me </w:t>
      </w:r>
      <w:r w:rsidR="00F714B4">
        <w:rPr>
          <w:rFonts w:ascii="Garamond" w:hAnsi="Garamond" w:cs="Times New Roman"/>
        </w:rPr>
        <w:t>n</w:t>
      </w:r>
      <w:r w:rsidRPr="008D1AA0">
        <w:rPr>
          <w:rFonts w:ascii="Garamond" w:hAnsi="Garamond" w:cs="Times New Roman"/>
        </w:rPr>
        <w:t xml:space="preserve">enin 6 të Konventës, se nuk kishte mjete efektive për të adresuar ankesat e saj, për këtë arsye është e pambështetur në fakte sipas interpretimit të </w:t>
      </w:r>
      <w:r w:rsidR="00F714B4">
        <w:rPr>
          <w:rFonts w:ascii="Garamond" w:hAnsi="Garamond" w:cs="Times New Roman"/>
        </w:rPr>
        <w:t>n</w:t>
      </w:r>
      <w:r w:rsidRPr="008D1AA0">
        <w:rPr>
          <w:rFonts w:ascii="Garamond" w:hAnsi="Garamond" w:cs="Times New Roman"/>
        </w:rPr>
        <w:t xml:space="preserve">enit 35 § 4 të Konventës. </w:t>
      </w:r>
    </w:p>
    <w:p w14:paraId="79C4F41E" w14:textId="77777777"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Për këto arsye, Gjykata, në mënyrë unanime, </w:t>
      </w:r>
    </w:p>
    <w:p w14:paraId="19FC0389" w14:textId="77777777"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i/>
          <w:iCs/>
        </w:rPr>
        <w:t xml:space="preserve">E deklaron </w:t>
      </w:r>
      <w:r w:rsidRPr="008D1AA0">
        <w:rPr>
          <w:rFonts w:ascii="Garamond" w:hAnsi="Garamond" w:cs="Times New Roman"/>
        </w:rPr>
        <w:t xml:space="preserve">kërkesën të papranueshme. </w:t>
      </w:r>
    </w:p>
    <w:p w14:paraId="19810FB9" w14:textId="6C72E1D9" w:rsidR="005571FB" w:rsidRPr="008D1AA0" w:rsidRDefault="005571FB" w:rsidP="005571FB">
      <w:pPr>
        <w:autoSpaceDE w:val="0"/>
        <w:autoSpaceDN w:val="0"/>
        <w:adjustRightInd w:val="0"/>
        <w:ind w:firstLine="284"/>
        <w:jc w:val="both"/>
        <w:rPr>
          <w:rFonts w:ascii="Garamond" w:hAnsi="Garamond" w:cs="Times New Roman"/>
        </w:rPr>
      </w:pPr>
      <w:r w:rsidRPr="008D1AA0">
        <w:rPr>
          <w:rFonts w:ascii="Garamond" w:hAnsi="Garamond" w:cs="Times New Roman"/>
        </w:rPr>
        <w:t xml:space="preserve">Hartuar në anglisht dhe njoftuar më shkrim më 22 </w:t>
      </w:r>
      <w:r w:rsidR="00F714B4">
        <w:rPr>
          <w:rFonts w:ascii="Garamond" w:hAnsi="Garamond" w:cs="Times New Roman"/>
        </w:rPr>
        <w:t>q</w:t>
      </w:r>
      <w:r w:rsidRPr="008D1AA0">
        <w:rPr>
          <w:rFonts w:ascii="Garamond" w:hAnsi="Garamond" w:cs="Times New Roman"/>
        </w:rPr>
        <w:t xml:space="preserve">ershor 2023. </w:t>
      </w:r>
    </w:p>
    <w:p w14:paraId="0744E109" w14:textId="77777777" w:rsidR="005571FB" w:rsidRPr="008D1AA0" w:rsidRDefault="005571FB" w:rsidP="005571FB">
      <w:pPr>
        <w:autoSpaceDE w:val="0"/>
        <w:autoSpaceDN w:val="0"/>
        <w:adjustRightInd w:val="0"/>
        <w:ind w:firstLine="284"/>
        <w:jc w:val="both"/>
        <w:rPr>
          <w:rFonts w:ascii="Garamond" w:hAnsi="Garamond" w:cs="Times New Roman"/>
        </w:rPr>
      </w:pPr>
    </w:p>
    <w:tbl>
      <w:tblPr>
        <w:tblStyle w:val="TableGrid"/>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gridCol w:w="2766"/>
      </w:tblGrid>
      <w:tr w:rsidR="005571FB" w:rsidRPr="008D1AA0" w14:paraId="22F0E085" w14:textId="77777777" w:rsidTr="005571FB">
        <w:tc>
          <w:tcPr>
            <w:tcW w:w="2478" w:type="dxa"/>
          </w:tcPr>
          <w:p w14:paraId="26B36175" w14:textId="0392D923" w:rsidR="005571FB" w:rsidRPr="008D1AA0" w:rsidRDefault="00390F26" w:rsidP="005571FB">
            <w:pPr>
              <w:autoSpaceDE w:val="0"/>
              <w:autoSpaceDN w:val="0"/>
              <w:adjustRightInd w:val="0"/>
              <w:jc w:val="center"/>
              <w:rPr>
                <w:rFonts w:ascii="Garamond" w:hAnsi="Garamond" w:cs="Times New Roman"/>
                <w:b/>
              </w:rPr>
            </w:pPr>
            <w:proofErr w:type="spellStart"/>
            <w:r w:rsidRPr="008D1AA0">
              <w:rPr>
                <w:rFonts w:ascii="Garamond" w:hAnsi="Garamond" w:cs="Times New Roman"/>
              </w:rPr>
              <w:t>ZËVENDËSREGJISTRARE</w:t>
            </w:r>
            <w:proofErr w:type="spellEnd"/>
            <w:r w:rsidRPr="008D1AA0">
              <w:rPr>
                <w:rFonts w:ascii="Garamond" w:hAnsi="Garamond" w:cs="Times New Roman"/>
                <w:b/>
              </w:rPr>
              <w:t xml:space="preserve"> </w:t>
            </w:r>
            <w:proofErr w:type="spellStart"/>
            <w:r w:rsidR="005571FB" w:rsidRPr="008D1AA0">
              <w:rPr>
                <w:rFonts w:ascii="Garamond" w:hAnsi="Garamond" w:cs="Times New Roman"/>
                <w:b/>
              </w:rPr>
              <w:t>Olga</w:t>
            </w:r>
            <w:proofErr w:type="spellEnd"/>
            <w:r w:rsidR="005571FB" w:rsidRPr="008D1AA0">
              <w:rPr>
                <w:rFonts w:ascii="Garamond" w:hAnsi="Garamond" w:cs="Times New Roman"/>
                <w:b/>
              </w:rPr>
              <w:t xml:space="preserve"> </w:t>
            </w:r>
            <w:proofErr w:type="spellStart"/>
            <w:r w:rsidR="005571FB" w:rsidRPr="008D1AA0">
              <w:rPr>
                <w:rFonts w:ascii="Garamond" w:hAnsi="Garamond" w:cs="Times New Roman"/>
                <w:b/>
              </w:rPr>
              <w:t>Chernishova</w:t>
            </w:r>
            <w:proofErr w:type="spellEnd"/>
          </w:p>
        </w:tc>
        <w:tc>
          <w:tcPr>
            <w:tcW w:w="2766" w:type="dxa"/>
          </w:tcPr>
          <w:p w14:paraId="4AAE7CA7" w14:textId="67F43320" w:rsidR="005571FB" w:rsidRPr="008D1AA0" w:rsidRDefault="00390F26" w:rsidP="005571FB">
            <w:pPr>
              <w:autoSpaceDE w:val="0"/>
              <w:autoSpaceDN w:val="0"/>
              <w:adjustRightInd w:val="0"/>
              <w:jc w:val="center"/>
              <w:rPr>
                <w:rFonts w:ascii="Garamond" w:hAnsi="Garamond" w:cs="Times New Roman"/>
                <w:b/>
              </w:rPr>
            </w:pPr>
            <w:r w:rsidRPr="008D1AA0">
              <w:rPr>
                <w:rFonts w:ascii="Garamond" w:hAnsi="Garamond" w:cs="Times New Roman"/>
              </w:rPr>
              <w:t>KRYETAR</w:t>
            </w:r>
            <w:r w:rsidRPr="008D1AA0">
              <w:rPr>
                <w:rFonts w:ascii="Garamond" w:hAnsi="Garamond" w:cs="Times New Roman"/>
                <w:b/>
              </w:rPr>
              <w:t xml:space="preserve"> </w:t>
            </w:r>
            <w:proofErr w:type="spellStart"/>
            <w:r w:rsidR="005571FB" w:rsidRPr="008D1AA0">
              <w:rPr>
                <w:rFonts w:ascii="Garamond" w:hAnsi="Garamond" w:cs="Times New Roman"/>
                <w:b/>
              </w:rPr>
              <w:t>Georgios</w:t>
            </w:r>
            <w:proofErr w:type="spellEnd"/>
            <w:r w:rsidR="005571FB" w:rsidRPr="008D1AA0">
              <w:rPr>
                <w:rFonts w:ascii="Garamond" w:hAnsi="Garamond" w:cs="Times New Roman"/>
                <w:b/>
              </w:rPr>
              <w:t xml:space="preserve"> A. </w:t>
            </w:r>
            <w:proofErr w:type="spellStart"/>
            <w:r w:rsidR="005571FB" w:rsidRPr="008D1AA0">
              <w:rPr>
                <w:rFonts w:ascii="Garamond" w:hAnsi="Garamond" w:cs="Times New Roman"/>
                <w:b/>
              </w:rPr>
              <w:t>Serghides</w:t>
            </w:r>
            <w:proofErr w:type="spellEnd"/>
          </w:p>
        </w:tc>
      </w:tr>
      <w:tr w:rsidR="005571FB" w:rsidRPr="008D1AA0" w14:paraId="351B49B3" w14:textId="77777777" w:rsidTr="005571FB">
        <w:tc>
          <w:tcPr>
            <w:tcW w:w="2478" w:type="dxa"/>
          </w:tcPr>
          <w:p w14:paraId="0DE21D98" w14:textId="2639F747" w:rsidR="005571FB" w:rsidRPr="008D1AA0" w:rsidRDefault="005571FB" w:rsidP="005571FB">
            <w:pPr>
              <w:autoSpaceDE w:val="0"/>
              <w:autoSpaceDN w:val="0"/>
              <w:adjustRightInd w:val="0"/>
              <w:jc w:val="center"/>
              <w:rPr>
                <w:rFonts w:ascii="Garamond" w:hAnsi="Garamond" w:cs="Times New Roman"/>
              </w:rPr>
            </w:pPr>
          </w:p>
        </w:tc>
        <w:tc>
          <w:tcPr>
            <w:tcW w:w="2766" w:type="dxa"/>
          </w:tcPr>
          <w:p w14:paraId="36960A70" w14:textId="65E14FEB" w:rsidR="005571FB" w:rsidRPr="008D1AA0" w:rsidRDefault="005571FB" w:rsidP="005571FB">
            <w:pPr>
              <w:autoSpaceDE w:val="0"/>
              <w:autoSpaceDN w:val="0"/>
              <w:adjustRightInd w:val="0"/>
              <w:jc w:val="center"/>
              <w:rPr>
                <w:rFonts w:ascii="Garamond" w:hAnsi="Garamond" w:cs="Times New Roman"/>
              </w:rPr>
            </w:pPr>
          </w:p>
        </w:tc>
      </w:tr>
    </w:tbl>
    <w:p w14:paraId="7CADBBF0" w14:textId="77777777" w:rsidR="000A1FF0" w:rsidRPr="008D1AA0" w:rsidRDefault="000A1FF0" w:rsidP="005571FB">
      <w:pPr>
        <w:autoSpaceDE w:val="0"/>
        <w:autoSpaceDN w:val="0"/>
        <w:adjustRightInd w:val="0"/>
        <w:ind w:firstLine="284"/>
        <w:jc w:val="both"/>
        <w:rPr>
          <w:rFonts w:ascii="Garamond" w:hAnsi="Garamond"/>
        </w:rPr>
      </w:pPr>
    </w:p>
    <w:sectPr w:rsidR="000A1FF0" w:rsidRPr="008D1AA0" w:rsidSect="00DC200E">
      <w:headerReference w:type="first" r:id="rId13"/>
      <w:endnotePr>
        <w:numFmt w:val="decimal"/>
      </w:endnotePr>
      <w:pgSz w:w="11906" w:h="16838" w:code="9"/>
      <w:pgMar w:top="2274" w:right="1556" w:bottom="2274" w:left="2274" w:header="170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F999A" w14:textId="77777777" w:rsidR="003823DA" w:rsidRPr="00DC2D95" w:rsidRDefault="003823DA">
      <w:r w:rsidRPr="00DC2D95">
        <w:separator/>
      </w:r>
    </w:p>
  </w:endnote>
  <w:endnote w:type="continuationSeparator" w:id="0">
    <w:p w14:paraId="74627348" w14:textId="77777777" w:rsidR="003823DA" w:rsidRPr="00DC2D95" w:rsidRDefault="003823DA">
      <w:r w:rsidRPr="00DC2D95">
        <w:continuationSeparator/>
      </w:r>
    </w:p>
  </w:endnote>
  <w:endnote w:type="continuationNotice" w:id="1">
    <w:p w14:paraId="59EC9593" w14:textId="77777777" w:rsidR="00EC554F" w:rsidRDefault="00EC5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6EA62" w14:textId="77777777" w:rsidR="003823DA" w:rsidRPr="00DC2D95" w:rsidRDefault="003823DA">
      <w:r w:rsidRPr="00DC2D95">
        <w:separator/>
      </w:r>
    </w:p>
  </w:footnote>
  <w:footnote w:type="continuationSeparator" w:id="0">
    <w:p w14:paraId="3BF22719" w14:textId="77777777" w:rsidR="003823DA" w:rsidRPr="00DC2D95" w:rsidRDefault="003823DA">
      <w:r w:rsidRPr="00DC2D95">
        <w:continuationSeparator/>
      </w:r>
    </w:p>
  </w:footnote>
  <w:footnote w:type="continuationNotice" w:id="1">
    <w:p w14:paraId="4C1C44B9" w14:textId="77777777" w:rsidR="00EC554F" w:rsidRDefault="00EC55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D3B98" w14:textId="77777777" w:rsidR="003823DA" w:rsidRDefault="003823DA" w:rsidP="00B91E61">
    <w:pPr>
      <w:pStyle w:val="Header"/>
      <w:jc w:val="center"/>
      <w:rPr>
        <w:sz w:val="18"/>
      </w:rPr>
    </w:pPr>
  </w:p>
  <w:p w14:paraId="56D0D58E" w14:textId="77777777" w:rsidR="003823DA" w:rsidRDefault="0038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DC175E"/>
    <w:multiLevelType w:val="hybridMultilevel"/>
    <w:tmpl w:val="B8BEE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8F2261"/>
    <w:multiLevelType w:val="multilevel"/>
    <w:tmpl w:val="C8FE6436"/>
    <w:numStyleLink w:val="ECHRA1StyleList"/>
  </w:abstractNum>
  <w:abstractNum w:abstractNumId="11" w15:restartNumberingAfterBreak="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15:restartNumberingAfterBreak="0">
    <w:nsid w:val="0C4270DA"/>
    <w:multiLevelType w:val="singleLevel"/>
    <w:tmpl w:val="E8128BB6"/>
    <w:lvl w:ilvl="0">
      <w:start w:val="1"/>
      <w:numFmt w:val="decimal"/>
      <w:lvlText w:val="%1."/>
      <w:legacy w:legacy="1" w:legacySpace="0" w:legacyIndent="0"/>
      <w:lvlJc w:val="left"/>
      <w:rPr>
        <w:rFonts w:ascii="Times New Roman" w:hAnsi="Times New Roman" w:cs="Times New Roman" w:hint="default"/>
      </w:rPr>
    </w:lvl>
  </w:abstractNum>
  <w:abstractNum w:abstractNumId="14" w15:restartNumberingAfterBreak="0">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A3E6329"/>
    <w:multiLevelType w:val="singleLevel"/>
    <w:tmpl w:val="E8128BB6"/>
    <w:lvl w:ilvl="0">
      <w:start w:val="1"/>
      <w:numFmt w:val="decimal"/>
      <w:lvlText w:val="%1."/>
      <w:legacy w:legacy="1" w:legacySpace="0" w:legacyIndent="0"/>
      <w:lvlJc w:val="left"/>
      <w:rPr>
        <w:rFonts w:ascii="Times New Roman" w:hAnsi="Times New Roman" w:cs="Times New Roman" w:hint="default"/>
      </w:rPr>
    </w:lvl>
  </w:abstractNum>
  <w:abstractNum w:abstractNumId="16"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1C6B61D7"/>
    <w:multiLevelType w:val="singleLevel"/>
    <w:tmpl w:val="DD76719E"/>
    <w:lvl w:ilvl="0">
      <w:start w:val="1"/>
      <w:numFmt w:val="upperLetter"/>
      <w:lvlText w:val="%1."/>
      <w:legacy w:legacy="1" w:legacySpace="0" w:legacyIndent="0"/>
      <w:lvlJc w:val="left"/>
      <w:rPr>
        <w:rFonts w:ascii="Times New Roman" w:hAnsi="Times New Roman" w:cs="Times New Roman" w:hint="default"/>
      </w:rPr>
    </w:lvl>
  </w:abstractNum>
  <w:abstractNum w:abstractNumId="2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041078B"/>
    <w:multiLevelType w:val="hybridMultilevel"/>
    <w:tmpl w:val="3DA2E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335047"/>
    <w:multiLevelType w:val="hybridMultilevel"/>
    <w:tmpl w:val="3D427276"/>
    <w:lvl w:ilvl="0" w:tplc="43C2D2DE">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36201889"/>
    <w:multiLevelType w:val="singleLevel"/>
    <w:tmpl w:val="DD76719E"/>
    <w:lvl w:ilvl="0">
      <w:start w:val="1"/>
      <w:numFmt w:val="upperLetter"/>
      <w:lvlText w:val="%1."/>
      <w:legacy w:legacy="1" w:legacySpace="0" w:legacyIndent="0"/>
      <w:lvlJc w:val="left"/>
      <w:rPr>
        <w:rFonts w:ascii="Times New Roman" w:hAnsi="Times New Roman" w:cs="Times New Roman" w:hint="default"/>
      </w:rPr>
    </w:lvl>
  </w:abstractNum>
  <w:abstractNum w:abstractNumId="27" w15:restartNumberingAfterBreak="0">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45C421D8"/>
    <w:multiLevelType w:val="hybridMultilevel"/>
    <w:tmpl w:val="551EE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32"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3" w15:restartNumberingAfterBreak="0">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57117325"/>
    <w:multiLevelType w:val="hybridMultilevel"/>
    <w:tmpl w:val="803872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7" w15:restartNumberingAfterBreak="0">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8"/>
  </w:num>
  <w:num w:numId="2">
    <w:abstractNumId w:val="20"/>
  </w:num>
  <w:num w:numId="3">
    <w:abstractNumId w:val="16"/>
  </w:num>
  <w:num w:numId="4">
    <w:abstractNumId w:val="31"/>
  </w:num>
  <w:num w:numId="5">
    <w:abstractNumId w:val="24"/>
  </w:num>
  <w:num w:numId="6">
    <w:abstractNumId w:val="32"/>
  </w:num>
  <w:num w:numId="7">
    <w:abstractNumId w:val="31"/>
  </w:num>
  <w:num w:numId="8">
    <w:abstractNumId w:val="32"/>
  </w:num>
  <w:num w:numId="9">
    <w:abstractNumId w:val="12"/>
  </w:num>
  <w:num w:numId="10">
    <w:abstractNumId w:val="10"/>
  </w:num>
  <w:num w:numId="11">
    <w:abstractNumId w:val="3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1"/>
  </w:num>
  <w:num w:numId="23">
    <w:abstractNumId w:val="23"/>
  </w:num>
  <w:num w:numId="24">
    <w:abstractNumId w:val="33"/>
  </w:num>
  <w:num w:numId="25">
    <w:abstractNumId w:val="38"/>
  </w:num>
  <w:num w:numId="26">
    <w:abstractNumId w:val="18"/>
  </w:num>
  <w:num w:numId="27">
    <w:abstractNumId w:val="14"/>
  </w:num>
  <w:num w:numId="28">
    <w:abstractNumId w:val="27"/>
  </w:num>
  <w:num w:numId="29">
    <w:abstractNumId w:val="35"/>
  </w:num>
  <w:num w:numId="30">
    <w:abstractNumId w:val="22"/>
  </w:num>
  <w:num w:numId="31">
    <w:abstractNumId w:val="29"/>
  </w:num>
  <w:num w:numId="32">
    <w:abstractNumId w:val="37"/>
  </w:num>
  <w:num w:numId="33">
    <w:abstractNumId w:val="25"/>
  </w:num>
  <w:num w:numId="34">
    <w:abstractNumId w:val="21"/>
  </w:num>
  <w:num w:numId="35">
    <w:abstractNumId w:val="34"/>
  </w:num>
  <w:num w:numId="36">
    <w:abstractNumId w:val="9"/>
  </w:num>
  <w:num w:numId="37">
    <w:abstractNumId w:val="30"/>
  </w:num>
  <w:num w:numId="38">
    <w:abstractNumId w:val="15"/>
  </w:num>
  <w:num w:numId="39">
    <w:abstractNumId w:val="26"/>
  </w:num>
  <w:num w:numId="40">
    <w:abstractNumId w:val="19"/>
  </w:num>
  <w:num w:numId="4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doNotDisplayPageBoundarie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licationsApp" w:val="3"/>
    <w:docVar w:name="EMM" w:val="0"/>
    <w:docVar w:name="NBEMMDOC" w:val="0"/>
  </w:docVars>
  <w:rsids>
    <w:rsidRoot w:val="00DC2D95"/>
    <w:rsid w:val="0005109E"/>
    <w:rsid w:val="00052D03"/>
    <w:rsid w:val="0005568E"/>
    <w:rsid w:val="000658B1"/>
    <w:rsid w:val="00066A6C"/>
    <w:rsid w:val="00081483"/>
    <w:rsid w:val="000943FE"/>
    <w:rsid w:val="00095FD8"/>
    <w:rsid w:val="000A1FF0"/>
    <w:rsid w:val="000A5327"/>
    <w:rsid w:val="000A7592"/>
    <w:rsid w:val="000B1FA9"/>
    <w:rsid w:val="000B3B01"/>
    <w:rsid w:val="000C5DB6"/>
    <w:rsid w:val="000D0E41"/>
    <w:rsid w:val="000D61E7"/>
    <w:rsid w:val="000E3A89"/>
    <w:rsid w:val="000E49E4"/>
    <w:rsid w:val="000F4E59"/>
    <w:rsid w:val="0012779B"/>
    <w:rsid w:val="00131C8D"/>
    <w:rsid w:val="00132029"/>
    <w:rsid w:val="00150ED9"/>
    <w:rsid w:val="0015620F"/>
    <w:rsid w:val="00174974"/>
    <w:rsid w:val="00180553"/>
    <w:rsid w:val="0019109B"/>
    <w:rsid w:val="00197F33"/>
    <w:rsid w:val="001A1E38"/>
    <w:rsid w:val="001A4B7B"/>
    <w:rsid w:val="001C5E18"/>
    <w:rsid w:val="001D1233"/>
    <w:rsid w:val="001E5E02"/>
    <w:rsid w:val="00216F37"/>
    <w:rsid w:val="00223591"/>
    <w:rsid w:val="00240096"/>
    <w:rsid w:val="002434AF"/>
    <w:rsid w:val="00256B62"/>
    <w:rsid w:val="0026446B"/>
    <w:rsid w:val="00265403"/>
    <w:rsid w:val="002667A7"/>
    <w:rsid w:val="00275766"/>
    <w:rsid w:val="00280FD1"/>
    <w:rsid w:val="002A08EC"/>
    <w:rsid w:val="002A1D67"/>
    <w:rsid w:val="002A7085"/>
    <w:rsid w:val="002A7443"/>
    <w:rsid w:val="002A7AE3"/>
    <w:rsid w:val="002C3FC9"/>
    <w:rsid w:val="002F6C2B"/>
    <w:rsid w:val="00301F07"/>
    <w:rsid w:val="00310AD6"/>
    <w:rsid w:val="003131F7"/>
    <w:rsid w:val="003142C5"/>
    <w:rsid w:val="003325A4"/>
    <w:rsid w:val="00335D4B"/>
    <w:rsid w:val="00344D46"/>
    <w:rsid w:val="00361D0C"/>
    <w:rsid w:val="00361E33"/>
    <w:rsid w:val="00380971"/>
    <w:rsid w:val="003823DA"/>
    <w:rsid w:val="00390F26"/>
    <w:rsid w:val="003B50D7"/>
    <w:rsid w:val="003B77AA"/>
    <w:rsid w:val="003C2361"/>
    <w:rsid w:val="003C3468"/>
    <w:rsid w:val="003C6390"/>
    <w:rsid w:val="003C6A39"/>
    <w:rsid w:val="003D54EF"/>
    <w:rsid w:val="003E3C60"/>
    <w:rsid w:val="004021CE"/>
    <w:rsid w:val="004227BD"/>
    <w:rsid w:val="00424F97"/>
    <w:rsid w:val="00430556"/>
    <w:rsid w:val="004324C6"/>
    <w:rsid w:val="00452087"/>
    <w:rsid w:val="00456012"/>
    <w:rsid w:val="004576F3"/>
    <w:rsid w:val="00460984"/>
    <w:rsid w:val="00464268"/>
    <w:rsid w:val="004A0389"/>
    <w:rsid w:val="004A4329"/>
    <w:rsid w:val="004A4C71"/>
    <w:rsid w:val="004B0190"/>
    <w:rsid w:val="004B4B60"/>
    <w:rsid w:val="004B4E73"/>
    <w:rsid w:val="00511B0A"/>
    <w:rsid w:val="0052097D"/>
    <w:rsid w:val="00524A3B"/>
    <w:rsid w:val="0054051F"/>
    <w:rsid w:val="005571FB"/>
    <w:rsid w:val="00567561"/>
    <w:rsid w:val="00575841"/>
    <w:rsid w:val="00594523"/>
    <w:rsid w:val="00595F91"/>
    <w:rsid w:val="005A0CD3"/>
    <w:rsid w:val="005A753E"/>
    <w:rsid w:val="005A7CF3"/>
    <w:rsid w:val="005B0669"/>
    <w:rsid w:val="005B546C"/>
    <w:rsid w:val="005C337E"/>
    <w:rsid w:val="005D10C5"/>
    <w:rsid w:val="005E56C2"/>
    <w:rsid w:val="005F11CB"/>
    <w:rsid w:val="005F5E05"/>
    <w:rsid w:val="006146F9"/>
    <w:rsid w:val="00614F9E"/>
    <w:rsid w:val="00615DF6"/>
    <w:rsid w:val="006262FA"/>
    <w:rsid w:val="006267D3"/>
    <w:rsid w:val="006300E9"/>
    <w:rsid w:val="00644F14"/>
    <w:rsid w:val="00651A01"/>
    <w:rsid w:val="00653EF4"/>
    <w:rsid w:val="00656B81"/>
    <w:rsid w:val="00666ABA"/>
    <w:rsid w:val="00687739"/>
    <w:rsid w:val="00695994"/>
    <w:rsid w:val="006C53B7"/>
    <w:rsid w:val="006C5459"/>
    <w:rsid w:val="006D24ED"/>
    <w:rsid w:val="006D2A07"/>
    <w:rsid w:val="006D4D63"/>
    <w:rsid w:val="006E123B"/>
    <w:rsid w:val="007040EB"/>
    <w:rsid w:val="00723E48"/>
    <w:rsid w:val="00723E56"/>
    <w:rsid w:val="0072702F"/>
    <w:rsid w:val="007464F1"/>
    <w:rsid w:val="007907C0"/>
    <w:rsid w:val="0079386B"/>
    <w:rsid w:val="007A1577"/>
    <w:rsid w:val="007A798F"/>
    <w:rsid w:val="007B2364"/>
    <w:rsid w:val="007B4BB4"/>
    <w:rsid w:val="007D3C54"/>
    <w:rsid w:val="007E2771"/>
    <w:rsid w:val="007E739A"/>
    <w:rsid w:val="00805E99"/>
    <w:rsid w:val="00812D10"/>
    <w:rsid w:val="008531A6"/>
    <w:rsid w:val="0086520D"/>
    <w:rsid w:val="00881BB1"/>
    <w:rsid w:val="00886EC9"/>
    <w:rsid w:val="00892ACA"/>
    <w:rsid w:val="008D10E4"/>
    <w:rsid w:val="008D1AA0"/>
    <w:rsid w:val="008D3D57"/>
    <w:rsid w:val="008F0A92"/>
    <w:rsid w:val="008F7189"/>
    <w:rsid w:val="00904E3D"/>
    <w:rsid w:val="00911CBE"/>
    <w:rsid w:val="009241DF"/>
    <w:rsid w:val="009244FB"/>
    <w:rsid w:val="00934DB4"/>
    <w:rsid w:val="0094237C"/>
    <w:rsid w:val="00942F6C"/>
    <w:rsid w:val="00944250"/>
    <w:rsid w:val="00946A19"/>
    <w:rsid w:val="00956B2A"/>
    <w:rsid w:val="0096293E"/>
    <w:rsid w:val="009656DE"/>
    <w:rsid w:val="00974C41"/>
    <w:rsid w:val="00975E89"/>
    <w:rsid w:val="009838D4"/>
    <w:rsid w:val="0098480A"/>
    <w:rsid w:val="009A767D"/>
    <w:rsid w:val="009A79A5"/>
    <w:rsid w:val="009B4560"/>
    <w:rsid w:val="009B6F49"/>
    <w:rsid w:val="009C21E8"/>
    <w:rsid w:val="009C440C"/>
    <w:rsid w:val="009D35EF"/>
    <w:rsid w:val="009E01FB"/>
    <w:rsid w:val="009F4D41"/>
    <w:rsid w:val="00A1409C"/>
    <w:rsid w:val="00A248DD"/>
    <w:rsid w:val="00A47FE1"/>
    <w:rsid w:val="00A61644"/>
    <w:rsid w:val="00A6389A"/>
    <w:rsid w:val="00A929C9"/>
    <w:rsid w:val="00AA26A1"/>
    <w:rsid w:val="00AA5AEE"/>
    <w:rsid w:val="00AC58E5"/>
    <w:rsid w:val="00AD1811"/>
    <w:rsid w:val="00AD5081"/>
    <w:rsid w:val="00B06BB9"/>
    <w:rsid w:val="00B10CDB"/>
    <w:rsid w:val="00B129CD"/>
    <w:rsid w:val="00B140D3"/>
    <w:rsid w:val="00B24865"/>
    <w:rsid w:val="00B32955"/>
    <w:rsid w:val="00B52949"/>
    <w:rsid w:val="00B60352"/>
    <w:rsid w:val="00B61689"/>
    <w:rsid w:val="00B63B5E"/>
    <w:rsid w:val="00B65B23"/>
    <w:rsid w:val="00B66897"/>
    <w:rsid w:val="00B91E61"/>
    <w:rsid w:val="00B96D2C"/>
    <w:rsid w:val="00B96F3E"/>
    <w:rsid w:val="00BA49C5"/>
    <w:rsid w:val="00BB1EAE"/>
    <w:rsid w:val="00BB600E"/>
    <w:rsid w:val="00BC06F9"/>
    <w:rsid w:val="00BC4A12"/>
    <w:rsid w:val="00BD1692"/>
    <w:rsid w:val="00BE74BA"/>
    <w:rsid w:val="00C07B0F"/>
    <w:rsid w:val="00C225F4"/>
    <w:rsid w:val="00C42C12"/>
    <w:rsid w:val="00C533AB"/>
    <w:rsid w:val="00C57DB6"/>
    <w:rsid w:val="00C64222"/>
    <w:rsid w:val="00C763CF"/>
    <w:rsid w:val="00C7736B"/>
    <w:rsid w:val="00C90243"/>
    <w:rsid w:val="00CA7EB6"/>
    <w:rsid w:val="00CB5239"/>
    <w:rsid w:val="00CC2615"/>
    <w:rsid w:val="00CD1DE6"/>
    <w:rsid w:val="00CD66A6"/>
    <w:rsid w:val="00CE65D7"/>
    <w:rsid w:val="00CF0F6F"/>
    <w:rsid w:val="00CF1F53"/>
    <w:rsid w:val="00CF5142"/>
    <w:rsid w:val="00CF6E07"/>
    <w:rsid w:val="00D22A99"/>
    <w:rsid w:val="00D34BCF"/>
    <w:rsid w:val="00D415D6"/>
    <w:rsid w:val="00D46302"/>
    <w:rsid w:val="00D47A3C"/>
    <w:rsid w:val="00D7197D"/>
    <w:rsid w:val="00D81050"/>
    <w:rsid w:val="00D837F4"/>
    <w:rsid w:val="00D92F25"/>
    <w:rsid w:val="00DA703B"/>
    <w:rsid w:val="00DB4B6A"/>
    <w:rsid w:val="00DB56E2"/>
    <w:rsid w:val="00DB6354"/>
    <w:rsid w:val="00DB6EEA"/>
    <w:rsid w:val="00DC200E"/>
    <w:rsid w:val="00DC2D95"/>
    <w:rsid w:val="00DD6561"/>
    <w:rsid w:val="00DE43D3"/>
    <w:rsid w:val="00DF21A8"/>
    <w:rsid w:val="00E45DFA"/>
    <w:rsid w:val="00E5464B"/>
    <w:rsid w:val="00E60805"/>
    <w:rsid w:val="00E66C4F"/>
    <w:rsid w:val="00E7380C"/>
    <w:rsid w:val="00E75CE5"/>
    <w:rsid w:val="00EA5ED3"/>
    <w:rsid w:val="00EC554F"/>
    <w:rsid w:val="00EC7C5D"/>
    <w:rsid w:val="00EC7F4F"/>
    <w:rsid w:val="00EE177D"/>
    <w:rsid w:val="00EE206F"/>
    <w:rsid w:val="00EE38CA"/>
    <w:rsid w:val="00EF4A6A"/>
    <w:rsid w:val="00F03C63"/>
    <w:rsid w:val="00F06309"/>
    <w:rsid w:val="00F24642"/>
    <w:rsid w:val="00F24AB9"/>
    <w:rsid w:val="00F30C8E"/>
    <w:rsid w:val="00F47618"/>
    <w:rsid w:val="00F479AC"/>
    <w:rsid w:val="00F571A1"/>
    <w:rsid w:val="00F714B4"/>
    <w:rsid w:val="00F8532D"/>
    <w:rsid w:val="00F90CCF"/>
    <w:rsid w:val="00F95489"/>
    <w:rsid w:val="00FB5F13"/>
    <w:rsid w:val="00FE7F01"/>
    <w:rsid w:val="00FF6F62"/>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38"/>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1"/>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D24E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Pr>
  </w:style>
  <w:style w:type="table" w:customStyle="1" w:styleId="PCFTableStyle">
    <w:name w:val="PCF_Table_Style"/>
    <w:aliases w:val="ECHR_PCF_Table_Style"/>
    <w:basedOn w:val="TableNormal"/>
    <w:uiPriority w:val="99"/>
    <w:rsid w:val="006D24E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
    <w:name w:val="ECHR_Ltr_Table_Address1"/>
    <w:basedOn w:val="TableNormal"/>
    <w:uiPriority w:val="99"/>
    <w:rsid w:val="00DC2D95"/>
    <w:tblPr>
      <w:tblInd w:w="5103" w:type="dxa"/>
    </w:tblPr>
  </w:style>
  <w:style w:type="table" w:customStyle="1" w:styleId="ECHRPCFTableStyle1">
    <w:name w:val="ECHR_PCF_Table_Style1"/>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2">
    <w:name w:val="ECHR_Ltr_Table_Address2"/>
    <w:basedOn w:val="TableNormal"/>
    <w:uiPriority w:val="99"/>
    <w:rsid w:val="00DC2D95"/>
    <w:tblPr>
      <w:tblInd w:w="5103" w:type="dxa"/>
    </w:tblPr>
  </w:style>
  <w:style w:type="table" w:customStyle="1" w:styleId="ECHRPCFTableStyle2">
    <w:name w:val="ECHR_PCF_Table_Style2"/>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Pr>
  </w:style>
  <w:style w:type="table" w:customStyle="1" w:styleId="TableGrid11">
    <w:name w:val="Table Grid11"/>
    <w:basedOn w:val="TableNormal"/>
    <w:next w:val="TableGrid"/>
    <w:uiPriority w:val="59"/>
    <w:semiHidden/>
    <w:rsid w:val="00DC2D95"/>
    <w:rPr>
      <w:rFonts w:eastAsia="PMingLiU"/>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1">
    <w:name w:val="ECHR_Table_Memo11"/>
    <w:basedOn w:val="TableNormal"/>
    <w:uiPriority w:val="99"/>
    <w:rsid w:val="00DC2D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1">
    <w:name w:val="ECHR_Table_No_Lines11"/>
    <w:basedOn w:val="TableNormal"/>
    <w:uiPriority w:val="99"/>
    <w:rsid w:val="00DC2D95"/>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Borders>
        <w:top w:val="single" w:sz="8" w:space="0" w:color="000000"/>
        <w:bottom w:val="single" w:sz="8" w:space="0" w:color="000000"/>
      </w:tblBorders>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Borders>
        <w:top w:val="single" w:sz="8" w:space="0" w:color="0072BC"/>
        <w:bottom w:val="single" w:sz="8" w:space="0" w:color="0072BC"/>
      </w:tblBorders>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Borders>
        <w:top w:val="single" w:sz="8" w:space="0" w:color="C00000"/>
        <w:bottom w:val="single" w:sz="8" w:space="0" w:color="C00000"/>
      </w:tblBorders>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Borders>
        <w:top w:val="single" w:sz="8" w:space="0" w:color="969696"/>
        <w:bottom w:val="single" w:sz="8" w:space="0" w:color="969696"/>
      </w:tblBorders>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Borders>
        <w:top w:val="single" w:sz="8" w:space="0" w:color="4D4D4D"/>
        <w:bottom w:val="single" w:sz="8" w:space="0" w:color="4D4D4D"/>
      </w:tblBorders>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11">
    <w:name w:val="ECHR_Ltr_Table_Address111"/>
    <w:basedOn w:val="TableNormal"/>
    <w:uiPriority w:val="99"/>
    <w:rsid w:val="00DC2D95"/>
    <w:tblPr>
      <w:tblInd w:w="5103" w:type="dxa"/>
    </w:tblPr>
  </w:style>
  <w:style w:type="table" w:customStyle="1" w:styleId="ECHRPCFTableStyle111">
    <w:name w:val="ECHR_PCF_Table_Style111"/>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Borders>
        <w:top w:val="single" w:sz="8" w:space="0" w:color="0072BC"/>
        <w:bottom w:val="single" w:sz="8" w:space="0" w:color="0072BC"/>
      </w:tblBorders>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Borders>
        <w:top w:val="single" w:sz="8" w:space="0" w:color="C00000"/>
        <w:bottom w:val="single" w:sz="8" w:space="0" w:color="C00000"/>
      </w:tblBorders>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Borders>
        <w:top w:val="single" w:sz="8" w:space="0" w:color="969696"/>
        <w:bottom w:val="single" w:sz="8" w:space="0" w:color="969696"/>
      </w:tblBorders>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Borders>
        <w:top w:val="single" w:sz="8" w:space="0" w:color="4D4D4D"/>
        <w:bottom w:val="single" w:sz="8" w:space="0" w:color="4D4D4D"/>
      </w:tblBorders>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3">
    <w:name w:val="ECHR_Ltr_Table_Address3"/>
    <w:basedOn w:val="TableNormal"/>
    <w:uiPriority w:val="99"/>
    <w:rsid w:val="00DC2D95"/>
    <w:tblPr>
      <w:tblInd w:w="5103" w:type="dxa"/>
    </w:tblPr>
  </w:style>
  <w:style w:type="table" w:customStyle="1" w:styleId="ECHRPCFTableStyle3">
    <w:name w:val="ECHR_PCF_Table_Style3"/>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Pr>
  </w:style>
  <w:style w:type="table" w:customStyle="1" w:styleId="TableGrid12">
    <w:name w:val="Table Grid12"/>
    <w:basedOn w:val="TableNormal"/>
    <w:next w:val="TableGrid"/>
    <w:uiPriority w:val="59"/>
    <w:semiHidden/>
    <w:rsid w:val="00DC2D95"/>
    <w:rPr>
      <w:rFonts w:eastAsia="PMingLiU"/>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2">
    <w:name w:val="ECHR_Table_Memo12"/>
    <w:basedOn w:val="TableNormal"/>
    <w:uiPriority w:val="99"/>
    <w:rsid w:val="00DC2D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2">
    <w:name w:val="ECHR_Table_No_Lines12"/>
    <w:basedOn w:val="TableNormal"/>
    <w:uiPriority w:val="99"/>
    <w:rsid w:val="00DC2D95"/>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12">
    <w:name w:val="ECHR_Ltr_Table_Address112"/>
    <w:basedOn w:val="TableNormal"/>
    <w:uiPriority w:val="99"/>
    <w:rsid w:val="00DC2D95"/>
    <w:tblPr>
      <w:tblInd w:w="5103" w:type="dxa"/>
    </w:tblPr>
  </w:style>
  <w:style w:type="table" w:customStyle="1" w:styleId="ECHRPCFTableStyle112">
    <w:name w:val="ECHR_PCF_Table_Style112"/>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Borders>
        <w:top w:val="single" w:sz="8" w:space="0" w:color="0072BC"/>
        <w:bottom w:val="single" w:sz="8" w:space="0" w:color="0072BC"/>
      </w:tblBorders>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Borders>
        <w:top w:val="single" w:sz="8" w:space="0" w:color="C00000"/>
        <w:bottom w:val="single" w:sz="8" w:space="0" w:color="C00000"/>
      </w:tblBorders>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Borders>
        <w:top w:val="single" w:sz="8" w:space="0" w:color="969696"/>
        <w:bottom w:val="single" w:sz="8" w:space="0" w:color="969696"/>
      </w:tblBorders>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Borders>
        <w:top w:val="single" w:sz="8" w:space="0" w:color="4D4D4D"/>
        <w:bottom w:val="single" w:sz="8" w:space="0" w:color="4D4D4D"/>
      </w:tblBorders>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185150136314BA0BF2A787777F5C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56080-19</Nr_x002e__x0020_akti>
    <Data_x0020_e_x0020_Krijimit xmlns="0e656187-b300-4fb0-8bf4-3a50f872073c">2023-07-26T11:06:30Z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2023-07-25T22:00:00Z</Date_x0020_protokolli>
    <Titulli xmlns="0e656187-b300-4fb0-8bf4-3a50f872073c">Vendim i Gjykatës Evropiane për të Drejtat e Njeriut , kërkesa nr. 56080-19 "2001 sh.p.k kundër Shqipërisë"</Titulli>
    <Modifikuesi xmlns="0e656187-b300-4fb0-8bf4-3a50f872073c">Suada.Daci</Modifikuesi>
    <Nr_x002e__x0020_prot_x0020_QBZ xmlns="0e656187-b300-4fb0-8bf4-3a50f872073c">1122/1</Nr_x002e__x0020_prot_x0020_QBZ>
    <Data_x0020_e_x0020_Modifikimit xmlns="0e656187-b300-4fb0-8bf4-3a50f872073c">2023-07-26T11:25:15Z</Data_x0020_e_x0020_Modifikimit>
    <Dekretuar xmlns="0e656187-b300-4fb0-8bf4-3a50f872073c">false</Dekretuar>
    <Data xmlns="0e656187-b300-4fb0-8bf4-3a50f872073c">2023-06-21T22:00:00Z</Data>
    <Nr_x002e__x0020_protokolli_x0020_i_x0020_aktit xmlns="0e656187-b300-4fb0-8bf4-3a50f872073c">4413/1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85150136314BA0BF2A787777F5C8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67D43-5ABA-49BB-8B3B-ED813447FD1A}">
  <ds:schemaRefs>
    <ds:schemaRef ds:uri="http://schemas.microsoft.com/sharepoint/v3/contenttype/forms"/>
  </ds:schemaRefs>
</ds:datastoreItem>
</file>

<file path=customXml/itemProps2.xml><?xml version="1.0" encoding="utf-8"?>
<ds:datastoreItem xmlns:ds="http://schemas.openxmlformats.org/officeDocument/2006/customXml" ds:itemID="{519A5641-655D-443D-BF94-352F1571F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372E59-AA40-42B8-A05E-422E97EE1259}">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3D934951-6483-44FF-9B9B-B4714CB0C9D5}">
  <ds:schemaRefs>
    <ds:schemaRef ds:uri="http://schemas.microsoft.com/sharepoint/v3/contenttype/forms"/>
  </ds:schemaRefs>
</ds:datastoreItem>
</file>

<file path=customXml/itemProps5.xml><?xml version="1.0" encoding="utf-8"?>
<ds:datastoreItem xmlns:ds="http://schemas.openxmlformats.org/officeDocument/2006/customXml" ds:itemID="{48786DC3-AE32-4772-9286-1A24DF819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8E9CB4-7E5E-4D7D-9DFA-CE734B27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lastModifiedBy/>
  <cp:revision>1</cp:revision>
  <dcterms:created xsi:type="dcterms:W3CDTF">2023-07-16T08:56:00Z</dcterms:created>
  <dcterms:modified xsi:type="dcterms:W3CDTF">2023-07-27T09:50:00Z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