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AA8614" w14:textId="424DEFFE" w:rsidR="00911E69" w:rsidRDefault="00911E69" w:rsidP="00911E69">
      <w:pPr>
        <w:keepLines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bookmarkStart w:id="0" w:name="_GoBack"/>
      <w:r>
        <w:rPr>
          <w:rFonts w:ascii="Garamond" w:hAnsi="Garamond" w:cs="Times New Roman"/>
          <w:color w:val="000000"/>
          <w:sz w:val="24"/>
          <w:szCs w:val="24"/>
          <w:lang w:val="sq-AL"/>
        </w:rPr>
        <w:t>GJYKATA EVROPIANE E TË DREJTAVE TË NJERIUT</w:t>
      </w:r>
    </w:p>
    <w:bookmarkEnd w:id="0"/>
    <w:p w14:paraId="7AE6AE97" w14:textId="77777777" w:rsidR="00911E69" w:rsidRDefault="00911E69" w:rsidP="0001637B">
      <w:pPr>
        <w:keepLines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EC4C479" w14:textId="77777777" w:rsidR="00911E69" w:rsidRDefault="00911E69" w:rsidP="0001637B">
      <w:pPr>
        <w:keepLines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5D3A15B" w14:textId="77777777" w:rsidR="0001637B" w:rsidRPr="00633D74" w:rsidRDefault="0001637B" w:rsidP="0001637B">
      <w:pPr>
        <w:keepLines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>SEKSIONI I TRETË</w:t>
      </w:r>
    </w:p>
    <w:p w14:paraId="69484A58" w14:textId="1AAB5056" w:rsidR="007742C9" w:rsidRPr="00633D74" w:rsidRDefault="007742C9" w:rsidP="001A2195">
      <w:pPr>
        <w:rPr>
          <w:lang w:val="sq-AL"/>
        </w:rPr>
      </w:pPr>
    </w:p>
    <w:p w14:paraId="22E1E42C" w14:textId="2EB0D52B" w:rsidR="0001637B" w:rsidRPr="00633D74" w:rsidRDefault="0001637B" w:rsidP="0001637B">
      <w:pPr>
        <w:keepLines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ÇËSHTJA ELGAKOTI SHPK DHE TË TJERË KUNDËR SHQIPËRISË</w:t>
      </w:r>
    </w:p>
    <w:p w14:paraId="4EFB23BB" w14:textId="77777777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MS Mincho"/>
          <w:color w:val="000000"/>
          <w:sz w:val="24"/>
          <w:szCs w:val="24"/>
          <w:lang w:val="sq-AL"/>
        </w:rPr>
      </w:pPr>
      <w:r w:rsidRPr="00633D74">
        <w:rPr>
          <w:rFonts w:ascii="Garamond" w:hAnsi="Garamond" w:cs="MS Mincho"/>
          <w:color w:val="000000"/>
          <w:sz w:val="24"/>
          <w:szCs w:val="24"/>
          <w:lang w:val="sq-AL"/>
        </w:rPr>
        <w:t>(</w:t>
      </w:r>
      <w:r w:rsidRPr="00633D74">
        <w:rPr>
          <w:rFonts w:ascii="Garamond" w:hAnsi="Garamond" w:cs="MS Mincho"/>
          <w:i/>
          <w:iCs/>
          <w:color w:val="000000"/>
          <w:sz w:val="24"/>
          <w:szCs w:val="24"/>
          <w:lang w:val="sq-AL"/>
        </w:rPr>
        <w:t>Kërkesa nr. 63986/10 dhe 5 të tjerë – shih listën bashkëlidhur)</w:t>
      </w:r>
    </w:p>
    <w:p w14:paraId="13969C2C" w14:textId="77777777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MS Mincho"/>
          <w:color w:val="000000"/>
          <w:sz w:val="24"/>
          <w:szCs w:val="24"/>
          <w:lang w:val="sq-AL"/>
        </w:rPr>
      </w:pPr>
    </w:p>
    <w:p w14:paraId="13F1F24B" w14:textId="77777777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MS Mincho"/>
          <w:color w:val="000000"/>
          <w:sz w:val="24"/>
          <w:szCs w:val="24"/>
          <w:lang w:val="sq-AL"/>
        </w:rPr>
      </w:pPr>
      <w:r w:rsidRPr="00633D74">
        <w:rPr>
          <w:rFonts w:ascii="Garamond" w:hAnsi="Garamond" w:cs="MS Mincho"/>
          <w:color w:val="000000"/>
          <w:sz w:val="24"/>
          <w:szCs w:val="24"/>
          <w:lang w:val="sq-AL"/>
        </w:rPr>
        <w:t>VENDIM</w:t>
      </w:r>
    </w:p>
    <w:p w14:paraId="43E8E476" w14:textId="77777777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MS Mincho"/>
          <w:color w:val="000000"/>
          <w:sz w:val="24"/>
          <w:szCs w:val="24"/>
          <w:lang w:val="sq-AL"/>
        </w:rPr>
      </w:pPr>
      <w:r w:rsidRPr="00633D74">
        <w:rPr>
          <w:rFonts w:ascii="Garamond" w:hAnsi="Garamond" w:cs="MS Mincho"/>
          <w:color w:val="000000"/>
          <w:sz w:val="24"/>
          <w:szCs w:val="24"/>
          <w:lang w:val="sq-AL"/>
        </w:rPr>
        <w:t>STRASBURG</w:t>
      </w:r>
    </w:p>
    <w:p w14:paraId="58916C11" w14:textId="77777777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MS Mincho"/>
          <w:color w:val="000000"/>
          <w:sz w:val="24"/>
          <w:szCs w:val="24"/>
          <w:lang w:val="sq-AL"/>
        </w:rPr>
      </w:pPr>
    </w:p>
    <w:p w14:paraId="5DEBA2EA" w14:textId="77777777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MS Mincho"/>
          <w:color w:val="000000"/>
          <w:sz w:val="24"/>
          <w:szCs w:val="24"/>
          <w:lang w:val="sq-AL"/>
        </w:rPr>
      </w:pPr>
      <w:r w:rsidRPr="00633D74">
        <w:rPr>
          <w:rFonts w:ascii="Garamond" w:hAnsi="Garamond" w:cs="MS Mincho"/>
          <w:color w:val="000000"/>
          <w:sz w:val="24"/>
          <w:szCs w:val="24"/>
          <w:lang w:val="sq-AL"/>
        </w:rPr>
        <w:t>6 Korrik 2023</w:t>
      </w:r>
    </w:p>
    <w:p w14:paraId="33D5C393" w14:textId="77777777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MS Mincho"/>
          <w:i/>
          <w:iCs/>
          <w:color w:val="000000"/>
          <w:sz w:val="24"/>
          <w:szCs w:val="24"/>
          <w:lang w:val="sq-AL"/>
        </w:rPr>
      </w:pPr>
      <w:r w:rsidRPr="00633D74">
        <w:rPr>
          <w:rFonts w:ascii="Garamond" w:hAnsi="Garamond" w:cs="MS Mincho"/>
          <w:i/>
          <w:iCs/>
          <w:color w:val="000000"/>
          <w:sz w:val="24"/>
          <w:szCs w:val="24"/>
          <w:lang w:val="sq-AL"/>
        </w:rPr>
        <w:t>Ky vendim është i formës së prerë, por mund të bëhet objekt i rishikimit redaktues.</w:t>
      </w:r>
    </w:p>
    <w:p w14:paraId="2ABCACB4" w14:textId="77777777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MS Mincho"/>
          <w:color w:val="000000"/>
          <w:sz w:val="24"/>
          <w:szCs w:val="24"/>
          <w:lang w:val="sq-AL"/>
        </w:rPr>
      </w:pPr>
    </w:p>
    <w:p w14:paraId="233A481D" w14:textId="02F0E356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MS Mincho"/>
          <w:b/>
          <w:bCs/>
          <w:color w:val="000000"/>
          <w:sz w:val="24"/>
          <w:szCs w:val="24"/>
          <w:lang w:val="sq-AL"/>
        </w:rPr>
      </w:pPr>
      <w:r w:rsidRPr="00633D74">
        <w:rPr>
          <w:rFonts w:ascii="Garamond" w:hAnsi="Garamond" w:cs="MS Mincho"/>
          <w:b/>
          <w:bCs/>
          <w:color w:val="000000"/>
          <w:sz w:val="24"/>
          <w:szCs w:val="24"/>
          <w:lang w:val="sq-AL"/>
        </w:rPr>
        <w:t xml:space="preserve">Në çështjen Elgakoti </w:t>
      </w:r>
      <w:r w:rsidR="00633D74" w:rsidRPr="00633D74">
        <w:rPr>
          <w:rFonts w:ascii="Garamond" w:hAnsi="Garamond" w:cs="MS Mincho"/>
          <w:b/>
          <w:bCs/>
          <w:color w:val="000000"/>
          <w:sz w:val="24"/>
          <w:szCs w:val="24"/>
          <w:lang w:val="sq-AL"/>
        </w:rPr>
        <w:t xml:space="preserve">sh.p.k. </w:t>
      </w:r>
      <w:r w:rsidRPr="00633D74">
        <w:rPr>
          <w:rFonts w:ascii="Garamond" w:hAnsi="Garamond" w:cs="MS Mincho"/>
          <w:b/>
          <w:bCs/>
          <w:color w:val="000000"/>
          <w:sz w:val="24"/>
          <w:szCs w:val="24"/>
          <w:lang w:val="sq-AL"/>
        </w:rPr>
        <w:t xml:space="preserve">kundër Shqipërisë, </w:t>
      </w:r>
    </w:p>
    <w:p w14:paraId="0DED4865" w14:textId="77777777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MS Mincho"/>
          <w:color w:val="000000"/>
          <w:sz w:val="24"/>
          <w:szCs w:val="24"/>
          <w:lang w:val="sq-AL"/>
        </w:rPr>
      </w:pPr>
      <w:r w:rsidRPr="00633D74">
        <w:rPr>
          <w:rFonts w:ascii="Garamond" w:hAnsi="Garamond" w:cs="MS Mincho"/>
          <w:color w:val="000000"/>
          <w:sz w:val="24"/>
          <w:szCs w:val="24"/>
          <w:lang w:val="sq-AL"/>
        </w:rPr>
        <w:t xml:space="preserve">Gjykata Evropiane e të Drejtave të Njeriut (Seksioni i Tretë) e mbledhur si një Komision, i përbërë nga: </w:t>
      </w:r>
    </w:p>
    <w:p w14:paraId="62FF0595" w14:textId="0BBA38ED" w:rsidR="0001637B" w:rsidRPr="00633D74" w:rsidRDefault="0001637B" w:rsidP="0001637B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Ioannis Ktistakis,</w:t>
      </w:r>
      <w:r w:rsidRPr="00633D7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="002432FF" w:rsidRPr="00633D7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kryetar</w:t>
      </w:r>
      <w:r w:rsidRPr="00633D7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</w:p>
    <w:p w14:paraId="6C861C7D" w14:textId="77777777" w:rsidR="0001637B" w:rsidRPr="00633D74" w:rsidRDefault="0001637B" w:rsidP="0001637B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Darian Pavli, </w:t>
      </w:r>
    </w:p>
    <w:p w14:paraId="6FFFCECF" w14:textId="77777777" w:rsidR="0001637B" w:rsidRPr="00633D74" w:rsidRDefault="0001637B" w:rsidP="0001637B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Oddný Mjöll Arnardóttir</w:t>
      </w:r>
      <w:r w:rsidRPr="00633D7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 gjyqtarë,</w:t>
      </w:r>
    </w:p>
    <w:p w14:paraId="43ADCE84" w14:textId="03056C5E" w:rsidR="0001637B" w:rsidRPr="00633D74" w:rsidRDefault="0001637B" w:rsidP="0001637B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Viktoriya Maradudina, </w:t>
      </w:r>
      <w:r w:rsidR="002432FF" w:rsidRPr="00633D7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zëvendësregjistrare </w:t>
      </w:r>
      <w:r w:rsidRPr="00633D7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e Përkohshme e Seksionit, 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DD86668" w14:textId="1E13716E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Pasi diskutoi me dyer të mbyllura më 15 </w:t>
      </w:r>
      <w:r w:rsidR="002432FF"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qershor 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2023; </w:t>
      </w:r>
    </w:p>
    <w:p w14:paraId="71DD966B" w14:textId="77777777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Jep vendimin e mëposhtëm, i cili u miratua në po atë datë: </w:t>
      </w:r>
    </w:p>
    <w:p w14:paraId="2C2C3B57" w14:textId="77777777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PROCEDURA </w:t>
      </w:r>
    </w:p>
    <w:p w14:paraId="37ED4E79" w14:textId="754EE6D0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Çështja nisi me kërkesat kundër Shqipërisë depozituar pranë Gjykatës në mbështetje të </w:t>
      </w:r>
      <w:r w:rsidR="00A12729"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34 të Konventës për Mbrojtjen e të Drejtave dhe Lirive Themelore (“Konventa”) në data të ndryshme të paraqitura në tabelën bashkëlidhur. </w:t>
      </w:r>
    </w:p>
    <w:p w14:paraId="25E857F1" w14:textId="77777777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Qeveria shqiptare (“Qeveria”) u njoftua për kërkesat. </w:t>
      </w:r>
    </w:p>
    <w:p w14:paraId="73624D14" w14:textId="77777777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FAKTET </w:t>
      </w:r>
    </w:p>
    <w:p w14:paraId="1D33E537" w14:textId="77777777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Lista e kërkuesve dhe detajet përkatëse të kërkesave janë paraqitur në tabelën bashkëlidhur. </w:t>
      </w:r>
    </w:p>
    <w:p w14:paraId="6AED26A6" w14:textId="52123096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Kërkuesit u ankuan për mosekzekutimin ose ekzekutimin e vonuar të vendimeve </w:t>
      </w:r>
      <w:r w:rsidR="00A12729">
        <w:rPr>
          <w:rFonts w:ascii="Garamond" w:hAnsi="Garamond" w:cs="Times New Roman"/>
          <w:color w:val="000000"/>
          <w:sz w:val="24"/>
          <w:szCs w:val="24"/>
          <w:lang w:val="sq-AL"/>
        </w:rPr>
        <w:t>vendë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se. Disa kërkues paraqitën edhe ankesa të tjera në mbështetje të praktikës gjyqësore të konsoliduar të Gjykatës. </w:t>
      </w:r>
    </w:p>
    <w:p w14:paraId="7A2725C3" w14:textId="77777777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LIGJI </w:t>
      </w:r>
    </w:p>
    <w:p w14:paraId="4AE09AFB" w14:textId="77777777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>I. BASHKIMI I KËRKESAVE</w:t>
      </w:r>
    </w:p>
    <w:p w14:paraId="25A673D0" w14:textId="77777777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Duke pasur parasysh lëndën e ngjashme të kërkesave, Gjykata e konsideron me vend që t’i shqyrtojë ato së bashku në një vendim të vetëm. </w:t>
      </w:r>
    </w:p>
    <w:p w14:paraId="7DB5CA3A" w14:textId="4045163F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II. POZITA E </w:t>
      </w:r>
      <w:r w:rsidRPr="006C0FE7">
        <w:rPr>
          <w:rFonts w:ascii="Garamond" w:hAnsi="Garamond" w:cs="Times New Roman"/>
          <w:color w:val="000000"/>
          <w:sz w:val="24"/>
          <w:szCs w:val="24"/>
          <w:lang w:val="sq-AL"/>
        </w:rPr>
        <w:t>TRASHËGIMTAREVE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KËRKUESIT PËR TË NDJEKUR KËRKESËN </w:t>
      </w:r>
      <w:r w:rsidR="006C0FE7"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>NR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>. 45719/12</w:t>
      </w:r>
    </w:p>
    <w:p w14:paraId="421C00D7" w14:textId="173CA7F2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Më 4 </w:t>
      </w:r>
      <w:r w:rsidR="006C0FE7"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maj 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2015, Gjykata u informua se </w:t>
      </w:r>
      <w:r w:rsidR="006C0FE7"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Kulo, kërkuesi në kërkesën nr. 45719/12, kishte ndërruar jetë dhe se gjykata </w:t>
      </w:r>
      <w:r w:rsidR="006C0FE7">
        <w:rPr>
          <w:rFonts w:ascii="Garamond" w:hAnsi="Garamond" w:cs="Times New Roman"/>
          <w:color w:val="000000"/>
          <w:sz w:val="24"/>
          <w:szCs w:val="24"/>
          <w:lang w:val="sq-AL"/>
        </w:rPr>
        <w:t>vendë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se kishte caktuar si trashëgimtarë </w:t>
      </w:r>
      <w:r w:rsidR="006C0FE7"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="006C0FE7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6C0FE7"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>j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Anila Kulo, Ermioni Kulo dhe Elina Kulo, ku secila prej tyre merrte 1/3 e të drejtave dhe detyrimeve të tij. </w:t>
      </w:r>
    </w:p>
    <w:p w14:paraId="475915FE" w14:textId="30A12E29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 Gjykata gjykon se trashëgimtaret e kërkuesit kanë interes legjitim në zënien e vendit të kërkuesit (shih </w:t>
      </w:r>
      <w:r w:rsidRPr="00633D7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Dalban kundër Rumanisë 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[DHM], nr. 28114/95, §§ 1 dhe 39, GJEDNJ 1999 VI, dhe </w:t>
      </w:r>
      <w:r w:rsidRPr="00633D7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Ernestina Zullo kundër Italisë 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[DHM], nr. 64897/01, § 37, 29 </w:t>
      </w:r>
      <w:r w:rsidR="00ED4E89"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mars 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>2006).</w:t>
      </w:r>
    </w:p>
    <w:p w14:paraId="3FAD7B9A" w14:textId="275DEBCD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Rrjedhimisht, Gjykata vendos se </w:t>
      </w:r>
      <w:r w:rsidR="008E7386">
        <w:rPr>
          <w:rFonts w:ascii="Garamond" w:hAnsi="Garamond" w:cs="Times New Roman"/>
          <w:color w:val="000000"/>
          <w:sz w:val="24"/>
          <w:szCs w:val="24"/>
          <w:lang w:val="sq-AL"/>
        </w:rPr>
        <w:t>zn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j. Anila Kulo, Ermioni Kulo dhe Elina Kulo kanë pozitat të vijojnë procesin konkret. Megjithatë, Gjykata do t’i referohet, sidoqoftë, </w:t>
      </w:r>
      <w:r w:rsidR="008E7386"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>. Kulo si kërkues në vendimin konkret.</w:t>
      </w:r>
    </w:p>
    <w:p w14:paraId="7D6BA3F9" w14:textId="77777777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>III. PRETENDIMI PËR SHKELJE TË NENIT 6 § 1 TË KONVENTËS</w:t>
      </w:r>
    </w:p>
    <w:p w14:paraId="257E9047" w14:textId="29FF35D9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9. Kërkuesit u ankuan kryesisht për mosekzekutimin ose ekzekutimin e vonuar të vendimeve </w:t>
      </w:r>
      <w:r w:rsidR="008E7386">
        <w:rPr>
          <w:rFonts w:ascii="Garamond" w:hAnsi="Garamond" w:cs="Times New Roman"/>
          <w:color w:val="000000"/>
          <w:sz w:val="24"/>
          <w:szCs w:val="24"/>
          <w:lang w:val="sq-AL"/>
        </w:rPr>
        <w:t>vendë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se të dhëna në favor të tyre. Ato u mbështetën, shprehimisht ose në substancë, në </w:t>
      </w:r>
      <w:r w:rsidR="00D82682"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nenin 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 § 1 të Konventës. </w:t>
      </w:r>
    </w:p>
    <w:p w14:paraId="0371C159" w14:textId="63070B53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10. Gjykata përsërit se ekzekutimi i vendimit dhënë nga cilado gjykatë duhet të konsiderohet si një pjesë integrale e një “gjykimi” për qëllime të </w:t>
      </w:r>
      <w:r w:rsidR="00D82682"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Gjithashtu, ajo i referohet praktikës së saj gjyqësore në lidhje me mosekzekutimin ose ekzekutimin e vonuar të vendimeve </w:t>
      </w:r>
      <w:r w:rsidR="00E40868">
        <w:rPr>
          <w:rFonts w:ascii="Garamond" w:hAnsi="Garamond" w:cs="Times New Roman"/>
          <w:color w:val="000000"/>
          <w:sz w:val="24"/>
          <w:szCs w:val="24"/>
          <w:lang w:val="sq-AL"/>
        </w:rPr>
        <w:t>vendë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se të formës së prerë (shih </w:t>
      </w:r>
      <w:r w:rsidRPr="00633D7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Hornsby kundër Greqisë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nr. 18357/91, § 40, </w:t>
      </w:r>
      <w:r w:rsidRPr="00633D7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Raportet e Gjykimeve dhe Vendimeve 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>1997-II).</w:t>
      </w:r>
    </w:p>
    <w:p w14:paraId="3E1326BC" w14:textId="2A790F4D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11. Në çështjet kryesuese, </w:t>
      </w:r>
      <w:r w:rsidRPr="00633D7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Qufaj Co. </w:t>
      </w:r>
      <w:r w:rsidR="0001056B" w:rsidRPr="00633D7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sh</w:t>
      </w:r>
      <w:r w:rsidRPr="00633D7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.p.k. kundër Shqipërisë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nr. 54268/00, 18 </w:t>
      </w:r>
      <w:r w:rsidR="00E40868"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nëntor 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2004, dhe </w:t>
      </w:r>
      <w:r w:rsidRPr="00633D7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Gjyli kundër Shqipërisë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nr. 32907/07, 29 </w:t>
      </w:r>
      <w:r w:rsidR="00E40868"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shtator 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2009, Gjykata kishte konstatuar një shkelje për problematika të ngjashme me ato në çështjen konkrete. </w:t>
      </w:r>
    </w:p>
    <w:p w14:paraId="7FC1C4FF" w14:textId="77777777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12. Pasi shqyrtoi të gjithë materialin e depozituar pranë saj, Gjykata nuk ka konstatuar asnjë fakt ose argument që ta bindë të arrijë një përfundim të ndryshëm për pranueshmërinë dhe meritat e ankesave të mësipërme. Duke pasur në konsideratë praktikën e saj gjyqësore për subjektin, Gjykata vlerëson se në çështjen konkrete autoritetet nuk bënë të gjitha përpjekjet e nevojshme për të ekzekutuar plotësisht dhe në kohë vendimet në favor të kërkuesve. </w:t>
      </w:r>
    </w:p>
    <w:p w14:paraId="47AF6E83" w14:textId="077DB2D9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13. Për këto arsye, këto ankesa janë të pranueshme dhe përbëjnë shkelje të </w:t>
      </w:r>
      <w:r w:rsidR="00E40868"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 § 1 të Konventës. </w:t>
      </w:r>
    </w:p>
    <w:p w14:paraId="302F6571" w14:textId="77777777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>IV. PRETENDIME TË TJERA PËR SHKELJE SIPAS PRAKTIKËS GJYQËSORE TË KONSOLIDUAR</w:t>
      </w:r>
    </w:p>
    <w:p w14:paraId="25536F54" w14:textId="4D4CB5DA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14. Edhe kërkuesit në kërkesat nr. 63986/10, 11487/11, 48963/11, 45720/12 dhe 71642/12 u ankuan në mbështetje të </w:t>
      </w:r>
      <w:r w:rsidR="00E40868"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13 të Konventës dhe </w:t>
      </w:r>
      <w:r w:rsidR="00E40868"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 të </w:t>
      </w:r>
      <w:r w:rsidR="00E40868"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protokollit nr. 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 për mosekzekutimin dhe ekzekutimin e vonuar të vendimeve </w:t>
      </w:r>
      <w:r w:rsidR="00E40868">
        <w:rPr>
          <w:rFonts w:ascii="Garamond" w:hAnsi="Garamond" w:cs="Times New Roman"/>
          <w:color w:val="000000"/>
          <w:sz w:val="24"/>
          <w:szCs w:val="24"/>
          <w:lang w:val="sq-AL"/>
        </w:rPr>
        <w:t>vendë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se dhënë në favor të tyre. Duke pasur në konsideratë faktet e çështjes, parashtrimet e palëve dhe gjetjet e saj përmendur më sipër, Gjykata vlerëson se ka shqyrtuar çështjen kryesore ligjore në kërkesat konkrete. Në këtë mënyrë, ajo konstaton se ankesat e tjera të kërkuesve janë të pranueshme, por se nuk është e nevojshme që të japë një vendim të veçantë për to (shih </w:t>
      </w:r>
      <w:r w:rsidRPr="00633D7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Qendrën për Burime Ligjore në emër të Valentin Câmpeanu kundër Rumanisë 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[DHM], nr. 47848/08, § 156, HJEDNJ 2014, dhe </w:t>
      </w:r>
      <w:r w:rsidRPr="00633D7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Habilaj kundër Shqipërisë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[Komisioni], nr. 2480/10, § 14, 15 </w:t>
      </w:r>
      <w:r w:rsidR="006A02DC"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shtator 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2022). </w:t>
      </w:r>
    </w:p>
    <w:p w14:paraId="0CE2A3BD" w14:textId="77777777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>V. ZBATIMI I NENIT 41 TË KONVENTËS</w:t>
      </w:r>
    </w:p>
    <w:p w14:paraId="6DB0424E" w14:textId="77777777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15. Neni 41 i Konventës parashikon: </w:t>
      </w:r>
    </w:p>
    <w:p w14:paraId="1DEC9077" w14:textId="77777777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>“Kur Gjykata konstaton se ka pasur një shkelje të Konventës ose të protokolleve të saj dhe, nëse e drejta e brendshme e Palës së Lartë Kontraktuese lejon të bëhet vetëm një ndreqje e pjesshme, Gjykata, kur është e nevojshme, i akordon shpërblim të drejtë palës së dëmtuar.”</w:t>
      </w:r>
    </w:p>
    <w:p w14:paraId="176EEEE3" w14:textId="548348FB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16. Duke pasur në konsideratë dokumentet në zotërimin e saj dhe praktikën e saj gjyqësore (shih, veçanërisht, </w:t>
      </w:r>
      <w:r w:rsidRPr="00633D7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Qudaj Co. </w:t>
      </w:r>
      <w:r w:rsidR="006A02DC" w:rsidRPr="00633D7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sh</w:t>
      </w:r>
      <w:r w:rsidRPr="00633D7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.p.k., 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>cituar më sipër, §§ 46</w:t>
      </w:r>
      <w:r w:rsidR="006A02DC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48, dhe </w:t>
      </w:r>
      <w:r w:rsidRPr="00633D7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Gjyli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>, gjithashtu cituar më sipër, §§ 62</w:t>
      </w:r>
      <w:r w:rsidR="006A02DC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76), Gjykata e vlerëson të arsyeshme të akordojë shumat e paraqitura në tabelën bashkëlidhur. </w:t>
      </w:r>
    </w:p>
    <w:p w14:paraId="15CF4326" w14:textId="7E3FA9DC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>17. Në lidhje me kërkesën nr. 11487/11, kërkuesi pretendoi se nga momenti i përfundimit të kontratës e deri në rikthimin e tij, paga e tij ishte rritur, por atij nuk i ishte paguar indeksimi i pagës. Ai kërkoi që t’i paguhej indeksimi i pagës së tij për disa v</w:t>
      </w:r>
      <w:r w:rsidR="00462992">
        <w:rPr>
          <w:rFonts w:ascii="Garamond" w:hAnsi="Garamond" w:cs="Times New Roman"/>
          <w:color w:val="000000"/>
          <w:sz w:val="24"/>
          <w:szCs w:val="24"/>
          <w:lang w:val="sq-AL"/>
        </w:rPr>
        <w:t>jet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>. Vendimi i formës së prerë i gjykatës nuk përshkruan ndonjë shumë mbi të cilën duhet të llogaritet paga e tij, megjithatë, Gjykata vlerëson se nëse kërkuesi do të ishte rikthyer në pozicionin e tij në kohë, siç urdhëronte vendimi, ai do të kishte pasur të drejtën ta merrte të plotë pagën, dhe indeksimi i pagës së tij duhet të konsiderohet si një pjesë integrale e gjykimit të gjykatave vend</w:t>
      </w:r>
      <w:r w:rsidR="00B71445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>se. Në vijim, kjo qasje mbështetet nga dispozitat vend</w:t>
      </w:r>
      <w:r w:rsidR="002841E5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se të Kodit të Punës, sipas Nenit 120, sipas së cilit punonjësit kanë të drejtën të përfitojnë automatikisht nga indeksimi. Debitori në procedurat e ekzekutimit, që do të thotë autoritetet në çështjen konkrete, kontestoi shumat që duhet të paguheshin (shih </w:t>
      </w:r>
      <w:r w:rsidRPr="00633D7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Memishaj kundër Shqipërisë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[Komisioni], nr. 40430/08, § 39, 25</w:t>
      </w:r>
      <w:r w:rsidR="002841E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>3</w:t>
      </w:r>
      <w:r w:rsidR="002841E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2014). </w:t>
      </w:r>
    </w:p>
    <w:p w14:paraId="4B4FC39F" w14:textId="48075AC6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18. Kërkuesi në kërkesën nr. 71642/12 parashtroi se autoritetet nuk i kishin paguar as kontributet shëndetësore dhe shoqërore, të cilat i jepnin të drejtën për pensionin nga mosha, si edhe nuk i kishin paguar as interesin e përllogaritur mbi këtë shumë. Për sa </w:t>
      </w:r>
      <w:r w:rsidR="00007286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përket pretendimeve për kontributet 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shëndetësore dhe shoqërore, Gjykata vlerëson se punëdhënësi është i vetmi në pozicionin për të paguar kontributet për sigurimet shëndetësore dhe fondet e pensionit sipas pagave të detyrueshme për t’u paguar në momentin kur i kishte paguar kërkuesit detyrimet për pagat; për këtë arsye, këto kontribute duhet të konsiderohen si një pjesë integrale e gjykimit të gjykatave </w:t>
      </w:r>
      <w:r w:rsidR="00007286">
        <w:rPr>
          <w:rFonts w:ascii="Garamond" w:hAnsi="Garamond" w:cs="Times New Roman"/>
          <w:color w:val="000000"/>
          <w:sz w:val="24"/>
          <w:szCs w:val="24"/>
          <w:lang w:val="sq-AL"/>
        </w:rPr>
        <w:t>vendës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e, dhe i takon Qeverisë të marrë masat e nevojshme për këtë aspekt (shih </w:t>
      </w:r>
      <w:r w:rsidRPr="00633D7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Miclici kundër Rumanisë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>, nr. 23657/03, §§ 66</w:t>
      </w:r>
      <w:r w:rsidR="00007286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67, 20 </w:t>
      </w:r>
      <w:r w:rsidR="00007286"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dhjetor 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>2007).</w:t>
      </w:r>
    </w:p>
    <w:p w14:paraId="4E109B27" w14:textId="58EF9004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19. Gjithashtu, Shteti duhet të garantojë, me anë të mjeteve të duhura, ekzekutimin e vendimeve </w:t>
      </w:r>
      <w:r w:rsidR="00007286">
        <w:rPr>
          <w:rFonts w:ascii="Garamond" w:hAnsi="Garamond" w:cs="Times New Roman"/>
          <w:color w:val="000000"/>
          <w:sz w:val="24"/>
          <w:szCs w:val="24"/>
          <w:lang w:val="sq-AL"/>
        </w:rPr>
        <w:t>vendës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që janë pezull, referuar në tabelën bashkëlidhur. </w:t>
      </w:r>
    </w:p>
    <w:p w14:paraId="6E1D12B0" w14:textId="77777777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KËTO ARSYE, GJYKATA, NË MËNYRË UNANIME, </w:t>
      </w:r>
    </w:p>
    <w:p w14:paraId="6C62DCE0" w14:textId="77777777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1. Vendos 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t’i bashkojë kërkesat; </w:t>
      </w:r>
    </w:p>
    <w:p w14:paraId="27C06FCB" w14:textId="39534627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2. Deklaron 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se </w:t>
      </w:r>
      <w:r w:rsidR="00007286">
        <w:rPr>
          <w:rFonts w:ascii="Garamond" w:hAnsi="Garamond" w:cs="Times New Roman"/>
          <w:color w:val="000000"/>
          <w:sz w:val="24"/>
          <w:szCs w:val="24"/>
          <w:lang w:val="sq-AL"/>
        </w:rPr>
        <w:t>zn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j. Anila Kulo, Ermioni Kulo dhe Elina Kulo kanë pozitën të vijojnë procesin në emër të të ndjerit </w:t>
      </w:r>
      <w:r w:rsidR="00007286"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Kulo, kërkuesi në kërkesën nr. 45719/12; </w:t>
      </w:r>
    </w:p>
    <w:p w14:paraId="1C8D8050" w14:textId="40E91B5D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3. I deklaron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ankesat në lidhje me mosekzekutimin dhe ekzekutimin e vonuar të vendimeve </w:t>
      </w:r>
      <w:r w:rsidR="00007286">
        <w:rPr>
          <w:rFonts w:ascii="Garamond" w:hAnsi="Garamond" w:cs="Times New Roman"/>
          <w:color w:val="000000"/>
          <w:sz w:val="24"/>
          <w:szCs w:val="24"/>
          <w:lang w:val="sq-AL"/>
        </w:rPr>
        <w:t>vendës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sipas </w:t>
      </w:r>
      <w:r w:rsidR="00007286"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 të Konventës, të pranueshme, dhe </w:t>
      </w:r>
      <w:r w:rsidRPr="00633D7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vendos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se nuk është e nevojshme të shqyrtohet pjesa tjetër e ankesave në aplikimet nr. 63986/10, 11487/11, 48963/11, 45720/12 dhe 71642/12; </w:t>
      </w:r>
    </w:p>
    <w:p w14:paraId="7B802E10" w14:textId="21E107C6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4. Gjykon 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se kërkesat konstatojnë një shkelje të </w:t>
      </w:r>
      <w:r w:rsidR="00007286"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>6 § 1 të Konventës</w:t>
      </w:r>
      <w:r w:rsidR="0000728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mosekzekutimin dhe ekzekutimin e vonuar të vendimeve </w:t>
      </w:r>
      <w:r w:rsidR="00007286">
        <w:rPr>
          <w:rFonts w:ascii="Garamond" w:hAnsi="Garamond" w:cs="Times New Roman"/>
          <w:color w:val="000000"/>
          <w:sz w:val="24"/>
          <w:szCs w:val="24"/>
          <w:lang w:val="sq-AL"/>
        </w:rPr>
        <w:t>vendës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e; </w:t>
      </w:r>
    </w:p>
    <w:p w14:paraId="7F741412" w14:textId="24EC093F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5. Gjykon 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se Shteti përgjegjës duhet të sigurojë, me anë të mjeteve të duhura, brenda tre muajve, ekzekutimin e vendimeve </w:t>
      </w:r>
      <w:r w:rsidR="00007286">
        <w:rPr>
          <w:rFonts w:ascii="Garamond" w:hAnsi="Garamond" w:cs="Times New Roman"/>
          <w:color w:val="000000"/>
          <w:sz w:val="24"/>
          <w:szCs w:val="24"/>
          <w:lang w:val="sq-AL"/>
        </w:rPr>
        <w:t>vendës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referuar në tabelën bashkëlidhur, duke marrë në konsideratë edhe gjetjet e Gjykatës në paragrafët 17 dhe 18 më sipër; </w:t>
      </w:r>
    </w:p>
    <w:p w14:paraId="2332E4E9" w14:textId="00598812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6. Gjykon</w:t>
      </w:r>
      <w:r w:rsidR="00007286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:</w:t>
      </w:r>
      <w:r w:rsidRPr="00633D7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</w:p>
    <w:p w14:paraId="7284878C" w14:textId="1648D7CC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>a) se Shteti përgjegjës duhet t’</w:t>
      </w:r>
      <w:r w:rsidR="006C7100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paguajë kërkuesve, brenda tre muajve, shumat e përcaktuara në tabelën bashkëlidhur, të konvertuara në monedhën e Shtetit përgjegjës në normën e zbatueshme në datën e shlyerjes; </w:t>
      </w:r>
    </w:p>
    <w:p w14:paraId="6150FBF2" w14:textId="39BC1AB6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se nga përfundimi i tre muajve përmendur më sipër deri në shlyerje, për shumat e mësipërme duhet të paguhet interes i thjeshtë në normën e barabartë me normën margjinale huadhënëse të Bankës Qendrore Evropiane gjatë periudhës së vonesës së pagesës plus tre për qind pikë. </w:t>
      </w:r>
    </w:p>
    <w:p w14:paraId="3EBA4832" w14:textId="3B865B33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Hartuar në anglisht dhe njoftuar  me shkrim më 6 </w:t>
      </w:r>
      <w:r w:rsidR="00007286"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korrik </w:t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2023, sipas Rregullit 77 §§ 2 dhe 3 të Rregullores së Gjykatës. </w:t>
      </w:r>
    </w:p>
    <w:p w14:paraId="0B708EB1" w14:textId="77777777" w:rsidR="0001637B" w:rsidRPr="00633D74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81EDEAF" w14:textId="40F91F00" w:rsidR="0001637B" w:rsidRPr="00007286" w:rsidRDefault="0001637B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007286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Viktoriya Maradudina     </w:t>
      </w:r>
      <w:r w:rsidRPr="00007286">
        <w:rPr>
          <w:rFonts w:ascii="Garamond" w:hAnsi="Garamond" w:cs="Times New Roman"/>
          <w:b/>
          <w:color w:val="000000"/>
          <w:sz w:val="24"/>
          <w:szCs w:val="24"/>
          <w:lang w:val="sq-AL"/>
        </w:rPr>
        <w:tab/>
      </w:r>
      <w:r w:rsidRPr="00007286">
        <w:rPr>
          <w:rFonts w:ascii="Garamond" w:hAnsi="Garamond" w:cs="Times New Roman"/>
          <w:b/>
          <w:color w:val="000000"/>
          <w:sz w:val="24"/>
          <w:szCs w:val="24"/>
          <w:lang w:val="sq-AL"/>
        </w:rPr>
        <w:tab/>
      </w:r>
      <w:r w:rsidRPr="00007286">
        <w:rPr>
          <w:rFonts w:ascii="Garamond" w:hAnsi="Garamond" w:cs="Times New Roman"/>
          <w:b/>
          <w:color w:val="000000"/>
          <w:sz w:val="24"/>
          <w:szCs w:val="24"/>
          <w:lang w:val="sq-AL"/>
        </w:rPr>
        <w:tab/>
      </w:r>
      <w:r w:rsidR="00007286">
        <w:rPr>
          <w:rFonts w:ascii="Garamond" w:hAnsi="Garamond" w:cs="Times New Roman"/>
          <w:b/>
          <w:color w:val="000000"/>
          <w:sz w:val="24"/>
          <w:szCs w:val="24"/>
          <w:lang w:val="sq-AL"/>
        </w:rPr>
        <w:tab/>
      </w:r>
      <w:r w:rsidR="00007286">
        <w:rPr>
          <w:rFonts w:ascii="Garamond" w:hAnsi="Garamond" w:cs="Times New Roman"/>
          <w:b/>
          <w:color w:val="000000"/>
          <w:sz w:val="24"/>
          <w:szCs w:val="24"/>
          <w:lang w:val="sq-AL"/>
        </w:rPr>
        <w:tab/>
      </w:r>
      <w:r w:rsidR="00007286">
        <w:rPr>
          <w:rFonts w:ascii="Garamond" w:hAnsi="Garamond" w:cs="Times New Roman"/>
          <w:b/>
          <w:color w:val="000000"/>
          <w:sz w:val="24"/>
          <w:szCs w:val="24"/>
          <w:lang w:val="sq-AL"/>
        </w:rPr>
        <w:tab/>
      </w:r>
      <w:r w:rsidRPr="00007286">
        <w:rPr>
          <w:rFonts w:ascii="Garamond" w:hAnsi="Garamond" w:cs="Times New Roman"/>
          <w:b/>
          <w:color w:val="000000"/>
          <w:sz w:val="24"/>
          <w:szCs w:val="24"/>
          <w:lang w:val="sq-AL"/>
        </w:rPr>
        <w:t>Ioannis Ktistakis</w:t>
      </w:r>
    </w:p>
    <w:p w14:paraId="5351DD3A" w14:textId="30271739" w:rsidR="0001637B" w:rsidRPr="00633D74" w:rsidRDefault="00007286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ZËVENDËSREGJISTRAR I PËRKOHSHËM                       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ab/>
      </w:r>
      <w:r w:rsidRPr="00633D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KRYETAR </w:t>
      </w:r>
    </w:p>
    <w:p w14:paraId="3AF206C9" w14:textId="71FB1E9D" w:rsidR="00136CFA" w:rsidRPr="00633D74" w:rsidRDefault="00136CFA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9D265D2" w14:textId="2798FBA3" w:rsidR="00136CFA" w:rsidRPr="00633D74" w:rsidRDefault="00136CFA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2FA6798" w14:textId="4B6501B8" w:rsidR="00136CFA" w:rsidRPr="00633D74" w:rsidRDefault="00136CFA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CFFBEF7" w14:textId="7A4E02BD" w:rsidR="00136CFA" w:rsidRPr="00633D74" w:rsidRDefault="00136CFA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DCBF3FD" w14:textId="345BF6F8" w:rsidR="00136CFA" w:rsidRPr="00633D74" w:rsidRDefault="00136CFA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548F818" w14:textId="77777777" w:rsidR="000F3D37" w:rsidRDefault="000F3D37" w:rsidP="000F3D37">
      <w:pPr>
        <w:pStyle w:val="JuPara"/>
        <w:ind w:firstLine="0"/>
        <w:jc w:val="center"/>
        <w:rPr>
          <w:rFonts w:ascii="Garamond" w:hAnsi="Garamond" w:cstheme="minorHAnsi"/>
          <w:bCs/>
          <w:iCs/>
          <w:sz w:val="20"/>
        </w:rPr>
      </w:pPr>
    </w:p>
    <w:p w14:paraId="50A0A825" w14:textId="77777777" w:rsidR="000F3D37" w:rsidRDefault="000F3D37" w:rsidP="000F3D37">
      <w:pPr>
        <w:pStyle w:val="JuPara"/>
        <w:ind w:firstLine="0"/>
        <w:jc w:val="center"/>
        <w:rPr>
          <w:rFonts w:ascii="Garamond" w:hAnsi="Garamond" w:cstheme="minorHAnsi"/>
          <w:bCs/>
          <w:iCs/>
          <w:sz w:val="20"/>
        </w:rPr>
      </w:pPr>
    </w:p>
    <w:p w14:paraId="6CF06056" w14:textId="77777777" w:rsidR="000F3D37" w:rsidRDefault="000F3D37" w:rsidP="000F3D37">
      <w:pPr>
        <w:pStyle w:val="JuPara"/>
        <w:ind w:firstLine="0"/>
        <w:jc w:val="center"/>
        <w:rPr>
          <w:rFonts w:ascii="Garamond" w:hAnsi="Garamond" w:cstheme="minorHAnsi"/>
          <w:bCs/>
          <w:iCs/>
          <w:sz w:val="20"/>
        </w:rPr>
      </w:pPr>
    </w:p>
    <w:p w14:paraId="683ABBF5" w14:textId="77777777" w:rsidR="000F3D37" w:rsidRDefault="000F3D37" w:rsidP="000F3D37">
      <w:pPr>
        <w:pStyle w:val="JuPara"/>
        <w:ind w:firstLine="0"/>
        <w:jc w:val="center"/>
        <w:rPr>
          <w:rFonts w:ascii="Garamond" w:hAnsi="Garamond" w:cstheme="minorHAnsi"/>
          <w:bCs/>
          <w:iCs/>
          <w:sz w:val="20"/>
        </w:rPr>
      </w:pPr>
    </w:p>
    <w:p w14:paraId="1357BDFE" w14:textId="77777777" w:rsidR="000F3D37" w:rsidRDefault="000F3D37" w:rsidP="000F3D37">
      <w:pPr>
        <w:pStyle w:val="JuPara"/>
        <w:ind w:firstLine="0"/>
        <w:jc w:val="center"/>
        <w:rPr>
          <w:rFonts w:ascii="Garamond" w:hAnsi="Garamond" w:cstheme="minorHAnsi"/>
          <w:bCs/>
          <w:iCs/>
          <w:sz w:val="20"/>
        </w:rPr>
      </w:pPr>
    </w:p>
    <w:p w14:paraId="7E0A3E27" w14:textId="77777777" w:rsidR="000F3D37" w:rsidRDefault="000F3D37" w:rsidP="000F3D37">
      <w:pPr>
        <w:pStyle w:val="JuPara"/>
        <w:ind w:firstLine="0"/>
        <w:jc w:val="center"/>
        <w:rPr>
          <w:rFonts w:ascii="Garamond" w:hAnsi="Garamond" w:cstheme="minorHAnsi"/>
          <w:bCs/>
          <w:iCs/>
          <w:sz w:val="20"/>
        </w:rPr>
      </w:pPr>
    </w:p>
    <w:p w14:paraId="04475AAD" w14:textId="77777777" w:rsidR="000F3D37" w:rsidRDefault="000F3D37" w:rsidP="000F3D37">
      <w:pPr>
        <w:pStyle w:val="JuPara"/>
        <w:ind w:firstLine="0"/>
        <w:jc w:val="center"/>
        <w:rPr>
          <w:rFonts w:ascii="Garamond" w:hAnsi="Garamond" w:cstheme="minorHAnsi"/>
          <w:bCs/>
          <w:iCs/>
          <w:sz w:val="20"/>
        </w:rPr>
      </w:pPr>
    </w:p>
    <w:p w14:paraId="6122C54D" w14:textId="77777777" w:rsidR="000F3D37" w:rsidRDefault="000F3D37" w:rsidP="000F3D37">
      <w:pPr>
        <w:pStyle w:val="JuPara"/>
        <w:ind w:firstLine="0"/>
        <w:jc w:val="center"/>
        <w:rPr>
          <w:rFonts w:ascii="Garamond" w:hAnsi="Garamond" w:cstheme="minorHAnsi"/>
          <w:bCs/>
          <w:iCs/>
          <w:sz w:val="20"/>
        </w:rPr>
      </w:pPr>
    </w:p>
    <w:p w14:paraId="7D54F746" w14:textId="77777777" w:rsidR="000F3D37" w:rsidRDefault="000F3D37" w:rsidP="000F3D37">
      <w:pPr>
        <w:pStyle w:val="JuPara"/>
        <w:ind w:firstLine="0"/>
        <w:jc w:val="center"/>
        <w:rPr>
          <w:rFonts w:ascii="Garamond" w:hAnsi="Garamond" w:cstheme="minorHAnsi"/>
          <w:bCs/>
          <w:iCs/>
          <w:sz w:val="20"/>
        </w:rPr>
      </w:pPr>
    </w:p>
    <w:p w14:paraId="58ABA36D" w14:textId="77777777" w:rsidR="000F3D37" w:rsidRDefault="000F3D37" w:rsidP="000F3D37">
      <w:pPr>
        <w:pStyle w:val="JuPara"/>
        <w:ind w:firstLine="0"/>
        <w:jc w:val="center"/>
        <w:rPr>
          <w:rFonts w:ascii="Garamond" w:hAnsi="Garamond" w:cstheme="minorHAnsi"/>
          <w:bCs/>
          <w:iCs/>
          <w:sz w:val="20"/>
        </w:rPr>
      </w:pPr>
    </w:p>
    <w:p w14:paraId="3C614D25" w14:textId="77777777" w:rsidR="000F3D37" w:rsidRDefault="000F3D37" w:rsidP="000F3D37">
      <w:pPr>
        <w:pStyle w:val="JuPara"/>
        <w:ind w:firstLine="0"/>
        <w:jc w:val="center"/>
        <w:rPr>
          <w:rFonts w:ascii="Garamond" w:hAnsi="Garamond" w:cstheme="minorHAnsi"/>
          <w:bCs/>
          <w:iCs/>
          <w:sz w:val="20"/>
        </w:rPr>
      </w:pPr>
    </w:p>
    <w:p w14:paraId="5CCC2449" w14:textId="77777777" w:rsidR="000F3D37" w:rsidRDefault="000F3D37" w:rsidP="000F3D37">
      <w:pPr>
        <w:pStyle w:val="JuPara"/>
        <w:ind w:firstLine="0"/>
        <w:jc w:val="center"/>
        <w:rPr>
          <w:rFonts w:ascii="Garamond" w:hAnsi="Garamond" w:cstheme="minorHAnsi"/>
          <w:bCs/>
          <w:iCs/>
          <w:sz w:val="20"/>
        </w:rPr>
      </w:pPr>
    </w:p>
    <w:p w14:paraId="40EC3D42" w14:textId="77777777" w:rsidR="000F3D37" w:rsidRDefault="000F3D37" w:rsidP="000F3D37">
      <w:pPr>
        <w:pStyle w:val="JuPara"/>
        <w:ind w:firstLine="0"/>
        <w:jc w:val="center"/>
        <w:rPr>
          <w:rFonts w:ascii="Garamond" w:hAnsi="Garamond" w:cstheme="minorHAnsi"/>
          <w:bCs/>
          <w:iCs/>
          <w:sz w:val="20"/>
        </w:rPr>
        <w:sectPr w:rsidR="000F3D3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76FBA05" w14:textId="1E98DF8F" w:rsidR="000F3D37" w:rsidRPr="00E92F95" w:rsidRDefault="000F3D37" w:rsidP="000F3D37">
      <w:pPr>
        <w:pStyle w:val="JuPara"/>
        <w:ind w:firstLine="0"/>
        <w:jc w:val="center"/>
        <w:rPr>
          <w:rFonts w:ascii="Garamond" w:hAnsi="Garamond" w:cstheme="minorHAnsi"/>
          <w:bCs/>
          <w:iCs/>
          <w:sz w:val="20"/>
        </w:rPr>
      </w:pPr>
      <w:r w:rsidRPr="00E92F95">
        <w:rPr>
          <w:rFonts w:ascii="Garamond" w:hAnsi="Garamond" w:cstheme="minorHAnsi"/>
          <w:bCs/>
          <w:iCs/>
          <w:sz w:val="20"/>
        </w:rPr>
        <w:lastRenderedPageBreak/>
        <w:t>SHTOJCË</w:t>
      </w:r>
    </w:p>
    <w:p w14:paraId="44404FEC" w14:textId="77777777" w:rsidR="000F3D37" w:rsidRPr="00E92F95" w:rsidRDefault="000F3D37" w:rsidP="000F3D37">
      <w:pPr>
        <w:pStyle w:val="JuPara"/>
        <w:ind w:firstLine="0"/>
        <w:jc w:val="center"/>
        <w:rPr>
          <w:rFonts w:ascii="Garamond" w:hAnsi="Garamond" w:cstheme="minorHAnsi"/>
          <w:iCs/>
          <w:sz w:val="20"/>
        </w:rPr>
      </w:pPr>
      <w:r w:rsidRPr="00E92F95">
        <w:rPr>
          <w:rFonts w:ascii="Garamond" w:hAnsi="Garamond" w:cstheme="minorHAnsi"/>
          <w:iCs/>
          <w:sz w:val="20"/>
        </w:rPr>
        <w:t>LISTA E KËRKUESVE QË PARAQESIN ANKESAT NË MBËSHTETJE TË NENIT 6 § 1 TË KONVENTËS</w:t>
      </w:r>
    </w:p>
    <w:p w14:paraId="7246DF1B" w14:textId="5409CF62" w:rsidR="000F3D37" w:rsidRDefault="000F3D37" w:rsidP="000F3D37">
      <w:pPr>
        <w:pStyle w:val="JuPara"/>
        <w:ind w:firstLine="0"/>
        <w:jc w:val="center"/>
        <w:rPr>
          <w:rFonts w:ascii="Garamond" w:hAnsi="Garamond" w:cstheme="minorHAnsi"/>
          <w:iCs/>
          <w:sz w:val="20"/>
        </w:rPr>
      </w:pPr>
      <w:r w:rsidRPr="00E92F95">
        <w:rPr>
          <w:rFonts w:ascii="Garamond" w:hAnsi="Garamond" w:cstheme="minorHAnsi"/>
          <w:iCs/>
          <w:sz w:val="20"/>
        </w:rPr>
        <w:t>(MOSEKZEKUTIM OSE EKZEKUTIM I VONUAR I VENDIMEVE VENDËSE)</w:t>
      </w:r>
    </w:p>
    <w:p w14:paraId="39ECBBD2" w14:textId="41F6D2A9" w:rsidR="000F3D37" w:rsidRPr="00633D74" w:rsidRDefault="000F3D37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  <w:sectPr w:rsidR="000F3D37" w:rsidRPr="00633D74" w:rsidSect="000F3D37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pPr w:leftFromText="180" w:rightFromText="180" w:vertAnchor="text" w:horzAnchor="page" w:tblpXSpec="center" w:tblpY="179"/>
        <w:tblW w:w="13070" w:type="dxa"/>
        <w:tblLook w:val="04A0" w:firstRow="1" w:lastRow="0" w:firstColumn="1" w:lastColumn="0" w:noHBand="0" w:noVBand="1"/>
      </w:tblPr>
      <w:tblGrid>
        <w:gridCol w:w="477"/>
        <w:gridCol w:w="958"/>
        <w:gridCol w:w="1227"/>
        <w:gridCol w:w="1255"/>
        <w:gridCol w:w="1061"/>
        <w:gridCol w:w="1479"/>
        <w:gridCol w:w="1537"/>
        <w:gridCol w:w="1434"/>
        <w:gridCol w:w="1126"/>
        <w:gridCol w:w="1354"/>
        <w:gridCol w:w="1162"/>
      </w:tblGrid>
      <w:tr w:rsidR="000F3D37" w:rsidRPr="003F1C8D" w14:paraId="36ADC141" w14:textId="77777777" w:rsidTr="00016C17">
        <w:trPr>
          <w:trHeight w:val="20"/>
        </w:trPr>
        <w:tc>
          <w:tcPr>
            <w:tcW w:w="477" w:type="dxa"/>
            <w:vAlign w:val="center"/>
          </w:tcPr>
          <w:p w14:paraId="203AA958" w14:textId="77777777" w:rsidR="00136CFA" w:rsidRPr="003F1C8D" w:rsidRDefault="00136CFA" w:rsidP="003F1C8D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  <w:lastRenderedPageBreak/>
              <w:t>Nr.</w:t>
            </w:r>
          </w:p>
        </w:tc>
        <w:tc>
          <w:tcPr>
            <w:tcW w:w="0" w:type="auto"/>
            <w:vAlign w:val="center"/>
          </w:tcPr>
          <w:p w14:paraId="057F5410" w14:textId="77777777" w:rsidR="00136CFA" w:rsidRPr="003F1C8D" w:rsidRDefault="00136CFA" w:rsidP="003F1C8D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  <w:t>Kërkesa nr.</w:t>
            </w:r>
          </w:p>
          <w:p w14:paraId="00C89B0B" w14:textId="77777777" w:rsidR="00136CFA" w:rsidRPr="003F1C8D" w:rsidRDefault="00136CFA" w:rsidP="003F1C8D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  <w:t>Data e dorëzimit</w:t>
            </w:r>
          </w:p>
        </w:tc>
        <w:tc>
          <w:tcPr>
            <w:tcW w:w="0" w:type="auto"/>
            <w:vAlign w:val="center"/>
          </w:tcPr>
          <w:p w14:paraId="2AF0B570" w14:textId="77777777" w:rsidR="00136CFA" w:rsidRPr="003F1C8D" w:rsidRDefault="00136CFA" w:rsidP="003F1C8D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  <w:t>Emri i kërkuesit</w:t>
            </w:r>
          </w:p>
          <w:p w14:paraId="6F6D4541" w14:textId="35628811" w:rsidR="00136CFA" w:rsidRPr="003F1C8D" w:rsidRDefault="00136CFA" w:rsidP="003F1C8D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  <w:t>Viti i lindjes/</w:t>
            </w:r>
            <w:r w:rsidR="000F3D37"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  <w:t xml:space="preserve"> </w:t>
            </w:r>
            <w:r w:rsidRPr="003F1C8D"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  <w:t>regjistrimit</w:t>
            </w:r>
          </w:p>
        </w:tc>
        <w:tc>
          <w:tcPr>
            <w:tcW w:w="0" w:type="auto"/>
            <w:vAlign w:val="center"/>
          </w:tcPr>
          <w:p w14:paraId="4E06C377" w14:textId="77777777" w:rsidR="00136CFA" w:rsidRPr="003F1C8D" w:rsidRDefault="00136CFA" w:rsidP="003F1C8D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  <w:t>Emri dhe vendndodhja e përfaqësuesit</w:t>
            </w:r>
          </w:p>
        </w:tc>
        <w:tc>
          <w:tcPr>
            <w:tcW w:w="0" w:type="auto"/>
            <w:vAlign w:val="center"/>
          </w:tcPr>
          <w:p w14:paraId="74857D3A" w14:textId="38218526" w:rsidR="00136CFA" w:rsidRPr="003F1C8D" w:rsidRDefault="00136CFA" w:rsidP="003F1C8D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  <w:t xml:space="preserve">Vendimi përkatës </w:t>
            </w:r>
            <w:r w:rsidR="00007286"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  <w:t>vendës</w:t>
            </w:r>
          </w:p>
        </w:tc>
        <w:tc>
          <w:tcPr>
            <w:tcW w:w="0" w:type="auto"/>
            <w:vAlign w:val="center"/>
          </w:tcPr>
          <w:p w14:paraId="40220179" w14:textId="77777777" w:rsidR="00136CFA" w:rsidRPr="003F1C8D" w:rsidRDefault="00136CFA" w:rsidP="003F1C8D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  <w:t>Data e nisjes së periudhës së mosekzekutimit</w:t>
            </w:r>
          </w:p>
          <w:p w14:paraId="739F4BE8" w14:textId="77777777" w:rsidR="00136CFA" w:rsidRPr="003F1C8D" w:rsidRDefault="00136CFA" w:rsidP="003F1C8D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  <w:t>Kohëzgjatja e procesit të ekzekutimit</w:t>
            </w:r>
          </w:p>
        </w:tc>
        <w:tc>
          <w:tcPr>
            <w:tcW w:w="0" w:type="auto"/>
            <w:vAlign w:val="center"/>
          </w:tcPr>
          <w:p w14:paraId="412FF207" w14:textId="00EA8342" w:rsidR="00136CFA" w:rsidRPr="003F1C8D" w:rsidRDefault="00136CFA" w:rsidP="003F1C8D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  <w:t>Data e përfundimit të periudhës së mosekzekutimit</w:t>
            </w:r>
          </w:p>
          <w:p w14:paraId="6764BC00" w14:textId="77777777" w:rsidR="00136CFA" w:rsidRPr="003F1C8D" w:rsidRDefault="00136CFA" w:rsidP="003F1C8D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  <w:t>Kohëzgjatja e procesit të ekzekutimit</w:t>
            </w:r>
          </w:p>
        </w:tc>
        <w:tc>
          <w:tcPr>
            <w:tcW w:w="1434" w:type="dxa"/>
            <w:vAlign w:val="center"/>
          </w:tcPr>
          <w:p w14:paraId="5A40791B" w14:textId="77777777" w:rsidR="000F3D37" w:rsidRDefault="00136CFA" w:rsidP="003F1C8D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  <w:t xml:space="preserve">Akordimi </w:t>
            </w:r>
            <w:r w:rsidR="00007286"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  <w:t>vendës</w:t>
            </w:r>
            <w:r w:rsidRPr="003F1C8D"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  <w:t xml:space="preserve"> </w:t>
            </w:r>
          </w:p>
          <w:p w14:paraId="1E8D3474" w14:textId="200AD2AA" w:rsidR="00136CFA" w:rsidRPr="003F1C8D" w:rsidRDefault="00136CFA" w:rsidP="003F1C8D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  <w:t>(në euro)</w:t>
            </w:r>
          </w:p>
        </w:tc>
        <w:tc>
          <w:tcPr>
            <w:tcW w:w="938" w:type="dxa"/>
            <w:vAlign w:val="center"/>
          </w:tcPr>
          <w:p w14:paraId="2A22018F" w14:textId="77777777" w:rsidR="00136CFA" w:rsidRPr="003F1C8D" w:rsidRDefault="00136CFA" w:rsidP="003F1C8D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  <w:t>Detaje të urdhrit të ekzekutimit</w:t>
            </w:r>
          </w:p>
        </w:tc>
        <w:tc>
          <w:tcPr>
            <w:tcW w:w="0" w:type="auto"/>
            <w:vAlign w:val="center"/>
          </w:tcPr>
          <w:p w14:paraId="311DCE40" w14:textId="77777777" w:rsidR="000F3D37" w:rsidRDefault="00136CFA" w:rsidP="003F1C8D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  <w:t xml:space="preserve">Shuma e akorduar për dëm jo pasuror për kërkues </w:t>
            </w:r>
          </w:p>
          <w:p w14:paraId="75A2A65C" w14:textId="7672E73C" w:rsidR="00136CFA" w:rsidRPr="003F1C8D" w:rsidRDefault="00136CFA" w:rsidP="003F1C8D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  <w:t>(në euro)</w:t>
            </w:r>
          </w:p>
        </w:tc>
        <w:tc>
          <w:tcPr>
            <w:tcW w:w="0" w:type="auto"/>
            <w:vAlign w:val="center"/>
          </w:tcPr>
          <w:p w14:paraId="7BD50856" w14:textId="77777777" w:rsidR="00136CFA" w:rsidRPr="003F1C8D" w:rsidRDefault="00136CFA" w:rsidP="003F1C8D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  <w:t>Shuma akorduar për kostot dhe shpenzimet për kërkesë (në euro)</w:t>
            </w:r>
            <w:r w:rsidRPr="003F1C8D">
              <w:rPr>
                <w:rStyle w:val="FootnoteReference"/>
                <w:rFonts w:ascii="Garamond" w:hAnsi="Garamond" w:cstheme="minorHAnsi"/>
                <w:b/>
                <w:bCs/>
                <w:iCs/>
                <w:sz w:val="18"/>
                <w:szCs w:val="18"/>
              </w:rPr>
              <w:footnoteReference w:id="2"/>
            </w:r>
          </w:p>
        </w:tc>
      </w:tr>
      <w:tr w:rsidR="000F3D37" w:rsidRPr="003F1C8D" w14:paraId="4D1F9CAD" w14:textId="77777777" w:rsidTr="00016C17">
        <w:trPr>
          <w:trHeight w:val="20"/>
        </w:trPr>
        <w:tc>
          <w:tcPr>
            <w:tcW w:w="477" w:type="dxa"/>
          </w:tcPr>
          <w:p w14:paraId="42DBB7C0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02251220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63986/10</w:t>
            </w:r>
          </w:p>
          <w:p w14:paraId="63351324" w14:textId="0C23DC2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9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10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2010</w:t>
            </w:r>
          </w:p>
        </w:tc>
        <w:tc>
          <w:tcPr>
            <w:tcW w:w="0" w:type="auto"/>
          </w:tcPr>
          <w:p w14:paraId="062C2ACB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  <w:t>EGLAKOTI</w:t>
            </w:r>
          </w:p>
          <w:p w14:paraId="677268A3" w14:textId="492D96B1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  <w:t>SHPK</w:t>
            </w:r>
          </w:p>
          <w:p w14:paraId="2B252C94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1994</w:t>
            </w:r>
          </w:p>
        </w:tc>
        <w:tc>
          <w:tcPr>
            <w:tcW w:w="0" w:type="auto"/>
          </w:tcPr>
          <w:p w14:paraId="4C2BEACE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 xml:space="preserve">Ibra Bardhyl </w:t>
            </w:r>
          </w:p>
          <w:p w14:paraId="4BDBADC9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 xml:space="preserve">Elbasan </w:t>
            </w:r>
          </w:p>
        </w:tc>
        <w:tc>
          <w:tcPr>
            <w:tcW w:w="0" w:type="auto"/>
          </w:tcPr>
          <w:p w14:paraId="45A6E6C3" w14:textId="47B75BB8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Gjykata e Apelit Vlorë, 22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6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1999</w:t>
            </w:r>
          </w:p>
        </w:tc>
        <w:tc>
          <w:tcPr>
            <w:tcW w:w="0" w:type="auto"/>
          </w:tcPr>
          <w:p w14:paraId="2EEFB283" w14:textId="2ACAD160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25</w:t>
            </w:r>
            <w:r w:rsidR="000F3D37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2</w:t>
            </w:r>
            <w:r w:rsidR="000F3D37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14:paraId="3CA0261B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 xml:space="preserve">Pezull </w:t>
            </w:r>
          </w:p>
          <w:p w14:paraId="66E29D77" w14:textId="2C053172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Më shumë se 22 v</w:t>
            </w:r>
            <w:r w:rsidR="000F3D37">
              <w:rPr>
                <w:rFonts w:ascii="Garamond" w:hAnsi="Garamond" w:cstheme="minorHAnsi"/>
                <w:iCs/>
                <w:sz w:val="18"/>
                <w:szCs w:val="18"/>
              </w:rPr>
              <w:t>jet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 xml:space="preserve"> dhe 8 muaj</w:t>
            </w:r>
          </w:p>
        </w:tc>
        <w:tc>
          <w:tcPr>
            <w:tcW w:w="1434" w:type="dxa"/>
          </w:tcPr>
          <w:p w14:paraId="1EBFDF42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 xml:space="preserve">Gjykata e Apelit Vlorë, </w:t>
            </w:r>
          </w:p>
          <w:p w14:paraId="41E4B893" w14:textId="375279CB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22</w:t>
            </w:r>
            <w:r w:rsidR="000F3D37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6</w:t>
            </w:r>
            <w:r w:rsidR="000F3D37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1999 urdhëroi Drejtorinë e Shërbimeve Shëndetësore t’i paguante kompanisë kërkuese shumën në total prej 3,130,600 lekësh</w:t>
            </w:r>
          </w:p>
        </w:tc>
        <w:tc>
          <w:tcPr>
            <w:tcW w:w="938" w:type="dxa"/>
          </w:tcPr>
          <w:p w14:paraId="7E89B1D2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Gjykata e Rrethit Vlorë, nr. 173</w:t>
            </w:r>
          </w:p>
          <w:p w14:paraId="0377BE01" w14:textId="2FAE8A55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9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9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1999</w:t>
            </w:r>
          </w:p>
        </w:tc>
        <w:tc>
          <w:tcPr>
            <w:tcW w:w="0" w:type="auto"/>
          </w:tcPr>
          <w:p w14:paraId="23C0D174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2,500</w:t>
            </w:r>
          </w:p>
        </w:tc>
        <w:tc>
          <w:tcPr>
            <w:tcW w:w="0" w:type="auto"/>
          </w:tcPr>
          <w:p w14:paraId="3730259C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-</w:t>
            </w:r>
          </w:p>
        </w:tc>
      </w:tr>
      <w:tr w:rsidR="000F3D37" w:rsidRPr="003F1C8D" w14:paraId="04E51904" w14:textId="77777777" w:rsidTr="00016C17">
        <w:trPr>
          <w:trHeight w:val="20"/>
        </w:trPr>
        <w:tc>
          <w:tcPr>
            <w:tcW w:w="477" w:type="dxa"/>
          </w:tcPr>
          <w:p w14:paraId="50CA6BDE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14:paraId="00990762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11487/11</w:t>
            </w:r>
          </w:p>
          <w:p w14:paraId="09BCE504" w14:textId="3177C520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16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2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2011</w:t>
            </w:r>
          </w:p>
        </w:tc>
        <w:tc>
          <w:tcPr>
            <w:tcW w:w="0" w:type="auto"/>
          </w:tcPr>
          <w:p w14:paraId="2EAA7697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  <w:t>Arben CARCIU</w:t>
            </w:r>
          </w:p>
          <w:p w14:paraId="5C943D4F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  <w:t>1961</w:t>
            </w:r>
          </w:p>
        </w:tc>
        <w:tc>
          <w:tcPr>
            <w:tcW w:w="0" w:type="auto"/>
          </w:tcPr>
          <w:p w14:paraId="3E00D59B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Kokona Elira</w:t>
            </w:r>
          </w:p>
          <w:p w14:paraId="410F6BA2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 xml:space="preserve">Tiranë </w:t>
            </w:r>
          </w:p>
        </w:tc>
        <w:tc>
          <w:tcPr>
            <w:tcW w:w="0" w:type="auto"/>
          </w:tcPr>
          <w:p w14:paraId="07A0F4E8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 xml:space="preserve">Komisioni i Shërbimeve Civile, </w:t>
            </w:r>
          </w:p>
          <w:p w14:paraId="44E00D98" w14:textId="1187979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16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6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14:paraId="62766B97" w14:textId="2C120611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18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1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2008</w:t>
            </w:r>
          </w:p>
        </w:tc>
        <w:tc>
          <w:tcPr>
            <w:tcW w:w="0" w:type="auto"/>
          </w:tcPr>
          <w:p w14:paraId="740A64DB" w14:textId="614E54A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Ekzekutuar pjesërisht më 15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1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 xml:space="preserve">2015 për sa i përket rikthimit në pozicion dhe shlyerjes së pagave të vonuara </w:t>
            </w:r>
          </w:p>
          <w:p w14:paraId="4DCC2011" w14:textId="5A0D262B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6 v</w:t>
            </w:r>
            <w:r w:rsidR="000F3D37">
              <w:rPr>
                <w:rFonts w:ascii="Garamond" w:hAnsi="Garamond" w:cstheme="minorHAnsi"/>
                <w:iCs/>
                <w:sz w:val="18"/>
                <w:szCs w:val="18"/>
              </w:rPr>
              <w:t>jet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 xml:space="preserve"> dhe 11 muaj dhe 29 ditë </w:t>
            </w:r>
          </w:p>
        </w:tc>
        <w:tc>
          <w:tcPr>
            <w:tcW w:w="1434" w:type="dxa"/>
          </w:tcPr>
          <w:p w14:paraId="2AF7056B" w14:textId="7E6CA02F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Vendim i Komisionit të Shërbimeve Civile nr. 456, datë 16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6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2006, urdhëroi heqjen e masës disiplinore zbatuar ndaj kërkuesit; rikthimin e tij në pozicionin e mëparshëm dhe pagesën e pagave të vonuara deri në rikthim.</w:t>
            </w:r>
          </w:p>
        </w:tc>
        <w:tc>
          <w:tcPr>
            <w:tcW w:w="938" w:type="dxa"/>
          </w:tcPr>
          <w:p w14:paraId="61979A28" w14:textId="625BFF58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Gjykata e Rrethit Tiranë, nr. 18, 18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2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2011</w:t>
            </w:r>
          </w:p>
        </w:tc>
        <w:tc>
          <w:tcPr>
            <w:tcW w:w="0" w:type="auto"/>
          </w:tcPr>
          <w:p w14:paraId="1001EAE4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3,600</w:t>
            </w:r>
          </w:p>
        </w:tc>
        <w:tc>
          <w:tcPr>
            <w:tcW w:w="0" w:type="auto"/>
          </w:tcPr>
          <w:p w14:paraId="349CF80F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250</w:t>
            </w:r>
          </w:p>
        </w:tc>
      </w:tr>
      <w:tr w:rsidR="000F3D37" w:rsidRPr="003F1C8D" w14:paraId="6B24B547" w14:textId="77777777" w:rsidTr="00016C17">
        <w:trPr>
          <w:trHeight w:val="20"/>
        </w:trPr>
        <w:tc>
          <w:tcPr>
            <w:tcW w:w="477" w:type="dxa"/>
          </w:tcPr>
          <w:p w14:paraId="63FD5F74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14:paraId="0A43DD67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48963/11</w:t>
            </w:r>
          </w:p>
          <w:p w14:paraId="68918059" w14:textId="7D3D1D32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26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7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2011</w:t>
            </w:r>
          </w:p>
        </w:tc>
        <w:tc>
          <w:tcPr>
            <w:tcW w:w="0" w:type="auto"/>
          </w:tcPr>
          <w:p w14:paraId="30F5BE8F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  <w:t>Edipe SHKËMBI</w:t>
            </w:r>
          </w:p>
          <w:p w14:paraId="5E9C40D3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  <w:t>1955</w:t>
            </w:r>
          </w:p>
        </w:tc>
        <w:tc>
          <w:tcPr>
            <w:tcW w:w="0" w:type="auto"/>
          </w:tcPr>
          <w:p w14:paraId="2B6FC66E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</w:p>
        </w:tc>
        <w:tc>
          <w:tcPr>
            <w:tcW w:w="0" w:type="auto"/>
          </w:tcPr>
          <w:p w14:paraId="7A1C3363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Gjykata e Rrethit Tiranë,</w:t>
            </w:r>
          </w:p>
          <w:p w14:paraId="26EC5D78" w14:textId="43503A0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6</w:t>
            </w:r>
            <w:r w:rsidR="000F3D37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6</w:t>
            </w:r>
            <w:r w:rsidR="000F3D37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2005</w:t>
            </w:r>
          </w:p>
        </w:tc>
        <w:tc>
          <w:tcPr>
            <w:tcW w:w="0" w:type="auto"/>
          </w:tcPr>
          <w:p w14:paraId="54CA8BDA" w14:textId="74AD01DD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20</w:t>
            </w:r>
            <w:r w:rsidR="000F3D37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6</w:t>
            </w:r>
            <w:r w:rsidR="000F3D37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2005</w:t>
            </w:r>
          </w:p>
        </w:tc>
        <w:tc>
          <w:tcPr>
            <w:tcW w:w="0" w:type="auto"/>
          </w:tcPr>
          <w:p w14:paraId="7963FA11" w14:textId="16BD0CB9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31</w:t>
            </w:r>
            <w:r w:rsidR="000F3D37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3</w:t>
            </w:r>
            <w:r w:rsidR="000F3D37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2015</w:t>
            </w:r>
          </w:p>
          <w:p w14:paraId="0B7D5025" w14:textId="0CD172D9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8 v</w:t>
            </w:r>
            <w:r w:rsidR="000F3D37">
              <w:rPr>
                <w:rFonts w:ascii="Garamond" w:hAnsi="Garamond" w:cstheme="minorHAnsi"/>
                <w:iCs/>
                <w:sz w:val="18"/>
                <w:szCs w:val="18"/>
              </w:rPr>
              <w:t>jet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 xml:space="preserve"> dhe 9 muaj</w:t>
            </w:r>
            <w:r w:rsidR="000F3D37">
              <w:rPr>
                <w:rFonts w:ascii="Garamond" w:hAnsi="Garamond" w:cstheme="minorHAnsi"/>
                <w:iCs/>
                <w:sz w:val="18"/>
                <w:szCs w:val="18"/>
              </w:rPr>
              <w:t>,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 xml:space="preserve"> dhe 12 ditë</w:t>
            </w:r>
          </w:p>
          <w:p w14:paraId="6178598E" w14:textId="28741C0D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 xml:space="preserve">(ekzekutuar pjesërisht në </w:t>
            </w:r>
            <w:r w:rsidR="000F3D37" w:rsidRPr="003F1C8D">
              <w:rPr>
                <w:rFonts w:ascii="Garamond" w:hAnsi="Garamond" w:cstheme="minorHAnsi"/>
                <w:iCs/>
                <w:sz w:val="18"/>
                <w:szCs w:val="18"/>
              </w:rPr>
              <w:t xml:space="preserve">korrik 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2007; kërkuesi arriti moshën e daljes në pension në vitin 2015)</w:t>
            </w:r>
          </w:p>
        </w:tc>
        <w:tc>
          <w:tcPr>
            <w:tcW w:w="1434" w:type="dxa"/>
          </w:tcPr>
          <w:p w14:paraId="61108CAD" w14:textId="3E6E5B56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Vendim i Gjykatës së Rrethit Tiranë nr. 1368 i datës 6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6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2005, lënë në fuqi nga Gjykata e Apelit Tiranë më 20</w:t>
            </w:r>
            <w:r w:rsidR="000F3D37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6</w:t>
            </w:r>
            <w:r w:rsidR="000F3D37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2006, që urdhëroi punëdhënësin e kërkueses, Transmetuesin Publik Shqiptar, ta rikthente në detyrë dhe t’i paguante kërkueses shpërblimin në shumën në total prej 552,500 lekësh si rezultat shkarkimit të padrejtë nga detyra</w:t>
            </w:r>
          </w:p>
        </w:tc>
        <w:tc>
          <w:tcPr>
            <w:tcW w:w="938" w:type="dxa"/>
          </w:tcPr>
          <w:p w14:paraId="52F1BEDC" w14:textId="1E20F19C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Gjykata e Rrethit Tiranë, nr. 419, 5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2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2009</w:t>
            </w:r>
          </w:p>
        </w:tc>
        <w:tc>
          <w:tcPr>
            <w:tcW w:w="0" w:type="auto"/>
          </w:tcPr>
          <w:p w14:paraId="1F33DAFC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4,700</w:t>
            </w:r>
          </w:p>
        </w:tc>
        <w:tc>
          <w:tcPr>
            <w:tcW w:w="0" w:type="auto"/>
          </w:tcPr>
          <w:p w14:paraId="2364BFF4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-</w:t>
            </w:r>
          </w:p>
        </w:tc>
      </w:tr>
      <w:tr w:rsidR="000F3D37" w:rsidRPr="003F1C8D" w14:paraId="13F492C3" w14:textId="77777777" w:rsidTr="00016C17">
        <w:trPr>
          <w:trHeight w:val="20"/>
        </w:trPr>
        <w:tc>
          <w:tcPr>
            <w:tcW w:w="477" w:type="dxa"/>
          </w:tcPr>
          <w:p w14:paraId="7A4B4320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14:paraId="345B16D7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45719/12</w:t>
            </w:r>
          </w:p>
          <w:p w14:paraId="25880575" w14:textId="0D8F3580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13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7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2012</w:t>
            </w:r>
          </w:p>
        </w:tc>
        <w:tc>
          <w:tcPr>
            <w:tcW w:w="0" w:type="auto"/>
          </w:tcPr>
          <w:p w14:paraId="6E461AB0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  <w:t>Harallamb KULO</w:t>
            </w:r>
          </w:p>
          <w:p w14:paraId="127AD331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Lindur në vitin 1945</w:t>
            </w:r>
          </w:p>
          <w:p w14:paraId="0D04BF05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Vdekur në vitin 2012</w:t>
            </w:r>
          </w:p>
          <w:p w14:paraId="0A20C97C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</w:p>
          <w:p w14:paraId="26DE4309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 xml:space="preserve">Trashëgimtarë </w:t>
            </w:r>
          </w:p>
          <w:p w14:paraId="37BE7175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Ermioni Kulo</w:t>
            </w:r>
          </w:p>
          <w:p w14:paraId="20137065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Anila Kulo</w:t>
            </w:r>
          </w:p>
          <w:p w14:paraId="24CB92D5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Elina Kulo</w:t>
            </w:r>
          </w:p>
        </w:tc>
        <w:tc>
          <w:tcPr>
            <w:tcW w:w="0" w:type="auto"/>
          </w:tcPr>
          <w:p w14:paraId="30CCBB70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</w:p>
        </w:tc>
        <w:tc>
          <w:tcPr>
            <w:tcW w:w="0" w:type="auto"/>
          </w:tcPr>
          <w:p w14:paraId="393F8B29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 xml:space="preserve">Komisioni i Shërbimeve Civile, </w:t>
            </w:r>
          </w:p>
          <w:p w14:paraId="55CA64B5" w14:textId="50CE0DF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12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7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14:paraId="5086522A" w14:textId="09C96776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31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3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2008</w:t>
            </w:r>
          </w:p>
        </w:tc>
        <w:tc>
          <w:tcPr>
            <w:tcW w:w="0" w:type="auto"/>
          </w:tcPr>
          <w:p w14:paraId="4C0AEA00" w14:textId="27C72602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26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1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2016</w:t>
            </w:r>
          </w:p>
          <w:p w14:paraId="59BFEC8C" w14:textId="5B334A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7 v</w:t>
            </w:r>
            <w:r w:rsidR="000F3D37">
              <w:rPr>
                <w:rFonts w:ascii="Garamond" w:hAnsi="Garamond" w:cstheme="minorHAnsi"/>
                <w:iCs/>
                <w:sz w:val="18"/>
                <w:szCs w:val="18"/>
              </w:rPr>
              <w:t>jet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 xml:space="preserve"> dhe 9 muaj</w:t>
            </w:r>
            <w:r w:rsidR="000F3D37">
              <w:rPr>
                <w:rFonts w:ascii="Garamond" w:hAnsi="Garamond" w:cstheme="minorHAnsi"/>
                <w:iCs/>
                <w:sz w:val="18"/>
                <w:szCs w:val="18"/>
              </w:rPr>
              <w:t>,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 xml:space="preserve"> dhe 27 ditë</w:t>
            </w:r>
          </w:p>
        </w:tc>
        <w:tc>
          <w:tcPr>
            <w:tcW w:w="1434" w:type="dxa"/>
          </w:tcPr>
          <w:p w14:paraId="32E29BF0" w14:textId="34C8122C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Komisioni i Shërbimeve Civile, më 12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7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 xml:space="preserve">2006, urdhëroi ndryshimin e masës disiplinore për shkarkimin e kërkuesit dhe e zëvendësoi me një masë më të lehtë. </w:t>
            </w:r>
            <w:r w:rsidR="000F3D37">
              <w:rPr>
                <w:rFonts w:ascii="Garamond" w:hAnsi="Garamond" w:cstheme="minorHAnsi"/>
                <w:iCs/>
                <w:sz w:val="18"/>
                <w:szCs w:val="18"/>
              </w:rPr>
              <w:t>N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ë vijim, ai urdhëroi rikthimin e kërkuesit bë pozicionin e mëparshëm dhe shlyerjen e pagave të vonuara deri në rikthimin në pozicion. Ky vendim u la në fuqi nga Gjykata e Apelit Tiranë më 31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3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2008.</w:t>
            </w:r>
          </w:p>
        </w:tc>
        <w:tc>
          <w:tcPr>
            <w:tcW w:w="938" w:type="dxa"/>
          </w:tcPr>
          <w:p w14:paraId="3A85214D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 xml:space="preserve">Gjykata e Apelit Tiranë, </w:t>
            </w:r>
          </w:p>
          <w:p w14:paraId="205B5C05" w14:textId="1C7EC75B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31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3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2008</w:t>
            </w:r>
          </w:p>
        </w:tc>
        <w:tc>
          <w:tcPr>
            <w:tcW w:w="0" w:type="auto"/>
          </w:tcPr>
          <w:p w14:paraId="6BE5E582" w14:textId="6993519D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3,600 duhet t’</w:t>
            </w:r>
            <w:r w:rsidR="000F3D37">
              <w:rPr>
                <w:rFonts w:ascii="Garamond" w:hAnsi="Garamond" w:cstheme="minorHAnsi"/>
                <w:iCs/>
                <w:sz w:val="18"/>
                <w:szCs w:val="18"/>
              </w:rPr>
              <w:t>u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 xml:space="preserve"> paguhen trashëgimtareve së bashku</w:t>
            </w:r>
          </w:p>
        </w:tc>
        <w:tc>
          <w:tcPr>
            <w:tcW w:w="0" w:type="auto"/>
          </w:tcPr>
          <w:p w14:paraId="6DA2A72E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-</w:t>
            </w:r>
          </w:p>
        </w:tc>
      </w:tr>
      <w:tr w:rsidR="000F3D37" w:rsidRPr="003F1C8D" w14:paraId="01694ACA" w14:textId="77777777" w:rsidTr="00016C17">
        <w:trPr>
          <w:trHeight w:val="20"/>
        </w:trPr>
        <w:tc>
          <w:tcPr>
            <w:tcW w:w="477" w:type="dxa"/>
          </w:tcPr>
          <w:p w14:paraId="28AF10D8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14:paraId="5F25E551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45720/12</w:t>
            </w:r>
          </w:p>
          <w:p w14:paraId="4BDB2CC4" w14:textId="2D2376B4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9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7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2012</w:t>
            </w:r>
          </w:p>
        </w:tc>
        <w:tc>
          <w:tcPr>
            <w:tcW w:w="0" w:type="auto"/>
          </w:tcPr>
          <w:p w14:paraId="32513AF6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  <w:t>Fisnik BROVINA</w:t>
            </w:r>
          </w:p>
          <w:p w14:paraId="714FCE73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1964</w:t>
            </w:r>
          </w:p>
        </w:tc>
        <w:tc>
          <w:tcPr>
            <w:tcW w:w="0" w:type="auto"/>
          </w:tcPr>
          <w:p w14:paraId="1DAFFEE0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</w:p>
        </w:tc>
        <w:tc>
          <w:tcPr>
            <w:tcW w:w="0" w:type="auto"/>
          </w:tcPr>
          <w:p w14:paraId="03D19CD6" w14:textId="51A51960" w:rsidR="00136CFA" w:rsidRPr="003F1C8D" w:rsidRDefault="00136CFA" w:rsidP="00136CFA">
            <w:pPr>
              <w:pStyle w:val="JuPara"/>
              <w:ind w:firstLine="0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Gjykata e Apelit Tiranë, 13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9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2011</w:t>
            </w:r>
          </w:p>
        </w:tc>
        <w:tc>
          <w:tcPr>
            <w:tcW w:w="0" w:type="auto"/>
          </w:tcPr>
          <w:p w14:paraId="1B7A7FD5" w14:textId="3226B70B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8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3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2012</w:t>
            </w:r>
          </w:p>
        </w:tc>
        <w:tc>
          <w:tcPr>
            <w:tcW w:w="0" w:type="auto"/>
          </w:tcPr>
          <w:p w14:paraId="4586C9CC" w14:textId="3BE8EBEC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Pezull për më shumë se 11 v</w:t>
            </w:r>
            <w:r w:rsidR="00AC7500">
              <w:rPr>
                <w:rFonts w:ascii="Garamond" w:hAnsi="Garamond" w:cstheme="minorHAnsi"/>
                <w:iCs/>
                <w:sz w:val="18"/>
                <w:szCs w:val="18"/>
              </w:rPr>
              <w:t>jet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 xml:space="preserve"> dhe 1 muaj</w:t>
            </w:r>
            <w:r w:rsidR="004E506A">
              <w:rPr>
                <w:rFonts w:ascii="Garamond" w:hAnsi="Garamond" w:cstheme="minorHAnsi"/>
                <w:iCs/>
                <w:sz w:val="18"/>
                <w:szCs w:val="18"/>
              </w:rPr>
              <w:t>,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 xml:space="preserve"> dhe 7 ditë </w:t>
            </w:r>
          </w:p>
        </w:tc>
        <w:tc>
          <w:tcPr>
            <w:tcW w:w="1434" w:type="dxa"/>
          </w:tcPr>
          <w:p w14:paraId="5EF87285" w14:textId="2254DD34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Vendimi i Gjykatës së Apelit Tiranë, nr. 1789, i datës 13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9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 xml:space="preserve">2011, urdhëroi anulimin e akteve për shkarkimin e kërkuesit nga pozicioni i tij, rikthimin e tij në pozicionin e mëparshëm, dhe shlyerjen e pagave të vonuara deri në rikthimin në detyrë. Gjithashtu, u urdhërua punëdhënësi i kërkuesit që t’i paguante diferencën midis pagës së Sekretarit të Përgjithshëm të institucionit dhe pagës së kërkuesit për dy muaj.   </w:t>
            </w:r>
          </w:p>
        </w:tc>
        <w:tc>
          <w:tcPr>
            <w:tcW w:w="938" w:type="dxa"/>
          </w:tcPr>
          <w:p w14:paraId="7C4E493B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 xml:space="preserve">Gjykata e Rrethit Tiranë, nr. 5544, </w:t>
            </w:r>
          </w:p>
          <w:p w14:paraId="625C525E" w14:textId="475FA475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18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10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2011</w:t>
            </w:r>
          </w:p>
        </w:tc>
        <w:tc>
          <w:tcPr>
            <w:tcW w:w="0" w:type="auto"/>
          </w:tcPr>
          <w:p w14:paraId="0AD0DCC2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4,700</w:t>
            </w:r>
          </w:p>
        </w:tc>
        <w:tc>
          <w:tcPr>
            <w:tcW w:w="0" w:type="auto"/>
          </w:tcPr>
          <w:p w14:paraId="09B1B494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-</w:t>
            </w:r>
          </w:p>
        </w:tc>
      </w:tr>
      <w:tr w:rsidR="000F3D37" w:rsidRPr="003F1C8D" w14:paraId="29D8A97E" w14:textId="77777777" w:rsidTr="00016C17">
        <w:trPr>
          <w:trHeight w:val="20"/>
        </w:trPr>
        <w:tc>
          <w:tcPr>
            <w:tcW w:w="477" w:type="dxa"/>
          </w:tcPr>
          <w:p w14:paraId="3F66E3A0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14:paraId="69374C76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71642/12</w:t>
            </w:r>
          </w:p>
          <w:p w14:paraId="097D4049" w14:textId="329ACD51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3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11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2012</w:t>
            </w:r>
          </w:p>
        </w:tc>
        <w:tc>
          <w:tcPr>
            <w:tcW w:w="0" w:type="auto"/>
          </w:tcPr>
          <w:p w14:paraId="2517D5D6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  <w:t>Sotiraq GJATA</w:t>
            </w:r>
          </w:p>
          <w:p w14:paraId="1E7337C1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1953</w:t>
            </w:r>
          </w:p>
        </w:tc>
        <w:tc>
          <w:tcPr>
            <w:tcW w:w="0" w:type="auto"/>
          </w:tcPr>
          <w:p w14:paraId="452EA5C1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</w:p>
        </w:tc>
        <w:tc>
          <w:tcPr>
            <w:tcW w:w="0" w:type="auto"/>
          </w:tcPr>
          <w:p w14:paraId="2999B142" w14:textId="1D5BC44B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Gjykata e Rrethit Tiranë, 30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11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14:paraId="08320A25" w14:textId="47AAC5D5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19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2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2008</w:t>
            </w:r>
          </w:p>
        </w:tc>
        <w:tc>
          <w:tcPr>
            <w:tcW w:w="0" w:type="auto"/>
          </w:tcPr>
          <w:p w14:paraId="02BBE6C4" w14:textId="62549B19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Ekzekutuar pjesërisht më 19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12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2018</w:t>
            </w:r>
          </w:p>
          <w:p w14:paraId="7D909EF4" w14:textId="71AF84E3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10 v</w:t>
            </w:r>
            <w:r w:rsidR="003F1C8D">
              <w:rPr>
                <w:rFonts w:ascii="Garamond" w:hAnsi="Garamond" w:cstheme="minorHAnsi"/>
                <w:iCs/>
                <w:sz w:val="18"/>
                <w:szCs w:val="18"/>
              </w:rPr>
              <w:t>jet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 xml:space="preserve"> dhe 10 muaj</w:t>
            </w:r>
            <w:r w:rsidR="004E506A">
              <w:rPr>
                <w:rFonts w:ascii="Garamond" w:hAnsi="Garamond" w:cstheme="minorHAnsi"/>
                <w:iCs/>
                <w:sz w:val="18"/>
                <w:szCs w:val="18"/>
              </w:rPr>
              <w:t>,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 xml:space="preserve"> dhe 1 ditë</w:t>
            </w:r>
          </w:p>
        </w:tc>
        <w:tc>
          <w:tcPr>
            <w:tcW w:w="1434" w:type="dxa"/>
          </w:tcPr>
          <w:p w14:paraId="302EE7DC" w14:textId="7589F598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Vendim i Gjykatës së Rrethit Tiranë nr. 6807, i datës 30</w:t>
            </w:r>
            <w:r w:rsidR="00016C17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11</w:t>
            </w:r>
            <w:r w:rsidR="00016C17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2006, lënë në fuqi nga vendimi i Gjykatës së Apelit nr. 1396 i datës 16</w:t>
            </w:r>
            <w:r w:rsidR="00016C17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11</w:t>
            </w:r>
            <w:r w:rsidR="00016C17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2007, urdhëronte anulimin e urdhrit për shkarkimin e kërkuesit, rikthimin e tij në detyrën e mëparshme dhe shlyerjen e pagave të vonuara</w:t>
            </w:r>
            <w:r w:rsidR="004E506A">
              <w:rPr>
                <w:rFonts w:ascii="Garamond" w:hAnsi="Garamond" w:cstheme="minorHAnsi"/>
                <w:iCs/>
                <w:sz w:val="18"/>
                <w:szCs w:val="18"/>
              </w:rPr>
              <w:t>,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 xml:space="preserve"> sipas pagës së tij mujore në shumën prej 36,789 lekësh deri në rikthimin në detyrë</w:t>
            </w:r>
          </w:p>
        </w:tc>
        <w:tc>
          <w:tcPr>
            <w:tcW w:w="938" w:type="dxa"/>
          </w:tcPr>
          <w:p w14:paraId="1281BF03" w14:textId="56A66613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Gjykata e Rrethit Tiranë, nr. 432, 19</w:t>
            </w:r>
            <w:r w:rsidR="00016C17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2</w:t>
            </w:r>
            <w:r w:rsidR="00016C17">
              <w:rPr>
                <w:rFonts w:ascii="Garamond" w:hAnsi="Garamond" w:cstheme="minorHAnsi"/>
                <w:iCs/>
                <w:sz w:val="18"/>
                <w:szCs w:val="18"/>
              </w:rPr>
              <w:t>.</w:t>
            </w: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2008</w:t>
            </w:r>
          </w:p>
        </w:tc>
        <w:tc>
          <w:tcPr>
            <w:tcW w:w="0" w:type="auto"/>
          </w:tcPr>
          <w:p w14:paraId="168992A2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4,700</w:t>
            </w:r>
          </w:p>
        </w:tc>
        <w:tc>
          <w:tcPr>
            <w:tcW w:w="0" w:type="auto"/>
          </w:tcPr>
          <w:p w14:paraId="36CB21B3" w14:textId="77777777" w:rsidR="00136CFA" w:rsidRPr="003F1C8D" w:rsidRDefault="00136CFA" w:rsidP="00136CFA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18"/>
                <w:szCs w:val="18"/>
              </w:rPr>
            </w:pPr>
            <w:r w:rsidRPr="003F1C8D">
              <w:rPr>
                <w:rFonts w:ascii="Garamond" w:hAnsi="Garamond" w:cstheme="minorHAnsi"/>
                <w:iCs/>
                <w:sz w:val="18"/>
                <w:szCs w:val="18"/>
              </w:rPr>
              <w:t>-</w:t>
            </w:r>
          </w:p>
        </w:tc>
      </w:tr>
    </w:tbl>
    <w:p w14:paraId="471E5B90" w14:textId="72AB8A7C" w:rsidR="00136CFA" w:rsidRPr="00633D74" w:rsidRDefault="00136CFA" w:rsidP="000163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6A0EB71" w14:textId="77777777" w:rsidR="00B56218" w:rsidRPr="00633D74" w:rsidRDefault="00B56218" w:rsidP="0001637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B56218" w:rsidRPr="00633D74" w:rsidSect="000F3D3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58C6DD" w14:textId="77777777" w:rsidR="00911E69" w:rsidRDefault="00911E69" w:rsidP="00136CFA">
      <w:pPr>
        <w:spacing w:after="0" w:line="240" w:lineRule="auto"/>
      </w:pPr>
      <w:r>
        <w:separator/>
      </w:r>
    </w:p>
  </w:endnote>
  <w:endnote w:type="continuationSeparator" w:id="0">
    <w:p w14:paraId="01167618" w14:textId="77777777" w:rsidR="00911E69" w:rsidRDefault="00911E69" w:rsidP="00136CFA">
      <w:pPr>
        <w:spacing w:after="0" w:line="240" w:lineRule="auto"/>
      </w:pPr>
      <w:r>
        <w:continuationSeparator/>
      </w:r>
    </w:p>
  </w:endnote>
  <w:endnote w:type="continuationNotice" w:id="1">
    <w:p w14:paraId="548737A8" w14:textId="77777777" w:rsidR="00911E69" w:rsidRDefault="00911E6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9F4987" w14:textId="77777777" w:rsidR="00911E69" w:rsidRDefault="00911E69" w:rsidP="00136CFA">
      <w:pPr>
        <w:spacing w:after="0" w:line="240" w:lineRule="auto"/>
      </w:pPr>
      <w:r>
        <w:separator/>
      </w:r>
    </w:p>
  </w:footnote>
  <w:footnote w:type="continuationSeparator" w:id="0">
    <w:p w14:paraId="520CA835" w14:textId="77777777" w:rsidR="00911E69" w:rsidRDefault="00911E69" w:rsidP="00136CFA">
      <w:pPr>
        <w:spacing w:after="0" w:line="240" w:lineRule="auto"/>
      </w:pPr>
      <w:r>
        <w:continuationSeparator/>
      </w:r>
    </w:p>
  </w:footnote>
  <w:footnote w:type="continuationNotice" w:id="1">
    <w:p w14:paraId="2624F575" w14:textId="77777777" w:rsidR="00911E69" w:rsidRDefault="00911E69">
      <w:pPr>
        <w:spacing w:after="0" w:line="240" w:lineRule="auto"/>
      </w:pPr>
    </w:p>
  </w:footnote>
  <w:footnote w:id="2">
    <w:p w14:paraId="77EB1BF7" w14:textId="14358B66" w:rsidR="00911E69" w:rsidRPr="007105B5" w:rsidRDefault="00911E69" w:rsidP="00136CFA">
      <w:pPr>
        <w:pStyle w:val="FootnoteText"/>
        <w:rPr>
          <w:rFonts w:ascii="Garamond" w:hAnsi="Garamond"/>
          <w:lang w:val="en-US"/>
        </w:rPr>
      </w:pPr>
      <w:r w:rsidRPr="007105B5">
        <w:rPr>
          <w:rStyle w:val="FootnoteReference"/>
          <w:rFonts w:ascii="Garamond" w:hAnsi="Garamond"/>
        </w:rPr>
        <w:footnoteRef/>
      </w:r>
      <w:r w:rsidRPr="007105B5">
        <w:rPr>
          <w:rFonts w:ascii="Garamond" w:hAnsi="Garamond"/>
        </w:rPr>
        <w:t xml:space="preserve"> Plus çdo taksë që mund t’u tarifohet kërkuesve.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07286"/>
    <w:rsid w:val="0001056B"/>
    <w:rsid w:val="00012745"/>
    <w:rsid w:val="0001637B"/>
    <w:rsid w:val="00016C17"/>
    <w:rsid w:val="00031098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3D4A"/>
    <w:rsid w:val="000C55A5"/>
    <w:rsid w:val="000D7F01"/>
    <w:rsid w:val="000F3D37"/>
    <w:rsid w:val="001149C8"/>
    <w:rsid w:val="00121461"/>
    <w:rsid w:val="0012538B"/>
    <w:rsid w:val="001268DB"/>
    <w:rsid w:val="00135329"/>
    <w:rsid w:val="00136CFA"/>
    <w:rsid w:val="0014112D"/>
    <w:rsid w:val="00141B18"/>
    <w:rsid w:val="00142C2B"/>
    <w:rsid w:val="00160647"/>
    <w:rsid w:val="00160E68"/>
    <w:rsid w:val="00167FB5"/>
    <w:rsid w:val="00175424"/>
    <w:rsid w:val="00183018"/>
    <w:rsid w:val="00190C3D"/>
    <w:rsid w:val="001944EB"/>
    <w:rsid w:val="0019635C"/>
    <w:rsid w:val="0019721F"/>
    <w:rsid w:val="001A2195"/>
    <w:rsid w:val="001C0519"/>
    <w:rsid w:val="001D2ABC"/>
    <w:rsid w:val="001D2F1F"/>
    <w:rsid w:val="001D3A2F"/>
    <w:rsid w:val="00204F93"/>
    <w:rsid w:val="00213728"/>
    <w:rsid w:val="00234715"/>
    <w:rsid w:val="002432FF"/>
    <w:rsid w:val="00252C2A"/>
    <w:rsid w:val="00257E0A"/>
    <w:rsid w:val="00263D3A"/>
    <w:rsid w:val="002821F2"/>
    <w:rsid w:val="002841E5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608A"/>
    <w:rsid w:val="00354F7A"/>
    <w:rsid w:val="00362ACA"/>
    <w:rsid w:val="003661C2"/>
    <w:rsid w:val="003673CA"/>
    <w:rsid w:val="00373E4A"/>
    <w:rsid w:val="00375DE4"/>
    <w:rsid w:val="00390D00"/>
    <w:rsid w:val="003956A3"/>
    <w:rsid w:val="00397301"/>
    <w:rsid w:val="003A0634"/>
    <w:rsid w:val="003A40CD"/>
    <w:rsid w:val="003A489E"/>
    <w:rsid w:val="003A6CF4"/>
    <w:rsid w:val="003B4312"/>
    <w:rsid w:val="003B57C7"/>
    <w:rsid w:val="003D12F1"/>
    <w:rsid w:val="003D54AD"/>
    <w:rsid w:val="003D693A"/>
    <w:rsid w:val="003E0134"/>
    <w:rsid w:val="003E6C19"/>
    <w:rsid w:val="003F1C8D"/>
    <w:rsid w:val="00421355"/>
    <w:rsid w:val="00425784"/>
    <w:rsid w:val="004518B7"/>
    <w:rsid w:val="00452990"/>
    <w:rsid w:val="004604CD"/>
    <w:rsid w:val="00462992"/>
    <w:rsid w:val="00462CFB"/>
    <w:rsid w:val="004840E1"/>
    <w:rsid w:val="00486681"/>
    <w:rsid w:val="00490071"/>
    <w:rsid w:val="004948FB"/>
    <w:rsid w:val="00497200"/>
    <w:rsid w:val="004A2477"/>
    <w:rsid w:val="004C0C4E"/>
    <w:rsid w:val="004C25A2"/>
    <w:rsid w:val="004C3178"/>
    <w:rsid w:val="004C691E"/>
    <w:rsid w:val="004D4267"/>
    <w:rsid w:val="004E506A"/>
    <w:rsid w:val="005004A7"/>
    <w:rsid w:val="00504AE4"/>
    <w:rsid w:val="00505829"/>
    <w:rsid w:val="00523B5F"/>
    <w:rsid w:val="005305D6"/>
    <w:rsid w:val="00551CD1"/>
    <w:rsid w:val="0055542F"/>
    <w:rsid w:val="00567F21"/>
    <w:rsid w:val="00571959"/>
    <w:rsid w:val="00571B80"/>
    <w:rsid w:val="0058238F"/>
    <w:rsid w:val="00592C00"/>
    <w:rsid w:val="00597694"/>
    <w:rsid w:val="005B0B35"/>
    <w:rsid w:val="005B46A4"/>
    <w:rsid w:val="005B5967"/>
    <w:rsid w:val="005B7AE1"/>
    <w:rsid w:val="005C301C"/>
    <w:rsid w:val="005E27BA"/>
    <w:rsid w:val="005F5040"/>
    <w:rsid w:val="006032E2"/>
    <w:rsid w:val="00615BAF"/>
    <w:rsid w:val="0061609B"/>
    <w:rsid w:val="00623E07"/>
    <w:rsid w:val="006247E7"/>
    <w:rsid w:val="00632A0C"/>
    <w:rsid w:val="00633D74"/>
    <w:rsid w:val="006379E9"/>
    <w:rsid w:val="006425E0"/>
    <w:rsid w:val="00666247"/>
    <w:rsid w:val="00677AD4"/>
    <w:rsid w:val="00681454"/>
    <w:rsid w:val="00687BAF"/>
    <w:rsid w:val="006945EE"/>
    <w:rsid w:val="006A02DC"/>
    <w:rsid w:val="006A512D"/>
    <w:rsid w:val="006B4437"/>
    <w:rsid w:val="006C0FE7"/>
    <w:rsid w:val="006C5CF7"/>
    <w:rsid w:val="006C7100"/>
    <w:rsid w:val="006D77AF"/>
    <w:rsid w:val="006E6768"/>
    <w:rsid w:val="007105B5"/>
    <w:rsid w:val="00710CF1"/>
    <w:rsid w:val="0072369E"/>
    <w:rsid w:val="0073468F"/>
    <w:rsid w:val="00773738"/>
    <w:rsid w:val="007742C9"/>
    <w:rsid w:val="0077527A"/>
    <w:rsid w:val="00775B4C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1642"/>
    <w:rsid w:val="008037E4"/>
    <w:rsid w:val="00804031"/>
    <w:rsid w:val="008044AD"/>
    <w:rsid w:val="00867646"/>
    <w:rsid w:val="0087040E"/>
    <w:rsid w:val="00886A96"/>
    <w:rsid w:val="00893102"/>
    <w:rsid w:val="008A2062"/>
    <w:rsid w:val="008A7BB6"/>
    <w:rsid w:val="008C2627"/>
    <w:rsid w:val="008D0BB7"/>
    <w:rsid w:val="008D0DF7"/>
    <w:rsid w:val="008D2BEA"/>
    <w:rsid w:val="008E44CB"/>
    <w:rsid w:val="008E7386"/>
    <w:rsid w:val="00911E69"/>
    <w:rsid w:val="00915403"/>
    <w:rsid w:val="00943A32"/>
    <w:rsid w:val="00950BCD"/>
    <w:rsid w:val="009547F5"/>
    <w:rsid w:val="00983036"/>
    <w:rsid w:val="0098745D"/>
    <w:rsid w:val="009954E6"/>
    <w:rsid w:val="009B2B45"/>
    <w:rsid w:val="009E40DB"/>
    <w:rsid w:val="009E4E0D"/>
    <w:rsid w:val="00A0127D"/>
    <w:rsid w:val="00A0283C"/>
    <w:rsid w:val="00A12729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2B7C"/>
    <w:rsid w:val="00AA3CC7"/>
    <w:rsid w:val="00AA47BF"/>
    <w:rsid w:val="00AA6249"/>
    <w:rsid w:val="00AB0EC6"/>
    <w:rsid w:val="00AC1022"/>
    <w:rsid w:val="00AC7415"/>
    <w:rsid w:val="00AC7500"/>
    <w:rsid w:val="00AC7C81"/>
    <w:rsid w:val="00AD2604"/>
    <w:rsid w:val="00AD3E46"/>
    <w:rsid w:val="00AD7C20"/>
    <w:rsid w:val="00B034C3"/>
    <w:rsid w:val="00B11BC7"/>
    <w:rsid w:val="00B1293F"/>
    <w:rsid w:val="00B33946"/>
    <w:rsid w:val="00B416C3"/>
    <w:rsid w:val="00B4296B"/>
    <w:rsid w:val="00B56218"/>
    <w:rsid w:val="00B63506"/>
    <w:rsid w:val="00B70659"/>
    <w:rsid w:val="00B71250"/>
    <w:rsid w:val="00B71445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464F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72247"/>
    <w:rsid w:val="00C87472"/>
    <w:rsid w:val="00CA3579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20D88"/>
    <w:rsid w:val="00D43149"/>
    <w:rsid w:val="00D5577F"/>
    <w:rsid w:val="00D63ABD"/>
    <w:rsid w:val="00D664EF"/>
    <w:rsid w:val="00D67248"/>
    <w:rsid w:val="00D70F22"/>
    <w:rsid w:val="00D77F86"/>
    <w:rsid w:val="00D8097B"/>
    <w:rsid w:val="00D82682"/>
    <w:rsid w:val="00DA0E6B"/>
    <w:rsid w:val="00DA3185"/>
    <w:rsid w:val="00DA4EAA"/>
    <w:rsid w:val="00DB1844"/>
    <w:rsid w:val="00DE03AC"/>
    <w:rsid w:val="00E04762"/>
    <w:rsid w:val="00E05E21"/>
    <w:rsid w:val="00E24542"/>
    <w:rsid w:val="00E40868"/>
    <w:rsid w:val="00E410D0"/>
    <w:rsid w:val="00E4133D"/>
    <w:rsid w:val="00E458A5"/>
    <w:rsid w:val="00E56153"/>
    <w:rsid w:val="00E61BC2"/>
    <w:rsid w:val="00E702BD"/>
    <w:rsid w:val="00E71C53"/>
    <w:rsid w:val="00E73692"/>
    <w:rsid w:val="00E90C21"/>
    <w:rsid w:val="00E944F8"/>
    <w:rsid w:val="00EC5ECD"/>
    <w:rsid w:val="00ED307F"/>
    <w:rsid w:val="00ED4E89"/>
    <w:rsid w:val="00ED57FF"/>
    <w:rsid w:val="00EE4477"/>
    <w:rsid w:val="00EF1574"/>
    <w:rsid w:val="00EF4ED3"/>
    <w:rsid w:val="00EF5D20"/>
    <w:rsid w:val="00F50B83"/>
    <w:rsid w:val="00F51CB4"/>
    <w:rsid w:val="00F52037"/>
    <w:rsid w:val="00F56A94"/>
    <w:rsid w:val="00F67838"/>
    <w:rsid w:val="00F67E1E"/>
    <w:rsid w:val="00F9053B"/>
    <w:rsid w:val="00FB2D9C"/>
    <w:rsid w:val="00FC3948"/>
    <w:rsid w:val="00FC51DA"/>
    <w:rsid w:val="00FC5391"/>
    <w:rsid w:val="00FC6CAA"/>
    <w:rsid w:val="00FD7CC4"/>
    <w:rsid w:val="00FE24E7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84A58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uJudges">
    <w:name w:val="Ju_Judges"/>
    <w:aliases w:val="_Judges"/>
    <w:basedOn w:val="Normal"/>
    <w:rsid w:val="0001637B"/>
    <w:pPr>
      <w:tabs>
        <w:tab w:val="left" w:pos="560"/>
        <w:tab w:val="left" w:pos="1120"/>
      </w:tabs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DecHTitle">
    <w:name w:val="Dec_H_Title"/>
    <w:aliases w:val="_Title_1"/>
    <w:uiPriority w:val="99"/>
    <w:rsid w:val="0001637B"/>
    <w:pPr>
      <w:keepNext/>
      <w:keepLines/>
      <w:autoSpaceDE w:val="0"/>
      <w:autoSpaceDN w:val="0"/>
      <w:adjustRightInd w:val="0"/>
      <w:spacing w:after="240" w:line="240" w:lineRule="auto"/>
      <w:jc w:val="center"/>
    </w:pPr>
    <w:rPr>
      <w:rFonts w:ascii="Times New Roman" w:hAnsi="Times New Roman" w:cs="Times New Roman"/>
      <w:color w:val="000000"/>
      <w:sz w:val="28"/>
      <w:szCs w:val="28"/>
    </w:rPr>
  </w:style>
  <w:style w:type="paragraph" w:styleId="NoSpacing">
    <w:name w:val="No Spacing"/>
    <w:uiPriority w:val="99"/>
    <w:qFormat/>
    <w:rsid w:val="0001637B"/>
    <w:pPr>
      <w:autoSpaceDE w:val="0"/>
      <w:autoSpaceDN w:val="0"/>
      <w:adjustRightInd w:val="0"/>
      <w:spacing w:after="0" w:line="240" w:lineRule="auto"/>
    </w:pPr>
    <w:rPr>
      <w:rFonts w:ascii="MS Mincho" w:hAnsi="Times New Roman" w:cs="MS Mincho"/>
      <w:color w:val="000000"/>
    </w:rPr>
  </w:style>
  <w:style w:type="paragraph" w:customStyle="1" w:styleId="JuPara">
    <w:name w:val="Ju_Para"/>
    <w:aliases w:val="_Para"/>
    <w:basedOn w:val="Normal"/>
    <w:link w:val="JuParaChar"/>
    <w:uiPriority w:val="4"/>
    <w:qFormat/>
    <w:rsid w:val="00136CFA"/>
    <w:pPr>
      <w:spacing w:after="0" w:line="240" w:lineRule="auto"/>
      <w:ind w:firstLine="284"/>
      <w:jc w:val="both"/>
    </w:pPr>
    <w:rPr>
      <w:rFonts w:eastAsiaTheme="minorHAnsi"/>
      <w:sz w:val="24"/>
      <w:szCs w:val="24"/>
      <w:lang w:val="sq-AL"/>
    </w:rPr>
  </w:style>
  <w:style w:type="character" w:styleId="FootnoteReference">
    <w:name w:val="footnote reference"/>
    <w:basedOn w:val="DefaultParagraphFont"/>
    <w:uiPriority w:val="98"/>
    <w:semiHidden/>
    <w:rsid w:val="00136CFA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136CFA"/>
    <w:pPr>
      <w:spacing w:after="0" w:line="240" w:lineRule="auto"/>
    </w:pPr>
    <w:rPr>
      <w:rFonts w:eastAsiaTheme="minorHAnsi"/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136CFA"/>
    <w:rPr>
      <w:rFonts w:eastAsiaTheme="minorHAnsi"/>
      <w:sz w:val="20"/>
      <w:szCs w:val="20"/>
      <w:lang w:val="sq-AL"/>
    </w:rPr>
  </w:style>
  <w:style w:type="table" w:styleId="TableGrid">
    <w:name w:val="Table Grid"/>
    <w:basedOn w:val="TableNormal"/>
    <w:uiPriority w:val="59"/>
    <w:rsid w:val="00136CFA"/>
    <w:pPr>
      <w:spacing w:after="0" w:line="240" w:lineRule="auto"/>
    </w:pPr>
    <w:rPr>
      <w:rFonts w:eastAsiaTheme="minorEastAsia"/>
      <w:sz w:val="24"/>
      <w:szCs w:val="24"/>
      <w:lang w:val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uParaChar">
    <w:name w:val="Ju_Para Char"/>
    <w:aliases w:val="_Para Char"/>
    <w:link w:val="JuPara"/>
    <w:uiPriority w:val="4"/>
    <w:rsid w:val="00136CFA"/>
    <w:rPr>
      <w:rFonts w:eastAsiaTheme="minorHAnsi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semiHidden/>
    <w:unhideWhenUsed/>
    <w:rsid w:val="00AB0E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B0EC6"/>
  </w:style>
  <w:style w:type="paragraph" w:styleId="Footer">
    <w:name w:val="footer"/>
    <w:basedOn w:val="Normal"/>
    <w:link w:val="FooterChar"/>
    <w:uiPriority w:val="99"/>
    <w:semiHidden/>
    <w:unhideWhenUsed/>
    <w:rsid w:val="00AB0E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B0E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19F9F79CF64EF1B7FDAF7D3B23BA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63986-10</Nr_x002e__x0020_akti>
    <Data_x0020_e_x0020_Krijimit xmlns="0e656187-b300-4fb0-8bf4-3a50f872073c">2023-08-02T11:21:54Z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2023-08-01T22:00:00Z</Date_x0020_protokolli>
    <Titulli xmlns="0e656187-b300-4fb0-8bf4-3a50f872073c">Çështja Elgakoti sh.p.k. dhe të tjerë kundër Shqipërisë (Kërkesa nr. 63986/10 dhe 5 të tjerë)</Titulli>
    <Modifikuesi xmlns="0e656187-b300-4fb0-8bf4-3a50f872073c">alma.lisaku</Modifikuesi>
    <Nr_x002e__x0020_prot_x0020_QBZ xmlns="0e656187-b300-4fb0-8bf4-3a50f872073c">1216</Nr_x002e__x0020_prot_x0020_QBZ>
    <Data_x0020_e_x0020_Modifikimit xmlns="0e656187-b300-4fb0-8bf4-3a50f872073c">2023-08-03T09:03:17Z</Data_x0020_e_x0020_Modifikimit>
    <Dekretuar xmlns="0e656187-b300-4fb0-8bf4-3a50f872073c">false</Dekretuar>
    <Data xmlns="0e656187-b300-4fb0-8bf4-3a50f872073c">2023-07-05T22:00:00Z</Data>
    <Nr_x002e__x0020_protokolli_x0020_i_x0020_aktit xmlns="0e656187-b300-4fb0-8bf4-3a50f872073c">4570/1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19F9F79CF64EF1B7FDAF7D3B23BA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906C39B-648B-41DF-B19C-68531C577E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AEB15C3-9DFD-4B3A-AE0D-4BF7263A8B0A}">
  <ds:schemaRefs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BD01EAD-7DC8-459A-ACD7-8218BB3D18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1D9DE1-7178-4417-B07A-D237279FC45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AD3D5CC-37B1-4B28-9CC5-7BAEF2683A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1935</Words>
  <Characters>11032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Çështja Elgakoti sh.p.k. dhe të tjerë kundër Shqipërisë (Kërkesa nr. 63986/10 dhe 5 të tjerë)</vt:lpstr>
    </vt:vector>
  </TitlesOfParts>
  <Company/>
  <LinksUpToDate>false</LinksUpToDate>
  <CharactersWithSpaces>12942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Çështja Elgakoti sh.p.k. dhe të tjerë kundër Shqipërisë (Kërkesa nr. 63986/10 dhe 5 të tjerë)</dc:title>
  <dc:creator>Entela Suli</dc:creator>
  <cp:lastModifiedBy>Entela Suli</cp:lastModifiedBy>
  <cp:revision>33</cp:revision>
  <dcterms:created xsi:type="dcterms:W3CDTF">2023-08-02T11:05:00Z</dcterms:created>
  <dcterms:modified xsi:type="dcterms:W3CDTF">2023-08-03T09:30:00Z</dcterms:modified>
</cp:coreProperties>
</file>