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1E2B5" w14:textId="77777777" w:rsidR="00F64533" w:rsidRPr="00F64533" w:rsidRDefault="00F64533" w:rsidP="00F64533">
      <w:pPr>
        <w:keepLine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4533">
        <w:rPr>
          <w:rFonts w:ascii="Garamond" w:eastAsia="Times New Roman" w:hAnsi="Garamond" w:cs="Times New Roman"/>
          <w:color w:val="000000"/>
          <w:sz w:val="24"/>
          <w:szCs w:val="24"/>
        </w:rPr>
        <w:t>GJYKATA EVROPIANE E TË DREJTAVE TË NJERIUT</w:t>
      </w:r>
    </w:p>
    <w:p w14:paraId="4C8B4B3D" w14:textId="77777777" w:rsidR="00F64533" w:rsidRDefault="00F64533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D24F36" w14:textId="77777777" w:rsidR="00F64533" w:rsidRDefault="00F64533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F4D59F1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5FD910F1" w14:textId="6BDD192B" w:rsidR="0064104A" w:rsidRPr="00847738" w:rsidRDefault="0064104A" w:rsidP="001A2195">
      <w:pPr>
        <w:rPr>
          <w:lang w:val="sq-AL"/>
        </w:rPr>
      </w:pPr>
    </w:p>
    <w:p w14:paraId="35805349" w14:textId="1E435A6E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ÇËSHTJA MULLA KUNDËR SHQIPËRISË</w:t>
      </w:r>
    </w:p>
    <w:p w14:paraId="1707DE1B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color w:val="000000"/>
          <w:sz w:val="24"/>
          <w:szCs w:val="24"/>
          <w:lang w:val="sq-AL"/>
        </w:rPr>
        <w:t>(</w:t>
      </w:r>
      <w:r w:rsidRPr="00847738">
        <w:rPr>
          <w:rFonts w:ascii="Garamond" w:hAnsi="Garamond" w:cs="MS Mincho"/>
          <w:i/>
          <w:iCs/>
          <w:color w:val="000000"/>
          <w:sz w:val="24"/>
          <w:szCs w:val="24"/>
          <w:lang w:val="sq-AL"/>
        </w:rPr>
        <w:t>Kërkesa nr. 72348/11)</w:t>
      </w:r>
    </w:p>
    <w:p w14:paraId="23E06955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color w:val="000000"/>
          <w:sz w:val="24"/>
          <w:szCs w:val="24"/>
          <w:lang w:val="sq-AL"/>
        </w:rPr>
        <w:t>VENDIM</w:t>
      </w:r>
    </w:p>
    <w:p w14:paraId="7335AC34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6D1C4E49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color w:val="000000"/>
          <w:sz w:val="24"/>
          <w:szCs w:val="24"/>
          <w:lang w:val="sq-AL"/>
        </w:rPr>
        <w:t>STRASBURG</w:t>
      </w:r>
    </w:p>
    <w:p w14:paraId="71F4290C" w14:textId="03C068EC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color w:val="000000"/>
          <w:sz w:val="24"/>
          <w:szCs w:val="24"/>
          <w:lang w:val="sq-AL"/>
        </w:rPr>
        <w:t xml:space="preserve">6 </w:t>
      </w:r>
      <w:r w:rsidR="00D905FB" w:rsidRPr="00847738">
        <w:rPr>
          <w:rFonts w:ascii="Garamond" w:hAnsi="Garamond" w:cs="MS Mincho"/>
          <w:color w:val="000000"/>
          <w:sz w:val="24"/>
          <w:szCs w:val="24"/>
          <w:lang w:val="sq-AL"/>
        </w:rPr>
        <w:t xml:space="preserve">korrik </w:t>
      </w:r>
      <w:r w:rsidRPr="00847738">
        <w:rPr>
          <w:rFonts w:ascii="Garamond" w:hAnsi="Garamond" w:cs="MS Mincho"/>
          <w:color w:val="000000"/>
          <w:sz w:val="24"/>
          <w:szCs w:val="24"/>
          <w:lang w:val="sq-AL"/>
        </w:rPr>
        <w:t>2023</w:t>
      </w:r>
    </w:p>
    <w:p w14:paraId="3ED7AC2B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72F4BC5E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i/>
          <w:iCs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i/>
          <w:iCs/>
          <w:color w:val="000000"/>
          <w:sz w:val="24"/>
          <w:szCs w:val="24"/>
          <w:lang w:val="sq-AL"/>
        </w:rPr>
        <w:t>Ky vendim është i formës së prerë, por mund të bëhet objekt i rishikimit redaktues.</w:t>
      </w:r>
    </w:p>
    <w:p w14:paraId="31EB5EAE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2D9C0EDB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Në çështjen Mulla kundër Shqipërisë, </w:t>
      </w:r>
    </w:p>
    <w:p w14:paraId="56F2B2A3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847738">
        <w:rPr>
          <w:rFonts w:ascii="Garamond" w:hAnsi="Garamond" w:cs="MS Mincho"/>
          <w:color w:val="000000"/>
          <w:sz w:val="24"/>
          <w:szCs w:val="24"/>
          <w:lang w:val="sq-AL"/>
        </w:rPr>
        <w:t xml:space="preserve">Gjykata Evropiane e të Drejtave të Njeriut (Seksioni i Tretë) e mbledhur si një Komision, i përbërë nga: </w:t>
      </w:r>
    </w:p>
    <w:p w14:paraId="37BBF134" w14:textId="1B163CB2" w:rsidR="00386A6A" w:rsidRPr="00847738" w:rsidRDefault="00386A6A" w:rsidP="00386A6A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Ioannis Ktistakis,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847738"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kryetar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</w:p>
    <w:p w14:paraId="40213780" w14:textId="77777777" w:rsidR="00386A6A" w:rsidRPr="00847738" w:rsidRDefault="00386A6A" w:rsidP="00386A6A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Darian Pavli, </w:t>
      </w:r>
    </w:p>
    <w:p w14:paraId="555AFAA5" w14:textId="77777777" w:rsidR="00386A6A" w:rsidRPr="00847738" w:rsidRDefault="00386A6A" w:rsidP="00386A6A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Oddný Mjöll Arnardóttir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gjyqtarë,</w:t>
      </w:r>
    </w:p>
    <w:p w14:paraId="1E4E8148" w14:textId="00A02D10" w:rsidR="00386A6A" w:rsidRPr="00847738" w:rsidRDefault="00386A6A" w:rsidP="00386A6A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Viktoriya Maradudina, </w:t>
      </w:r>
      <w:r w:rsidR="00847738"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zëvendësregjistrare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 Përkohshme e Seksionit,</w:t>
      </w:r>
      <w:r w:rsidR="00847738"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44C26BDE" w14:textId="60D5956F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diskutoi me dyer të mbyllura më 15 </w:t>
      </w:r>
      <w:r w:rsidR="00D905FB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qershor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2023; </w:t>
      </w:r>
    </w:p>
    <w:p w14:paraId="71B0ECC7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Jep vendimin e mëposhtëm, i cili u miratua në po atë datë: </w:t>
      </w:r>
    </w:p>
    <w:p w14:paraId="2B7872EC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6DD9F7A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 </w:t>
      </w:r>
    </w:p>
    <w:p w14:paraId="3F3BD9B2" w14:textId="64FB2211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Çështja nisi me kërkesën kundër Shqipërisë depozituar pranë Gjykatës në mbështetje të </w:t>
      </w:r>
      <w:r w:rsidR="00D231EA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34 të Konventës për Mbrojtjen e të Drejtave dhe Lirive Themelore (“Konventa”) më 10 </w:t>
      </w:r>
      <w:r w:rsidR="00D905FB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ëntor 2011. </w:t>
      </w:r>
    </w:p>
    <w:p w14:paraId="761B5B5A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Qeveria shqiptare (“Qeveria”) u njoftua për kërkesën. </w:t>
      </w:r>
    </w:p>
    <w:p w14:paraId="128C75CC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FAKTET </w:t>
      </w:r>
    </w:p>
    <w:p w14:paraId="318FCE61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Detajet e kërkuesit dhe informacioni përkatës për aplikimin gjenden në tabelën bashkëlidhur. </w:t>
      </w:r>
    </w:p>
    <w:p w14:paraId="74ED2CB6" w14:textId="1156C56A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4. Kërkuesi u ankua për kohëzgjatje të tepërt të procesit civil. Gjithashtu, ai bëri edhe ankesa të tjera</w:t>
      </w:r>
      <w:r w:rsidR="00D231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parashikimeve të Konventës dhe Protokolleve të saj. </w:t>
      </w:r>
    </w:p>
    <w:p w14:paraId="49D93B47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 </w:t>
      </w:r>
    </w:p>
    <w:p w14:paraId="2DC3E1B2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I. PRETENDIM PËR SHKELJE TË NENIT 6 § 1 TË KONVENTËS</w:t>
      </w:r>
    </w:p>
    <w:p w14:paraId="4EB62768" w14:textId="6F25408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Kërkuesi u ankua se kohëzgjatja e procesit civil konkret nuk ishte në përputhje me parashikimin për “afat të arsyeshëm”. Ai u mbështet në </w:t>
      </w:r>
      <w:r w:rsidR="00D231EA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§ 1 të Konventës. </w:t>
      </w:r>
    </w:p>
    <w:p w14:paraId="3D128E08" w14:textId="149FED7F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6. Në çështjen konkrete, procesi i cili zgjati për jo më pak se shtatë v</w:t>
      </w:r>
      <w:r w:rsidR="00BC7BAD">
        <w:rPr>
          <w:rFonts w:ascii="Garamond" w:hAnsi="Garamond" w:cs="Times New Roman"/>
          <w:color w:val="000000"/>
          <w:sz w:val="24"/>
          <w:szCs w:val="24"/>
          <w:lang w:val="sq-AL"/>
        </w:rPr>
        <w:t>jet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kishte të bënte me një çështje të thjeshtë: anulimin e procesit të shitjes dhe </w:t>
      </w:r>
      <w:r w:rsidR="009D4F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privatizimit. Kohëzgjatja iu atribua rikthimit të çështjes për gjykim dhe vonesave në Gjykatën e Apelit (për dy v</w:t>
      </w:r>
      <w:r w:rsidR="009D4FCF">
        <w:rPr>
          <w:rFonts w:ascii="Garamond" w:hAnsi="Garamond" w:cs="Times New Roman"/>
          <w:color w:val="000000"/>
          <w:sz w:val="24"/>
          <w:szCs w:val="24"/>
          <w:lang w:val="sq-AL"/>
        </w:rPr>
        <w:t>jet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), dhe në Gjykatën e Lartë (për dy v</w:t>
      </w:r>
      <w:r w:rsidR="00A32BBB">
        <w:rPr>
          <w:rFonts w:ascii="Garamond" w:hAnsi="Garamond" w:cs="Times New Roman"/>
          <w:color w:val="000000"/>
          <w:sz w:val="24"/>
          <w:szCs w:val="24"/>
          <w:lang w:val="sq-AL"/>
        </w:rPr>
        <w:t>jet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Procesi nisi në Gjykatën e Rrethit Vlorë më 21 </w:t>
      </w:r>
      <w:r w:rsidR="002C5C2B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nëntor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2003 dhe zgjati deri më 18 </w:t>
      </w:r>
      <w:r w:rsidR="002C5C2B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maj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2011, kur Gjykata Kushtetuese vendosi rrëzimin e kërkesës së ankuesit për padrejtësi në proces. Qeveria nuk i kundërshtoi këto parashtrime të kërkuesit</w:t>
      </w:r>
      <w:r w:rsidR="002C5C2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kohëzgjatjen e procesit. </w:t>
      </w:r>
    </w:p>
    <w:p w14:paraId="0BDFAD2A" w14:textId="4B91A010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Gjykata përsërit se arsyeshmëria e kohëzgjatjes së procesit duhet të vlerësohet sipas rrethanave të çështjes dhe referuar kritereve të mëposhtme: kompleksitetit të çështjes, sjelljes së kërkuesit dhe të autoriteteve përkatëse dhe çfarë ishte në rrezik për kërkuesin në mosmarrëveshje (shih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Frydlender kundër Francës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[DHM], nr. 30979/96, § 43, GJEDNJ 2000-VII;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Gazsó kundër Hungarisë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48322/12, § 15, 16 </w:t>
      </w:r>
      <w:r w:rsidR="002C5C2B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2015; dhe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Topallaj kundër Shqipërisë,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32913/03, § 75, 21 </w:t>
      </w:r>
      <w:r w:rsidR="002C5C2B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prill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2016). </w:t>
      </w:r>
    </w:p>
    <w:p w14:paraId="1F02D916" w14:textId="02FF959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8. Në çështjet kryesuese,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Luli dhe të Tjerë kundër Shqipërisë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64480/09 dhe 5 të tjerë, 1 </w:t>
      </w:r>
      <w:r w:rsidR="00FE0BC9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prill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2014, dhe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Mishgjoni kundër Shqipërisë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18381/05, 7 </w:t>
      </w:r>
      <w:r w:rsidR="00FE0BC9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2010, Gjykata tashmë ka konstatuar një shkelje</w:t>
      </w:r>
      <w:r w:rsidR="00FE0B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problematika të ngjashme me ato në çështjen konkrete. </w:t>
      </w:r>
    </w:p>
    <w:p w14:paraId="4B4ED6A4" w14:textId="38EED8A3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Pasi shqyrtoi materialet e dorëzuara pranë saj, Gjykata nuk ka gjetur fakte ose argumente që justifikojnë kohëzgjatjen e përgjithshme të procesit në nivel </w:t>
      </w:r>
      <w:r w:rsidR="002A432E">
        <w:rPr>
          <w:rFonts w:ascii="Garamond" w:hAnsi="Garamond" w:cs="Times New Roman"/>
          <w:color w:val="000000"/>
          <w:sz w:val="24"/>
          <w:szCs w:val="24"/>
          <w:lang w:val="sq-AL"/>
        </w:rPr>
        <w:t>vendë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s. Duke iu referuar praktikës së saj gjyqësore për lëndën, Gjykata vlerëson se në çështjen konkrete, kohëzgjatja e procesit ishte e tepërt dhe nuk respektonte kërkesën për “afat të arsyeshëm”. </w:t>
      </w:r>
    </w:p>
    <w:p w14:paraId="2A8D2D84" w14:textId="1A525C85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Për këtë arsye, kjo ankesë është e pranueshme dhe konstaton një shkelje të </w:t>
      </w:r>
      <w:r w:rsidR="00321014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§ 1 të Konventës. </w:t>
      </w:r>
    </w:p>
    <w:p w14:paraId="034237D4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II. ANKESA TË TJERA</w:t>
      </w:r>
    </w:p>
    <w:p w14:paraId="1E64725F" w14:textId="5F779D08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Kërkuesi u ankua edhe në mbështetje të </w:t>
      </w:r>
      <w:r w:rsidR="00346276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 të Konventës dhe </w:t>
      </w:r>
      <w:r w:rsidR="00346276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të Protokollit </w:t>
      </w:r>
      <w:r w:rsidR="00346276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1 për mungesë të mjeteve efektive dhe shkelje të së drejtës së tij ndaj pronës. Duke pasur konsideratë për faktet e çështjes, parashtrimet e palëve dhe konstatimet e mësipërme, Gjykata vlerëson se e ka shqyrtuar çështjen kryesore ligjore në kërkesën konkrete. Në këtë mënyrë, ajo konstaton se nuk është e nevojshme që të japë një vendim të veçantë për to (krahaso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Qendrën për Burime Juridike në emër të Valentin Câmpeanu kundër Rumanisë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[DHM], nr. 47848/08, § 156, GJEDNJ 2014, dhe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Habilaj kundër Shqipërisë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[Komisioni], nr. 2480/10, § 14, 15 Shtator 2022).</w:t>
      </w:r>
    </w:p>
    <w:p w14:paraId="06D92373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III. ZBATIM I NENIT 41 TË KONVENTËS</w:t>
      </w:r>
    </w:p>
    <w:p w14:paraId="5331B251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12. Neni 41 i Konventës parashikon:</w:t>
      </w:r>
    </w:p>
    <w:p w14:paraId="3492A877" w14:textId="4B53ACC5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“Kur Gjykata konstaton se ka pasur një shkelje të Konventës ose të protokolleve të saj dhe, nëse e drejta e brendshme e Palës së Lartë Kontraktuese lejon të bëhet vetëm një ndreqje e pjesshme, Gjykata, kur është e nevojshme, i akordon shpërblim të drejtë palës së dëmtuar.”</w:t>
      </w:r>
    </w:p>
    <w:p w14:paraId="7955AB4D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Pasi ka shqyrtuar dokumentet në zotërimin e saj dhe praktikën e saj gjyqësore (shih, veçanërisht,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Luli dhe të Tjerë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cituar më sipër, dhe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Mishgjoni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cituar më sipër), Gjykata e vlerëson të arsyeshme që të akordojë shumën e përcaktuar në tabelën bashkëlidhur. </w:t>
      </w:r>
    </w:p>
    <w:p w14:paraId="6699B383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KËTO ARSYE, GJYKATA, NË MËNYRË UNANIME, </w:t>
      </w:r>
    </w:p>
    <w:p w14:paraId="3A919FAB" w14:textId="77777777" w:rsidR="00391626" w:rsidRDefault="00386A6A" w:rsidP="003916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1. E deklaron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ankesën në lidhje me kohëzgjatjen e procesit, në mbështetje të </w:t>
      </w:r>
      <w:r w:rsidR="00703044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të Konventës, të pranueshme, dhe </w:t>
      </w:r>
      <w:r w:rsidRPr="0084773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nuk është e nevojshme që të shqyrtojë në mënyrë të veçantë ankesat e tjera të drejtuara në mbështetje të praktikës gjy</w:t>
      </w:r>
      <w:bookmarkStart w:id="0" w:name="_GoBack"/>
      <w:bookmarkEnd w:id="0"/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qësore të konsoliduar të Gjykatës (shih tabelën bashkëlidhur); </w:t>
      </w:r>
    </w:p>
    <w:p w14:paraId="309C62AB" w14:textId="493CBFA9" w:rsidR="00391626" w:rsidRPr="00391626" w:rsidRDefault="00391626" w:rsidP="003916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72CB">
        <w:rPr>
          <w:rFonts w:ascii="Garamond" w:hAnsi="Garamond"/>
          <w:i/>
          <w:iCs/>
          <w:color w:val="000000"/>
          <w:spacing w:val="-4"/>
          <w:sz w:val="24"/>
          <w:szCs w:val="24"/>
          <w:lang w:val="sq-AL"/>
        </w:rPr>
        <w:t>2. Vendos</w:t>
      </w:r>
      <w:r w:rsidRPr="00B272CB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se kjo kërkesë konstaton një shkelje të nenit 6 § 1 të Konventës,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</w:t>
      </w:r>
      <w:r w:rsidRPr="00B272CB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në lidhje me kohëzgjatjen e tepërt të procesit civil; </w:t>
      </w:r>
    </w:p>
    <w:p w14:paraId="0C90769F" w14:textId="77777777" w:rsidR="00391626" w:rsidRDefault="00391626" w:rsidP="003916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3. </w:t>
      </w:r>
      <w:r w:rsidRPr="004219B0">
        <w:rPr>
          <w:rFonts w:ascii="Garamond" w:hAnsi="Garamond"/>
          <w:i/>
          <w:color w:val="000000"/>
          <w:spacing w:val="-4"/>
          <w:sz w:val="24"/>
          <w:szCs w:val="24"/>
          <w:lang w:val="sq-AL"/>
        </w:rPr>
        <w:t>Vendos:</w:t>
      </w:r>
    </w:p>
    <w:p w14:paraId="66DDC8BC" w14:textId="4F084D76" w:rsidR="00391626" w:rsidRPr="00B272CB" w:rsidRDefault="00391626" w:rsidP="00643A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B272CB">
        <w:rPr>
          <w:rFonts w:ascii="Garamond" w:hAnsi="Garamond"/>
          <w:i/>
          <w:iCs/>
          <w:color w:val="000000"/>
          <w:spacing w:val="-4"/>
          <w:sz w:val="24"/>
          <w:szCs w:val="24"/>
          <w:lang w:val="sq-AL"/>
        </w:rPr>
        <w:t xml:space="preserve">a. </w:t>
      </w:r>
      <w:r w:rsidRPr="00B272CB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se Shteti përgjegjës duhet t’i paguajë kërkuesit, brenda tre muajve, shumën e përcaktuar në tabelën bashkëlidhur, të konvertuara në monedhën e Shtetit përgjegjës në normën e zbatueshme në datën e shlyerjes; </w:t>
      </w:r>
    </w:p>
    <w:p w14:paraId="29318820" w14:textId="5246EF4F" w:rsidR="00386A6A" w:rsidRPr="00847738" w:rsidRDefault="004C7DEC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386A6A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se nga përfundimi i tre muajve përmendur më sipër deri në shlyerje, për shumën e mësipërme duhet të paguhet interes i thjeshtë në normën e barabartë me normën margjinale huadhënëse të Bankës Qendrore Evropiane gjatë periudhës së vonesës së pagesës plus tre për qind pikë. </w:t>
      </w:r>
    </w:p>
    <w:p w14:paraId="6CC7E8A3" w14:textId="561D7DA0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Hartuar në anglisht dhe njoftuar</w:t>
      </w:r>
      <w:r w:rsidR="00847738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shkrim më 6 </w:t>
      </w:r>
      <w:r w:rsidR="00433599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2023, sipas </w:t>
      </w:r>
      <w:r w:rsidR="00433599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rregullit </w:t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77§§2 dhe 3 të Rregullores së Gjykatës. </w:t>
      </w:r>
    </w:p>
    <w:p w14:paraId="4C34AED3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23A700" w14:textId="54001FC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Viktoriya Maradudina</w:t>
      </w:r>
      <w:r w:rsidR="00847738"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="000B5E0D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0B5E0D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8477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Ioannis Ktistakis</w:t>
      </w:r>
    </w:p>
    <w:p w14:paraId="1ECA7661" w14:textId="6C38A433" w:rsidR="00386A6A" w:rsidRPr="00847738" w:rsidRDefault="00433599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>ZËVENDËSREGJISTRAR I PËRKOHSHËM</w:t>
      </w:r>
      <w:r w:rsidR="00847738"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B5E0D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0B5E0D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8477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 </w:t>
      </w:r>
    </w:p>
    <w:p w14:paraId="582C36BC" w14:textId="77777777" w:rsidR="00386A6A" w:rsidRPr="00847738" w:rsidRDefault="00386A6A" w:rsidP="00386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3CBFC9" w14:textId="77777777" w:rsidR="00386A6A" w:rsidRPr="00847738" w:rsidRDefault="00386A6A" w:rsidP="00386A6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C9654AA" w14:textId="77777777" w:rsidR="00386A6A" w:rsidRPr="00847738" w:rsidRDefault="00386A6A" w:rsidP="00386A6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E3AE502" w14:textId="77777777" w:rsidR="00386A6A" w:rsidRPr="00847738" w:rsidRDefault="00386A6A" w:rsidP="00386A6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470631A" w14:textId="77777777" w:rsidR="00386A6A" w:rsidRPr="00847738" w:rsidRDefault="00386A6A" w:rsidP="00386A6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696D382" w14:textId="77777777" w:rsidR="00386A6A" w:rsidRPr="00847738" w:rsidRDefault="00386A6A" w:rsidP="00386A6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36D8B17" w14:textId="3F8A65A0" w:rsidR="00433599" w:rsidRPr="00847738" w:rsidRDefault="00433599" w:rsidP="00386A6A">
      <w:pPr>
        <w:pStyle w:val="JuPara"/>
        <w:ind w:firstLine="0"/>
        <w:jc w:val="center"/>
        <w:rPr>
          <w:rFonts w:ascii="Garamond" w:hAnsi="Garamond" w:cstheme="minorHAnsi"/>
          <w:bCs/>
          <w:iCs/>
        </w:rPr>
      </w:pPr>
    </w:p>
    <w:p w14:paraId="233CEDC2" w14:textId="19B22CCE" w:rsidR="00386A6A" w:rsidRPr="00E92F95" w:rsidRDefault="00962D51" w:rsidP="00386A6A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  <w:r w:rsidRPr="00E92F95">
        <w:rPr>
          <w:rFonts w:ascii="Garamond" w:hAnsi="Garamond" w:cstheme="minorHAnsi"/>
          <w:bCs/>
          <w:iCs/>
          <w:sz w:val="20"/>
        </w:rPr>
        <w:t>SHTOJCË</w:t>
      </w:r>
    </w:p>
    <w:p w14:paraId="7379E28C" w14:textId="682EDE91" w:rsidR="00386A6A" w:rsidRPr="00E92F95" w:rsidRDefault="00962D51" w:rsidP="00386A6A">
      <w:pPr>
        <w:pStyle w:val="JuPara"/>
        <w:ind w:firstLine="0"/>
        <w:jc w:val="center"/>
        <w:rPr>
          <w:rFonts w:ascii="Garamond" w:hAnsi="Garamond" w:cstheme="minorHAnsi"/>
          <w:iCs/>
          <w:sz w:val="20"/>
        </w:rPr>
      </w:pPr>
      <w:r w:rsidRPr="00E92F95">
        <w:rPr>
          <w:rFonts w:ascii="Garamond" w:hAnsi="Garamond" w:cstheme="minorHAnsi"/>
          <w:iCs/>
          <w:sz w:val="20"/>
        </w:rPr>
        <w:t>LISTA E KËRKUESVE QË PARAQESIN ANKESAT NË MBËSHTETJE TË NENIT 6 § 1 TË KONVENTËS</w:t>
      </w:r>
    </w:p>
    <w:p w14:paraId="25F5021B" w14:textId="63617346" w:rsidR="00386A6A" w:rsidRPr="00E92F95" w:rsidRDefault="00962D51" w:rsidP="00386A6A">
      <w:pPr>
        <w:pStyle w:val="JuPara"/>
        <w:ind w:firstLine="0"/>
        <w:jc w:val="center"/>
        <w:rPr>
          <w:rFonts w:ascii="Garamond" w:hAnsi="Garamond" w:cstheme="minorHAnsi"/>
          <w:iCs/>
          <w:sz w:val="20"/>
        </w:rPr>
      </w:pPr>
      <w:r w:rsidRPr="00E92F95">
        <w:rPr>
          <w:rFonts w:ascii="Garamond" w:hAnsi="Garamond" w:cstheme="minorHAnsi"/>
          <w:iCs/>
          <w:sz w:val="20"/>
        </w:rPr>
        <w:t>(MOSEKZEKUTIM OSE EKZEKUTIM I VONUAR I VENDIMEVE VENDËSE)</w:t>
      </w:r>
    </w:p>
    <w:tbl>
      <w:tblPr>
        <w:tblStyle w:val="TableGrid"/>
        <w:tblpPr w:leftFromText="180" w:rightFromText="180" w:vertAnchor="text" w:horzAnchor="margin" w:tblpXSpec="center" w:tblpY="179"/>
        <w:tblW w:w="10233" w:type="dxa"/>
        <w:tblLook w:val="04A0" w:firstRow="1" w:lastRow="0" w:firstColumn="1" w:lastColumn="0" w:noHBand="0" w:noVBand="1"/>
      </w:tblPr>
      <w:tblGrid>
        <w:gridCol w:w="1128"/>
        <w:gridCol w:w="1816"/>
        <w:gridCol w:w="1395"/>
        <w:gridCol w:w="1327"/>
        <w:gridCol w:w="1572"/>
        <w:gridCol w:w="1601"/>
        <w:gridCol w:w="1394"/>
      </w:tblGrid>
      <w:tr w:rsidR="00386A6A" w:rsidRPr="00847738" w14:paraId="67B42368" w14:textId="77777777" w:rsidTr="00962D51">
        <w:tc>
          <w:tcPr>
            <w:tcW w:w="1128" w:type="dxa"/>
            <w:vAlign w:val="center"/>
          </w:tcPr>
          <w:p w14:paraId="435E995B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Nr. i kërkesës</w:t>
            </w:r>
          </w:p>
          <w:p w14:paraId="1F2DFFD8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Data e dorëzimit</w:t>
            </w:r>
          </w:p>
        </w:tc>
        <w:tc>
          <w:tcPr>
            <w:tcW w:w="1816" w:type="dxa"/>
            <w:vAlign w:val="center"/>
          </w:tcPr>
          <w:p w14:paraId="42BCB565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Emri i kërkuesit</w:t>
            </w:r>
          </w:p>
          <w:p w14:paraId="5C87B8CF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Viti i lindjes</w:t>
            </w:r>
          </w:p>
        </w:tc>
        <w:tc>
          <w:tcPr>
            <w:tcW w:w="1395" w:type="dxa"/>
            <w:vAlign w:val="center"/>
          </w:tcPr>
          <w:p w14:paraId="6656C73D" w14:textId="77777777" w:rsidR="00962D51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Nisja e procesit ose data e hyrjes në fuqi e Konventës për Shqipërinë </w:t>
            </w:r>
          </w:p>
          <w:p w14:paraId="5DC9C439" w14:textId="0A25C72D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(2 </w:t>
            </w:r>
            <w:r w:rsidR="00962D51"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tetor </w:t>
            </w: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1996)</w:t>
            </w:r>
          </w:p>
        </w:tc>
        <w:tc>
          <w:tcPr>
            <w:tcW w:w="1327" w:type="dxa"/>
            <w:vAlign w:val="center"/>
          </w:tcPr>
          <w:p w14:paraId="2079B58C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Përfundimi i procesit</w:t>
            </w:r>
          </w:p>
        </w:tc>
        <w:tc>
          <w:tcPr>
            <w:tcW w:w="1572" w:type="dxa"/>
            <w:vAlign w:val="center"/>
          </w:tcPr>
          <w:p w14:paraId="7836727B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Kohëzgjatja në total</w:t>
            </w:r>
          </w:p>
          <w:p w14:paraId="5BD2C27B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Nivelet e juridiksionit</w:t>
            </w:r>
          </w:p>
        </w:tc>
        <w:tc>
          <w:tcPr>
            <w:tcW w:w="1601" w:type="dxa"/>
            <w:vAlign w:val="center"/>
          </w:tcPr>
          <w:p w14:paraId="3F7BD4CE" w14:textId="77777777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Ankesa të tjera sipas praktikës gjyqësore të konsoliduar</w:t>
            </w:r>
          </w:p>
        </w:tc>
        <w:tc>
          <w:tcPr>
            <w:tcW w:w="1394" w:type="dxa"/>
            <w:vAlign w:val="center"/>
          </w:tcPr>
          <w:p w14:paraId="0C9FC0CD" w14:textId="1AAAD681" w:rsidR="00386A6A" w:rsidRPr="00847738" w:rsidRDefault="00386A6A" w:rsidP="00962D51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Shuma akorduar për dëm jopasuror dhe kostot dhe shpenzimet për kërkues (në euro)</w:t>
            </w:r>
            <w:r w:rsidRPr="00847738">
              <w:rPr>
                <w:rStyle w:val="FootnoteReference"/>
                <w:rFonts w:ascii="Garamond" w:hAnsi="Garamond" w:cstheme="minorHAnsi"/>
                <w:b/>
                <w:bCs/>
                <w:iCs/>
                <w:sz w:val="20"/>
              </w:rPr>
              <w:footnoteReference w:id="2"/>
            </w:r>
          </w:p>
        </w:tc>
      </w:tr>
      <w:tr w:rsidR="00386A6A" w:rsidRPr="00847738" w14:paraId="242432FF" w14:textId="77777777" w:rsidTr="00386A6A">
        <w:tc>
          <w:tcPr>
            <w:tcW w:w="1128" w:type="dxa"/>
          </w:tcPr>
          <w:p w14:paraId="04BF29B2" w14:textId="77777777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72348/11</w:t>
            </w:r>
          </w:p>
          <w:p w14:paraId="34AF4E22" w14:textId="47D2EEDB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10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.</w:t>
            </w:r>
            <w:r w:rsidRPr="00847738">
              <w:rPr>
                <w:rFonts w:ascii="Garamond" w:hAnsi="Garamond" w:cstheme="minorHAnsi"/>
                <w:iCs/>
                <w:sz w:val="20"/>
              </w:rPr>
              <w:t>11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.</w:t>
            </w:r>
            <w:r w:rsidRPr="00847738">
              <w:rPr>
                <w:rFonts w:ascii="Garamond" w:hAnsi="Garamond" w:cstheme="minorHAnsi"/>
                <w:iCs/>
                <w:sz w:val="20"/>
              </w:rPr>
              <w:t>2011</w:t>
            </w:r>
          </w:p>
        </w:tc>
        <w:tc>
          <w:tcPr>
            <w:tcW w:w="1816" w:type="dxa"/>
          </w:tcPr>
          <w:p w14:paraId="4455383B" w14:textId="77777777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847738">
              <w:rPr>
                <w:rFonts w:ascii="Garamond" w:hAnsi="Garamond" w:cstheme="minorHAnsi"/>
                <w:b/>
                <w:bCs/>
                <w:iCs/>
                <w:sz w:val="20"/>
              </w:rPr>
              <w:t>Grigor MULLA</w:t>
            </w:r>
          </w:p>
          <w:p w14:paraId="145B0D06" w14:textId="77777777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1933</w:t>
            </w:r>
          </w:p>
        </w:tc>
        <w:tc>
          <w:tcPr>
            <w:tcW w:w="1395" w:type="dxa"/>
          </w:tcPr>
          <w:p w14:paraId="040F4DA4" w14:textId="3A46F762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21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.</w:t>
            </w:r>
            <w:r w:rsidRPr="00847738">
              <w:rPr>
                <w:rFonts w:ascii="Garamond" w:hAnsi="Garamond" w:cstheme="minorHAnsi"/>
                <w:iCs/>
                <w:sz w:val="20"/>
              </w:rPr>
              <w:t>11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.</w:t>
            </w:r>
            <w:r w:rsidRPr="00847738">
              <w:rPr>
                <w:rFonts w:ascii="Garamond" w:hAnsi="Garamond" w:cstheme="minorHAnsi"/>
                <w:iCs/>
                <w:sz w:val="20"/>
              </w:rPr>
              <w:t>2003</w:t>
            </w:r>
          </w:p>
        </w:tc>
        <w:tc>
          <w:tcPr>
            <w:tcW w:w="1327" w:type="dxa"/>
          </w:tcPr>
          <w:p w14:paraId="5A22315E" w14:textId="53751C1A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18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.</w:t>
            </w:r>
            <w:r w:rsidRPr="00847738">
              <w:rPr>
                <w:rFonts w:ascii="Garamond" w:hAnsi="Garamond" w:cstheme="minorHAnsi"/>
                <w:iCs/>
                <w:sz w:val="20"/>
              </w:rPr>
              <w:t>5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.</w:t>
            </w:r>
            <w:r w:rsidRPr="00847738">
              <w:rPr>
                <w:rFonts w:ascii="Garamond" w:hAnsi="Garamond" w:cstheme="minorHAnsi"/>
                <w:iCs/>
                <w:sz w:val="20"/>
              </w:rPr>
              <w:t>2011</w:t>
            </w:r>
          </w:p>
        </w:tc>
        <w:tc>
          <w:tcPr>
            <w:tcW w:w="1572" w:type="dxa"/>
          </w:tcPr>
          <w:p w14:paraId="6CCCC41A" w14:textId="736CA025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7 v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jet</w:t>
            </w:r>
            <w:r w:rsidRPr="00847738">
              <w:rPr>
                <w:rFonts w:ascii="Garamond" w:hAnsi="Garamond" w:cstheme="minorHAnsi"/>
                <w:iCs/>
                <w:sz w:val="20"/>
              </w:rPr>
              <w:t xml:space="preserve"> dhe 5 muaj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,</w:t>
            </w:r>
            <w:r w:rsidRPr="00847738">
              <w:rPr>
                <w:rFonts w:ascii="Garamond" w:hAnsi="Garamond" w:cstheme="minorHAnsi"/>
                <w:iCs/>
                <w:sz w:val="20"/>
              </w:rPr>
              <w:t xml:space="preserve"> dhe 28 ditë</w:t>
            </w:r>
          </w:p>
          <w:p w14:paraId="068C1B4D" w14:textId="77777777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4 nivele të juridiksionit</w:t>
            </w:r>
          </w:p>
        </w:tc>
        <w:tc>
          <w:tcPr>
            <w:tcW w:w="1601" w:type="dxa"/>
          </w:tcPr>
          <w:p w14:paraId="48000435" w14:textId="101B4244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 xml:space="preserve">Neni 13: mungesë e mjetit efektiv në ligjin 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vendë</w:t>
            </w:r>
            <w:r w:rsidRPr="00847738">
              <w:rPr>
                <w:rFonts w:ascii="Garamond" w:hAnsi="Garamond" w:cstheme="minorHAnsi"/>
                <w:iCs/>
                <w:sz w:val="20"/>
              </w:rPr>
              <w:t xml:space="preserve">s për t’u ankuar për kohëzgjatjen e tepërt të procesit. </w:t>
            </w:r>
          </w:p>
          <w:p w14:paraId="43AE37AD" w14:textId="77777777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</w:p>
          <w:p w14:paraId="0D9ABA32" w14:textId="71A9D059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Prot. 1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>,</w:t>
            </w:r>
            <w:r w:rsidRPr="00847738">
              <w:rPr>
                <w:rFonts w:ascii="Garamond" w:hAnsi="Garamond" w:cstheme="minorHAnsi"/>
                <w:iCs/>
                <w:sz w:val="20"/>
              </w:rPr>
              <w:t xml:space="preserve"> </w:t>
            </w:r>
            <w:r w:rsidR="00962D51" w:rsidRPr="00847738">
              <w:rPr>
                <w:rFonts w:ascii="Garamond" w:hAnsi="Garamond" w:cstheme="minorHAnsi"/>
                <w:iCs/>
                <w:sz w:val="20"/>
              </w:rPr>
              <w:t xml:space="preserve">neni </w:t>
            </w:r>
            <w:r w:rsidRPr="00847738">
              <w:rPr>
                <w:rFonts w:ascii="Garamond" w:hAnsi="Garamond" w:cstheme="minorHAnsi"/>
                <w:iCs/>
                <w:sz w:val="20"/>
              </w:rPr>
              <w:t>1 – ndërhyrja në gëzimin e paqtë të pasurive</w:t>
            </w:r>
          </w:p>
        </w:tc>
        <w:tc>
          <w:tcPr>
            <w:tcW w:w="1394" w:type="dxa"/>
          </w:tcPr>
          <w:p w14:paraId="03E5DB8C" w14:textId="77777777" w:rsidR="00386A6A" w:rsidRPr="00847738" w:rsidRDefault="00386A6A" w:rsidP="00386A6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847738">
              <w:rPr>
                <w:rFonts w:ascii="Garamond" w:hAnsi="Garamond" w:cstheme="minorHAnsi"/>
                <w:iCs/>
                <w:sz w:val="20"/>
              </w:rPr>
              <w:t>1,700</w:t>
            </w:r>
          </w:p>
        </w:tc>
      </w:tr>
    </w:tbl>
    <w:p w14:paraId="1BC52FC3" w14:textId="77777777" w:rsidR="00386A6A" w:rsidRPr="00847738" w:rsidRDefault="00386A6A" w:rsidP="00386A6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386A6A" w:rsidRPr="00847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BE9DE" w14:textId="77777777" w:rsidR="00F64533" w:rsidRDefault="00F64533" w:rsidP="00386A6A">
      <w:pPr>
        <w:spacing w:after="0" w:line="240" w:lineRule="auto"/>
      </w:pPr>
      <w:r>
        <w:separator/>
      </w:r>
    </w:p>
  </w:endnote>
  <w:endnote w:type="continuationSeparator" w:id="0">
    <w:p w14:paraId="59D6F63E" w14:textId="77777777" w:rsidR="00F64533" w:rsidRDefault="00F64533" w:rsidP="00386A6A">
      <w:pPr>
        <w:spacing w:after="0" w:line="240" w:lineRule="auto"/>
      </w:pPr>
      <w:r>
        <w:continuationSeparator/>
      </w:r>
    </w:p>
  </w:endnote>
  <w:endnote w:type="continuationNotice" w:id="1">
    <w:p w14:paraId="05BA3ABE" w14:textId="77777777" w:rsidR="00F64533" w:rsidRDefault="00F645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50B32" w14:textId="77777777" w:rsidR="00F64533" w:rsidRDefault="00F64533" w:rsidP="00386A6A">
      <w:pPr>
        <w:spacing w:after="0" w:line="240" w:lineRule="auto"/>
      </w:pPr>
      <w:r>
        <w:separator/>
      </w:r>
    </w:p>
  </w:footnote>
  <w:footnote w:type="continuationSeparator" w:id="0">
    <w:p w14:paraId="50C23289" w14:textId="77777777" w:rsidR="00F64533" w:rsidRDefault="00F64533" w:rsidP="00386A6A">
      <w:pPr>
        <w:spacing w:after="0" w:line="240" w:lineRule="auto"/>
      </w:pPr>
      <w:r>
        <w:continuationSeparator/>
      </w:r>
    </w:p>
  </w:footnote>
  <w:footnote w:type="continuationNotice" w:id="1">
    <w:p w14:paraId="7E83E30F" w14:textId="77777777" w:rsidR="00F64533" w:rsidRDefault="00F64533">
      <w:pPr>
        <w:spacing w:after="0" w:line="240" w:lineRule="auto"/>
      </w:pPr>
    </w:p>
  </w:footnote>
  <w:footnote w:id="2">
    <w:p w14:paraId="2EF2B0E2" w14:textId="19FF1459" w:rsidR="00F64533" w:rsidRPr="00962D51" w:rsidRDefault="00F64533" w:rsidP="00386A6A">
      <w:pPr>
        <w:pStyle w:val="FootnoteText"/>
        <w:rPr>
          <w:rFonts w:ascii="Garamond" w:hAnsi="Garamond"/>
          <w:lang w:val="en-US"/>
        </w:rPr>
      </w:pPr>
      <w:r w:rsidRPr="00962D51">
        <w:rPr>
          <w:rStyle w:val="FootnoteReference"/>
          <w:rFonts w:ascii="Garamond" w:hAnsi="Garamond"/>
        </w:rPr>
        <w:footnoteRef/>
      </w:r>
      <w:r w:rsidRPr="00962D51">
        <w:rPr>
          <w:rFonts w:ascii="Garamond" w:hAnsi="Garamond"/>
        </w:rPr>
        <w:t xml:space="preserve"> Plus çdo taksë që mund t’</w:t>
      </w:r>
      <w:r>
        <w:rPr>
          <w:rFonts w:ascii="Garamond" w:hAnsi="Garamond"/>
        </w:rPr>
        <w:t>u</w:t>
      </w:r>
      <w:r w:rsidRPr="00962D51">
        <w:rPr>
          <w:rFonts w:ascii="Garamond" w:hAnsi="Garamond"/>
        </w:rPr>
        <w:t xml:space="preserve"> tarifohet kërkuesve.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B5E0D"/>
    <w:rsid w:val="000C3D4A"/>
    <w:rsid w:val="000C55A5"/>
    <w:rsid w:val="000D7F01"/>
    <w:rsid w:val="001149C8"/>
    <w:rsid w:val="00121461"/>
    <w:rsid w:val="0012538B"/>
    <w:rsid w:val="001268DB"/>
    <w:rsid w:val="00135329"/>
    <w:rsid w:val="0014112D"/>
    <w:rsid w:val="00141B18"/>
    <w:rsid w:val="00142C2B"/>
    <w:rsid w:val="00160647"/>
    <w:rsid w:val="00160E68"/>
    <w:rsid w:val="00167FB5"/>
    <w:rsid w:val="0017050C"/>
    <w:rsid w:val="00175424"/>
    <w:rsid w:val="00183018"/>
    <w:rsid w:val="00190C3D"/>
    <w:rsid w:val="001944EB"/>
    <w:rsid w:val="0019635C"/>
    <w:rsid w:val="001A2195"/>
    <w:rsid w:val="001C0519"/>
    <w:rsid w:val="001D2ABC"/>
    <w:rsid w:val="001D2F1F"/>
    <w:rsid w:val="001D3A2F"/>
    <w:rsid w:val="00204F93"/>
    <w:rsid w:val="00213728"/>
    <w:rsid w:val="00233C93"/>
    <w:rsid w:val="00234715"/>
    <w:rsid w:val="00252C2A"/>
    <w:rsid w:val="00257E0A"/>
    <w:rsid w:val="00263D3A"/>
    <w:rsid w:val="002821F2"/>
    <w:rsid w:val="00283678"/>
    <w:rsid w:val="002929DC"/>
    <w:rsid w:val="00295A26"/>
    <w:rsid w:val="002A23A7"/>
    <w:rsid w:val="002A432E"/>
    <w:rsid w:val="002B1C09"/>
    <w:rsid w:val="002B7B82"/>
    <w:rsid w:val="002C3DC5"/>
    <w:rsid w:val="002C5C2B"/>
    <w:rsid w:val="002C7879"/>
    <w:rsid w:val="002D71C7"/>
    <w:rsid w:val="002E2CDE"/>
    <w:rsid w:val="002E49F7"/>
    <w:rsid w:val="002F0DDD"/>
    <w:rsid w:val="00321014"/>
    <w:rsid w:val="003346E6"/>
    <w:rsid w:val="00334BDB"/>
    <w:rsid w:val="00336C31"/>
    <w:rsid w:val="00345F96"/>
    <w:rsid w:val="0034608A"/>
    <w:rsid w:val="00346276"/>
    <w:rsid w:val="00354F7A"/>
    <w:rsid w:val="003661C2"/>
    <w:rsid w:val="003673CA"/>
    <w:rsid w:val="00373E4A"/>
    <w:rsid w:val="00375DE4"/>
    <w:rsid w:val="00386A6A"/>
    <w:rsid w:val="00390D00"/>
    <w:rsid w:val="00391626"/>
    <w:rsid w:val="003956A3"/>
    <w:rsid w:val="00397301"/>
    <w:rsid w:val="003A0634"/>
    <w:rsid w:val="003A40CD"/>
    <w:rsid w:val="003A489E"/>
    <w:rsid w:val="003A6CF4"/>
    <w:rsid w:val="003B4312"/>
    <w:rsid w:val="003B57C7"/>
    <w:rsid w:val="003D12F1"/>
    <w:rsid w:val="003D54AD"/>
    <w:rsid w:val="003D693A"/>
    <w:rsid w:val="003E0134"/>
    <w:rsid w:val="003E610B"/>
    <w:rsid w:val="003E6C19"/>
    <w:rsid w:val="00421355"/>
    <w:rsid w:val="00425784"/>
    <w:rsid w:val="00433599"/>
    <w:rsid w:val="004518B7"/>
    <w:rsid w:val="00452990"/>
    <w:rsid w:val="004604CD"/>
    <w:rsid w:val="00462CFB"/>
    <w:rsid w:val="004840E1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C7DEC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E27BA"/>
    <w:rsid w:val="005F5040"/>
    <w:rsid w:val="006032E2"/>
    <w:rsid w:val="00615BAF"/>
    <w:rsid w:val="0061609B"/>
    <w:rsid w:val="00623E07"/>
    <w:rsid w:val="00632A0C"/>
    <w:rsid w:val="006379E9"/>
    <w:rsid w:val="0064104A"/>
    <w:rsid w:val="006425E0"/>
    <w:rsid w:val="00643AA1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03044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1642"/>
    <w:rsid w:val="008037E4"/>
    <w:rsid w:val="00804031"/>
    <w:rsid w:val="008044AD"/>
    <w:rsid w:val="00847738"/>
    <w:rsid w:val="00867646"/>
    <w:rsid w:val="0087040E"/>
    <w:rsid w:val="00886A96"/>
    <w:rsid w:val="00890464"/>
    <w:rsid w:val="00893102"/>
    <w:rsid w:val="008A2062"/>
    <w:rsid w:val="008A7BB6"/>
    <w:rsid w:val="008C2627"/>
    <w:rsid w:val="008D0BB7"/>
    <w:rsid w:val="008D0DF7"/>
    <w:rsid w:val="008D2BEA"/>
    <w:rsid w:val="008E44CB"/>
    <w:rsid w:val="008F61C7"/>
    <w:rsid w:val="00915403"/>
    <w:rsid w:val="009347C9"/>
    <w:rsid w:val="00943A32"/>
    <w:rsid w:val="00950BCD"/>
    <w:rsid w:val="009547F5"/>
    <w:rsid w:val="00962D51"/>
    <w:rsid w:val="00983036"/>
    <w:rsid w:val="0098745D"/>
    <w:rsid w:val="009954E6"/>
    <w:rsid w:val="009B2B45"/>
    <w:rsid w:val="009D4FCF"/>
    <w:rsid w:val="009E40DB"/>
    <w:rsid w:val="009E4E0D"/>
    <w:rsid w:val="00A0127D"/>
    <w:rsid w:val="00A0283C"/>
    <w:rsid w:val="00A20C98"/>
    <w:rsid w:val="00A24CF9"/>
    <w:rsid w:val="00A25B9A"/>
    <w:rsid w:val="00A32BBB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49C2"/>
    <w:rsid w:val="00B56218"/>
    <w:rsid w:val="00B63506"/>
    <w:rsid w:val="00B70659"/>
    <w:rsid w:val="00B71250"/>
    <w:rsid w:val="00B7328E"/>
    <w:rsid w:val="00B76F3D"/>
    <w:rsid w:val="00B848A9"/>
    <w:rsid w:val="00B86377"/>
    <w:rsid w:val="00B86D15"/>
    <w:rsid w:val="00BA244C"/>
    <w:rsid w:val="00BA2E85"/>
    <w:rsid w:val="00BB55ED"/>
    <w:rsid w:val="00BC7BAD"/>
    <w:rsid w:val="00BD0463"/>
    <w:rsid w:val="00BD0BEA"/>
    <w:rsid w:val="00BD36DF"/>
    <w:rsid w:val="00BE3604"/>
    <w:rsid w:val="00BF53BA"/>
    <w:rsid w:val="00C042A6"/>
    <w:rsid w:val="00C0464F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87472"/>
    <w:rsid w:val="00CA3579"/>
    <w:rsid w:val="00CA67DB"/>
    <w:rsid w:val="00CA70A2"/>
    <w:rsid w:val="00CB54DF"/>
    <w:rsid w:val="00CC12D4"/>
    <w:rsid w:val="00CD2E55"/>
    <w:rsid w:val="00CD3537"/>
    <w:rsid w:val="00CE2A8A"/>
    <w:rsid w:val="00CE5249"/>
    <w:rsid w:val="00CF257C"/>
    <w:rsid w:val="00CF6387"/>
    <w:rsid w:val="00D12A76"/>
    <w:rsid w:val="00D20D88"/>
    <w:rsid w:val="00D231EA"/>
    <w:rsid w:val="00D63ABD"/>
    <w:rsid w:val="00D664EF"/>
    <w:rsid w:val="00D67248"/>
    <w:rsid w:val="00D70F22"/>
    <w:rsid w:val="00D77F86"/>
    <w:rsid w:val="00D8097B"/>
    <w:rsid w:val="00D905F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2F95"/>
    <w:rsid w:val="00E944F8"/>
    <w:rsid w:val="00EA2F97"/>
    <w:rsid w:val="00EC5ECD"/>
    <w:rsid w:val="00ED307F"/>
    <w:rsid w:val="00ED57FF"/>
    <w:rsid w:val="00EE4477"/>
    <w:rsid w:val="00EF1574"/>
    <w:rsid w:val="00EF5D20"/>
    <w:rsid w:val="00F41EF8"/>
    <w:rsid w:val="00F50B83"/>
    <w:rsid w:val="00F51CB4"/>
    <w:rsid w:val="00F52037"/>
    <w:rsid w:val="00F56A94"/>
    <w:rsid w:val="00F64533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0BC9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10F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Judges">
    <w:name w:val="Ju_Judges"/>
    <w:aliases w:val="_Judges"/>
    <w:basedOn w:val="Normal"/>
    <w:rsid w:val="00386A6A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HTitle">
    <w:name w:val="Dec_H_Title"/>
    <w:aliases w:val="_Title_1"/>
    <w:uiPriority w:val="99"/>
    <w:rsid w:val="00386A6A"/>
    <w:pPr>
      <w:keepNext/>
      <w:keepLines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color w:val="000000"/>
      <w:sz w:val="28"/>
      <w:szCs w:val="28"/>
    </w:rPr>
  </w:style>
  <w:style w:type="paragraph" w:styleId="NoSpacing">
    <w:name w:val="No Spacing"/>
    <w:uiPriority w:val="99"/>
    <w:qFormat/>
    <w:rsid w:val="00386A6A"/>
    <w:pPr>
      <w:autoSpaceDE w:val="0"/>
      <w:autoSpaceDN w:val="0"/>
      <w:adjustRightInd w:val="0"/>
      <w:spacing w:after="0" w:line="240" w:lineRule="auto"/>
    </w:pPr>
    <w:rPr>
      <w:rFonts w:ascii="MS Mincho" w:hAnsi="Times New Roman" w:cs="MS Mincho"/>
      <w:color w:val="000000"/>
    </w:rPr>
  </w:style>
  <w:style w:type="paragraph" w:customStyle="1" w:styleId="JuPara">
    <w:name w:val="Ju_Para"/>
    <w:aliases w:val="_Para"/>
    <w:basedOn w:val="Normal"/>
    <w:link w:val="JuParaChar"/>
    <w:uiPriority w:val="4"/>
    <w:qFormat/>
    <w:rsid w:val="00386A6A"/>
    <w:pPr>
      <w:spacing w:after="0" w:line="240" w:lineRule="auto"/>
      <w:ind w:firstLine="284"/>
      <w:jc w:val="both"/>
    </w:pPr>
    <w:rPr>
      <w:rFonts w:eastAsiaTheme="minorHAnsi"/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386A6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386A6A"/>
    <w:pPr>
      <w:spacing w:after="0" w:line="240" w:lineRule="auto"/>
    </w:pPr>
    <w:rPr>
      <w:rFonts w:eastAsiaTheme="minorHAnsi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386A6A"/>
    <w:rPr>
      <w:rFonts w:eastAsiaTheme="minorHAnsi"/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386A6A"/>
    <w:pPr>
      <w:spacing w:after="0" w:line="240" w:lineRule="auto"/>
    </w:pPr>
    <w:rPr>
      <w:rFonts w:eastAsiaTheme="minorEastAsia"/>
      <w:sz w:val="24"/>
      <w:szCs w:val="24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uParaChar">
    <w:name w:val="Ju_Para Char"/>
    <w:aliases w:val="_Para Char"/>
    <w:link w:val="JuPara"/>
    <w:uiPriority w:val="4"/>
    <w:rsid w:val="00386A6A"/>
    <w:rPr>
      <w:rFonts w:eastAsiaTheme="minorHAnsi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28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3678"/>
  </w:style>
  <w:style w:type="paragraph" w:styleId="Footer">
    <w:name w:val="footer"/>
    <w:basedOn w:val="Normal"/>
    <w:link w:val="FooterChar"/>
    <w:uiPriority w:val="99"/>
    <w:semiHidden/>
    <w:unhideWhenUsed/>
    <w:rsid w:val="0028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3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5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72348-11</Nr_x002e__x0020_akti>
    <Data_x0020_e_x0020_Krijimit xmlns="0e656187-b300-4fb0-8bf4-3a50f872073c">2023-08-02T11:02:21Z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Çështja Mulla kundër Shqipërisë (Kërkesa nr. 72348/11)</Titulli>
    <Modifikuesi xmlns="0e656187-b300-4fb0-8bf4-3a50f872073c">valjeta.kaftalli</Modifikuesi>
    <Nr_x002e__x0020_prot_x0020_QBZ xmlns="0e656187-b300-4fb0-8bf4-3a50f872073c">1215/1</Nr_x002e__x0020_prot_x0020_QBZ>
    <Data_x0020_e_x0020_Modifikimit xmlns="0e656187-b300-4fb0-8bf4-3a50f872073c">2023-08-03T09:39:22Z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4569/1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3ACDC1E4A14B51A81EC977534279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C63AC8-1D95-4A2A-BDC9-D38C81785D8F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428A9F-FF08-48E6-A5A2-4C188F77C5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05AAD-E79F-4BF6-B279-2FA5E7B43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Mulla kundër Shqipërisë (Kërkesa nr. 72348/11)</vt:lpstr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Mulla kundër Shqipërisë (Kërkesa nr. 72348/11)</dc:title>
  <dc:creator>Entela Suli</dc:creator>
  <cp:lastModifiedBy>Ermira Bukaci</cp:lastModifiedBy>
  <cp:revision>31</cp:revision>
  <dcterms:created xsi:type="dcterms:W3CDTF">2023-08-02T11:03:00Z</dcterms:created>
  <dcterms:modified xsi:type="dcterms:W3CDTF">2023-08-03T12:54:00Z</dcterms:modified>
</cp:coreProperties>
</file>