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A444D50" w14:textId="77777777" w:rsidR="006217B5" w:rsidRPr="00D93969" w:rsidRDefault="006217B5" w:rsidP="006217B5">
      <w:pPr>
        <w:tabs>
          <w:tab w:val="left" w:pos="5529"/>
        </w:tabs>
        <w:spacing w:after="0" w:line="240" w:lineRule="auto"/>
        <w:ind w:firstLine="284"/>
        <w:jc w:val="center"/>
        <w:rPr>
          <w:rFonts w:ascii="Garamond" w:hAnsi="Garamond"/>
          <w:sz w:val="24"/>
          <w:szCs w:val="24"/>
        </w:rPr>
      </w:pPr>
      <w:r w:rsidRPr="00D93969">
        <w:rPr>
          <w:rFonts w:ascii="Garamond" w:hAnsi="Garamond"/>
          <w:sz w:val="24"/>
          <w:szCs w:val="24"/>
        </w:rPr>
        <w:t>GJYKATA EVROPIANE E TË DREJTAVE TË NJERIUT</w:t>
      </w:r>
    </w:p>
    <w:p w14:paraId="2370CE8B" w14:textId="60D8CA51" w:rsidR="00FD48B1" w:rsidRPr="00D93969" w:rsidRDefault="00FD48B1" w:rsidP="001A2195">
      <w:pPr>
        <w:rPr>
          <w:rFonts w:ascii="Garamond" w:hAnsi="Garamond"/>
        </w:rPr>
      </w:pPr>
    </w:p>
    <w:p w14:paraId="41C34A7B" w14:textId="77777777" w:rsidR="006217B5" w:rsidRPr="00D93969" w:rsidRDefault="006217B5" w:rsidP="006217B5">
      <w:pPr>
        <w:tabs>
          <w:tab w:val="left" w:pos="5529"/>
        </w:tabs>
        <w:spacing w:after="0" w:line="240" w:lineRule="auto"/>
        <w:ind w:firstLine="284"/>
        <w:jc w:val="center"/>
        <w:rPr>
          <w:rFonts w:ascii="Garamond" w:hAnsi="Garamond"/>
          <w:sz w:val="24"/>
          <w:szCs w:val="24"/>
        </w:rPr>
      </w:pPr>
      <w:r w:rsidRPr="00D93969">
        <w:rPr>
          <w:rFonts w:ascii="Garamond" w:hAnsi="Garamond"/>
          <w:sz w:val="24"/>
          <w:szCs w:val="24"/>
        </w:rPr>
        <w:t>SEKSIONI I TRETË</w:t>
      </w:r>
    </w:p>
    <w:p w14:paraId="7C0D18E9" w14:textId="77777777" w:rsidR="006217B5" w:rsidRPr="00D93969" w:rsidRDefault="006217B5" w:rsidP="006217B5">
      <w:pPr>
        <w:tabs>
          <w:tab w:val="left" w:pos="5529"/>
        </w:tabs>
        <w:spacing w:after="0" w:line="240" w:lineRule="auto"/>
        <w:ind w:firstLine="284"/>
        <w:jc w:val="center"/>
        <w:rPr>
          <w:rFonts w:ascii="Garamond" w:hAnsi="Garamond"/>
          <w:sz w:val="24"/>
          <w:szCs w:val="24"/>
        </w:rPr>
      </w:pPr>
    </w:p>
    <w:p w14:paraId="1D81A6BF" w14:textId="77777777" w:rsidR="006217B5" w:rsidRPr="00BF4D86" w:rsidRDefault="006217B5" w:rsidP="006217B5">
      <w:pPr>
        <w:tabs>
          <w:tab w:val="left" w:pos="5529"/>
        </w:tabs>
        <w:spacing w:after="0" w:line="240" w:lineRule="auto"/>
        <w:ind w:firstLine="284"/>
        <w:jc w:val="center"/>
        <w:rPr>
          <w:rFonts w:ascii="Garamond" w:hAnsi="Garamond"/>
          <w:b/>
          <w:sz w:val="24"/>
          <w:szCs w:val="24"/>
        </w:rPr>
      </w:pPr>
      <w:r w:rsidRPr="00BF4D86">
        <w:rPr>
          <w:rFonts w:ascii="Garamond" w:hAnsi="Garamond"/>
          <w:b/>
          <w:sz w:val="24"/>
          <w:szCs w:val="24"/>
        </w:rPr>
        <w:t>VENDIM</w:t>
      </w:r>
    </w:p>
    <w:p w14:paraId="11E6A9DB" w14:textId="77777777" w:rsidR="006217B5" w:rsidRDefault="006217B5" w:rsidP="006217B5">
      <w:pPr>
        <w:pStyle w:val="NoSpacing"/>
        <w:ind w:firstLine="284"/>
        <w:jc w:val="center"/>
        <w:rPr>
          <w:rFonts w:ascii="Garamond" w:hAnsi="Garamond"/>
          <w:i/>
          <w:sz w:val="24"/>
          <w:szCs w:val="24"/>
          <w:lang w:val="sq-AL"/>
        </w:rPr>
      </w:pPr>
      <w:r w:rsidRPr="00D93969">
        <w:rPr>
          <w:rFonts w:ascii="Garamond" w:hAnsi="Garamond"/>
          <w:i/>
          <w:sz w:val="24"/>
          <w:szCs w:val="24"/>
          <w:lang w:val="sq-AL"/>
        </w:rPr>
        <w:t>Kërkesa nr. 65320/09</w:t>
      </w:r>
    </w:p>
    <w:p w14:paraId="5475D4CB" w14:textId="77777777" w:rsidR="00D93969" w:rsidRPr="00D93969" w:rsidRDefault="00D93969" w:rsidP="006217B5">
      <w:pPr>
        <w:pStyle w:val="NoSpacing"/>
        <w:ind w:firstLine="284"/>
        <w:jc w:val="center"/>
        <w:rPr>
          <w:rFonts w:ascii="Garamond" w:hAnsi="Garamond"/>
          <w:i/>
          <w:sz w:val="16"/>
          <w:szCs w:val="24"/>
          <w:lang w:val="sq-AL"/>
        </w:rPr>
      </w:pPr>
    </w:p>
    <w:p w14:paraId="2F90A646" w14:textId="7C37BC86" w:rsidR="006217B5" w:rsidRPr="00BF4D86" w:rsidRDefault="006217B5" w:rsidP="00BF4D86">
      <w:pPr>
        <w:pStyle w:val="NoSpacing"/>
        <w:ind w:firstLine="284"/>
        <w:jc w:val="center"/>
        <w:rPr>
          <w:rFonts w:ascii="Garamond" w:hAnsi="Garamond"/>
          <w:b/>
          <w:sz w:val="24"/>
          <w:szCs w:val="24"/>
          <w:lang w:val="sq-AL"/>
        </w:rPr>
      </w:pPr>
      <w:r w:rsidRPr="00BF4D86">
        <w:rPr>
          <w:rFonts w:ascii="Garamond" w:hAnsi="Garamond"/>
          <w:b/>
          <w:sz w:val="24"/>
          <w:szCs w:val="24"/>
          <w:lang w:val="sq-AL"/>
        </w:rPr>
        <w:t>DEA 7.CO</w:t>
      </w:r>
      <w:r w:rsidR="00BF4D86">
        <w:rPr>
          <w:rFonts w:ascii="Garamond" w:hAnsi="Garamond"/>
          <w:b/>
          <w:sz w:val="24"/>
          <w:szCs w:val="24"/>
          <w:lang w:val="sq-AL"/>
        </w:rPr>
        <w:t xml:space="preserve"> </w:t>
      </w:r>
      <w:bookmarkStart w:id="0" w:name="_GoBack"/>
      <w:bookmarkEnd w:id="0"/>
      <w:r w:rsidR="00D93969" w:rsidRPr="00BF4D86">
        <w:rPr>
          <w:rFonts w:ascii="Garamond" w:hAnsi="Garamond"/>
          <w:b/>
          <w:sz w:val="24"/>
          <w:szCs w:val="24"/>
          <w:lang w:val="sq-AL"/>
        </w:rPr>
        <w:t>KUNDËR SHQIPËRISË</w:t>
      </w:r>
    </w:p>
    <w:p w14:paraId="5B47A03F" w14:textId="77777777" w:rsidR="006217B5" w:rsidRPr="00D93969" w:rsidRDefault="006217B5" w:rsidP="006217B5">
      <w:pPr>
        <w:pStyle w:val="NoSpacing"/>
        <w:ind w:firstLine="284"/>
        <w:jc w:val="center"/>
        <w:rPr>
          <w:rFonts w:ascii="Garamond" w:hAnsi="Garamond"/>
          <w:sz w:val="24"/>
          <w:szCs w:val="24"/>
          <w:lang w:val="sq-AL"/>
        </w:rPr>
      </w:pPr>
    </w:p>
    <w:p w14:paraId="31268A60" w14:textId="614EA395" w:rsidR="006217B5" w:rsidRPr="00D93969" w:rsidRDefault="006217B5" w:rsidP="006217B5">
      <w:pPr>
        <w:pStyle w:val="ECHRPara"/>
        <w:rPr>
          <w:rFonts w:ascii="Garamond" w:hAnsi="Garamond"/>
          <w:szCs w:val="24"/>
          <w:lang w:val="sq-AL"/>
        </w:rPr>
      </w:pPr>
      <w:r w:rsidRPr="00D93969">
        <w:rPr>
          <w:rFonts w:ascii="Garamond" w:hAnsi="Garamond"/>
          <w:szCs w:val="24"/>
          <w:lang w:val="sq-AL"/>
        </w:rPr>
        <w:t xml:space="preserve">Gjykata Evropiane e të Drejtave të Njeriut (Seksioni i Tretë), e mbledhur më 27 </w:t>
      </w:r>
      <w:r w:rsidR="00D93969">
        <w:rPr>
          <w:rFonts w:ascii="Garamond" w:hAnsi="Garamond"/>
          <w:szCs w:val="24"/>
          <w:lang w:val="sq-AL"/>
        </w:rPr>
        <w:t>q</w:t>
      </w:r>
      <w:r w:rsidRPr="00D93969">
        <w:rPr>
          <w:rFonts w:ascii="Garamond" w:hAnsi="Garamond"/>
          <w:szCs w:val="24"/>
          <w:lang w:val="sq-AL"/>
        </w:rPr>
        <w:t xml:space="preserve">ershor 2023 si një Komitet i përbërë nga: </w:t>
      </w:r>
    </w:p>
    <w:p w14:paraId="2E97605D" w14:textId="465E6DC9" w:rsidR="006217B5" w:rsidRPr="00D93969" w:rsidRDefault="006217B5" w:rsidP="006217B5">
      <w:pPr>
        <w:pStyle w:val="ECHRDecisionBody"/>
        <w:ind w:firstLine="284"/>
        <w:rPr>
          <w:rFonts w:ascii="Garamond" w:hAnsi="Garamond"/>
          <w:i/>
          <w:szCs w:val="24"/>
          <w:lang w:val="sq-AL"/>
        </w:rPr>
      </w:pPr>
      <w:r w:rsidRPr="00D93969">
        <w:rPr>
          <w:rFonts w:ascii="Garamond" w:hAnsi="Garamond"/>
          <w:szCs w:val="24"/>
          <w:lang w:val="sq-AL"/>
        </w:rPr>
        <w:t>- Georgios A. Serghides,</w:t>
      </w:r>
      <w:r w:rsidRPr="00D93969">
        <w:rPr>
          <w:rFonts w:ascii="Garamond" w:hAnsi="Garamond"/>
          <w:i/>
          <w:szCs w:val="24"/>
          <w:lang w:val="sq-AL"/>
        </w:rPr>
        <w:t xml:space="preserve"> </w:t>
      </w:r>
      <w:r w:rsidR="00D93969" w:rsidRPr="00D93969">
        <w:rPr>
          <w:rFonts w:ascii="Garamond" w:hAnsi="Garamond"/>
          <w:i/>
          <w:szCs w:val="24"/>
          <w:lang w:val="sq-AL"/>
        </w:rPr>
        <w:t>kryetar</w:t>
      </w:r>
      <w:r w:rsidRPr="00D93969">
        <w:rPr>
          <w:rFonts w:ascii="Garamond" w:hAnsi="Garamond"/>
          <w:i/>
          <w:szCs w:val="24"/>
          <w:lang w:val="sq-AL"/>
        </w:rPr>
        <w:t>,</w:t>
      </w:r>
    </w:p>
    <w:p w14:paraId="0058A150" w14:textId="77777777" w:rsidR="006217B5" w:rsidRPr="00D93969" w:rsidRDefault="006217B5" w:rsidP="006217B5">
      <w:pPr>
        <w:pStyle w:val="ECHRDecisionBody"/>
        <w:ind w:firstLine="284"/>
        <w:rPr>
          <w:rFonts w:ascii="Garamond" w:hAnsi="Garamond"/>
          <w:iCs/>
          <w:szCs w:val="24"/>
          <w:lang w:val="sq-AL"/>
        </w:rPr>
      </w:pPr>
      <w:r w:rsidRPr="00D93969">
        <w:rPr>
          <w:rFonts w:ascii="Garamond" w:hAnsi="Garamond"/>
          <w:i/>
          <w:szCs w:val="24"/>
          <w:lang w:val="sq-AL"/>
        </w:rPr>
        <w:t xml:space="preserve">- </w:t>
      </w:r>
      <w:r w:rsidRPr="00D93969">
        <w:rPr>
          <w:rFonts w:ascii="Garamond" w:hAnsi="Garamond"/>
          <w:iCs/>
          <w:szCs w:val="24"/>
          <w:lang w:val="sq-AL"/>
        </w:rPr>
        <w:t>Darian Pavli,</w:t>
      </w:r>
    </w:p>
    <w:p w14:paraId="63311F26" w14:textId="2FA69C5A" w:rsidR="006217B5" w:rsidRPr="00D93969" w:rsidRDefault="006217B5" w:rsidP="006217B5">
      <w:pPr>
        <w:pStyle w:val="ECHRDecisionBody"/>
        <w:ind w:firstLine="284"/>
        <w:rPr>
          <w:rFonts w:ascii="Garamond" w:hAnsi="Garamond"/>
          <w:i/>
          <w:szCs w:val="24"/>
          <w:lang w:val="sq-AL"/>
        </w:rPr>
      </w:pPr>
      <w:r w:rsidRPr="00D93969">
        <w:rPr>
          <w:rFonts w:ascii="Garamond" w:hAnsi="Garamond"/>
          <w:iCs/>
          <w:szCs w:val="24"/>
          <w:lang w:val="sq-AL"/>
        </w:rPr>
        <w:t xml:space="preserve">- Oddný Mjöll Arnardóttir, </w:t>
      </w:r>
      <w:r w:rsidR="00D93969" w:rsidRPr="00D93969">
        <w:rPr>
          <w:rFonts w:ascii="Garamond" w:hAnsi="Garamond"/>
          <w:i/>
          <w:szCs w:val="24"/>
          <w:lang w:val="sq-AL"/>
        </w:rPr>
        <w:t>gjyqtarë</w:t>
      </w:r>
      <w:r w:rsidR="00D93969">
        <w:rPr>
          <w:rFonts w:ascii="Garamond" w:hAnsi="Garamond"/>
          <w:i/>
          <w:szCs w:val="24"/>
          <w:lang w:val="sq-AL"/>
        </w:rPr>
        <w:t>,</w:t>
      </w:r>
    </w:p>
    <w:p w14:paraId="6E84F1A2" w14:textId="45CFC0D2" w:rsidR="006217B5" w:rsidRPr="00D93969" w:rsidRDefault="006217B5" w:rsidP="006217B5">
      <w:pPr>
        <w:pStyle w:val="ECHRDecisionBody"/>
        <w:ind w:firstLine="284"/>
        <w:rPr>
          <w:rFonts w:ascii="Garamond" w:hAnsi="Garamond"/>
          <w:szCs w:val="24"/>
          <w:lang w:val="sq-AL"/>
        </w:rPr>
      </w:pPr>
      <w:r w:rsidRPr="00D93969">
        <w:rPr>
          <w:rFonts w:ascii="Garamond" w:hAnsi="Garamond"/>
          <w:szCs w:val="24"/>
          <w:lang w:val="sq-AL"/>
        </w:rPr>
        <w:t xml:space="preserve">dhe Olga Chernishova, </w:t>
      </w:r>
      <w:r w:rsidR="00D93969" w:rsidRPr="00D93969">
        <w:rPr>
          <w:rFonts w:ascii="Garamond" w:hAnsi="Garamond"/>
          <w:i/>
          <w:iCs/>
          <w:szCs w:val="24"/>
          <w:lang w:val="sq-AL"/>
        </w:rPr>
        <w:t xml:space="preserve">zëvendëssekretare </w:t>
      </w:r>
      <w:r w:rsidRPr="00D93969">
        <w:rPr>
          <w:rFonts w:ascii="Garamond" w:hAnsi="Garamond"/>
          <w:i/>
          <w:iCs/>
          <w:szCs w:val="24"/>
          <w:lang w:val="sq-AL"/>
        </w:rPr>
        <w:t>e</w:t>
      </w:r>
      <w:r w:rsidRPr="00D93969">
        <w:rPr>
          <w:rFonts w:ascii="Garamond" w:hAnsi="Garamond"/>
          <w:i/>
          <w:szCs w:val="24"/>
          <w:lang w:val="sq-AL"/>
        </w:rPr>
        <w:t xml:space="preserve"> Seksionit,</w:t>
      </w:r>
    </w:p>
    <w:p w14:paraId="7D36D39A" w14:textId="77777777" w:rsidR="006217B5" w:rsidRPr="00D93969" w:rsidRDefault="006217B5" w:rsidP="006217B5">
      <w:pPr>
        <w:pStyle w:val="ECHRDecisionBody"/>
        <w:ind w:firstLine="284"/>
        <w:rPr>
          <w:rFonts w:ascii="Garamond" w:hAnsi="Garamond"/>
          <w:iCs/>
          <w:szCs w:val="24"/>
          <w:lang w:val="sq-AL"/>
        </w:rPr>
      </w:pPr>
      <w:r w:rsidRPr="00D93969">
        <w:rPr>
          <w:rFonts w:ascii="Garamond" w:hAnsi="Garamond"/>
          <w:i/>
          <w:szCs w:val="24"/>
          <w:lang w:val="sq-AL"/>
        </w:rPr>
        <w:t xml:space="preserve">- </w:t>
      </w:r>
      <w:r w:rsidRPr="00D93969">
        <w:rPr>
          <w:rFonts w:ascii="Garamond" w:hAnsi="Garamond"/>
          <w:iCs/>
          <w:szCs w:val="24"/>
          <w:lang w:val="sq-AL"/>
        </w:rPr>
        <w:t>Duke mbajtur në konsideratë:</w:t>
      </w:r>
    </w:p>
    <w:p w14:paraId="3B60AF9C" w14:textId="43337A61" w:rsidR="006217B5" w:rsidRPr="00D93969" w:rsidRDefault="006217B5" w:rsidP="006217B5">
      <w:pPr>
        <w:pStyle w:val="ECHRDecisionBody"/>
        <w:ind w:firstLine="284"/>
        <w:jc w:val="both"/>
        <w:rPr>
          <w:rFonts w:ascii="Garamond" w:hAnsi="Garamond"/>
          <w:iCs/>
          <w:szCs w:val="24"/>
          <w:lang w:val="sq-AL"/>
        </w:rPr>
      </w:pPr>
      <w:r w:rsidRPr="00D93969">
        <w:rPr>
          <w:rFonts w:ascii="Garamond" w:hAnsi="Garamond"/>
          <w:iCs/>
          <w:szCs w:val="24"/>
          <w:lang w:val="sq-AL"/>
        </w:rPr>
        <w:t>- kërkesën (nr. 65320/09) kundër Republikës së Shqipërisë depozituar pranë Gjykatës</w:t>
      </w:r>
      <w:r w:rsidR="00D93969">
        <w:rPr>
          <w:rFonts w:ascii="Garamond" w:hAnsi="Garamond"/>
          <w:iCs/>
          <w:szCs w:val="24"/>
          <w:lang w:val="sq-AL"/>
        </w:rPr>
        <w:t>,</w:t>
      </w:r>
      <w:r w:rsidRPr="00D93969">
        <w:rPr>
          <w:rFonts w:ascii="Garamond" w:hAnsi="Garamond"/>
          <w:iCs/>
          <w:szCs w:val="24"/>
          <w:lang w:val="sq-AL"/>
        </w:rPr>
        <w:t xml:space="preserve"> në mbështetje të </w:t>
      </w:r>
      <w:r w:rsidR="00D93969">
        <w:rPr>
          <w:rFonts w:ascii="Garamond" w:hAnsi="Garamond"/>
          <w:iCs/>
          <w:szCs w:val="24"/>
          <w:lang w:val="sq-AL"/>
        </w:rPr>
        <w:t>n</w:t>
      </w:r>
      <w:r w:rsidRPr="00D93969">
        <w:rPr>
          <w:rFonts w:ascii="Garamond" w:hAnsi="Garamond"/>
          <w:iCs/>
          <w:szCs w:val="24"/>
          <w:lang w:val="sq-AL"/>
        </w:rPr>
        <w:t xml:space="preserve">enit 34 të Konventës për Mbrojtjen e të Drejtave të Njeriut dhe Lirive Themelore (“Konventa”) më 9 </w:t>
      </w:r>
      <w:r w:rsidR="00D93969">
        <w:rPr>
          <w:rFonts w:ascii="Garamond" w:hAnsi="Garamond"/>
          <w:iCs/>
          <w:szCs w:val="24"/>
          <w:lang w:val="sq-AL"/>
        </w:rPr>
        <w:t>d</w:t>
      </w:r>
      <w:r w:rsidRPr="00D93969">
        <w:rPr>
          <w:rFonts w:ascii="Garamond" w:hAnsi="Garamond"/>
          <w:iCs/>
          <w:szCs w:val="24"/>
          <w:lang w:val="sq-AL"/>
        </w:rPr>
        <w:t>hjetor 2009 nga “Dea 7.Co” sh</w:t>
      </w:r>
      <w:r w:rsidR="00D93969">
        <w:rPr>
          <w:rFonts w:ascii="Garamond" w:hAnsi="Garamond"/>
          <w:iCs/>
          <w:szCs w:val="24"/>
          <w:lang w:val="sq-AL"/>
        </w:rPr>
        <w:t>.</w:t>
      </w:r>
      <w:r w:rsidRPr="00D93969">
        <w:rPr>
          <w:rFonts w:ascii="Garamond" w:hAnsi="Garamond"/>
          <w:iCs/>
          <w:szCs w:val="24"/>
          <w:lang w:val="sq-AL"/>
        </w:rPr>
        <w:t>p</w:t>
      </w:r>
      <w:r w:rsidR="00D93969">
        <w:rPr>
          <w:rFonts w:ascii="Garamond" w:hAnsi="Garamond"/>
          <w:iCs/>
          <w:szCs w:val="24"/>
          <w:lang w:val="sq-AL"/>
        </w:rPr>
        <w:t>.</w:t>
      </w:r>
      <w:r w:rsidRPr="00D93969">
        <w:rPr>
          <w:rFonts w:ascii="Garamond" w:hAnsi="Garamond"/>
          <w:iCs/>
          <w:szCs w:val="24"/>
          <w:lang w:val="sq-AL"/>
        </w:rPr>
        <w:t>k</w:t>
      </w:r>
      <w:r w:rsidR="00D93969">
        <w:rPr>
          <w:rFonts w:ascii="Garamond" w:hAnsi="Garamond"/>
          <w:iCs/>
          <w:szCs w:val="24"/>
          <w:lang w:val="sq-AL"/>
        </w:rPr>
        <w:t>.</w:t>
      </w:r>
      <w:r w:rsidRPr="00D93969">
        <w:rPr>
          <w:rFonts w:ascii="Garamond" w:hAnsi="Garamond"/>
          <w:iCs/>
          <w:szCs w:val="24"/>
          <w:lang w:val="sq-AL"/>
        </w:rPr>
        <w:t xml:space="preserve">, një kompani me përgjegjësi të kufizuara e themeluar në Shqipëri (“kompania kërkuese”) dhe përfaqësuar nga </w:t>
      </w:r>
      <w:r w:rsidR="00D93969">
        <w:rPr>
          <w:rFonts w:ascii="Garamond" w:hAnsi="Garamond"/>
          <w:iCs/>
          <w:szCs w:val="24"/>
          <w:lang w:val="sq-AL"/>
        </w:rPr>
        <w:t>z</w:t>
      </w:r>
      <w:r w:rsidRPr="00D93969">
        <w:rPr>
          <w:rFonts w:ascii="Garamond" w:hAnsi="Garamond"/>
          <w:iCs/>
          <w:szCs w:val="24"/>
          <w:lang w:val="sq-AL"/>
        </w:rPr>
        <w:t>. I. Alushi, një avokat që e ushtron ligjin në Tiranë;</w:t>
      </w:r>
    </w:p>
    <w:p w14:paraId="073DC679" w14:textId="25B264FA" w:rsidR="006217B5" w:rsidRPr="00D93969" w:rsidRDefault="006217B5" w:rsidP="006217B5">
      <w:pPr>
        <w:pStyle w:val="ECHRDecisionBody"/>
        <w:ind w:firstLine="284"/>
        <w:jc w:val="both"/>
        <w:rPr>
          <w:rFonts w:ascii="Garamond" w:hAnsi="Garamond"/>
          <w:iCs/>
          <w:szCs w:val="24"/>
          <w:lang w:val="sq-AL"/>
        </w:rPr>
      </w:pPr>
      <w:r w:rsidRPr="00D93969">
        <w:rPr>
          <w:rFonts w:ascii="Garamond" w:hAnsi="Garamond"/>
          <w:iCs/>
          <w:szCs w:val="24"/>
          <w:lang w:val="sq-AL"/>
        </w:rPr>
        <w:t xml:space="preserve">- vendimin për të bërë me dije në lidhje me kërkesën </w:t>
      </w:r>
      <w:r w:rsidR="00D93969">
        <w:rPr>
          <w:rFonts w:ascii="Garamond" w:hAnsi="Garamond"/>
          <w:iCs/>
          <w:szCs w:val="24"/>
          <w:lang w:val="sq-AL"/>
        </w:rPr>
        <w:t>q</w:t>
      </w:r>
      <w:r w:rsidRPr="00D93969">
        <w:rPr>
          <w:rFonts w:ascii="Garamond" w:hAnsi="Garamond"/>
          <w:iCs/>
          <w:szCs w:val="24"/>
          <w:lang w:val="sq-AL"/>
        </w:rPr>
        <w:t xml:space="preserve">everinë shqiptare (“Qeveria), përfaqësuar nga Agjenti i saj në atë periudhë, </w:t>
      </w:r>
      <w:r w:rsidR="00D93969">
        <w:rPr>
          <w:rFonts w:ascii="Garamond" w:hAnsi="Garamond"/>
          <w:iCs/>
          <w:szCs w:val="24"/>
          <w:lang w:val="sq-AL"/>
        </w:rPr>
        <w:t>zn</w:t>
      </w:r>
      <w:r w:rsidRPr="00D93969">
        <w:rPr>
          <w:rFonts w:ascii="Garamond" w:hAnsi="Garamond"/>
          <w:iCs/>
          <w:szCs w:val="24"/>
          <w:lang w:val="sq-AL"/>
        </w:rPr>
        <w:t xml:space="preserve">j. L. Mandija, dhe në vijim nga </w:t>
      </w:r>
      <w:r w:rsidR="00D93969">
        <w:rPr>
          <w:rFonts w:ascii="Garamond" w:hAnsi="Garamond"/>
          <w:iCs/>
          <w:szCs w:val="24"/>
          <w:lang w:val="sq-AL"/>
        </w:rPr>
        <w:t>z</w:t>
      </w:r>
      <w:r w:rsidRPr="00D93969">
        <w:rPr>
          <w:rFonts w:ascii="Garamond" w:hAnsi="Garamond"/>
          <w:iCs/>
          <w:szCs w:val="24"/>
          <w:lang w:val="sq-AL"/>
        </w:rPr>
        <w:t xml:space="preserve">. O. Moçka, Avokati i Përgjithshëm i Shtetit; </w:t>
      </w:r>
    </w:p>
    <w:p w14:paraId="67F3B86B" w14:textId="579199DC" w:rsidR="006217B5" w:rsidRPr="00D93969" w:rsidRDefault="006217B5" w:rsidP="006217B5">
      <w:pPr>
        <w:pStyle w:val="ECHRDecisionBody"/>
        <w:ind w:firstLine="284"/>
        <w:rPr>
          <w:rFonts w:ascii="Garamond" w:hAnsi="Garamond"/>
          <w:iCs/>
          <w:szCs w:val="24"/>
          <w:lang w:val="sq-AL"/>
        </w:rPr>
      </w:pPr>
      <w:r w:rsidRPr="00D93969">
        <w:rPr>
          <w:rFonts w:ascii="Garamond" w:hAnsi="Garamond"/>
          <w:iCs/>
          <w:szCs w:val="24"/>
          <w:lang w:val="sq-AL"/>
        </w:rPr>
        <w:t>- Pasi diskutoi, vendos si më poshtë:</w:t>
      </w:r>
    </w:p>
    <w:p w14:paraId="0BF6BE03" w14:textId="77777777" w:rsidR="006217B5" w:rsidRPr="00D93969" w:rsidRDefault="006217B5" w:rsidP="006217B5">
      <w:pPr>
        <w:pStyle w:val="ECHRDecisionBody"/>
        <w:ind w:firstLine="284"/>
        <w:rPr>
          <w:rFonts w:ascii="Garamond" w:hAnsi="Garamond"/>
          <w:iCs/>
          <w:szCs w:val="24"/>
          <w:lang w:val="sq-AL"/>
        </w:rPr>
      </w:pPr>
      <w:r w:rsidRPr="00D93969">
        <w:rPr>
          <w:rFonts w:ascii="Garamond" w:hAnsi="Garamond"/>
          <w:iCs/>
          <w:szCs w:val="24"/>
          <w:lang w:val="sq-AL"/>
        </w:rPr>
        <w:t>LËNDA E ÇËSHTJES</w:t>
      </w:r>
    </w:p>
    <w:p w14:paraId="13E4241A" w14:textId="0DF55F5F" w:rsidR="006217B5" w:rsidRPr="00D93969" w:rsidRDefault="006217B5" w:rsidP="006217B5">
      <w:pPr>
        <w:pStyle w:val="ECHRDecisionBody"/>
        <w:ind w:firstLine="284"/>
        <w:jc w:val="both"/>
        <w:rPr>
          <w:rFonts w:ascii="Garamond" w:hAnsi="Garamond"/>
          <w:iCs/>
          <w:szCs w:val="24"/>
          <w:lang w:val="sq-AL"/>
        </w:rPr>
      </w:pPr>
      <w:r w:rsidRPr="00D93969">
        <w:rPr>
          <w:rFonts w:ascii="Garamond" w:hAnsi="Garamond"/>
          <w:iCs/>
          <w:szCs w:val="24"/>
          <w:lang w:val="sq-AL"/>
        </w:rPr>
        <w:t xml:space="preserve">1. Kompania kërkuese operon në fushën e transportit të pasagjerëve. Çështja ka të bëjë me të drejtën e kompanisë kërkuese për t’iu drejtuar gjykatës në mbështetje të </w:t>
      </w:r>
      <w:r w:rsidR="00D93969">
        <w:rPr>
          <w:rFonts w:ascii="Garamond" w:hAnsi="Garamond"/>
          <w:iCs/>
          <w:szCs w:val="24"/>
          <w:lang w:val="sq-AL"/>
        </w:rPr>
        <w:t>n</w:t>
      </w:r>
      <w:r w:rsidRPr="00D93969">
        <w:rPr>
          <w:rFonts w:ascii="Garamond" w:hAnsi="Garamond"/>
          <w:iCs/>
          <w:szCs w:val="24"/>
          <w:lang w:val="sq-AL"/>
        </w:rPr>
        <w:t>enit 6 §1 të Konventës</w:t>
      </w:r>
      <w:r w:rsidR="00D93969">
        <w:rPr>
          <w:rFonts w:ascii="Garamond" w:hAnsi="Garamond"/>
          <w:iCs/>
          <w:szCs w:val="24"/>
          <w:lang w:val="sq-AL"/>
        </w:rPr>
        <w:t>,</w:t>
      </w:r>
      <w:r w:rsidRPr="00D93969">
        <w:rPr>
          <w:rFonts w:ascii="Garamond" w:hAnsi="Garamond"/>
          <w:iCs/>
          <w:szCs w:val="24"/>
          <w:lang w:val="sq-AL"/>
        </w:rPr>
        <w:t xml:space="preserve"> për të kundërshtuar një njoftim për detyrimet tatimore.</w:t>
      </w:r>
    </w:p>
    <w:p w14:paraId="3249B6F6" w14:textId="48086688" w:rsidR="006217B5" w:rsidRPr="00D93969" w:rsidRDefault="006217B5" w:rsidP="006217B5">
      <w:pPr>
        <w:pStyle w:val="ECHRDecisionBody"/>
        <w:ind w:firstLine="284"/>
        <w:jc w:val="both"/>
        <w:rPr>
          <w:rFonts w:ascii="Garamond" w:hAnsi="Garamond"/>
          <w:iCs/>
          <w:szCs w:val="24"/>
          <w:lang w:val="sq-AL"/>
        </w:rPr>
      </w:pPr>
      <w:r w:rsidRPr="00D93969">
        <w:rPr>
          <w:rFonts w:ascii="Garamond" w:hAnsi="Garamond"/>
          <w:iCs/>
          <w:szCs w:val="24"/>
          <w:lang w:val="sq-AL"/>
        </w:rPr>
        <w:t xml:space="preserve">2. Pas një inspektimi tatimor, më 3 </w:t>
      </w:r>
      <w:r w:rsidR="00D93969">
        <w:rPr>
          <w:rFonts w:ascii="Garamond" w:hAnsi="Garamond"/>
          <w:iCs/>
          <w:szCs w:val="24"/>
          <w:lang w:val="sq-AL"/>
        </w:rPr>
        <w:t>j</w:t>
      </w:r>
      <w:r w:rsidRPr="00D93969">
        <w:rPr>
          <w:rFonts w:ascii="Garamond" w:hAnsi="Garamond"/>
          <w:iCs/>
          <w:szCs w:val="24"/>
          <w:lang w:val="sq-AL"/>
        </w:rPr>
        <w:t>anar 2008, Drejtoria e Përgjithshme e Tatimeve (“DPT”) rivlerësoi përgjegjësitë tatimore të kompanisë kërkuese dhe i dërgoi një “njoftim për vlerësimin tatimor” (“njoftim-vlerësimi tatimor”). DPT</w:t>
      </w:r>
      <w:r w:rsidR="00D93969">
        <w:rPr>
          <w:rFonts w:ascii="Garamond" w:hAnsi="Garamond"/>
          <w:iCs/>
          <w:szCs w:val="24"/>
          <w:lang w:val="sq-AL"/>
        </w:rPr>
        <w:t>-ja</w:t>
      </w:r>
      <w:r w:rsidRPr="00D93969">
        <w:rPr>
          <w:rFonts w:ascii="Garamond" w:hAnsi="Garamond"/>
          <w:iCs/>
          <w:szCs w:val="24"/>
          <w:lang w:val="sq-AL"/>
        </w:rPr>
        <w:t xml:space="preserve"> e urdhëroi kompaninë kërkuese të paguante 3,828,759 lekë (rreth 31,140 euro në periudhën konkrete)</w:t>
      </w:r>
      <w:r w:rsidR="00D93969">
        <w:rPr>
          <w:rFonts w:ascii="Garamond" w:hAnsi="Garamond"/>
          <w:iCs/>
          <w:szCs w:val="24"/>
          <w:lang w:val="sq-AL"/>
        </w:rPr>
        <w:t>,</w:t>
      </w:r>
      <w:r w:rsidRPr="00D93969">
        <w:rPr>
          <w:rFonts w:ascii="Garamond" w:hAnsi="Garamond"/>
          <w:iCs/>
          <w:szCs w:val="24"/>
          <w:lang w:val="sq-AL"/>
        </w:rPr>
        <w:t xml:space="preserve"> në lidhje me detyrimet tatimore </w:t>
      </w:r>
      <w:r w:rsidR="00D93969">
        <w:rPr>
          <w:rFonts w:ascii="Garamond" w:hAnsi="Garamond"/>
          <w:iCs/>
          <w:szCs w:val="24"/>
          <w:lang w:val="sq-AL"/>
        </w:rPr>
        <w:t>të</w:t>
      </w:r>
      <w:r w:rsidRPr="00D93969">
        <w:rPr>
          <w:rFonts w:ascii="Garamond" w:hAnsi="Garamond"/>
          <w:iCs/>
          <w:szCs w:val="24"/>
          <w:lang w:val="sq-AL"/>
        </w:rPr>
        <w:t xml:space="preserve"> padeklaruara. Gjithashtu, DPT</w:t>
      </w:r>
      <w:r w:rsidR="00D93969">
        <w:rPr>
          <w:rFonts w:ascii="Garamond" w:hAnsi="Garamond"/>
          <w:iCs/>
          <w:szCs w:val="24"/>
          <w:lang w:val="sq-AL"/>
        </w:rPr>
        <w:t>-ja</w:t>
      </w:r>
      <w:r w:rsidRPr="00D93969">
        <w:rPr>
          <w:rFonts w:ascii="Garamond" w:hAnsi="Garamond"/>
          <w:iCs/>
          <w:szCs w:val="24"/>
          <w:lang w:val="sq-AL"/>
        </w:rPr>
        <w:t xml:space="preserve"> vendosi ndaj kompanisë kërkuese detyrimin për të paguar shumën prej 1,766,938 lekë (rreth 14,371 euro) për shtesat dhe penalitetet.</w:t>
      </w:r>
    </w:p>
    <w:p w14:paraId="50FCDA13" w14:textId="0552541D" w:rsidR="006217B5" w:rsidRPr="00D93969" w:rsidRDefault="006217B5" w:rsidP="006217B5">
      <w:pPr>
        <w:pStyle w:val="ECHRDecisionBody"/>
        <w:ind w:firstLine="284"/>
        <w:jc w:val="both"/>
        <w:rPr>
          <w:rFonts w:ascii="Garamond" w:hAnsi="Garamond"/>
          <w:b/>
          <w:bCs/>
          <w:iCs/>
          <w:szCs w:val="24"/>
          <w:lang w:val="sq-AL"/>
        </w:rPr>
      </w:pPr>
      <w:r w:rsidRPr="00D93969">
        <w:rPr>
          <w:rFonts w:ascii="Garamond" w:hAnsi="Garamond"/>
          <w:b/>
          <w:bCs/>
          <w:iCs/>
          <w:szCs w:val="24"/>
          <w:lang w:val="sq-AL"/>
        </w:rPr>
        <w:t>A. Procesi administrativ</w:t>
      </w:r>
    </w:p>
    <w:p w14:paraId="0F46FB86" w14:textId="120EA7D1" w:rsidR="006217B5" w:rsidRPr="00D93969" w:rsidRDefault="006217B5" w:rsidP="006217B5">
      <w:pPr>
        <w:pStyle w:val="ECHRDecisionBody"/>
        <w:ind w:firstLine="284"/>
        <w:jc w:val="both"/>
        <w:rPr>
          <w:rFonts w:ascii="Garamond" w:hAnsi="Garamond"/>
          <w:iCs/>
          <w:szCs w:val="24"/>
          <w:lang w:val="sq-AL"/>
        </w:rPr>
      </w:pPr>
      <w:r w:rsidRPr="00D93969">
        <w:rPr>
          <w:rFonts w:ascii="Garamond" w:hAnsi="Garamond"/>
          <w:iCs/>
          <w:szCs w:val="24"/>
          <w:lang w:val="sq-AL"/>
        </w:rPr>
        <w:t xml:space="preserve">3. Më 1 </w:t>
      </w:r>
      <w:r w:rsidR="00D93969">
        <w:rPr>
          <w:rFonts w:ascii="Garamond" w:hAnsi="Garamond"/>
          <w:iCs/>
          <w:szCs w:val="24"/>
          <w:lang w:val="sq-AL"/>
        </w:rPr>
        <w:t>s</w:t>
      </w:r>
      <w:r w:rsidRPr="00D93969">
        <w:rPr>
          <w:rFonts w:ascii="Garamond" w:hAnsi="Garamond"/>
          <w:iCs/>
          <w:szCs w:val="24"/>
          <w:lang w:val="sq-AL"/>
        </w:rPr>
        <w:t xml:space="preserve">hkurt 2008, kompania kërkuese apeloi njoftimin e vlerësimit tatimor pranë Drejtorisë së Apelimit Tatimor, e cila, më 3 </w:t>
      </w:r>
      <w:r w:rsidR="00D93969">
        <w:rPr>
          <w:rFonts w:ascii="Garamond" w:hAnsi="Garamond"/>
          <w:iCs/>
          <w:szCs w:val="24"/>
          <w:lang w:val="sq-AL"/>
        </w:rPr>
        <w:t>m</w:t>
      </w:r>
      <w:r w:rsidRPr="00D93969">
        <w:rPr>
          <w:rFonts w:ascii="Garamond" w:hAnsi="Garamond"/>
          <w:iCs/>
          <w:szCs w:val="24"/>
          <w:lang w:val="sq-AL"/>
        </w:rPr>
        <w:t xml:space="preserve">ars 2008, e deklaroi apelimin të papranueshëm, pa i shqyrtuar meritat e tij. Ajo gjykonte se kompania kërkuese nuk kishte respektuar </w:t>
      </w:r>
      <w:r w:rsidR="00D93969" w:rsidRPr="00D93969">
        <w:rPr>
          <w:rFonts w:ascii="Garamond" w:hAnsi="Garamond"/>
          <w:iCs/>
          <w:szCs w:val="24"/>
          <w:lang w:val="sq-AL"/>
        </w:rPr>
        <w:t>nenin 43 të ligjit për procedurat tatimo</w:t>
      </w:r>
      <w:r w:rsidRPr="00D93969">
        <w:rPr>
          <w:rFonts w:ascii="Garamond" w:hAnsi="Garamond"/>
          <w:iCs/>
          <w:szCs w:val="24"/>
          <w:lang w:val="sq-AL"/>
        </w:rPr>
        <w:t>re (</w:t>
      </w:r>
      <w:r w:rsidR="00D93969" w:rsidRPr="00D93969">
        <w:rPr>
          <w:rFonts w:ascii="Garamond" w:hAnsi="Garamond"/>
          <w:iCs/>
          <w:szCs w:val="24"/>
          <w:lang w:val="sq-AL"/>
        </w:rPr>
        <w:t>ligji nr. 8560</w:t>
      </w:r>
      <w:r w:rsidR="00D93969">
        <w:rPr>
          <w:rFonts w:ascii="Garamond" w:hAnsi="Garamond"/>
          <w:iCs/>
          <w:szCs w:val="24"/>
          <w:lang w:val="sq-AL"/>
        </w:rPr>
        <w:t>,</w:t>
      </w:r>
      <w:r w:rsidR="00D93969" w:rsidRPr="00D93969">
        <w:rPr>
          <w:rFonts w:ascii="Garamond" w:hAnsi="Garamond"/>
          <w:iCs/>
          <w:szCs w:val="24"/>
          <w:lang w:val="sq-AL"/>
        </w:rPr>
        <w:t xml:space="preserve"> i datës 22 dhjetor </w:t>
      </w:r>
      <w:r w:rsidRPr="00D93969">
        <w:rPr>
          <w:rFonts w:ascii="Garamond" w:hAnsi="Garamond"/>
          <w:iCs/>
          <w:szCs w:val="24"/>
          <w:lang w:val="sq-AL"/>
        </w:rPr>
        <w:t>1999, i ndryshuar) sipas së cilit, përpara se të apelojë një detyrim tatimor, një tatimpagues duhet të paguajë principalin e shumës së kontestuar.</w:t>
      </w:r>
    </w:p>
    <w:p w14:paraId="312BF762" w14:textId="33C2C873" w:rsidR="006217B5" w:rsidRPr="00D93969" w:rsidRDefault="006217B5" w:rsidP="006217B5">
      <w:pPr>
        <w:pStyle w:val="ECHRDecisionBody"/>
        <w:ind w:firstLine="284"/>
        <w:jc w:val="both"/>
        <w:rPr>
          <w:rFonts w:ascii="Garamond" w:hAnsi="Garamond"/>
          <w:iCs/>
          <w:szCs w:val="24"/>
          <w:lang w:val="sq-AL"/>
        </w:rPr>
      </w:pPr>
      <w:r w:rsidRPr="00D93969">
        <w:rPr>
          <w:rFonts w:ascii="Garamond" w:hAnsi="Garamond"/>
          <w:iCs/>
          <w:szCs w:val="24"/>
          <w:lang w:val="sq-AL"/>
        </w:rPr>
        <w:t xml:space="preserve">4. Pas apelimit të kompanisë kërkuese pranë organit administrativ të nivelit të dytë, më konkretisht Komisioni i Apelimit Tatimor, më 23 </w:t>
      </w:r>
      <w:r w:rsidR="00D93969">
        <w:rPr>
          <w:rFonts w:ascii="Garamond" w:hAnsi="Garamond"/>
          <w:iCs/>
          <w:szCs w:val="24"/>
          <w:lang w:val="sq-AL"/>
        </w:rPr>
        <w:t>p</w:t>
      </w:r>
      <w:r w:rsidRPr="00D93969">
        <w:rPr>
          <w:rFonts w:ascii="Garamond" w:hAnsi="Garamond"/>
          <w:iCs/>
          <w:szCs w:val="24"/>
          <w:lang w:val="sq-AL"/>
        </w:rPr>
        <w:t>rill 2008, organi refuzoi të shqyrtonte meritat e apelimit mbështetur në të njëjtat arsye.</w:t>
      </w:r>
    </w:p>
    <w:p w14:paraId="7EBE2AD0" w14:textId="77777777" w:rsidR="006217B5" w:rsidRPr="00D93969" w:rsidRDefault="006217B5" w:rsidP="006217B5">
      <w:pPr>
        <w:pStyle w:val="ECHRDecisionBody"/>
        <w:ind w:firstLine="284"/>
        <w:jc w:val="both"/>
        <w:rPr>
          <w:rFonts w:ascii="Garamond" w:hAnsi="Garamond"/>
          <w:b/>
          <w:bCs/>
          <w:iCs/>
          <w:szCs w:val="24"/>
          <w:lang w:val="sq-AL"/>
        </w:rPr>
      </w:pPr>
      <w:r w:rsidRPr="00D93969">
        <w:rPr>
          <w:rFonts w:ascii="Garamond" w:hAnsi="Garamond"/>
          <w:b/>
          <w:bCs/>
          <w:iCs/>
          <w:szCs w:val="24"/>
          <w:lang w:val="sq-AL"/>
        </w:rPr>
        <w:t>B. Procesi gjyqësor</w:t>
      </w:r>
    </w:p>
    <w:p w14:paraId="607D60F3" w14:textId="15376E8A" w:rsidR="006217B5" w:rsidRPr="00D93969" w:rsidRDefault="006217B5" w:rsidP="006217B5">
      <w:pPr>
        <w:pStyle w:val="ECHRDecisionBody"/>
        <w:ind w:firstLine="284"/>
        <w:jc w:val="both"/>
        <w:rPr>
          <w:rFonts w:ascii="Garamond" w:hAnsi="Garamond"/>
          <w:iCs/>
          <w:szCs w:val="24"/>
          <w:lang w:val="sq-AL"/>
        </w:rPr>
      </w:pPr>
      <w:r w:rsidRPr="00D93969">
        <w:rPr>
          <w:rFonts w:ascii="Garamond" w:hAnsi="Garamond"/>
          <w:iCs/>
          <w:szCs w:val="24"/>
          <w:lang w:val="sq-AL"/>
        </w:rPr>
        <w:t xml:space="preserve">5. Më 21 </w:t>
      </w:r>
      <w:r w:rsidR="00D93969">
        <w:rPr>
          <w:rFonts w:ascii="Garamond" w:hAnsi="Garamond"/>
          <w:iCs/>
          <w:szCs w:val="24"/>
          <w:lang w:val="sq-AL"/>
        </w:rPr>
        <w:t>m</w:t>
      </w:r>
      <w:r w:rsidRPr="00D93969">
        <w:rPr>
          <w:rFonts w:ascii="Garamond" w:hAnsi="Garamond"/>
          <w:iCs/>
          <w:szCs w:val="24"/>
          <w:lang w:val="sq-AL"/>
        </w:rPr>
        <w:t xml:space="preserve">aj 2008, kompania kërkuese ndërmori një akt ligjor pranë Gjykatës së Rrethit Mat ndaj zyrës rajonale të tatimeve. Ajo kundërshtonte njoftimin për vlerësimin tatimor dhe vendimet </w:t>
      </w:r>
      <w:r w:rsidRPr="00D93969">
        <w:rPr>
          <w:rFonts w:ascii="Garamond" w:hAnsi="Garamond"/>
          <w:iCs/>
          <w:szCs w:val="24"/>
          <w:lang w:val="sq-AL"/>
        </w:rPr>
        <w:lastRenderedPageBreak/>
        <w:t xml:space="preserve">administrative që kishin rrëzuar apelimet e saj. Ajo argumentonte se njoftimi tatimor ishte në kundërshtim me legjislacionin e zbatueshëm tatimor. </w:t>
      </w:r>
    </w:p>
    <w:p w14:paraId="44FD3FFD" w14:textId="4C1F9E3D" w:rsidR="006217B5" w:rsidRPr="00D93969" w:rsidRDefault="006217B5" w:rsidP="006217B5">
      <w:pPr>
        <w:pStyle w:val="ECHRDecisionBody"/>
        <w:ind w:firstLine="284"/>
        <w:jc w:val="both"/>
        <w:rPr>
          <w:rFonts w:ascii="Garamond" w:hAnsi="Garamond"/>
          <w:iCs/>
          <w:szCs w:val="24"/>
          <w:lang w:val="sq-AL"/>
        </w:rPr>
      </w:pPr>
      <w:r w:rsidRPr="00D93969">
        <w:rPr>
          <w:rFonts w:ascii="Garamond" w:hAnsi="Garamond"/>
          <w:iCs/>
          <w:szCs w:val="24"/>
          <w:lang w:val="sq-AL"/>
        </w:rPr>
        <w:t xml:space="preserve">6. Më 17 </w:t>
      </w:r>
      <w:r w:rsidR="00D93969">
        <w:rPr>
          <w:rFonts w:ascii="Garamond" w:hAnsi="Garamond"/>
          <w:iCs/>
          <w:szCs w:val="24"/>
          <w:lang w:val="sq-AL"/>
        </w:rPr>
        <w:t>k</w:t>
      </w:r>
      <w:r w:rsidRPr="00D93969">
        <w:rPr>
          <w:rFonts w:ascii="Garamond" w:hAnsi="Garamond"/>
          <w:iCs/>
          <w:szCs w:val="24"/>
          <w:lang w:val="sq-AL"/>
        </w:rPr>
        <w:t>orrik 2008, Gjykata e Rrethit Mat e ndërpreu procedurën për shkak të mosshfrytëzimit të mjeteve administrative. Ajo gjykonte se kompania kërkuese nuk kishte përmbushur detyrimin për të parapaguar shumat e tatimeve të kontestuara përpara se t’i kundërshtonte ato, dhe për pasojë, organet administrative të shkallës së parë dhe të dytë nuk kishin shqyrtuar meritat e apelimit të saj.</w:t>
      </w:r>
    </w:p>
    <w:p w14:paraId="428CB476" w14:textId="442C55D0" w:rsidR="006217B5" w:rsidRPr="00D93969" w:rsidRDefault="006217B5" w:rsidP="006217B5">
      <w:pPr>
        <w:pStyle w:val="ECHRDecisionBody"/>
        <w:ind w:firstLine="284"/>
        <w:jc w:val="both"/>
        <w:rPr>
          <w:rFonts w:ascii="Garamond" w:hAnsi="Garamond"/>
          <w:iCs/>
          <w:szCs w:val="24"/>
          <w:lang w:val="sq-AL"/>
        </w:rPr>
      </w:pPr>
      <w:r w:rsidRPr="00D93969">
        <w:rPr>
          <w:rFonts w:ascii="Garamond" w:hAnsi="Garamond"/>
          <w:iCs/>
          <w:szCs w:val="24"/>
          <w:lang w:val="sq-AL"/>
        </w:rPr>
        <w:t xml:space="preserve">7. Më 21 </w:t>
      </w:r>
      <w:r w:rsidR="00D93969">
        <w:rPr>
          <w:rFonts w:ascii="Garamond" w:hAnsi="Garamond"/>
          <w:iCs/>
          <w:szCs w:val="24"/>
          <w:lang w:val="sq-AL"/>
        </w:rPr>
        <w:t>k</w:t>
      </w:r>
      <w:r w:rsidRPr="00D93969">
        <w:rPr>
          <w:rFonts w:ascii="Garamond" w:hAnsi="Garamond"/>
          <w:iCs/>
          <w:szCs w:val="24"/>
          <w:lang w:val="sq-AL"/>
        </w:rPr>
        <w:t>orrik 2008, kompania kërkuese depozitoi një apelim për disa pika të ligjit pranë Gjykatës së Lartë. Ajo parashtronte se e kishte kundërshtuar rivlerësimin tatimor në kohën e duhur përpara organeve administrativ</w:t>
      </w:r>
      <w:r w:rsidR="00D93969">
        <w:rPr>
          <w:rFonts w:ascii="Garamond" w:hAnsi="Garamond"/>
          <w:iCs/>
          <w:szCs w:val="24"/>
          <w:lang w:val="sq-AL"/>
        </w:rPr>
        <w:t>e</w:t>
      </w:r>
      <w:r w:rsidRPr="00D93969">
        <w:rPr>
          <w:rFonts w:ascii="Garamond" w:hAnsi="Garamond"/>
          <w:iCs/>
          <w:szCs w:val="24"/>
          <w:lang w:val="sq-AL"/>
        </w:rPr>
        <w:t>. Gjithashtu, ajo argumentonte se ajo nuk ishte një “tatimpagues</w:t>
      </w:r>
      <w:r w:rsidR="00614915">
        <w:rPr>
          <w:rFonts w:ascii="Garamond" w:hAnsi="Garamond"/>
          <w:iCs/>
          <w:szCs w:val="24"/>
          <w:lang w:val="sq-AL"/>
        </w:rPr>
        <w:t>e</w:t>
      </w:r>
      <w:r w:rsidRPr="00D93969">
        <w:rPr>
          <w:rFonts w:ascii="Garamond" w:hAnsi="Garamond"/>
          <w:iCs/>
          <w:szCs w:val="24"/>
          <w:lang w:val="sq-AL"/>
        </w:rPr>
        <w:t xml:space="preserve">” sipas interpretimit të legjislacionit të zbatueshëm për tatimet, për këtë arsye, nuk </w:t>
      </w:r>
      <w:r w:rsidR="002254C0">
        <w:rPr>
          <w:rFonts w:ascii="Garamond" w:hAnsi="Garamond"/>
          <w:iCs/>
          <w:szCs w:val="24"/>
          <w:lang w:val="sq-AL"/>
        </w:rPr>
        <w:t>k</w:t>
      </w:r>
      <w:r w:rsidRPr="002254C0">
        <w:rPr>
          <w:rFonts w:ascii="Garamond" w:hAnsi="Garamond"/>
          <w:iCs/>
          <w:szCs w:val="24"/>
          <w:lang w:val="sq-AL"/>
        </w:rPr>
        <w:t>ishte</w:t>
      </w:r>
      <w:r w:rsidRPr="00D93969">
        <w:rPr>
          <w:rFonts w:ascii="Garamond" w:hAnsi="Garamond"/>
          <w:iCs/>
          <w:szCs w:val="24"/>
          <w:lang w:val="sq-AL"/>
        </w:rPr>
        <w:t xml:space="preserve"> detyrimin për të paguar shumat e vendosura nga administrata e tatimeve. </w:t>
      </w:r>
    </w:p>
    <w:p w14:paraId="2AF3EDC2" w14:textId="1D538EE5" w:rsidR="006217B5" w:rsidRPr="00D93969" w:rsidRDefault="006217B5" w:rsidP="006217B5">
      <w:pPr>
        <w:pStyle w:val="ECHRDecisionBody"/>
        <w:ind w:firstLine="284"/>
        <w:jc w:val="both"/>
        <w:rPr>
          <w:rFonts w:ascii="Garamond" w:hAnsi="Garamond"/>
          <w:iCs/>
          <w:szCs w:val="24"/>
          <w:lang w:val="sq-AL"/>
        </w:rPr>
      </w:pPr>
      <w:r w:rsidRPr="00D93969">
        <w:rPr>
          <w:rFonts w:ascii="Garamond" w:hAnsi="Garamond"/>
          <w:iCs/>
          <w:szCs w:val="24"/>
          <w:lang w:val="sq-AL"/>
        </w:rPr>
        <w:t xml:space="preserve">8. Më 2 </w:t>
      </w:r>
      <w:r w:rsidR="00D93969">
        <w:rPr>
          <w:rFonts w:ascii="Garamond" w:hAnsi="Garamond"/>
          <w:iCs/>
          <w:szCs w:val="24"/>
          <w:lang w:val="sq-AL"/>
        </w:rPr>
        <w:t>t</w:t>
      </w:r>
      <w:r w:rsidRPr="00D93969">
        <w:rPr>
          <w:rFonts w:ascii="Garamond" w:hAnsi="Garamond"/>
          <w:iCs/>
          <w:szCs w:val="24"/>
          <w:lang w:val="sq-AL"/>
        </w:rPr>
        <w:t>etor 2008, Gjykata e Lartë e kundërshtoi apelimin dhe la në fuqi arsyetimin e gjykatës së shkallës së parë.</w:t>
      </w:r>
    </w:p>
    <w:p w14:paraId="6AF4EB9D" w14:textId="225F7476" w:rsidR="006217B5" w:rsidRPr="00D93969" w:rsidRDefault="006217B5" w:rsidP="006217B5">
      <w:pPr>
        <w:pStyle w:val="ECHRDecisionBody"/>
        <w:ind w:firstLine="284"/>
        <w:jc w:val="both"/>
        <w:rPr>
          <w:rFonts w:ascii="Garamond" w:hAnsi="Garamond"/>
          <w:iCs/>
          <w:szCs w:val="24"/>
          <w:lang w:val="sq-AL"/>
        </w:rPr>
      </w:pPr>
      <w:r w:rsidRPr="00D93969">
        <w:rPr>
          <w:rFonts w:ascii="Garamond" w:hAnsi="Garamond"/>
          <w:iCs/>
          <w:szCs w:val="24"/>
          <w:lang w:val="sq-AL"/>
        </w:rPr>
        <w:t xml:space="preserve">9. Më 2 </w:t>
      </w:r>
      <w:r w:rsidR="00D93969">
        <w:rPr>
          <w:rFonts w:ascii="Garamond" w:hAnsi="Garamond"/>
          <w:iCs/>
          <w:szCs w:val="24"/>
          <w:lang w:val="sq-AL"/>
        </w:rPr>
        <w:t>p</w:t>
      </w:r>
      <w:r w:rsidRPr="00D93969">
        <w:rPr>
          <w:rFonts w:ascii="Garamond" w:hAnsi="Garamond"/>
          <w:iCs/>
          <w:szCs w:val="24"/>
          <w:lang w:val="sq-AL"/>
        </w:rPr>
        <w:t xml:space="preserve">rill 2009, kompania kërkuese depozitoi një apelim kushtetues ku përsëriste argumentet e saj të mëparshëm (shih paragrafin 7 më sipër). </w:t>
      </w:r>
    </w:p>
    <w:p w14:paraId="50FFD275" w14:textId="300E4A5B" w:rsidR="006217B5" w:rsidRPr="00D93969" w:rsidRDefault="006217B5" w:rsidP="006217B5">
      <w:pPr>
        <w:pStyle w:val="ECHRDecisionBody"/>
        <w:ind w:firstLine="284"/>
        <w:jc w:val="both"/>
        <w:rPr>
          <w:rFonts w:ascii="Garamond" w:hAnsi="Garamond"/>
          <w:iCs/>
          <w:szCs w:val="24"/>
          <w:lang w:val="sq-AL"/>
        </w:rPr>
      </w:pPr>
      <w:r w:rsidRPr="00D93969">
        <w:rPr>
          <w:rFonts w:ascii="Garamond" w:hAnsi="Garamond"/>
          <w:iCs/>
          <w:szCs w:val="24"/>
          <w:lang w:val="sq-AL"/>
        </w:rPr>
        <w:t xml:space="preserve">10. Më 5 </w:t>
      </w:r>
      <w:r w:rsidR="00D93969">
        <w:rPr>
          <w:rFonts w:ascii="Garamond" w:hAnsi="Garamond"/>
          <w:iCs/>
          <w:szCs w:val="24"/>
          <w:lang w:val="sq-AL"/>
        </w:rPr>
        <w:t>k</w:t>
      </w:r>
      <w:r w:rsidRPr="00D93969">
        <w:rPr>
          <w:rFonts w:ascii="Garamond" w:hAnsi="Garamond"/>
          <w:iCs/>
          <w:szCs w:val="24"/>
          <w:lang w:val="sq-AL"/>
        </w:rPr>
        <w:t>orrik 2009, Gjykata Kushtetuese e deklaroi apelimin të papranueshëm pasi ai ngrinte çështje që kishin të bënin me interpretimin e ligjit dhe vlerësimin e provave, të cilat ajo i konsideronte jashtë fushës së juridiksionit të saj.</w:t>
      </w:r>
    </w:p>
    <w:p w14:paraId="0139A60E" w14:textId="3CBA9B22" w:rsidR="006217B5" w:rsidRPr="00D93969" w:rsidRDefault="006217B5" w:rsidP="006217B5">
      <w:pPr>
        <w:pStyle w:val="ECHRDecisionBody"/>
        <w:ind w:firstLine="284"/>
        <w:jc w:val="both"/>
        <w:rPr>
          <w:rFonts w:ascii="Garamond" w:hAnsi="Garamond"/>
          <w:iCs/>
          <w:szCs w:val="24"/>
          <w:lang w:val="sq-AL"/>
        </w:rPr>
      </w:pPr>
      <w:r w:rsidRPr="00D93969">
        <w:rPr>
          <w:rFonts w:ascii="Garamond" w:hAnsi="Garamond"/>
          <w:iCs/>
          <w:szCs w:val="24"/>
          <w:lang w:val="sq-AL"/>
        </w:rPr>
        <w:t>11. Përpara Gjykatës, kompania kërkuese u ankua</w:t>
      </w:r>
      <w:r w:rsidR="00D93969">
        <w:rPr>
          <w:rFonts w:ascii="Garamond" w:hAnsi="Garamond"/>
          <w:iCs/>
          <w:szCs w:val="24"/>
          <w:lang w:val="sq-AL"/>
        </w:rPr>
        <w:t>,</w:t>
      </w:r>
      <w:r w:rsidRPr="00D93969">
        <w:rPr>
          <w:rFonts w:ascii="Garamond" w:hAnsi="Garamond"/>
          <w:iCs/>
          <w:szCs w:val="24"/>
          <w:lang w:val="sq-AL"/>
        </w:rPr>
        <w:t xml:space="preserve"> në mbështetje të </w:t>
      </w:r>
      <w:r w:rsidR="00D93969">
        <w:rPr>
          <w:rFonts w:ascii="Garamond" w:hAnsi="Garamond"/>
          <w:iCs/>
          <w:szCs w:val="24"/>
          <w:lang w:val="sq-AL"/>
        </w:rPr>
        <w:t>n</w:t>
      </w:r>
      <w:r w:rsidRPr="00D93969">
        <w:rPr>
          <w:rFonts w:ascii="Garamond" w:hAnsi="Garamond"/>
          <w:iCs/>
          <w:szCs w:val="24"/>
          <w:lang w:val="sq-AL"/>
        </w:rPr>
        <w:t>enit 6 §1 të Konventës</w:t>
      </w:r>
      <w:r w:rsidR="00D93969">
        <w:rPr>
          <w:rFonts w:ascii="Garamond" w:hAnsi="Garamond"/>
          <w:iCs/>
          <w:szCs w:val="24"/>
          <w:lang w:val="sq-AL"/>
        </w:rPr>
        <w:t>,</w:t>
      </w:r>
      <w:r w:rsidRPr="00D93969">
        <w:rPr>
          <w:rFonts w:ascii="Garamond" w:hAnsi="Garamond"/>
          <w:iCs/>
          <w:szCs w:val="24"/>
          <w:lang w:val="sq-AL"/>
        </w:rPr>
        <w:t xml:space="preserve"> për mohimin e të drejtës për t’iu drejtuar gjykatës për të apeluar detyrimet e saj tatimore. Sipas </w:t>
      </w:r>
      <w:r w:rsidR="00D93969">
        <w:rPr>
          <w:rFonts w:ascii="Garamond" w:hAnsi="Garamond"/>
          <w:iCs/>
          <w:szCs w:val="24"/>
          <w:lang w:val="sq-AL"/>
        </w:rPr>
        <w:t>n</w:t>
      </w:r>
      <w:r w:rsidRPr="00D93969">
        <w:rPr>
          <w:rFonts w:ascii="Garamond" w:hAnsi="Garamond"/>
          <w:iCs/>
          <w:szCs w:val="24"/>
          <w:lang w:val="sq-AL"/>
        </w:rPr>
        <w:t xml:space="preserve">enit 1 të </w:t>
      </w:r>
      <w:r w:rsidR="00D93969" w:rsidRPr="00D93969">
        <w:rPr>
          <w:rFonts w:ascii="Garamond" w:hAnsi="Garamond"/>
          <w:iCs/>
          <w:szCs w:val="24"/>
          <w:lang w:val="sq-AL"/>
        </w:rPr>
        <w:t>protokollit n</w:t>
      </w:r>
      <w:r w:rsidRPr="00D93969">
        <w:rPr>
          <w:rFonts w:ascii="Garamond" w:hAnsi="Garamond"/>
          <w:iCs/>
          <w:szCs w:val="24"/>
          <w:lang w:val="sq-AL"/>
        </w:rPr>
        <w:t>r. 1 të Konventës, kompania kërkuese u ankua gjithashtu se vlerësimi tatimor kishte vendosur një barrë të tepërt për gëzimin e paqtë të pronës së saj.</w:t>
      </w:r>
    </w:p>
    <w:p w14:paraId="1BA40882" w14:textId="77777777" w:rsidR="006217B5" w:rsidRPr="00D93969" w:rsidRDefault="006217B5" w:rsidP="006217B5">
      <w:pPr>
        <w:pStyle w:val="ECHRDecisionBody"/>
        <w:ind w:firstLine="284"/>
        <w:jc w:val="both"/>
        <w:rPr>
          <w:rFonts w:ascii="Garamond" w:hAnsi="Garamond"/>
          <w:iCs/>
          <w:szCs w:val="24"/>
          <w:lang w:val="sq-AL"/>
        </w:rPr>
      </w:pPr>
      <w:r w:rsidRPr="00D93969">
        <w:rPr>
          <w:rFonts w:ascii="Garamond" w:hAnsi="Garamond"/>
          <w:iCs/>
          <w:szCs w:val="24"/>
          <w:lang w:val="sq-AL"/>
        </w:rPr>
        <w:t xml:space="preserve">VLERËSIMI I GJYKATËS </w:t>
      </w:r>
    </w:p>
    <w:p w14:paraId="7EE71726" w14:textId="5DDE478F" w:rsidR="006217B5" w:rsidRPr="00D93969" w:rsidRDefault="006217B5" w:rsidP="006217B5">
      <w:pPr>
        <w:pStyle w:val="ECHRDecisionBody"/>
        <w:ind w:firstLine="284"/>
        <w:jc w:val="both"/>
        <w:rPr>
          <w:rFonts w:ascii="Garamond" w:hAnsi="Garamond"/>
          <w:b/>
          <w:bCs/>
          <w:iCs/>
          <w:szCs w:val="24"/>
          <w:lang w:val="sq-AL"/>
        </w:rPr>
      </w:pPr>
      <w:r w:rsidRPr="00D93969">
        <w:rPr>
          <w:rFonts w:ascii="Garamond" w:hAnsi="Garamond"/>
          <w:b/>
          <w:bCs/>
          <w:iCs/>
          <w:szCs w:val="24"/>
          <w:lang w:val="sq-AL"/>
        </w:rPr>
        <w:t>A. Neni 6 §1 i Konventës</w:t>
      </w:r>
    </w:p>
    <w:p w14:paraId="027013CB" w14:textId="5CBA4E96" w:rsidR="006217B5" w:rsidRPr="00D93969" w:rsidRDefault="006217B5" w:rsidP="006217B5">
      <w:pPr>
        <w:pStyle w:val="ECHRDecisionBody"/>
        <w:ind w:firstLine="284"/>
        <w:jc w:val="both"/>
        <w:rPr>
          <w:rFonts w:ascii="Garamond" w:hAnsi="Garamond"/>
          <w:iCs/>
          <w:szCs w:val="24"/>
          <w:lang w:val="sq-AL"/>
        </w:rPr>
      </w:pPr>
      <w:r w:rsidRPr="00D93969">
        <w:rPr>
          <w:rFonts w:ascii="Garamond" w:hAnsi="Garamond"/>
          <w:iCs/>
          <w:szCs w:val="24"/>
          <w:lang w:val="sq-AL"/>
        </w:rPr>
        <w:t xml:space="preserve">12. Çështjet tatimore, si ato që janë përpara Gjykatës, janë pjesa kryesore përbërëse e prerogativave të autoritetit publik, ku natyra publike e marrëdhënies midis tatimpaguesit dhe komunitetit mbetet mbizotëruese, pavarësisht efekteve pasurore që pasjellin mosmarrëveshjet tatimore për tatimpaguesin. Rezulton se </w:t>
      </w:r>
      <w:r w:rsidR="00D93969">
        <w:rPr>
          <w:rFonts w:ascii="Garamond" w:hAnsi="Garamond"/>
          <w:iCs/>
          <w:szCs w:val="24"/>
          <w:lang w:val="sq-AL"/>
        </w:rPr>
        <w:t>n</w:t>
      </w:r>
      <w:r w:rsidRPr="00D93969">
        <w:rPr>
          <w:rFonts w:ascii="Garamond" w:hAnsi="Garamond"/>
          <w:iCs/>
          <w:szCs w:val="24"/>
          <w:lang w:val="sq-AL"/>
        </w:rPr>
        <w:t xml:space="preserve">eni 6 §1 i Konventës nuk është i zbatueshëm sipas aspektit të tij civil (shih së fundmi, </w:t>
      </w:r>
      <w:r w:rsidRPr="00D93969">
        <w:rPr>
          <w:rFonts w:ascii="Garamond" w:hAnsi="Garamond"/>
          <w:i/>
          <w:szCs w:val="24"/>
          <w:lang w:val="sq-AL"/>
        </w:rPr>
        <w:t>Vegotex International S.A. kundër Belgjikës</w:t>
      </w:r>
      <w:r w:rsidRPr="00D93969">
        <w:rPr>
          <w:rFonts w:ascii="Garamond" w:hAnsi="Garamond"/>
          <w:iCs/>
          <w:szCs w:val="24"/>
          <w:lang w:val="sq-AL"/>
        </w:rPr>
        <w:t xml:space="preserve"> ([DHM]), nr. 49812/09, §66, 3 </w:t>
      </w:r>
      <w:r w:rsidR="00D93969">
        <w:rPr>
          <w:rFonts w:ascii="Garamond" w:hAnsi="Garamond"/>
          <w:iCs/>
          <w:szCs w:val="24"/>
          <w:lang w:val="sq-AL"/>
        </w:rPr>
        <w:t>n</w:t>
      </w:r>
      <w:r w:rsidRPr="00D93969">
        <w:rPr>
          <w:rFonts w:ascii="Garamond" w:hAnsi="Garamond"/>
          <w:iCs/>
          <w:szCs w:val="24"/>
          <w:lang w:val="sq-AL"/>
        </w:rPr>
        <w:t>ëntor 2022).</w:t>
      </w:r>
    </w:p>
    <w:p w14:paraId="20B3FBBC" w14:textId="57B0B9EC" w:rsidR="006217B5" w:rsidRPr="00D93969" w:rsidRDefault="006217B5" w:rsidP="006217B5">
      <w:pPr>
        <w:pStyle w:val="ECHRDecisionBody"/>
        <w:ind w:firstLine="284"/>
        <w:jc w:val="both"/>
        <w:rPr>
          <w:rFonts w:ascii="Garamond" w:hAnsi="Garamond"/>
          <w:iCs/>
          <w:szCs w:val="24"/>
          <w:lang w:val="sq-AL"/>
        </w:rPr>
      </w:pPr>
      <w:r w:rsidRPr="00D93969">
        <w:rPr>
          <w:rFonts w:ascii="Garamond" w:hAnsi="Garamond"/>
          <w:iCs/>
          <w:szCs w:val="24"/>
          <w:lang w:val="sq-AL"/>
        </w:rPr>
        <w:t xml:space="preserve">13. Megjithatë, aspekti penal i </w:t>
      </w:r>
      <w:r w:rsidR="00D93969">
        <w:rPr>
          <w:rFonts w:ascii="Garamond" w:hAnsi="Garamond"/>
          <w:iCs/>
          <w:szCs w:val="24"/>
          <w:lang w:val="sq-AL"/>
        </w:rPr>
        <w:t>n</w:t>
      </w:r>
      <w:r w:rsidRPr="00D93969">
        <w:rPr>
          <w:rFonts w:ascii="Garamond" w:hAnsi="Garamond"/>
          <w:iCs/>
          <w:szCs w:val="24"/>
          <w:lang w:val="sq-AL"/>
        </w:rPr>
        <w:t xml:space="preserve">enit 6 §1 është zbatuar për shtesat tatimore të cilat nuk janë parashikuar si kompensim pasuror për dëmin, por si masë për </w:t>
      </w:r>
      <w:r w:rsidR="00D93969">
        <w:rPr>
          <w:rFonts w:ascii="Garamond" w:hAnsi="Garamond"/>
          <w:iCs/>
          <w:szCs w:val="24"/>
          <w:lang w:val="sq-AL"/>
        </w:rPr>
        <w:t xml:space="preserve">të </w:t>
      </w:r>
      <w:r w:rsidRPr="00D93969">
        <w:rPr>
          <w:rFonts w:ascii="Garamond" w:hAnsi="Garamond"/>
          <w:iCs/>
          <w:szCs w:val="24"/>
          <w:lang w:val="sq-AL"/>
        </w:rPr>
        <w:t>parandaluar përsëritjen e shkeljes (</w:t>
      </w:r>
      <w:r w:rsidRPr="00D93969">
        <w:rPr>
          <w:rFonts w:ascii="Garamond" w:hAnsi="Garamond"/>
          <w:i/>
          <w:szCs w:val="24"/>
          <w:lang w:val="sq-AL"/>
        </w:rPr>
        <w:t>Jussila kundër Finlandës</w:t>
      </w:r>
      <w:r w:rsidRPr="00D93969">
        <w:rPr>
          <w:rFonts w:ascii="Garamond" w:hAnsi="Garamond"/>
          <w:iCs/>
          <w:szCs w:val="24"/>
          <w:lang w:val="sq-AL"/>
        </w:rPr>
        <w:t xml:space="preserve"> [DHM], nr. 73053/01, § 38, GJEDNJ 2006-XIV).</w:t>
      </w:r>
    </w:p>
    <w:p w14:paraId="33CD1C7D" w14:textId="31D96801" w:rsidR="006217B5" w:rsidRPr="00D93969" w:rsidRDefault="006217B5" w:rsidP="006217B5">
      <w:pPr>
        <w:pStyle w:val="ECHRDecisionBody"/>
        <w:ind w:firstLine="284"/>
        <w:jc w:val="both"/>
        <w:rPr>
          <w:rFonts w:ascii="Garamond" w:hAnsi="Garamond"/>
          <w:iCs/>
          <w:szCs w:val="24"/>
          <w:lang w:val="sq-AL"/>
        </w:rPr>
      </w:pPr>
      <w:r w:rsidRPr="00D93969">
        <w:rPr>
          <w:rFonts w:ascii="Garamond" w:hAnsi="Garamond"/>
          <w:iCs/>
          <w:szCs w:val="24"/>
          <w:lang w:val="sq-AL"/>
        </w:rPr>
        <w:t xml:space="preserve">14. Në çështjen konkrete, përveç detyrimeve tatimore të rivlerësuara, autoritetet vendosën ndaj kërkuesit një sërë shtesash dhe penalitetesh (shih paragrafin 2 më sipër), të cilat </w:t>
      </w:r>
      <w:r w:rsidRPr="00D93969">
        <w:rPr>
          <w:rFonts w:ascii="Garamond" w:hAnsi="Garamond"/>
          <w:i/>
          <w:szCs w:val="24"/>
          <w:lang w:val="sq-AL"/>
        </w:rPr>
        <w:t>prima facie</w:t>
      </w:r>
      <w:r w:rsidRPr="00D93969">
        <w:rPr>
          <w:rFonts w:ascii="Garamond" w:hAnsi="Garamond"/>
          <w:iCs/>
          <w:szCs w:val="24"/>
          <w:lang w:val="sq-AL"/>
        </w:rPr>
        <w:t xml:space="preserve"> rezultojnë të kenë një natyrë ndëshkuese. Megjithatë, nuk është e nevojshme të shqyrtohet në detaje kuadri ligjor dhe natyra e atyre shtesave dhe penaliteteve, pasi në çdo rast, ankesa e kërkuesit është e papranueshme për arsyet e paraqitura më poshtë.</w:t>
      </w:r>
    </w:p>
    <w:p w14:paraId="5ECAB2F0" w14:textId="4439161A" w:rsidR="006217B5" w:rsidRPr="00D93969" w:rsidRDefault="006217B5" w:rsidP="006217B5">
      <w:pPr>
        <w:pStyle w:val="ECHRDecisionBody"/>
        <w:ind w:firstLine="284"/>
        <w:jc w:val="both"/>
        <w:rPr>
          <w:rFonts w:ascii="Garamond" w:hAnsi="Garamond"/>
          <w:iCs/>
          <w:szCs w:val="24"/>
          <w:lang w:val="sq-AL"/>
        </w:rPr>
      </w:pPr>
      <w:r w:rsidRPr="00D93969">
        <w:rPr>
          <w:rFonts w:ascii="Garamond" w:hAnsi="Garamond"/>
          <w:iCs/>
          <w:szCs w:val="24"/>
          <w:lang w:val="sq-AL"/>
        </w:rPr>
        <w:t xml:space="preserve">15. E drejta për t’iu drejtuar gjykatës nuk është absolute. Ajo mund të jetë objekt kufizimesh lejuar sipas interpretimit, veçanërisht në lidhje me kushtet e pranueshmërisë së një apelimi. Megjithatë, këto kufizime nuk duhet të kufizojnë ushtrimin e së drejtës në mënyrë të tillë, apo në masë të tillë, që të cenohet thelbi i së drejtës. Ato duhet të ndjekin një qëllim legjitim dhe duhet të ekzistojë një proporcionalitet i arsyeshëm midis mjeteve të zbatuara dhe qëllimit që synohet të arrihet (shih </w:t>
      </w:r>
      <w:r w:rsidRPr="00D93969">
        <w:rPr>
          <w:rFonts w:ascii="Garamond" w:hAnsi="Garamond"/>
          <w:i/>
          <w:szCs w:val="24"/>
          <w:lang w:val="sq-AL"/>
        </w:rPr>
        <w:t>Omar kundër Francës</w:t>
      </w:r>
      <w:r w:rsidRPr="00D93969">
        <w:rPr>
          <w:rFonts w:ascii="Garamond" w:hAnsi="Garamond"/>
          <w:iCs/>
          <w:szCs w:val="24"/>
          <w:lang w:val="sq-AL"/>
        </w:rPr>
        <w:t xml:space="preserve"> ([DHM] nr. 24767/94, § 34, 29 </w:t>
      </w:r>
      <w:r w:rsidR="00D93969">
        <w:rPr>
          <w:rFonts w:ascii="Garamond" w:hAnsi="Garamond"/>
          <w:iCs/>
          <w:szCs w:val="24"/>
          <w:lang w:val="sq-AL"/>
        </w:rPr>
        <w:t>k</w:t>
      </w:r>
      <w:r w:rsidRPr="00D93969">
        <w:rPr>
          <w:rFonts w:ascii="Garamond" w:hAnsi="Garamond"/>
          <w:iCs/>
          <w:szCs w:val="24"/>
          <w:lang w:val="sq-AL"/>
        </w:rPr>
        <w:t xml:space="preserve">orrik 1998). </w:t>
      </w:r>
    </w:p>
    <w:p w14:paraId="213F7EA0" w14:textId="65F0E79A" w:rsidR="006217B5" w:rsidRPr="00D93969" w:rsidRDefault="006217B5" w:rsidP="006217B5">
      <w:pPr>
        <w:pStyle w:val="ECHRDecisionBody"/>
        <w:ind w:firstLine="284"/>
        <w:jc w:val="both"/>
        <w:rPr>
          <w:rFonts w:ascii="Garamond" w:hAnsi="Garamond"/>
          <w:iCs/>
          <w:szCs w:val="24"/>
          <w:lang w:val="sq-AL"/>
        </w:rPr>
      </w:pPr>
      <w:r w:rsidRPr="00D93969">
        <w:rPr>
          <w:rFonts w:ascii="Garamond" w:hAnsi="Garamond"/>
          <w:iCs/>
          <w:szCs w:val="24"/>
          <w:lang w:val="sq-AL"/>
        </w:rPr>
        <w:t xml:space="preserve">16. Në çështjen konkrete, kufizimi ndaj së drejtës </w:t>
      </w:r>
      <w:r w:rsidR="00D93969">
        <w:rPr>
          <w:rFonts w:ascii="Garamond" w:hAnsi="Garamond"/>
          <w:iCs/>
          <w:szCs w:val="24"/>
          <w:lang w:val="sq-AL"/>
        </w:rPr>
        <w:t>s</w:t>
      </w:r>
      <w:r w:rsidRPr="00D93969">
        <w:rPr>
          <w:rFonts w:ascii="Garamond" w:hAnsi="Garamond"/>
          <w:iCs/>
          <w:szCs w:val="24"/>
          <w:lang w:val="sq-AL"/>
        </w:rPr>
        <w:t xml:space="preserve">ë kompanisë kërkuese për t’iu drejtuar gjykatës rridhte prej kërkesës për të parapaguar shumën kryesore të borxhit tatimor të rivlerësuar përpara se të kundërshtohej rivlerësimi i borxhit. Kompania kërkuese nuk kundërshtoi – dhe Gjykata nuk ka arsye të gjykojë – në lidhje me aspektin se kërkesa nuk ndiqte një qëllim legjitim (krahaso me arsyetimin në </w:t>
      </w:r>
      <w:r w:rsidRPr="00D93969">
        <w:rPr>
          <w:rFonts w:ascii="Garamond" w:hAnsi="Garamond"/>
          <w:i/>
          <w:szCs w:val="24"/>
          <w:lang w:val="sq-AL"/>
        </w:rPr>
        <w:lastRenderedPageBreak/>
        <w:t xml:space="preserve">Leduc kundër Francës, </w:t>
      </w:r>
      <w:r w:rsidRPr="00D93969">
        <w:rPr>
          <w:rFonts w:ascii="Garamond" w:hAnsi="Garamond"/>
          <w:iCs/>
          <w:szCs w:val="24"/>
          <w:lang w:val="sq-AL"/>
        </w:rPr>
        <w:t xml:space="preserve">(vendim) [Komiteti], nr. 16382/16, § 28, 17 </w:t>
      </w:r>
      <w:r w:rsidR="00D93969">
        <w:rPr>
          <w:rFonts w:ascii="Garamond" w:hAnsi="Garamond"/>
          <w:iCs/>
          <w:szCs w:val="24"/>
          <w:lang w:val="sq-AL"/>
        </w:rPr>
        <w:t>t</w:t>
      </w:r>
      <w:r w:rsidRPr="00D93969">
        <w:rPr>
          <w:rFonts w:ascii="Garamond" w:hAnsi="Garamond"/>
          <w:iCs/>
          <w:szCs w:val="24"/>
          <w:lang w:val="sq-AL"/>
        </w:rPr>
        <w:t>etor 2017, dhe vendimet e cituar</w:t>
      </w:r>
      <w:r w:rsidR="00D93969">
        <w:rPr>
          <w:rFonts w:ascii="Garamond" w:hAnsi="Garamond"/>
          <w:iCs/>
          <w:szCs w:val="24"/>
          <w:lang w:val="sq-AL"/>
        </w:rPr>
        <w:t>a</w:t>
      </w:r>
      <w:r w:rsidRPr="00D93969">
        <w:rPr>
          <w:rFonts w:ascii="Garamond" w:hAnsi="Garamond"/>
          <w:iCs/>
          <w:szCs w:val="24"/>
          <w:lang w:val="sq-AL"/>
        </w:rPr>
        <w:t xml:space="preserve"> në të).</w:t>
      </w:r>
    </w:p>
    <w:p w14:paraId="1BE98702" w14:textId="29F5433B" w:rsidR="006217B5" w:rsidRPr="00D93969" w:rsidRDefault="006217B5" w:rsidP="006217B5">
      <w:pPr>
        <w:pStyle w:val="ECHRDecisionBody"/>
        <w:ind w:firstLine="284"/>
        <w:jc w:val="both"/>
        <w:rPr>
          <w:rFonts w:ascii="Garamond" w:hAnsi="Garamond"/>
          <w:iCs/>
          <w:szCs w:val="24"/>
          <w:lang w:val="sq-AL"/>
        </w:rPr>
      </w:pPr>
      <w:r w:rsidRPr="00D93969">
        <w:rPr>
          <w:rFonts w:ascii="Garamond" w:hAnsi="Garamond"/>
          <w:iCs/>
          <w:szCs w:val="24"/>
          <w:lang w:val="sq-AL"/>
        </w:rPr>
        <w:t xml:space="preserve">17. Në lidhje me proporcionalitetin, në parashtrimet e saj përpara gjykatave vendase dhe Gjykatës, kompania kërkuese u mbështet vetëm në argumentin se, sipas ligjit vendas, nuk i kërkohej të paguante detyrimet tatimore të rivlerësuara. Megjithatë, kompania kërkuese nuk ishte ankuar përpara autoriteteve vendase se shuma që i kërkohej të parapaguante ishte e tepërt ose se ajo shumë vendoste një barrierë të paarsyeshme dhe ndaluese për të ushtruar të drejtën e saj për t’iu drejtuar gjykatës. Me fjalë të tjera, ajo u ankua për detyrimin për të paguar sipas ligjit vendas dhe jo për pamundësinë e saj për të respektuar atë detyrim (shih, për një situatë të ngjashme, </w:t>
      </w:r>
      <w:r w:rsidRPr="00D93969">
        <w:rPr>
          <w:rFonts w:ascii="Garamond" w:hAnsi="Garamond"/>
          <w:i/>
          <w:szCs w:val="24"/>
          <w:lang w:val="sq-AL"/>
        </w:rPr>
        <w:t xml:space="preserve">Tcaciuc dhe të Tjerë kundër Rumanisë </w:t>
      </w:r>
      <w:r w:rsidRPr="00D93969">
        <w:rPr>
          <w:rFonts w:ascii="Garamond" w:hAnsi="Garamond"/>
          <w:iCs/>
          <w:szCs w:val="24"/>
          <w:lang w:val="sq-AL"/>
        </w:rPr>
        <w:t xml:space="preserve">(vendim) [Komiteti], nr. 43695/05 dhe 5 të tjerë, §28, 4 </w:t>
      </w:r>
      <w:r w:rsidR="00D93969">
        <w:rPr>
          <w:rFonts w:ascii="Garamond" w:hAnsi="Garamond"/>
          <w:iCs/>
          <w:szCs w:val="24"/>
          <w:lang w:val="sq-AL"/>
        </w:rPr>
        <w:t>s</w:t>
      </w:r>
      <w:r w:rsidRPr="00D93969">
        <w:rPr>
          <w:rFonts w:ascii="Garamond" w:hAnsi="Garamond"/>
          <w:iCs/>
          <w:szCs w:val="24"/>
          <w:lang w:val="sq-AL"/>
        </w:rPr>
        <w:t xml:space="preserve">htator 2018, me referenca të tjera; dhe krahaso me </w:t>
      </w:r>
      <w:r w:rsidRPr="00D93969">
        <w:rPr>
          <w:rFonts w:ascii="Garamond" w:hAnsi="Garamond"/>
          <w:i/>
          <w:szCs w:val="24"/>
          <w:lang w:val="sq-AL"/>
        </w:rPr>
        <w:t>Loncke kundër Belgjikës</w:t>
      </w:r>
      <w:r w:rsidRPr="00D93969">
        <w:rPr>
          <w:rFonts w:ascii="Garamond" w:hAnsi="Garamond"/>
          <w:iCs/>
          <w:szCs w:val="24"/>
          <w:lang w:val="sq-AL"/>
        </w:rPr>
        <w:t xml:space="preserve">, nr. 20656/03, § 51, 25 </w:t>
      </w:r>
      <w:r w:rsidR="00D93969">
        <w:rPr>
          <w:rFonts w:ascii="Garamond" w:hAnsi="Garamond"/>
          <w:iCs/>
          <w:szCs w:val="24"/>
          <w:lang w:val="sq-AL"/>
        </w:rPr>
        <w:t>s</w:t>
      </w:r>
      <w:r w:rsidRPr="00D93969">
        <w:rPr>
          <w:rFonts w:ascii="Garamond" w:hAnsi="Garamond"/>
          <w:iCs/>
          <w:szCs w:val="24"/>
          <w:lang w:val="sq-AL"/>
        </w:rPr>
        <w:t xml:space="preserve">htator 2007, ku kërkuesi ngriti një ankesë për të drejtën për t’iu drejtuar gjykatës). Në mungesë të një argumenti për këtë aspekt, Gjykata nuk mund të konstatojë se kufizimi i të drejtës së kompanisë kërkuese për t’iu drejtuar gjykatës është jo proporcional. </w:t>
      </w:r>
    </w:p>
    <w:p w14:paraId="68ED2B1F" w14:textId="7251991F" w:rsidR="006217B5" w:rsidRPr="00D93969" w:rsidRDefault="006217B5" w:rsidP="006217B5">
      <w:pPr>
        <w:pStyle w:val="ECHRDecisionBody"/>
        <w:ind w:firstLine="284"/>
        <w:jc w:val="both"/>
        <w:rPr>
          <w:rFonts w:ascii="Garamond" w:hAnsi="Garamond"/>
          <w:iCs/>
          <w:szCs w:val="24"/>
          <w:lang w:val="sq-AL"/>
        </w:rPr>
      </w:pPr>
      <w:r w:rsidRPr="00D93969">
        <w:rPr>
          <w:rFonts w:ascii="Garamond" w:hAnsi="Garamond"/>
          <w:iCs/>
          <w:szCs w:val="24"/>
          <w:lang w:val="sq-AL"/>
        </w:rPr>
        <w:t>18. Së fundmi, në lidhje me argumentin se autoritetet vendase nuk respektuan ligjin kur vendosën që kërkuesi duhej të parapaguante shumën përkatëse përpara se të paraqiste një apelim ndaj saj, Gjykata nuk konstatonte ndonjë arsye për të gjykuar</w:t>
      </w:r>
      <w:r w:rsidR="002F5D41">
        <w:rPr>
          <w:rFonts w:ascii="Garamond" w:hAnsi="Garamond"/>
          <w:iCs/>
          <w:szCs w:val="24"/>
          <w:lang w:val="sq-AL"/>
        </w:rPr>
        <w:t xml:space="preserve"> </w:t>
      </w:r>
      <w:r w:rsidRPr="00D93969">
        <w:rPr>
          <w:rFonts w:ascii="Garamond" w:hAnsi="Garamond"/>
          <w:iCs/>
          <w:szCs w:val="24"/>
          <w:lang w:val="sq-AL"/>
        </w:rPr>
        <w:t xml:space="preserve">se ai konstatim ishte arbitrar apo qartazi i paarsyeshëm (shih </w:t>
      </w:r>
      <w:r w:rsidRPr="00D93969">
        <w:rPr>
          <w:rFonts w:ascii="Garamond" w:hAnsi="Garamond"/>
          <w:i/>
          <w:szCs w:val="24"/>
          <w:lang w:val="sq-AL"/>
        </w:rPr>
        <w:t xml:space="preserve">Moreira Ferreira kundër Portugalisë (nr. 2) </w:t>
      </w:r>
      <w:r w:rsidRPr="00D93969">
        <w:rPr>
          <w:rFonts w:ascii="Garamond" w:hAnsi="Garamond"/>
          <w:iCs/>
          <w:szCs w:val="24"/>
          <w:lang w:val="sq-AL"/>
        </w:rPr>
        <w:t xml:space="preserve">[DHM], nr. 19867/12, §§83 dhe 85, 11 </w:t>
      </w:r>
      <w:r w:rsidR="002F5D41">
        <w:rPr>
          <w:rFonts w:ascii="Garamond" w:hAnsi="Garamond"/>
          <w:iCs/>
          <w:szCs w:val="24"/>
          <w:lang w:val="sq-AL"/>
        </w:rPr>
        <w:t>k</w:t>
      </w:r>
      <w:r w:rsidRPr="00D93969">
        <w:rPr>
          <w:rFonts w:ascii="Garamond" w:hAnsi="Garamond"/>
          <w:iCs/>
          <w:szCs w:val="24"/>
          <w:lang w:val="sq-AL"/>
        </w:rPr>
        <w:t>orrik 2017).</w:t>
      </w:r>
    </w:p>
    <w:p w14:paraId="6D9C2478" w14:textId="5EB3F009" w:rsidR="006217B5" w:rsidRPr="00D93969" w:rsidRDefault="006217B5" w:rsidP="006217B5">
      <w:pPr>
        <w:pStyle w:val="ECHRDecisionBody"/>
        <w:ind w:firstLine="284"/>
        <w:jc w:val="both"/>
        <w:rPr>
          <w:rFonts w:ascii="Garamond" w:hAnsi="Garamond"/>
          <w:iCs/>
          <w:szCs w:val="24"/>
          <w:lang w:val="sq-AL"/>
        </w:rPr>
      </w:pPr>
      <w:r w:rsidRPr="00D93969">
        <w:rPr>
          <w:rFonts w:ascii="Garamond" w:hAnsi="Garamond"/>
          <w:iCs/>
          <w:szCs w:val="24"/>
          <w:lang w:val="sq-AL"/>
        </w:rPr>
        <w:t>19. Për sa më sipër, veçanërisht duke marrë në konsideratë se kompania kërkuese nuk kishte kundërshtuar aspektin se kufizimi statutor i së drejtës së saj për t’iu drejtuar gjykatës ishte jo proporcional, Gjykata konstaton se çështja nuk paraqet ndonjë shkelje të së drejtës së kompanisë kërkuese për t’iu drejtuar gjykatës</w:t>
      </w:r>
      <w:r w:rsidR="002F5D41">
        <w:rPr>
          <w:rFonts w:ascii="Garamond" w:hAnsi="Garamond"/>
          <w:iCs/>
          <w:szCs w:val="24"/>
          <w:lang w:val="sq-AL"/>
        </w:rPr>
        <w:t>,</w:t>
      </w:r>
      <w:r w:rsidRPr="00D93969">
        <w:rPr>
          <w:rFonts w:ascii="Garamond" w:hAnsi="Garamond"/>
          <w:iCs/>
          <w:szCs w:val="24"/>
          <w:lang w:val="sq-AL"/>
        </w:rPr>
        <w:t xml:space="preserve"> sipas </w:t>
      </w:r>
      <w:r w:rsidR="002F5D41">
        <w:rPr>
          <w:rFonts w:ascii="Garamond" w:hAnsi="Garamond"/>
          <w:iCs/>
          <w:szCs w:val="24"/>
          <w:lang w:val="sq-AL"/>
        </w:rPr>
        <w:t>n</w:t>
      </w:r>
      <w:r w:rsidRPr="00D93969">
        <w:rPr>
          <w:rFonts w:ascii="Garamond" w:hAnsi="Garamond"/>
          <w:iCs/>
          <w:szCs w:val="24"/>
          <w:lang w:val="sq-AL"/>
        </w:rPr>
        <w:t>enit 6 §1 të Konventës.</w:t>
      </w:r>
    </w:p>
    <w:p w14:paraId="1A2FF221" w14:textId="3D1B08A2" w:rsidR="006217B5" w:rsidRPr="00D93969" w:rsidRDefault="006217B5" w:rsidP="006217B5">
      <w:pPr>
        <w:pStyle w:val="ECHRDecisionBody"/>
        <w:ind w:firstLine="284"/>
        <w:jc w:val="both"/>
        <w:rPr>
          <w:rFonts w:ascii="Garamond" w:hAnsi="Garamond"/>
          <w:b/>
          <w:bCs/>
          <w:iCs/>
          <w:szCs w:val="24"/>
          <w:lang w:val="sq-AL"/>
        </w:rPr>
      </w:pPr>
      <w:r w:rsidRPr="00D93969">
        <w:rPr>
          <w:rFonts w:ascii="Garamond" w:hAnsi="Garamond"/>
          <w:b/>
          <w:bCs/>
          <w:iCs/>
          <w:szCs w:val="24"/>
          <w:lang w:val="sq-AL"/>
        </w:rPr>
        <w:t>B. Neni 1</w:t>
      </w:r>
      <w:r w:rsidR="002F5D41">
        <w:rPr>
          <w:rFonts w:ascii="Garamond" w:hAnsi="Garamond"/>
          <w:b/>
          <w:bCs/>
          <w:iCs/>
          <w:szCs w:val="24"/>
          <w:lang w:val="sq-AL"/>
        </w:rPr>
        <w:t>,</w:t>
      </w:r>
      <w:r w:rsidRPr="00D93969">
        <w:rPr>
          <w:rFonts w:ascii="Garamond" w:hAnsi="Garamond"/>
          <w:b/>
          <w:bCs/>
          <w:iCs/>
          <w:szCs w:val="24"/>
          <w:lang w:val="sq-AL"/>
        </w:rPr>
        <w:t xml:space="preserve"> i </w:t>
      </w:r>
      <w:r w:rsidR="002F5D41" w:rsidRPr="00D93969">
        <w:rPr>
          <w:rFonts w:ascii="Garamond" w:hAnsi="Garamond"/>
          <w:b/>
          <w:bCs/>
          <w:iCs/>
          <w:szCs w:val="24"/>
          <w:lang w:val="sq-AL"/>
        </w:rPr>
        <w:t xml:space="preserve">protokollit nr. </w:t>
      </w:r>
      <w:r w:rsidRPr="00D93969">
        <w:rPr>
          <w:rFonts w:ascii="Garamond" w:hAnsi="Garamond"/>
          <w:b/>
          <w:bCs/>
          <w:iCs/>
          <w:szCs w:val="24"/>
          <w:lang w:val="sq-AL"/>
        </w:rPr>
        <w:t>1 të Konventës</w:t>
      </w:r>
    </w:p>
    <w:p w14:paraId="3C688A12" w14:textId="35B85CCE" w:rsidR="006217B5" w:rsidRPr="00D93969" w:rsidRDefault="006217B5" w:rsidP="006217B5">
      <w:pPr>
        <w:pStyle w:val="ECHRDecisionBody"/>
        <w:ind w:firstLine="284"/>
        <w:jc w:val="both"/>
        <w:rPr>
          <w:rFonts w:ascii="Garamond" w:hAnsi="Garamond"/>
          <w:iCs/>
          <w:szCs w:val="24"/>
          <w:lang w:val="sq-AL"/>
        </w:rPr>
      </w:pPr>
      <w:r w:rsidRPr="00D93969">
        <w:rPr>
          <w:rFonts w:ascii="Garamond" w:hAnsi="Garamond"/>
          <w:iCs/>
          <w:szCs w:val="24"/>
          <w:lang w:val="sq-AL"/>
        </w:rPr>
        <w:t>20. Nëse një kërkues nuk respekton kërkesat vendase të pranueshmërisë, kërkesa e tij apo e saj pranë Gjykatës, në parim, duhet të deklarohet e papranueshme për mosshfrytëzim të mjeteve vendase (shih</w:t>
      </w:r>
      <w:r w:rsidR="002F5D41">
        <w:rPr>
          <w:rFonts w:ascii="Garamond" w:hAnsi="Garamond"/>
          <w:iCs/>
          <w:szCs w:val="24"/>
          <w:lang w:val="sq-AL"/>
        </w:rPr>
        <w:t xml:space="preserve"> </w:t>
      </w:r>
      <w:r w:rsidRPr="00D93969">
        <w:rPr>
          <w:rFonts w:ascii="Garamond" w:hAnsi="Garamond"/>
          <w:i/>
          <w:szCs w:val="24"/>
          <w:lang w:val="sq-AL"/>
        </w:rPr>
        <w:t>Vučković dhe të Tjerë kundër Serbisë</w:t>
      </w:r>
      <w:r w:rsidRPr="00D93969">
        <w:rPr>
          <w:rFonts w:ascii="Garamond" w:hAnsi="Garamond"/>
          <w:iCs/>
          <w:szCs w:val="24"/>
          <w:lang w:val="sq-AL"/>
        </w:rPr>
        <w:t xml:space="preserve"> (kundërshtimi paraprak) [DHM], nr. 17153/11 dhe 29 të tjerë, § 72, 25 </w:t>
      </w:r>
      <w:r w:rsidR="002F5D41">
        <w:rPr>
          <w:rFonts w:ascii="Garamond" w:hAnsi="Garamond"/>
          <w:iCs/>
          <w:szCs w:val="24"/>
          <w:lang w:val="sq-AL"/>
        </w:rPr>
        <w:t>m</w:t>
      </w:r>
      <w:r w:rsidRPr="00D93969">
        <w:rPr>
          <w:rFonts w:ascii="Garamond" w:hAnsi="Garamond"/>
          <w:iCs/>
          <w:szCs w:val="24"/>
          <w:lang w:val="sq-AL"/>
        </w:rPr>
        <w:t>ars 2014).</w:t>
      </w:r>
    </w:p>
    <w:p w14:paraId="1185A338" w14:textId="2368D266" w:rsidR="006217B5" w:rsidRPr="00D93969" w:rsidRDefault="006217B5" w:rsidP="006217B5">
      <w:pPr>
        <w:pStyle w:val="ECHRDecisionBody"/>
        <w:ind w:firstLine="284"/>
        <w:jc w:val="both"/>
        <w:rPr>
          <w:rFonts w:ascii="Garamond" w:hAnsi="Garamond"/>
          <w:iCs/>
          <w:szCs w:val="24"/>
          <w:lang w:val="sq-AL"/>
        </w:rPr>
      </w:pPr>
      <w:r w:rsidRPr="00D93969">
        <w:rPr>
          <w:rFonts w:ascii="Garamond" w:hAnsi="Garamond"/>
          <w:iCs/>
          <w:szCs w:val="24"/>
          <w:lang w:val="sq-AL"/>
        </w:rPr>
        <w:t xml:space="preserve">21. Në çështjen konkrete, padia vendase e kërkuesit ishte shpallur e papranueshme, sepse nuk ishin shteruar mjetet administrative përpara se kërkuesi t’i drejtohej gjykatës, dhe ai rezultat nuk ishte kontradiktor me të drejtën e kompanisë kërkuese për t’iu drejtuar gjykatës (shih paragrafin 19 më sipër). Për pasojë, ankesa sipas </w:t>
      </w:r>
      <w:r w:rsidR="002F5D41" w:rsidRPr="00D93969">
        <w:rPr>
          <w:rFonts w:ascii="Garamond" w:hAnsi="Garamond"/>
          <w:iCs/>
          <w:szCs w:val="24"/>
          <w:lang w:val="sq-AL"/>
        </w:rPr>
        <w:t>nenit 1</w:t>
      </w:r>
      <w:r w:rsidR="002F5D41">
        <w:rPr>
          <w:rFonts w:ascii="Garamond" w:hAnsi="Garamond"/>
          <w:iCs/>
          <w:szCs w:val="24"/>
          <w:lang w:val="sq-AL"/>
        </w:rPr>
        <w:t>,</w:t>
      </w:r>
      <w:r w:rsidR="002F5D41" w:rsidRPr="00D93969">
        <w:rPr>
          <w:rFonts w:ascii="Garamond" w:hAnsi="Garamond"/>
          <w:iCs/>
          <w:szCs w:val="24"/>
          <w:lang w:val="sq-AL"/>
        </w:rPr>
        <w:t xml:space="preserve"> të protokollit nr</w:t>
      </w:r>
      <w:r w:rsidRPr="00D93969">
        <w:rPr>
          <w:rFonts w:ascii="Garamond" w:hAnsi="Garamond"/>
          <w:iCs/>
          <w:szCs w:val="24"/>
          <w:lang w:val="sq-AL"/>
        </w:rPr>
        <w:t>. 1 të Konventës</w:t>
      </w:r>
      <w:r w:rsidR="002F5D41">
        <w:rPr>
          <w:rFonts w:ascii="Garamond" w:hAnsi="Garamond"/>
          <w:iCs/>
          <w:szCs w:val="24"/>
          <w:lang w:val="sq-AL"/>
        </w:rPr>
        <w:t>,</w:t>
      </w:r>
      <w:r w:rsidRPr="00D93969">
        <w:rPr>
          <w:rFonts w:ascii="Garamond" w:hAnsi="Garamond"/>
          <w:iCs/>
          <w:szCs w:val="24"/>
          <w:lang w:val="sq-AL"/>
        </w:rPr>
        <w:t xml:space="preserve"> pranë Gjykatës është e papranueshme për mosshterim të mjeteve vendase sipas </w:t>
      </w:r>
      <w:r w:rsidR="002F5D41">
        <w:rPr>
          <w:rFonts w:ascii="Garamond" w:hAnsi="Garamond"/>
          <w:iCs/>
          <w:szCs w:val="24"/>
          <w:lang w:val="sq-AL"/>
        </w:rPr>
        <w:t>n</w:t>
      </w:r>
      <w:r w:rsidRPr="00D93969">
        <w:rPr>
          <w:rFonts w:ascii="Garamond" w:hAnsi="Garamond"/>
          <w:iCs/>
          <w:szCs w:val="24"/>
          <w:lang w:val="sq-AL"/>
        </w:rPr>
        <w:t xml:space="preserve">enit 35 §§ 1 dhe 4 të Konventës. </w:t>
      </w:r>
    </w:p>
    <w:p w14:paraId="4ED3442E" w14:textId="316A9EE0" w:rsidR="006217B5" w:rsidRPr="00D93969" w:rsidRDefault="002F5D41" w:rsidP="006217B5">
      <w:pPr>
        <w:pStyle w:val="ECHRDecisionBody"/>
        <w:ind w:firstLine="284"/>
        <w:jc w:val="both"/>
        <w:rPr>
          <w:rFonts w:ascii="Garamond" w:hAnsi="Garamond"/>
          <w:iCs/>
          <w:szCs w:val="24"/>
          <w:lang w:val="sq-AL"/>
        </w:rPr>
      </w:pPr>
      <w:r w:rsidRPr="00D93969">
        <w:rPr>
          <w:rFonts w:ascii="Garamond" w:hAnsi="Garamond"/>
          <w:iCs/>
          <w:szCs w:val="24"/>
          <w:lang w:val="sq-AL"/>
        </w:rPr>
        <w:t>PËR KËTO ARSYE, GJYKATA, NË MËNYRË UNANIME,</w:t>
      </w:r>
    </w:p>
    <w:p w14:paraId="19EB7254" w14:textId="77777777" w:rsidR="006217B5" w:rsidRPr="00D93969" w:rsidRDefault="006217B5" w:rsidP="006217B5">
      <w:pPr>
        <w:pStyle w:val="ECHRDecisionBody"/>
        <w:ind w:firstLine="284"/>
        <w:jc w:val="both"/>
        <w:rPr>
          <w:rFonts w:ascii="Garamond" w:hAnsi="Garamond"/>
          <w:iCs/>
          <w:szCs w:val="24"/>
          <w:lang w:val="sq-AL"/>
        </w:rPr>
      </w:pPr>
      <w:r w:rsidRPr="00D93969">
        <w:rPr>
          <w:rFonts w:ascii="Garamond" w:hAnsi="Garamond"/>
          <w:i/>
          <w:szCs w:val="24"/>
          <w:lang w:val="sq-AL"/>
        </w:rPr>
        <w:t xml:space="preserve">E shpall </w:t>
      </w:r>
      <w:r w:rsidRPr="00D93969">
        <w:rPr>
          <w:rFonts w:ascii="Garamond" w:hAnsi="Garamond"/>
          <w:iCs/>
          <w:szCs w:val="24"/>
          <w:lang w:val="sq-AL"/>
        </w:rPr>
        <w:t>kërkesën të papranueshme.</w:t>
      </w:r>
    </w:p>
    <w:p w14:paraId="788DBD48" w14:textId="61F415D3" w:rsidR="006217B5" w:rsidRPr="00D93969" w:rsidRDefault="006217B5" w:rsidP="006217B5">
      <w:pPr>
        <w:pStyle w:val="ECHRDecisionBody"/>
        <w:ind w:firstLine="284"/>
        <w:jc w:val="both"/>
        <w:rPr>
          <w:rFonts w:ascii="Garamond" w:hAnsi="Garamond"/>
          <w:iCs/>
          <w:szCs w:val="24"/>
          <w:lang w:val="sq-AL"/>
        </w:rPr>
      </w:pPr>
      <w:r w:rsidRPr="00D93969">
        <w:rPr>
          <w:rFonts w:ascii="Garamond" w:hAnsi="Garamond"/>
          <w:bCs/>
          <w:szCs w:val="24"/>
          <w:lang w:val="sq-AL"/>
        </w:rPr>
        <w:t xml:space="preserve">Hartuar në gjuhën angleze dhe njoftuar me shkrim më datë 20 </w:t>
      </w:r>
      <w:r w:rsidR="002F5D41">
        <w:rPr>
          <w:rFonts w:ascii="Garamond" w:hAnsi="Garamond"/>
          <w:bCs/>
          <w:szCs w:val="24"/>
          <w:lang w:val="sq-AL"/>
        </w:rPr>
        <w:t>k</w:t>
      </w:r>
      <w:r w:rsidRPr="00D93969">
        <w:rPr>
          <w:rFonts w:ascii="Garamond" w:hAnsi="Garamond"/>
          <w:bCs/>
          <w:szCs w:val="24"/>
          <w:lang w:val="sq-AL"/>
        </w:rPr>
        <w:t>orrik 2023.</w:t>
      </w:r>
      <w:r w:rsidR="002F5D41">
        <w:rPr>
          <w:rFonts w:ascii="Garamond" w:hAnsi="Garamond"/>
          <w:bCs/>
          <w:szCs w:val="24"/>
          <w:lang w:val="sq-AL"/>
        </w:rPr>
        <w:t xml:space="preserve"> </w:t>
      </w:r>
    </w:p>
    <w:p w14:paraId="70A358E8" w14:textId="77777777" w:rsidR="006217B5" w:rsidRPr="00D93969" w:rsidRDefault="006217B5" w:rsidP="006217B5">
      <w:pPr>
        <w:pStyle w:val="ECHRPara"/>
        <w:rPr>
          <w:rFonts w:ascii="Garamond" w:hAnsi="Garamond"/>
          <w:bCs/>
          <w:szCs w:val="24"/>
          <w:lang w:val="sq-AL"/>
        </w:rPr>
      </w:pPr>
    </w:p>
    <w:tbl>
      <w:tblPr>
        <w:tblStyle w:val="TableGrid"/>
        <w:tblW w:w="10160" w:type="dxa"/>
        <w:tblInd w:w="6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1"/>
        <w:gridCol w:w="4919"/>
      </w:tblGrid>
      <w:tr w:rsidR="006217B5" w:rsidRPr="00D93969" w14:paraId="70A77878" w14:textId="77777777" w:rsidTr="002F5D41">
        <w:trPr>
          <w:trHeight w:val="277"/>
        </w:trPr>
        <w:tc>
          <w:tcPr>
            <w:tcW w:w="5241" w:type="dxa"/>
          </w:tcPr>
          <w:p w14:paraId="4596AFE5" w14:textId="77777777" w:rsidR="006217B5" w:rsidRPr="00D93969" w:rsidRDefault="006217B5" w:rsidP="006217B5">
            <w:pPr>
              <w:pStyle w:val="ECHRPara"/>
              <w:ind w:firstLine="0"/>
              <w:rPr>
                <w:rFonts w:ascii="Garamond" w:hAnsi="Garamond"/>
                <w:b/>
                <w:bCs/>
                <w:szCs w:val="24"/>
                <w:lang w:val="sq-AL"/>
              </w:rPr>
            </w:pPr>
            <w:r w:rsidRPr="00D93969">
              <w:rPr>
                <w:rFonts w:ascii="Garamond" w:hAnsi="Garamond"/>
                <w:b/>
                <w:bCs/>
                <w:szCs w:val="24"/>
                <w:lang w:val="sq-AL"/>
              </w:rPr>
              <w:t>Olga Chernishova</w:t>
            </w:r>
          </w:p>
        </w:tc>
        <w:tc>
          <w:tcPr>
            <w:tcW w:w="4919" w:type="dxa"/>
          </w:tcPr>
          <w:p w14:paraId="40E6C885" w14:textId="77777777" w:rsidR="006217B5" w:rsidRPr="00D93969" w:rsidRDefault="006217B5" w:rsidP="006217B5">
            <w:pPr>
              <w:pStyle w:val="ECHRPara"/>
              <w:ind w:firstLine="0"/>
              <w:rPr>
                <w:rFonts w:ascii="Garamond" w:hAnsi="Garamond"/>
                <w:b/>
                <w:bCs/>
                <w:szCs w:val="24"/>
                <w:lang w:val="sq-AL"/>
              </w:rPr>
            </w:pPr>
            <w:r w:rsidRPr="00D93969">
              <w:rPr>
                <w:rFonts w:ascii="Garamond" w:hAnsi="Garamond"/>
                <w:b/>
                <w:bCs/>
                <w:szCs w:val="24"/>
                <w:lang w:val="sq-AL"/>
              </w:rPr>
              <w:t>Georgios A. Serghides</w:t>
            </w:r>
          </w:p>
        </w:tc>
      </w:tr>
      <w:tr w:rsidR="006217B5" w:rsidRPr="00D93969" w14:paraId="182352C3" w14:textId="77777777" w:rsidTr="002F5D41">
        <w:trPr>
          <w:trHeight w:val="277"/>
        </w:trPr>
        <w:tc>
          <w:tcPr>
            <w:tcW w:w="5241" w:type="dxa"/>
          </w:tcPr>
          <w:p w14:paraId="63C591D9" w14:textId="77777777" w:rsidR="006217B5" w:rsidRPr="00D93969" w:rsidRDefault="006217B5" w:rsidP="006217B5">
            <w:pPr>
              <w:pStyle w:val="ECHRPara"/>
              <w:ind w:firstLine="0"/>
              <w:rPr>
                <w:rFonts w:ascii="Garamond" w:hAnsi="Garamond"/>
                <w:bCs/>
                <w:szCs w:val="24"/>
                <w:lang w:val="sq-AL"/>
              </w:rPr>
            </w:pPr>
            <w:r w:rsidRPr="00D93969">
              <w:rPr>
                <w:rFonts w:ascii="Garamond" w:hAnsi="Garamond"/>
                <w:bCs/>
                <w:szCs w:val="24"/>
                <w:lang w:val="sq-AL"/>
              </w:rPr>
              <w:t>ZËVENDËSSEKRETARE</w:t>
            </w:r>
          </w:p>
        </w:tc>
        <w:tc>
          <w:tcPr>
            <w:tcW w:w="4919" w:type="dxa"/>
          </w:tcPr>
          <w:p w14:paraId="2D790E38" w14:textId="77777777" w:rsidR="006217B5" w:rsidRPr="00D93969" w:rsidRDefault="006217B5" w:rsidP="006217B5">
            <w:pPr>
              <w:pStyle w:val="ECHRPara"/>
              <w:ind w:firstLine="0"/>
              <w:rPr>
                <w:rFonts w:ascii="Garamond" w:hAnsi="Garamond"/>
                <w:bCs/>
                <w:szCs w:val="24"/>
                <w:lang w:val="sq-AL"/>
              </w:rPr>
            </w:pPr>
            <w:r w:rsidRPr="00D93969">
              <w:rPr>
                <w:rFonts w:ascii="Garamond" w:hAnsi="Garamond"/>
                <w:bCs/>
                <w:szCs w:val="24"/>
                <w:lang w:val="sq-AL"/>
              </w:rPr>
              <w:t>KRYETAR</w:t>
            </w:r>
          </w:p>
        </w:tc>
      </w:tr>
    </w:tbl>
    <w:p w14:paraId="1E2AC335" w14:textId="77777777" w:rsidR="006217B5" w:rsidRPr="00D93969" w:rsidRDefault="006217B5" w:rsidP="006217B5">
      <w:pPr>
        <w:pStyle w:val="ECHRPara"/>
        <w:rPr>
          <w:rFonts w:ascii="Garamond" w:hAnsi="Garamond"/>
          <w:bCs/>
          <w:szCs w:val="24"/>
          <w:lang w:val="sq-AL"/>
        </w:rPr>
      </w:pPr>
      <w:r w:rsidRPr="00D93969">
        <w:rPr>
          <w:rFonts w:ascii="Garamond" w:hAnsi="Garamond"/>
          <w:bCs/>
          <w:szCs w:val="24"/>
          <w:lang w:val="sq-AL"/>
        </w:rPr>
        <w:t xml:space="preserve"> </w:t>
      </w:r>
    </w:p>
    <w:p w14:paraId="698F7CDA" w14:textId="77777777" w:rsidR="00B56218" w:rsidRPr="00D93969" w:rsidRDefault="00B56218" w:rsidP="006217B5"/>
    <w:sectPr w:rsidR="00B56218" w:rsidRPr="00D93969">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A7D328F" w14:textId="77777777" w:rsidR="002254C0" w:rsidRDefault="002254C0" w:rsidP="0090793A">
      <w:pPr>
        <w:spacing w:after="0" w:line="240" w:lineRule="auto"/>
      </w:pPr>
      <w:r>
        <w:separator/>
      </w:r>
    </w:p>
  </w:endnote>
  <w:endnote w:type="continuationSeparator" w:id="0">
    <w:p w14:paraId="2456AFF4" w14:textId="77777777" w:rsidR="002254C0" w:rsidRDefault="002254C0" w:rsidP="0090793A">
      <w:pPr>
        <w:spacing w:after="0" w:line="240" w:lineRule="auto"/>
      </w:pPr>
      <w:r>
        <w:continuationSeparator/>
      </w:r>
    </w:p>
  </w:endnote>
  <w:endnote w:type="continuationNotice" w:id="1">
    <w:p w14:paraId="695371E4" w14:textId="77777777" w:rsidR="002254C0" w:rsidRDefault="002254C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A1A7F33" w14:textId="77777777" w:rsidR="002254C0" w:rsidRDefault="002254C0" w:rsidP="0090793A">
      <w:pPr>
        <w:spacing w:after="0" w:line="240" w:lineRule="auto"/>
      </w:pPr>
      <w:r>
        <w:separator/>
      </w:r>
    </w:p>
  </w:footnote>
  <w:footnote w:type="continuationSeparator" w:id="0">
    <w:p w14:paraId="4A67351D" w14:textId="77777777" w:rsidR="002254C0" w:rsidRDefault="002254C0" w:rsidP="0090793A">
      <w:pPr>
        <w:spacing w:after="0" w:line="240" w:lineRule="auto"/>
      </w:pPr>
      <w:r>
        <w:continuationSeparator/>
      </w:r>
    </w:p>
  </w:footnote>
  <w:footnote w:type="continuationNotice" w:id="1">
    <w:p w14:paraId="28F258E4" w14:textId="77777777" w:rsidR="002254C0" w:rsidRDefault="002254C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5F474E" w14:textId="77777777" w:rsidR="002254C0" w:rsidRDefault="002254C0">
    <w:pPr>
      <w:pStyle w:val="Header"/>
    </w:pPr>
  </w:p>
  <w:p w14:paraId="763F38C6" w14:textId="77777777" w:rsidR="002254C0" w:rsidRDefault="002254C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0C98"/>
    <w:rsid w:val="00012745"/>
    <w:rsid w:val="00031098"/>
    <w:rsid w:val="000427A6"/>
    <w:rsid w:val="000458EB"/>
    <w:rsid w:val="0006026E"/>
    <w:rsid w:val="00075D23"/>
    <w:rsid w:val="00090D05"/>
    <w:rsid w:val="0009171B"/>
    <w:rsid w:val="000956ED"/>
    <w:rsid w:val="000A39B7"/>
    <w:rsid w:val="000A77D9"/>
    <w:rsid w:val="000C3D4A"/>
    <w:rsid w:val="000C55A5"/>
    <w:rsid w:val="000D7F01"/>
    <w:rsid w:val="001149C8"/>
    <w:rsid w:val="00121461"/>
    <w:rsid w:val="0012538B"/>
    <w:rsid w:val="001268DB"/>
    <w:rsid w:val="00135329"/>
    <w:rsid w:val="0014112D"/>
    <w:rsid w:val="00141B18"/>
    <w:rsid w:val="00142C2B"/>
    <w:rsid w:val="00160647"/>
    <w:rsid w:val="00160E68"/>
    <w:rsid w:val="00167FB5"/>
    <w:rsid w:val="00175424"/>
    <w:rsid w:val="00183018"/>
    <w:rsid w:val="00190C3D"/>
    <w:rsid w:val="001944EB"/>
    <w:rsid w:val="0019635C"/>
    <w:rsid w:val="001A2195"/>
    <w:rsid w:val="001C0519"/>
    <w:rsid w:val="001D2ABC"/>
    <w:rsid w:val="001D2F1F"/>
    <w:rsid w:val="001D3A2F"/>
    <w:rsid w:val="001E79ED"/>
    <w:rsid w:val="00204F93"/>
    <w:rsid w:val="00213728"/>
    <w:rsid w:val="002254C0"/>
    <w:rsid w:val="00234715"/>
    <w:rsid w:val="00252C2A"/>
    <w:rsid w:val="00257E0A"/>
    <w:rsid w:val="00263D3A"/>
    <w:rsid w:val="002821F2"/>
    <w:rsid w:val="002833E2"/>
    <w:rsid w:val="002929DC"/>
    <w:rsid w:val="002A23A7"/>
    <w:rsid w:val="002B1C09"/>
    <w:rsid w:val="002B7B82"/>
    <w:rsid w:val="002C3DC5"/>
    <w:rsid w:val="002C7879"/>
    <w:rsid w:val="002D71C7"/>
    <w:rsid w:val="002E2CDE"/>
    <w:rsid w:val="002F0DDD"/>
    <w:rsid w:val="002F5D41"/>
    <w:rsid w:val="003346E6"/>
    <w:rsid w:val="00334BDB"/>
    <w:rsid w:val="00336C31"/>
    <w:rsid w:val="00345F96"/>
    <w:rsid w:val="0034608A"/>
    <w:rsid w:val="00354F7A"/>
    <w:rsid w:val="003661C2"/>
    <w:rsid w:val="003673CA"/>
    <w:rsid w:val="00373E4A"/>
    <w:rsid w:val="00375DE4"/>
    <w:rsid w:val="00390D00"/>
    <w:rsid w:val="003956A3"/>
    <w:rsid w:val="00397301"/>
    <w:rsid w:val="003A0634"/>
    <w:rsid w:val="003A40CD"/>
    <w:rsid w:val="003A489E"/>
    <w:rsid w:val="003A6CF4"/>
    <w:rsid w:val="003B4312"/>
    <w:rsid w:val="003B57C7"/>
    <w:rsid w:val="003D12F1"/>
    <w:rsid w:val="003D54AD"/>
    <w:rsid w:val="003D693A"/>
    <w:rsid w:val="003E0134"/>
    <w:rsid w:val="003E6C19"/>
    <w:rsid w:val="00421355"/>
    <w:rsid w:val="00425784"/>
    <w:rsid w:val="00441236"/>
    <w:rsid w:val="004518B7"/>
    <w:rsid w:val="00452990"/>
    <w:rsid w:val="004604CD"/>
    <w:rsid w:val="00462CFB"/>
    <w:rsid w:val="004840E1"/>
    <w:rsid w:val="00486681"/>
    <w:rsid w:val="00490071"/>
    <w:rsid w:val="004948FB"/>
    <w:rsid w:val="00497200"/>
    <w:rsid w:val="004A2477"/>
    <w:rsid w:val="004C0C4E"/>
    <w:rsid w:val="004C25A2"/>
    <w:rsid w:val="004C3178"/>
    <w:rsid w:val="004C691E"/>
    <w:rsid w:val="004D4267"/>
    <w:rsid w:val="00504AE4"/>
    <w:rsid w:val="00505829"/>
    <w:rsid w:val="00523B5F"/>
    <w:rsid w:val="005305D6"/>
    <w:rsid w:val="00551CD1"/>
    <w:rsid w:val="0055542F"/>
    <w:rsid w:val="00567F21"/>
    <w:rsid w:val="00571959"/>
    <w:rsid w:val="00571B80"/>
    <w:rsid w:val="0058238F"/>
    <w:rsid w:val="00592C00"/>
    <w:rsid w:val="00597694"/>
    <w:rsid w:val="005B0B35"/>
    <w:rsid w:val="005B46A4"/>
    <w:rsid w:val="005B5967"/>
    <w:rsid w:val="005B7AE1"/>
    <w:rsid w:val="005C301C"/>
    <w:rsid w:val="005E27BA"/>
    <w:rsid w:val="005E7645"/>
    <w:rsid w:val="005F5040"/>
    <w:rsid w:val="006032E2"/>
    <w:rsid w:val="00614915"/>
    <w:rsid w:val="00615BAF"/>
    <w:rsid w:val="0061609B"/>
    <w:rsid w:val="006217B5"/>
    <w:rsid w:val="00623E07"/>
    <w:rsid w:val="00632A0C"/>
    <w:rsid w:val="006379E9"/>
    <w:rsid w:val="006425E0"/>
    <w:rsid w:val="00666247"/>
    <w:rsid w:val="00677AD4"/>
    <w:rsid w:val="00681454"/>
    <w:rsid w:val="00687BAF"/>
    <w:rsid w:val="006945EE"/>
    <w:rsid w:val="006A512D"/>
    <w:rsid w:val="006C5CF7"/>
    <w:rsid w:val="006D77AF"/>
    <w:rsid w:val="006E6768"/>
    <w:rsid w:val="00710CF1"/>
    <w:rsid w:val="0072369E"/>
    <w:rsid w:val="0073468F"/>
    <w:rsid w:val="00773738"/>
    <w:rsid w:val="0077527A"/>
    <w:rsid w:val="00775B4C"/>
    <w:rsid w:val="007A0E53"/>
    <w:rsid w:val="007A6FEA"/>
    <w:rsid w:val="007C2D06"/>
    <w:rsid w:val="007D20DA"/>
    <w:rsid w:val="007D4E26"/>
    <w:rsid w:val="007E4822"/>
    <w:rsid w:val="007E4A74"/>
    <w:rsid w:val="007F1F00"/>
    <w:rsid w:val="007F20FF"/>
    <w:rsid w:val="0080141E"/>
    <w:rsid w:val="00801642"/>
    <w:rsid w:val="008037E4"/>
    <w:rsid w:val="00804031"/>
    <w:rsid w:val="008044AD"/>
    <w:rsid w:val="00824C5B"/>
    <w:rsid w:val="00860EC6"/>
    <w:rsid w:val="00867646"/>
    <w:rsid w:val="0087040E"/>
    <w:rsid w:val="00886A96"/>
    <w:rsid w:val="00893102"/>
    <w:rsid w:val="008A2062"/>
    <w:rsid w:val="008A7BB6"/>
    <w:rsid w:val="008C2627"/>
    <w:rsid w:val="008D0BB7"/>
    <w:rsid w:val="008D0DF7"/>
    <w:rsid w:val="008D2BEA"/>
    <w:rsid w:val="008E44CB"/>
    <w:rsid w:val="0090793A"/>
    <w:rsid w:val="00915403"/>
    <w:rsid w:val="00943A32"/>
    <w:rsid w:val="00950BCD"/>
    <w:rsid w:val="009547F5"/>
    <w:rsid w:val="00956DBD"/>
    <w:rsid w:val="00983036"/>
    <w:rsid w:val="0098745D"/>
    <w:rsid w:val="009954E6"/>
    <w:rsid w:val="009B2B45"/>
    <w:rsid w:val="009E40DB"/>
    <w:rsid w:val="009E4E0D"/>
    <w:rsid w:val="00A0127D"/>
    <w:rsid w:val="00A0283C"/>
    <w:rsid w:val="00A20C98"/>
    <w:rsid w:val="00A24CF9"/>
    <w:rsid w:val="00A25B9A"/>
    <w:rsid w:val="00A30BA2"/>
    <w:rsid w:val="00A32E87"/>
    <w:rsid w:val="00A4586F"/>
    <w:rsid w:val="00A46623"/>
    <w:rsid w:val="00A52EE5"/>
    <w:rsid w:val="00A6527C"/>
    <w:rsid w:val="00A72D95"/>
    <w:rsid w:val="00A7746B"/>
    <w:rsid w:val="00A925C9"/>
    <w:rsid w:val="00AA2B7C"/>
    <w:rsid w:val="00AA3CC7"/>
    <w:rsid w:val="00AA47BF"/>
    <w:rsid w:val="00AA6249"/>
    <w:rsid w:val="00AC1022"/>
    <w:rsid w:val="00AC7415"/>
    <w:rsid w:val="00AC7C81"/>
    <w:rsid w:val="00AD2604"/>
    <w:rsid w:val="00AD3E46"/>
    <w:rsid w:val="00AD7C20"/>
    <w:rsid w:val="00B034C3"/>
    <w:rsid w:val="00B11BC7"/>
    <w:rsid w:val="00B1293F"/>
    <w:rsid w:val="00B33946"/>
    <w:rsid w:val="00B416C3"/>
    <w:rsid w:val="00B4296B"/>
    <w:rsid w:val="00B56218"/>
    <w:rsid w:val="00B63506"/>
    <w:rsid w:val="00B70659"/>
    <w:rsid w:val="00B71250"/>
    <w:rsid w:val="00B7328E"/>
    <w:rsid w:val="00B76F3D"/>
    <w:rsid w:val="00B848A9"/>
    <w:rsid w:val="00B86D15"/>
    <w:rsid w:val="00BA244C"/>
    <w:rsid w:val="00BA2E85"/>
    <w:rsid w:val="00BB55ED"/>
    <w:rsid w:val="00BD0463"/>
    <w:rsid w:val="00BD0BEA"/>
    <w:rsid w:val="00BD36DF"/>
    <w:rsid w:val="00BE3604"/>
    <w:rsid w:val="00BE4E91"/>
    <w:rsid w:val="00BF4D86"/>
    <w:rsid w:val="00C042A6"/>
    <w:rsid w:val="00C0464F"/>
    <w:rsid w:val="00C07057"/>
    <w:rsid w:val="00C1476F"/>
    <w:rsid w:val="00C20549"/>
    <w:rsid w:val="00C30D0F"/>
    <w:rsid w:val="00C3572F"/>
    <w:rsid w:val="00C45955"/>
    <w:rsid w:val="00C5044F"/>
    <w:rsid w:val="00C5501C"/>
    <w:rsid w:val="00C634C1"/>
    <w:rsid w:val="00C71BED"/>
    <w:rsid w:val="00C72247"/>
    <w:rsid w:val="00C87472"/>
    <w:rsid w:val="00CA3579"/>
    <w:rsid w:val="00CA67DB"/>
    <w:rsid w:val="00CA70A2"/>
    <w:rsid w:val="00CB54DF"/>
    <w:rsid w:val="00CC12D4"/>
    <w:rsid w:val="00CD3537"/>
    <w:rsid w:val="00CE2A8A"/>
    <w:rsid w:val="00CE5249"/>
    <w:rsid w:val="00CF257C"/>
    <w:rsid w:val="00CF6387"/>
    <w:rsid w:val="00D12A76"/>
    <w:rsid w:val="00D20D88"/>
    <w:rsid w:val="00D63ABD"/>
    <w:rsid w:val="00D664EF"/>
    <w:rsid w:val="00D67248"/>
    <w:rsid w:val="00D70F22"/>
    <w:rsid w:val="00D77F86"/>
    <w:rsid w:val="00D8097B"/>
    <w:rsid w:val="00D93969"/>
    <w:rsid w:val="00DA0E6B"/>
    <w:rsid w:val="00DA3185"/>
    <w:rsid w:val="00DA4EAA"/>
    <w:rsid w:val="00DB1844"/>
    <w:rsid w:val="00DE03AC"/>
    <w:rsid w:val="00E04762"/>
    <w:rsid w:val="00E05E21"/>
    <w:rsid w:val="00E24542"/>
    <w:rsid w:val="00E410D0"/>
    <w:rsid w:val="00E4133D"/>
    <w:rsid w:val="00E458A5"/>
    <w:rsid w:val="00E56153"/>
    <w:rsid w:val="00E61BC2"/>
    <w:rsid w:val="00E702BD"/>
    <w:rsid w:val="00E71C53"/>
    <w:rsid w:val="00E73692"/>
    <w:rsid w:val="00E90C21"/>
    <w:rsid w:val="00E944F8"/>
    <w:rsid w:val="00EC5ECD"/>
    <w:rsid w:val="00ED307F"/>
    <w:rsid w:val="00ED57FF"/>
    <w:rsid w:val="00EE0624"/>
    <w:rsid w:val="00EE4477"/>
    <w:rsid w:val="00EF1574"/>
    <w:rsid w:val="00EF5D20"/>
    <w:rsid w:val="00F50B83"/>
    <w:rsid w:val="00F51CB4"/>
    <w:rsid w:val="00F52037"/>
    <w:rsid w:val="00F56A94"/>
    <w:rsid w:val="00F67838"/>
    <w:rsid w:val="00F67E1E"/>
    <w:rsid w:val="00F9053B"/>
    <w:rsid w:val="00FB2D9C"/>
    <w:rsid w:val="00FC3948"/>
    <w:rsid w:val="00FC51DA"/>
    <w:rsid w:val="00FC5391"/>
    <w:rsid w:val="00FC6CAA"/>
    <w:rsid w:val="00FD48B1"/>
    <w:rsid w:val="00FD7CC4"/>
    <w:rsid w:val="00FE24E7"/>
    <w:rsid w:val="00FE32FE"/>
    <w:rsid w:val="00FE408A"/>
    <w:rsid w:val="00FE5DBE"/>
    <w:rsid w:val="00FE5DFC"/>
    <w:rsid w:val="00FF12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70CE8B"/>
  <w15:chartTrackingRefBased/>
  <w15:docId w15:val="{87B59054-8908-4E11-9956-B845FFA37B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MS Mincho"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217B5"/>
    <w:pPr>
      <w:tabs>
        <w:tab w:val="center" w:pos="4513"/>
        <w:tab w:val="right" w:pos="9026"/>
      </w:tabs>
      <w:spacing w:after="0" w:line="240" w:lineRule="auto"/>
    </w:pPr>
    <w:rPr>
      <w:rFonts w:ascii="Calibri" w:eastAsia="Times New Roman" w:hAnsi="Calibri" w:cs="Times New Roman"/>
      <w:sz w:val="20"/>
      <w:szCs w:val="20"/>
      <w:lang w:val="en-GB" w:eastAsia="en-GB"/>
    </w:rPr>
  </w:style>
  <w:style w:type="character" w:customStyle="1" w:styleId="HeaderChar">
    <w:name w:val="Header Char"/>
    <w:basedOn w:val="DefaultParagraphFont"/>
    <w:link w:val="Header"/>
    <w:uiPriority w:val="99"/>
    <w:rsid w:val="006217B5"/>
    <w:rPr>
      <w:rFonts w:ascii="Calibri" w:eastAsia="Times New Roman" w:hAnsi="Calibri" w:cs="Times New Roman"/>
      <w:sz w:val="20"/>
      <w:szCs w:val="20"/>
      <w:lang w:val="en-GB" w:eastAsia="en-GB"/>
    </w:rPr>
  </w:style>
  <w:style w:type="paragraph" w:styleId="NoSpacing">
    <w:name w:val="No Spacing"/>
    <w:link w:val="NoSpacingChar"/>
    <w:uiPriority w:val="1"/>
    <w:qFormat/>
    <w:rsid w:val="006217B5"/>
    <w:pPr>
      <w:spacing w:after="0" w:line="240" w:lineRule="auto"/>
    </w:pPr>
    <w:rPr>
      <w:rFonts w:ascii="Calibri" w:eastAsia="Times New Roman" w:hAnsi="Calibri" w:cs="Times New Roman"/>
    </w:rPr>
  </w:style>
  <w:style w:type="table" w:styleId="TableGrid">
    <w:name w:val="Table Grid"/>
    <w:basedOn w:val="TableNormal"/>
    <w:uiPriority w:val="59"/>
    <w:rsid w:val="006217B5"/>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oSpacingChar">
    <w:name w:val="No Spacing Char"/>
    <w:link w:val="NoSpacing"/>
    <w:uiPriority w:val="1"/>
    <w:rsid w:val="006217B5"/>
    <w:rPr>
      <w:rFonts w:ascii="Calibri" w:eastAsia="Times New Roman" w:hAnsi="Calibri" w:cs="Times New Roman"/>
    </w:rPr>
  </w:style>
  <w:style w:type="paragraph" w:customStyle="1" w:styleId="ECHRDecisionBody">
    <w:name w:val="ECHR_Decision_Body"/>
    <w:aliases w:val="Ju_Judges"/>
    <w:basedOn w:val="Normal"/>
    <w:uiPriority w:val="11"/>
    <w:qFormat/>
    <w:rsid w:val="006217B5"/>
    <w:pPr>
      <w:tabs>
        <w:tab w:val="left" w:pos="567"/>
        <w:tab w:val="left" w:pos="1134"/>
      </w:tabs>
      <w:spacing w:after="0" w:line="240" w:lineRule="auto"/>
    </w:pPr>
    <w:rPr>
      <w:rFonts w:ascii="Times New Roman" w:hAnsi="Times New Roman" w:cs="Times New Roman"/>
      <w:sz w:val="24"/>
      <w:lang w:val="en-GB"/>
    </w:rPr>
  </w:style>
  <w:style w:type="paragraph" w:customStyle="1" w:styleId="ECHRPara">
    <w:name w:val="ECHR_Para"/>
    <w:aliases w:val="Ju_Para"/>
    <w:basedOn w:val="Normal"/>
    <w:link w:val="ECHRParaChar"/>
    <w:uiPriority w:val="12"/>
    <w:qFormat/>
    <w:rsid w:val="006217B5"/>
    <w:pPr>
      <w:spacing w:after="0" w:line="240" w:lineRule="auto"/>
      <w:ind w:firstLine="284"/>
      <w:jc w:val="both"/>
    </w:pPr>
    <w:rPr>
      <w:rFonts w:ascii="Times New Roman" w:hAnsi="Times New Roman" w:cs="Times New Roman"/>
      <w:sz w:val="24"/>
      <w:szCs w:val="20"/>
      <w:lang w:val="en-GB" w:eastAsia="x-none"/>
    </w:rPr>
  </w:style>
  <w:style w:type="character" w:customStyle="1" w:styleId="ECHRParaChar">
    <w:name w:val="ECHR_Para Char"/>
    <w:aliases w:val="Ju_Para Char"/>
    <w:link w:val="ECHRPara"/>
    <w:uiPriority w:val="12"/>
    <w:rsid w:val="006217B5"/>
    <w:rPr>
      <w:rFonts w:ascii="Times New Roman" w:hAnsi="Times New Roman" w:cs="Times New Roman"/>
      <w:sz w:val="24"/>
      <w:szCs w:val="20"/>
      <w:lang w:val="en-GB" w:eastAsia="x-none"/>
    </w:rPr>
  </w:style>
  <w:style w:type="paragraph" w:styleId="Footer">
    <w:name w:val="footer"/>
    <w:basedOn w:val="Normal"/>
    <w:link w:val="FooterChar"/>
    <w:uiPriority w:val="99"/>
    <w:semiHidden/>
    <w:unhideWhenUsed/>
    <w:rsid w:val="0090793A"/>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9079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425FBEDC8C4E4404A5A75B48697A726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65320-09</Nr_x002e__x0020_akti>
    <Data_x0020_e_x0020_Krijimit xmlns="0e656187-b300-4fb0-8bf4-3a50f872073c">2023-08-17T09:21:39Z</Data_x0020_e_x0020_Krijimit>
    <URL xmlns="0e656187-b300-4fb0-8bf4-3a50f872073c" xsi:nil="true"/>
    <Institucion_x0020_Pergjegjes xmlns="0e656187-b300-4fb0-8bf4-3a50f872073c">http://qbz.gov.al/resource/authority/legal-institution/15|gjykata-europiane-e-te-drejtave-te-njeriut</Institucion_x0020_Pergjegjes>
    <Lloji_x0020_i_x0020_aktit xmlns="0e656187-b300-4fb0-8bf4-3a50f872073c">Akt bazë</Lloji_x0020_i_x0020_aktit>
    <Tipi_x0020_i_x0020_aktit xmlns="0e656187-b300-4fb0-8bf4-3a50f872073c">http://qbz.gov.al/resource/authority/document-type/vendim</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2023-08-16T22:00:00Z</Date_x0020_protokolli>
    <Titulli xmlns="0e656187-b300-4fb0-8bf4-3a50f872073c">Çështja "Dea 7.CO kundër Shqipërisë", kërkesa nr.65320/09</Titulli>
    <Modifikuesi xmlns="0e656187-b300-4fb0-8bf4-3a50f872073c">valjeta.kaftalli</Modifikuesi>
    <Nr_x002e__x0020_prot_x0020_QBZ xmlns="0e656187-b300-4fb0-8bf4-3a50f872073c">1277/1</Nr_x002e__x0020_prot_x0020_QBZ>
    <Data_x0020_e_x0020_Modifikimit xmlns="0e656187-b300-4fb0-8bf4-3a50f872073c">2023-08-21T08:47:16Z</Data_x0020_e_x0020_Modifikimit>
    <Dekretuar xmlns="0e656187-b300-4fb0-8bf4-3a50f872073c">false</Dekretuar>
    <Data xmlns="0e656187-b300-4fb0-8bf4-3a50f872073c">2023-07-19T22:00:00Z</Data>
    <Nr_x002e__x0020_protokolli_x0020_i_x0020_aktit xmlns="0e656187-b300-4fb0-8bf4-3a50f872073c">4965/1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Props1.xml><?xml version="1.0" encoding="utf-8"?>
<ds:datastoreItem xmlns:ds="http://schemas.openxmlformats.org/officeDocument/2006/customXml" ds:itemID="{189049EE-8BC4-4B96-9061-F2E346A76A79}">
  <ds:schemaRefs>
    <ds:schemaRef ds:uri="http://schemas.microsoft.com/sharepoint/v3/contenttype/forms"/>
  </ds:schemaRefs>
</ds:datastoreItem>
</file>

<file path=customXml/itemProps2.xml><?xml version="1.0" encoding="utf-8"?>
<ds:datastoreItem xmlns:ds="http://schemas.openxmlformats.org/officeDocument/2006/customXml" ds:itemID="{D23971F4-C4DF-4FF6-AB56-9E404E70F7D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93E9CBC0-3C1A-4C77-B122-97F96C6108A5}">
  <ds:schemaRefs>
    <ds:schemaRef ds:uri="http://schemas.microsoft.com/office/2006/documentManagement/types"/>
    <ds:schemaRef ds:uri="http://purl.org/dc/terms/"/>
    <ds:schemaRef ds:uri="http://purl.org/dc/elements/1.1/"/>
    <ds:schemaRef ds:uri="http://www.w3.org/XML/1998/namespace"/>
    <ds:schemaRef ds:uri="http://purl.org/dc/dcmitype/"/>
    <ds:schemaRef ds:uri="http://schemas.openxmlformats.org/package/2006/metadata/core-properties"/>
    <ds:schemaRef ds:uri="0e656187-b300-4fb0-8bf4-3a50f872073c"/>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3</Pages>
  <Words>1486</Words>
  <Characters>8474</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Çështja "Dea 7 CO kundër Shqipërisë"</vt:lpstr>
    </vt:vector>
  </TitlesOfParts>
  <Company/>
  <LinksUpToDate>false</LinksUpToDate>
  <CharactersWithSpaces>9941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Çështja "Dea 7 CO kundër Shqipërisë"</dc:title>
  <dc:creator>Entela Suli</dc:creator>
  <cp:lastModifiedBy>Fjora Cahani</cp:lastModifiedBy>
  <cp:revision>9</cp:revision>
  <dcterms:created xsi:type="dcterms:W3CDTF">2023-08-17T09:24:00Z</dcterms:created>
  <dcterms:modified xsi:type="dcterms:W3CDTF">2023-08-21T10:25:00Z</dcterms:modified>
</cp:coreProperties>
</file>