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4FC48" w14:textId="37341EC8" w:rsidR="00211C60" w:rsidRPr="007C1C8B" w:rsidRDefault="00211C60" w:rsidP="00692AE6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C1C8B">
        <w:rPr>
          <w:rFonts w:ascii="Garamond" w:hAnsi="Garamond"/>
          <w:sz w:val="24"/>
          <w:szCs w:val="24"/>
          <w:lang w:val="sq-AL"/>
        </w:rPr>
        <w:t>GJYKATA</w:t>
      </w:r>
      <w:r w:rsidR="00692AE6" w:rsidRPr="007C1C8B">
        <w:rPr>
          <w:rFonts w:ascii="Garamond" w:hAnsi="Garamond"/>
          <w:sz w:val="24"/>
          <w:szCs w:val="24"/>
          <w:lang w:val="sq-AL"/>
        </w:rPr>
        <w:t xml:space="preserve"> </w:t>
      </w:r>
      <w:r w:rsidRPr="007C1C8B">
        <w:rPr>
          <w:rFonts w:ascii="Garamond" w:hAnsi="Garamond"/>
          <w:sz w:val="24"/>
          <w:szCs w:val="24"/>
          <w:lang w:val="sq-AL"/>
        </w:rPr>
        <w:t>EVROPIANE</w:t>
      </w:r>
      <w:r w:rsidR="00692AE6" w:rsidRPr="007C1C8B">
        <w:rPr>
          <w:rFonts w:ascii="Garamond" w:hAnsi="Garamond"/>
          <w:sz w:val="24"/>
          <w:szCs w:val="24"/>
          <w:lang w:val="sq-AL"/>
        </w:rPr>
        <w:t xml:space="preserve"> </w:t>
      </w:r>
      <w:r w:rsidRPr="007C1C8B">
        <w:rPr>
          <w:rFonts w:ascii="Garamond" w:hAnsi="Garamond"/>
          <w:sz w:val="24"/>
          <w:szCs w:val="24"/>
          <w:lang w:val="sq-AL"/>
        </w:rPr>
        <w:t>PËR</w:t>
      </w:r>
      <w:r w:rsidR="00692AE6" w:rsidRPr="007C1C8B">
        <w:rPr>
          <w:rFonts w:ascii="Garamond" w:hAnsi="Garamond"/>
          <w:sz w:val="24"/>
          <w:szCs w:val="24"/>
          <w:lang w:val="sq-AL"/>
        </w:rPr>
        <w:t xml:space="preserve"> </w:t>
      </w:r>
      <w:r w:rsidRPr="007C1C8B">
        <w:rPr>
          <w:rFonts w:ascii="Garamond" w:hAnsi="Garamond"/>
          <w:sz w:val="24"/>
          <w:szCs w:val="24"/>
          <w:lang w:val="sq-AL"/>
        </w:rPr>
        <w:t>TË</w:t>
      </w:r>
      <w:r w:rsidR="00692AE6" w:rsidRPr="007C1C8B">
        <w:rPr>
          <w:rFonts w:ascii="Garamond" w:hAnsi="Garamond"/>
          <w:sz w:val="24"/>
          <w:szCs w:val="24"/>
          <w:lang w:val="sq-AL"/>
        </w:rPr>
        <w:t xml:space="preserve"> </w:t>
      </w:r>
      <w:r w:rsidRPr="007C1C8B">
        <w:rPr>
          <w:rFonts w:ascii="Garamond" w:hAnsi="Garamond"/>
          <w:sz w:val="24"/>
          <w:szCs w:val="24"/>
          <w:lang w:val="sq-AL"/>
        </w:rPr>
        <w:t>DREJTAT</w:t>
      </w:r>
      <w:r w:rsidR="00692AE6" w:rsidRPr="007C1C8B">
        <w:rPr>
          <w:rFonts w:ascii="Garamond" w:hAnsi="Garamond"/>
          <w:sz w:val="24"/>
          <w:szCs w:val="24"/>
          <w:lang w:val="sq-AL"/>
        </w:rPr>
        <w:t xml:space="preserve"> </w:t>
      </w:r>
      <w:r w:rsidRPr="007C1C8B">
        <w:rPr>
          <w:rFonts w:ascii="Garamond" w:hAnsi="Garamond"/>
          <w:sz w:val="24"/>
          <w:szCs w:val="24"/>
          <w:lang w:val="sq-AL"/>
        </w:rPr>
        <w:t>E</w:t>
      </w:r>
      <w:r w:rsidR="00692AE6" w:rsidRPr="007C1C8B">
        <w:rPr>
          <w:rFonts w:ascii="Garamond" w:hAnsi="Garamond"/>
          <w:sz w:val="24"/>
          <w:szCs w:val="24"/>
          <w:lang w:val="sq-AL"/>
        </w:rPr>
        <w:t xml:space="preserve"> </w:t>
      </w:r>
      <w:r w:rsidRPr="007C1C8B">
        <w:rPr>
          <w:rFonts w:ascii="Garamond" w:hAnsi="Garamond"/>
          <w:sz w:val="24"/>
          <w:szCs w:val="24"/>
          <w:lang w:val="sq-AL"/>
        </w:rPr>
        <w:t>NJERIUT</w:t>
      </w:r>
    </w:p>
    <w:p w14:paraId="5AE46FA0" w14:textId="77777777" w:rsidR="007D4ED1" w:rsidRPr="007C1C8B" w:rsidRDefault="007D4ED1" w:rsidP="00692AE6">
      <w:pPr>
        <w:pStyle w:val="DecHTitle"/>
        <w:keepNext w:val="0"/>
        <w:keepLines w:val="0"/>
        <w:spacing w:after="0"/>
        <w:ind w:firstLine="284"/>
        <w:rPr>
          <w:rFonts w:ascii="Garamond" w:hAnsi="Garamond"/>
          <w:sz w:val="24"/>
          <w:szCs w:val="24"/>
          <w:lang w:val="sq-AL"/>
        </w:rPr>
      </w:pPr>
    </w:p>
    <w:p w14:paraId="637447E3" w14:textId="141A3EAC" w:rsidR="00692AE6" w:rsidRPr="007C1C8B" w:rsidRDefault="00692AE6" w:rsidP="00692AE6">
      <w:pPr>
        <w:pStyle w:val="DecHTitle"/>
        <w:keepNext w:val="0"/>
        <w:keepLines w:val="0"/>
        <w:spacing w:after="0"/>
        <w:ind w:firstLine="284"/>
        <w:rPr>
          <w:rFonts w:ascii="Garamond" w:hAnsi="Garamond"/>
          <w:sz w:val="24"/>
          <w:szCs w:val="24"/>
          <w:lang w:val="sq-AL"/>
        </w:rPr>
      </w:pPr>
      <w:r w:rsidRPr="007C1C8B">
        <w:rPr>
          <w:rFonts w:ascii="Garamond" w:hAnsi="Garamond"/>
          <w:sz w:val="24"/>
          <w:szCs w:val="24"/>
          <w:lang w:val="sq-AL"/>
        </w:rPr>
        <w:t>SEKSIONI I TRETË</w:t>
      </w:r>
    </w:p>
    <w:p w14:paraId="2AE45D5A" w14:textId="77777777" w:rsidR="00692AE6" w:rsidRPr="007C1C8B" w:rsidRDefault="00692AE6" w:rsidP="00692AE6">
      <w:pPr>
        <w:pStyle w:val="DecHTitle"/>
        <w:keepNext w:val="0"/>
        <w:keepLines w:val="0"/>
        <w:spacing w:after="0"/>
        <w:ind w:firstLine="284"/>
        <w:rPr>
          <w:rFonts w:ascii="Garamond" w:hAnsi="Garamond"/>
          <w:sz w:val="24"/>
          <w:szCs w:val="24"/>
          <w:lang w:val="sq-AL"/>
        </w:rPr>
      </w:pPr>
    </w:p>
    <w:p w14:paraId="7EF6BDFB" w14:textId="6DB098D7" w:rsidR="00692AE6" w:rsidRPr="007C1C8B" w:rsidRDefault="00692AE6" w:rsidP="00692AE6">
      <w:pPr>
        <w:pStyle w:val="DecHTitle"/>
        <w:keepNext w:val="0"/>
        <w:keepLines w:val="0"/>
        <w:spacing w:after="0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C1C8B">
        <w:rPr>
          <w:rFonts w:ascii="Garamond" w:hAnsi="Garamond"/>
          <w:b/>
          <w:sz w:val="24"/>
          <w:szCs w:val="24"/>
          <w:lang w:val="sq-AL"/>
        </w:rPr>
        <w:t>VENDIM</w:t>
      </w:r>
    </w:p>
    <w:p w14:paraId="5AE34350" w14:textId="38582AAB" w:rsidR="00692AE6" w:rsidRPr="007C1C8B" w:rsidRDefault="00692AE6" w:rsidP="00692AE6">
      <w:pPr>
        <w:pStyle w:val="DecHCase"/>
        <w:keepNext w:val="0"/>
        <w:keepLines w:val="0"/>
        <w:spacing w:after="0"/>
        <w:ind w:firstLine="284"/>
        <w:rPr>
          <w:rFonts w:ascii="Garamond" w:hAnsi="Garamond"/>
          <w:i/>
          <w:lang w:val="sq-AL"/>
        </w:rPr>
      </w:pPr>
      <w:r w:rsidRPr="007C1C8B">
        <w:rPr>
          <w:rFonts w:ascii="Garamond" w:hAnsi="Garamond"/>
          <w:i/>
          <w:lang w:val="sq-AL"/>
        </w:rPr>
        <w:t>Kërkesa nr. 50783/12</w:t>
      </w:r>
    </w:p>
    <w:p w14:paraId="453F4D1A" w14:textId="77777777" w:rsidR="00692AE6" w:rsidRPr="007C1C8B" w:rsidRDefault="00692AE6" w:rsidP="00692AE6">
      <w:pPr>
        <w:pStyle w:val="DecHCase"/>
        <w:keepNext w:val="0"/>
        <w:keepLines w:val="0"/>
        <w:spacing w:after="0"/>
        <w:ind w:firstLine="284"/>
        <w:rPr>
          <w:rFonts w:ascii="Garamond" w:hAnsi="Garamond"/>
          <w:lang w:val="sq-AL"/>
        </w:rPr>
      </w:pPr>
    </w:p>
    <w:p w14:paraId="5B9A3B16" w14:textId="412FBEC6" w:rsidR="00692AE6" w:rsidRPr="007C1C8B" w:rsidRDefault="007D4ED1" w:rsidP="00692AE6">
      <w:pPr>
        <w:pStyle w:val="DecHCase"/>
        <w:keepNext w:val="0"/>
        <w:keepLines w:val="0"/>
        <w:spacing w:after="0"/>
        <w:ind w:firstLine="284"/>
        <w:rPr>
          <w:rFonts w:ascii="Garamond" w:hAnsi="Garamond"/>
          <w:b/>
          <w:lang w:val="sq-AL"/>
        </w:rPr>
      </w:pPr>
      <w:r w:rsidRPr="007C1C8B">
        <w:rPr>
          <w:rFonts w:ascii="Garamond" w:hAnsi="Garamond"/>
          <w:b/>
          <w:lang w:val="sq-AL"/>
        </w:rPr>
        <w:t xml:space="preserve">Dede </w:t>
      </w:r>
      <w:proofErr w:type="spellStart"/>
      <w:r w:rsidR="00692AE6" w:rsidRPr="007C1C8B">
        <w:rPr>
          <w:rFonts w:ascii="Garamond" w:hAnsi="Garamond"/>
          <w:b/>
          <w:lang w:val="sq-AL"/>
        </w:rPr>
        <w:t>ZHIVANI</w:t>
      </w:r>
      <w:proofErr w:type="spellEnd"/>
    </w:p>
    <w:p w14:paraId="46D9B1D4" w14:textId="4F2B0D57" w:rsidR="00692AE6" w:rsidRPr="007C1C8B" w:rsidRDefault="007D4ED1" w:rsidP="00692AE6">
      <w:pPr>
        <w:pStyle w:val="DecHCase"/>
        <w:keepNext w:val="0"/>
        <w:keepLines w:val="0"/>
        <w:spacing w:after="0"/>
        <w:ind w:firstLine="284"/>
        <w:rPr>
          <w:rFonts w:ascii="Garamond" w:hAnsi="Garamond"/>
          <w:b/>
          <w:lang w:val="sq-AL"/>
        </w:rPr>
      </w:pPr>
      <w:r w:rsidRPr="007C1C8B">
        <w:rPr>
          <w:rFonts w:ascii="Garamond" w:hAnsi="Garamond"/>
          <w:b/>
          <w:lang w:val="sq-AL"/>
        </w:rPr>
        <w:t>kundër Shqipërisë</w:t>
      </w:r>
    </w:p>
    <w:p w14:paraId="2887EF01" w14:textId="155ECEF9" w:rsidR="00692AE6" w:rsidRPr="007C1C8B" w:rsidRDefault="00692AE6" w:rsidP="00692AE6">
      <w:pPr>
        <w:pStyle w:val="DecHCase"/>
        <w:keepNext w:val="0"/>
        <w:keepLines w:val="0"/>
        <w:spacing w:after="0"/>
        <w:ind w:firstLine="284"/>
        <w:rPr>
          <w:rFonts w:ascii="Garamond" w:hAnsi="Garamond"/>
          <w:i/>
          <w:iCs/>
          <w:lang w:val="sq-AL"/>
        </w:rPr>
      </w:pPr>
      <w:r w:rsidRPr="007C1C8B">
        <w:rPr>
          <w:rFonts w:ascii="Garamond" w:hAnsi="Garamond"/>
          <w:i/>
          <w:lang w:val="sq-AL"/>
        </w:rPr>
        <w:t>(shihni tabelën bashkëngjitur)</w:t>
      </w:r>
    </w:p>
    <w:p w14:paraId="047B274F" w14:textId="77777777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</w:p>
    <w:p w14:paraId="01E8BCCE" w14:textId="4D110410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Gjykata </w:t>
      </w:r>
      <w:r w:rsidR="00DF68E0" w:rsidRPr="007C1C8B">
        <w:rPr>
          <w:rFonts w:ascii="Garamond" w:hAnsi="Garamond"/>
          <w:lang w:val="sq-AL"/>
        </w:rPr>
        <w:t>Evropiane</w:t>
      </w:r>
      <w:r w:rsidRPr="007C1C8B">
        <w:rPr>
          <w:rFonts w:ascii="Garamond" w:hAnsi="Garamond"/>
          <w:lang w:val="sq-AL"/>
        </w:rPr>
        <w:t xml:space="preserve"> e të Drejtave të Njeriut (Seksioni i Tretë), e mbledhur më 14 shtator 2023</w:t>
      </w:r>
      <w:r w:rsidR="007D4ED1" w:rsidRPr="007C1C8B">
        <w:rPr>
          <w:rFonts w:ascii="Garamond" w:hAnsi="Garamond"/>
          <w:lang w:val="sq-AL"/>
        </w:rPr>
        <w:t>,</w:t>
      </w:r>
      <w:r w:rsidRPr="007C1C8B">
        <w:rPr>
          <w:rFonts w:ascii="Garamond" w:hAnsi="Garamond"/>
          <w:lang w:val="sq-AL"/>
        </w:rPr>
        <w:t xml:space="preserve"> si Komitet i përbërë nga:</w:t>
      </w:r>
    </w:p>
    <w:p w14:paraId="589FCA3B" w14:textId="3EF2238E" w:rsidR="00692AE6" w:rsidRPr="007C1C8B" w:rsidRDefault="00692AE6" w:rsidP="00692AE6">
      <w:pPr>
        <w:pStyle w:val="JuJudges"/>
        <w:tabs>
          <w:tab w:val="left" w:pos="280"/>
        </w:tabs>
        <w:ind w:firstLine="284"/>
        <w:jc w:val="both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Ioannis</w:t>
      </w:r>
      <w:proofErr w:type="spellEnd"/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Ktistakis</w:t>
      </w:r>
      <w:proofErr w:type="spellEnd"/>
      <w:r w:rsidRPr="007C1C8B">
        <w:rPr>
          <w:rFonts w:ascii="Garamond" w:hAnsi="Garamond"/>
          <w:i/>
          <w:iCs/>
          <w:lang w:val="sq-AL"/>
        </w:rPr>
        <w:t>, President</w:t>
      </w:r>
      <w:r w:rsidRPr="007C1C8B">
        <w:rPr>
          <w:rFonts w:ascii="Garamond" w:hAnsi="Garamond"/>
          <w:lang w:val="sq-AL"/>
        </w:rPr>
        <w:t>,</w:t>
      </w:r>
    </w:p>
    <w:p w14:paraId="051E1766" w14:textId="40D4EB84" w:rsidR="00692AE6" w:rsidRPr="007C1C8B" w:rsidRDefault="00692AE6" w:rsidP="00692AE6">
      <w:pPr>
        <w:pStyle w:val="JuJudges"/>
        <w:tabs>
          <w:tab w:val="left" w:pos="280"/>
        </w:tabs>
        <w:ind w:firstLine="284"/>
        <w:jc w:val="both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Darian</w:t>
      </w:r>
      <w:proofErr w:type="spellEnd"/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Pavli</w:t>
      </w:r>
      <w:proofErr w:type="spellEnd"/>
      <w:r w:rsidRPr="007C1C8B">
        <w:rPr>
          <w:rFonts w:ascii="Garamond" w:hAnsi="Garamond"/>
          <w:lang w:val="sq-AL"/>
        </w:rPr>
        <w:t>,</w:t>
      </w:r>
    </w:p>
    <w:p w14:paraId="6E7465FD" w14:textId="5179FBC1" w:rsidR="00692AE6" w:rsidRPr="007C1C8B" w:rsidRDefault="00692AE6" w:rsidP="00692AE6">
      <w:pPr>
        <w:pStyle w:val="JuJudges"/>
        <w:tabs>
          <w:tab w:val="left" w:pos="280"/>
        </w:tabs>
        <w:ind w:firstLine="284"/>
        <w:jc w:val="both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Oddný</w:t>
      </w:r>
      <w:proofErr w:type="spellEnd"/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Mjöll</w:t>
      </w:r>
      <w:proofErr w:type="spellEnd"/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Arnardóttir</w:t>
      </w:r>
      <w:proofErr w:type="spellEnd"/>
      <w:r w:rsidRPr="007C1C8B">
        <w:rPr>
          <w:rFonts w:ascii="Garamond" w:hAnsi="Garamond"/>
          <w:i/>
          <w:iCs/>
          <w:lang w:val="sq-AL"/>
        </w:rPr>
        <w:t>, gjyqtarë</w:t>
      </w:r>
      <w:r w:rsidRPr="007C1C8B">
        <w:rPr>
          <w:rFonts w:ascii="Garamond" w:hAnsi="Garamond"/>
          <w:lang w:val="sq-AL"/>
        </w:rPr>
        <w:t>,</w:t>
      </w:r>
    </w:p>
    <w:p w14:paraId="0279951F" w14:textId="0F40E78C" w:rsidR="00692AE6" w:rsidRPr="007C1C8B" w:rsidRDefault="00692AE6" w:rsidP="00692AE6">
      <w:pPr>
        <w:pStyle w:val="JuJudges"/>
        <w:ind w:firstLine="284"/>
        <w:jc w:val="both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dhe </w:t>
      </w:r>
      <w:proofErr w:type="spellStart"/>
      <w:r w:rsidRPr="007C1C8B">
        <w:rPr>
          <w:rFonts w:ascii="Garamond" w:hAnsi="Garamond"/>
          <w:lang w:val="sq-AL"/>
        </w:rPr>
        <w:t>Viktoriya</w:t>
      </w:r>
      <w:proofErr w:type="spellEnd"/>
      <w:r w:rsidRPr="007C1C8B">
        <w:rPr>
          <w:rFonts w:ascii="Garamond" w:hAnsi="Garamond"/>
          <w:lang w:val="sq-AL"/>
        </w:rPr>
        <w:t xml:space="preserve"> </w:t>
      </w:r>
      <w:proofErr w:type="spellStart"/>
      <w:r w:rsidRPr="007C1C8B">
        <w:rPr>
          <w:rFonts w:ascii="Garamond" w:hAnsi="Garamond"/>
          <w:lang w:val="sq-AL"/>
        </w:rPr>
        <w:t>Maradudina</w:t>
      </w:r>
      <w:proofErr w:type="spellEnd"/>
      <w:r w:rsidRPr="007C1C8B">
        <w:rPr>
          <w:rFonts w:ascii="Garamond" w:hAnsi="Garamond"/>
          <w:lang w:val="sq-AL"/>
        </w:rPr>
        <w:t xml:space="preserve">, </w:t>
      </w:r>
      <w:proofErr w:type="spellStart"/>
      <w:r w:rsidR="000B212B" w:rsidRPr="007C1C8B">
        <w:rPr>
          <w:rFonts w:ascii="Garamond" w:hAnsi="Garamond"/>
          <w:i/>
          <w:iCs/>
          <w:lang w:val="sq-AL"/>
        </w:rPr>
        <w:t>zëvendëskancelare</w:t>
      </w:r>
      <w:proofErr w:type="spellEnd"/>
      <w:r w:rsidR="000B212B" w:rsidRPr="007C1C8B">
        <w:rPr>
          <w:rFonts w:ascii="Garamond" w:hAnsi="Garamond"/>
          <w:i/>
          <w:iCs/>
          <w:lang w:val="sq-AL"/>
        </w:rPr>
        <w:t xml:space="preserve"> </w:t>
      </w:r>
      <w:r w:rsidRPr="007C1C8B">
        <w:rPr>
          <w:rFonts w:ascii="Garamond" w:hAnsi="Garamond"/>
          <w:i/>
          <w:iCs/>
          <w:lang w:val="sq-AL"/>
        </w:rPr>
        <w:t>në detyrë e Seksionit,</w:t>
      </w:r>
    </w:p>
    <w:p w14:paraId="0D5A83A2" w14:textId="14D61519" w:rsidR="00692AE6" w:rsidRPr="007C1C8B" w:rsidRDefault="00692AE6" w:rsidP="00692AE6">
      <w:pPr>
        <w:pStyle w:val="JuPara"/>
        <w:tabs>
          <w:tab w:val="left" w:pos="360"/>
        </w:tabs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Duke pasur parasysh kërkesën më sipër të depozituar më 31 korrik 2012,</w:t>
      </w:r>
    </w:p>
    <w:p w14:paraId="64788843" w14:textId="4E3480E2" w:rsidR="00692AE6" w:rsidRPr="007C1C8B" w:rsidRDefault="00692AE6" w:rsidP="00692AE6">
      <w:pPr>
        <w:pStyle w:val="JuPara"/>
        <w:tabs>
          <w:tab w:val="left" w:pos="360"/>
        </w:tabs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Duke pasur parasysh deklaratën e paraqitur nga Qeveria e paditur ku kërkon që Gjykata të çregjistrojë kërkesën nga lista e çështjeve,</w:t>
      </w:r>
    </w:p>
    <w:p w14:paraId="7F105BD6" w14:textId="59518538" w:rsidR="00692AE6" w:rsidRPr="007C1C8B" w:rsidRDefault="00692AE6" w:rsidP="00692AE6">
      <w:pPr>
        <w:pStyle w:val="JuPara"/>
        <w:tabs>
          <w:tab w:val="left" w:pos="360"/>
        </w:tabs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Pas diskutimit, vendosi si më poshtë:</w:t>
      </w:r>
    </w:p>
    <w:p w14:paraId="064D260E" w14:textId="77777777" w:rsidR="0047451F" w:rsidRDefault="0047451F" w:rsidP="00692AE6">
      <w:pPr>
        <w:pStyle w:val="JuPara"/>
        <w:tabs>
          <w:tab w:val="left" w:pos="360"/>
        </w:tabs>
        <w:ind w:firstLine="284"/>
        <w:rPr>
          <w:rFonts w:ascii="Garamond" w:hAnsi="Garamond"/>
          <w:lang w:val="sq-AL"/>
        </w:rPr>
      </w:pPr>
    </w:p>
    <w:p w14:paraId="31A0175B" w14:textId="0651AC56" w:rsidR="00692AE6" w:rsidRPr="007C1C8B" w:rsidRDefault="00692AE6" w:rsidP="00692AE6">
      <w:pPr>
        <w:pStyle w:val="JuPara"/>
        <w:tabs>
          <w:tab w:val="left" w:pos="360"/>
        </w:tabs>
        <w:ind w:firstLine="284"/>
        <w:rPr>
          <w:rFonts w:ascii="Garamond" w:hAnsi="Garamond"/>
          <w:caps/>
          <w:lang w:val="sq-AL"/>
        </w:rPr>
      </w:pPr>
      <w:r w:rsidRPr="007C1C8B">
        <w:rPr>
          <w:rFonts w:ascii="Garamond" w:hAnsi="Garamond"/>
          <w:caps/>
          <w:lang w:val="sq-AL"/>
        </w:rPr>
        <w:t>FAKTE DHE PROCEDURA</w:t>
      </w:r>
    </w:p>
    <w:p w14:paraId="65ACC636" w14:textId="670FB276" w:rsidR="00692AE6" w:rsidRPr="007C1C8B" w:rsidRDefault="00692AE6" w:rsidP="00692AE6">
      <w:pPr>
        <w:pStyle w:val="JuPara"/>
        <w:tabs>
          <w:tab w:val="left" w:pos="360"/>
        </w:tabs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Detajet e kërkuesit jepen në tabelën bashkëngjitur.</w:t>
      </w:r>
    </w:p>
    <w:p w14:paraId="303D02C0" w14:textId="6BB0DE5F" w:rsidR="00692AE6" w:rsidRPr="007C1C8B" w:rsidRDefault="00692AE6" w:rsidP="00692AE6">
      <w:pPr>
        <w:pStyle w:val="JuPara"/>
        <w:tabs>
          <w:tab w:val="left" w:pos="360"/>
        </w:tabs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Ankimet e kërkuesit sipas nenit 6 § 1 dhe nenit 13 të Konventës në lidhje me tejkalimin e kohëzgjatjes së procesit civil dhe mungesën e mjeteve të efektshme ligjore i janë komunikuar qeverisë shqiptare (“Qeveria”).</w:t>
      </w:r>
    </w:p>
    <w:p w14:paraId="023E4D43" w14:textId="77777777" w:rsidR="0047451F" w:rsidRDefault="0047451F" w:rsidP="00692AE6">
      <w:pPr>
        <w:pStyle w:val="JuPara"/>
        <w:tabs>
          <w:tab w:val="left" w:pos="360"/>
        </w:tabs>
        <w:ind w:firstLine="284"/>
        <w:rPr>
          <w:rFonts w:ascii="Garamond" w:hAnsi="Garamond"/>
          <w:lang w:val="sq-AL"/>
        </w:rPr>
      </w:pPr>
    </w:p>
    <w:p w14:paraId="2F9F4044" w14:textId="27444CAD" w:rsidR="00692AE6" w:rsidRPr="007C1C8B" w:rsidRDefault="00692AE6" w:rsidP="00692AE6">
      <w:pPr>
        <w:pStyle w:val="JuPara"/>
        <w:tabs>
          <w:tab w:val="left" w:pos="360"/>
        </w:tabs>
        <w:ind w:firstLine="284"/>
        <w:rPr>
          <w:rFonts w:ascii="Garamond" w:hAnsi="Garamond"/>
          <w:caps/>
          <w:lang w:val="sq-AL"/>
        </w:rPr>
      </w:pPr>
      <w:r w:rsidRPr="007C1C8B">
        <w:rPr>
          <w:rFonts w:ascii="Garamond" w:hAnsi="Garamond"/>
          <w:caps/>
          <w:lang w:val="sq-AL"/>
        </w:rPr>
        <w:t>LEGJISLACIONI</w:t>
      </w:r>
    </w:p>
    <w:p w14:paraId="0B71333E" w14:textId="66DBEA0A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Pas </w:t>
      </w:r>
      <w:proofErr w:type="spellStart"/>
      <w:r w:rsidRPr="007C1C8B">
        <w:rPr>
          <w:rFonts w:ascii="Garamond" w:hAnsi="Garamond"/>
          <w:lang w:val="sq-AL"/>
        </w:rPr>
        <w:t>negociimit</w:t>
      </w:r>
      <w:proofErr w:type="spellEnd"/>
      <w:r w:rsidRPr="007C1C8B">
        <w:rPr>
          <w:rFonts w:ascii="Garamond" w:hAnsi="Garamond"/>
          <w:lang w:val="sq-AL"/>
        </w:rPr>
        <w:t xml:space="preserve"> të pasuksesshëm për zgjidhje miqësore, më 5 prill 2023, Qeveria informoi Gjykatën që propozonte të bënte një deklaratë të njëanshme me qëllim zgjidhjen e problemeve të ngritura në këto ankime. Ajo më tej i kërkoi Gjykatës të çregjistronte kërkesën në përputhje me nenin 37 të Konventës.</w:t>
      </w:r>
    </w:p>
    <w:p w14:paraId="10C79064" w14:textId="229B18DB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Qeveria pranoi kohëzgjatjen e tejkaluar të procesit civil. Ajo</w:t>
      </w:r>
      <w:r w:rsidR="00126853">
        <w:rPr>
          <w:rFonts w:ascii="Garamond" w:hAnsi="Garamond"/>
          <w:lang w:val="sq-AL"/>
        </w:rPr>
        <w:t>,</w:t>
      </w:r>
      <w:r w:rsidRPr="007C1C8B">
        <w:rPr>
          <w:rFonts w:ascii="Garamond" w:hAnsi="Garamond"/>
          <w:lang w:val="sq-AL"/>
        </w:rPr>
        <w:t xml:space="preserve"> gjithashtu</w:t>
      </w:r>
      <w:r w:rsidR="00126853">
        <w:rPr>
          <w:rFonts w:ascii="Garamond" w:hAnsi="Garamond"/>
          <w:lang w:val="sq-AL"/>
        </w:rPr>
        <w:t>,</w:t>
      </w:r>
      <w:r w:rsidRPr="007C1C8B">
        <w:rPr>
          <w:rFonts w:ascii="Garamond" w:hAnsi="Garamond"/>
          <w:lang w:val="sq-AL"/>
        </w:rPr>
        <w:t xml:space="preserve"> pranoi që autoritetet e brendshme kishin cenuar të drejtat e kërkuesit të garantuara me nenin 13 të Konventës. Ajo u ofrua që t’i paguajë kërkuesit shumat e detajuara në tabelën bashkëngjitur dhe ftoi Gjykatën të çregjistrojë kërkesën nga lista e çështjeve në përputhje me nenin 37 § 1 (c) të Konventës. Shumat do të konvertoheshin në monedhën e Shtetit të paditur me kursin e këmbimit të datës së pagesës dhe do të paguheshin brenda tre muajve nga data e njoftimit të vendimit të Gjykatës. Në rast të mospagimit të këtyre shumave brenda periudhës së lartpërmendur tre mujore, Qeveria mori përsipër të paguajë një kamat</w:t>
      </w:r>
      <w:r w:rsidR="007C1C8B" w:rsidRPr="007C1C8B">
        <w:rPr>
          <w:rFonts w:ascii="Garamond" w:hAnsi="Garamond"/>
          <w:lang w:val="sq-AL"/>
        </w:rPr>
        <w:t>ë</w:t>
      </w:r>
      <w:r w:rsidRPr="007C1C8B">
        <w:rPr>
          <w:rFonts w:ascii="Garamond" w:hAnsi="Garamond"/>
          <w:lang w:val="sq-AL"/>
        </w:rPr>
        <w:t xml:space="preserve">vonesë të thjeshtë nga mbarimi i kësaj periudhe deri në momentin e shlyerjes, me një normë të barabartë me normën e huadhënies </w:t>
      </w:r>
      <w:proofErr w:type="spellStart"/>
      <w:r w:rsidRPr="007C1C8B">
        <w:rPr>
          <w:rFonts w:ascii="Garamond" w:hAnsi="Garamond"/>
          <w:lang w:val="sq-AL"/>
        </w:rPr>
        <w:t>marxhinale</w:t>
      </w:r>
      <w:proofErr w:type="spellEnd"/>
      <w:r w:rsidRPr="007C1C8B">
        <w:rPr>
          <w:rFonts w:ascii="Garamond" w:hAnsi="Garamond"/>
          <w:lang w:val="sq-AL"/>
        </w:rPr>
        <w:t xml:space="preserve"> të Bankës Qend</w:t>
      </w:r>
      <w:r w:rsidR="00AA5403" w:rsidRPr="007C1C8B">
        <w:rPr>
          <w:rFonts w:ascii="Garamond" w:hAnsi="Garamond"/>
          <w:lang w:val="sq-AL"/>
        </w:rPr>
        <w:t>r</w:t>
      </w:r>
      <w:r w:rsidRPr="007C1C8B">
        <w:rPr>
          <w:rFonts w:ascii="Garamond" w:hAnsi="Garamond"/>
          <w:lang w:val="sq-AL"/>
        </w:rPr>
        <w:t>ore E</w:t>
      </w:r>
      <w:r w:rsidR="00AA5403" w:rsidRPr="007C1C8B">
        <w:rPr>
          <w:rFonts w:ascii="Garamond" w:hAnsi="Garamond"/>
          <w:lang w:val="sq-AL"/>
        </w:rPr>
        <w:t>v</w:t>
      </w:r>
      <w:r w:rsidRPr="007C1C8B">
        <w:rPr>
          <w:rFonts w:ascii="Garamond" w:hAnsi="Garamond"/>
          <w:lang w:val="sq-AL"/>
        </w:rPr>
        <w:t>ropiane gjatë periudhës së mospagimit plus tre pikë përqindje.</w:t>
      </w:r>
    </w:p>
    <w:p w14:paraId="52FB0F03" w14:textId="2E37BB05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Pagesa do të përbëjë zgjidhjen përfundimtare të çështjes.</w:t>
      </w:r>
    </w:p>
    <w:p w14:paraId="047BD942" w14:textId="5933251A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Kërkuesit ju dërguan kushtet e deklaratës së njëanshme të Qeverisë disa javë përpara datës së këtij vendimi. Gjykata nuk ka marrë përgjigje nga kërkuesi për pranimin e kushteve të deklaratës.</w:t>
      </w:r>
    </w:p>
    <w:p w14:paraId="1E4A736C" w14:textId="085A042A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Gjykata vëren që neni 37 § 1 (c) e bën të mundur çregjistrimin e një çështjeje nga lista e saj nëse:</w:t>
      </w:r>
    </w:p>
    <w:p w14:paraId="4E75CFC8" w14:textId="2149B27D" w:rsidR="00692AE6" w:rsidRPr="007C1C8B" w:rsidRDefault="00692AE6" w:rsidP="00692AE6">
      <w:pPr>
        <w:pStyle w:val="JuQuot"/>
        <w:spacing w:before="0" w:after="0"/>
        <w:ind w:left="0" w:firstLine="284"/>
        <w:rPr>
          <w:rFonts w:ascii="Garamond" w:hAnsi="Garamond"/>
          <w:sz w:val="24"/>
          <w:szCs w:val="24"/>
          <w:lang w:val="sq-AL"/>
        </w:rPr>
      </w:pPr>
      <w:r w:rsidRPr="007C1C8B">
        <w:rPr>
          <w:rFonts w:ascii="Garamond" w:hAnsi="Garamond"/>
          <w:sz w:val="24"/>
          <w:szCs w:val="24"/>
          <w:lang w:val="sq-AL"/>
        </w:rPr>
        <w:t>“... për çdo arsye tjetër që, sipas Gjykatës, nuk justifikon</w:t>
      </w:r>
      <w:r w:rsidR="008C6CC4">
        <w:rPr>
          <w:rFonts w:ascii="Garamond" w:hAnsi="Garamond"/>
          <w:sz w:val="24"/>
          <w:szCs w:val="24"/>
          <w:lang w:val="sq-AL"/>
        </w:rPr>
        <w:t xml:space="preserve"> </w:t>
      </w:r>
      <w:r w:rsidRPr="007C1C8B">
        <w:rPr>
          <w:rFonts w:ascii="Garamond" w:hAnsi="Garamond"/>
          <w:sz w:val="24"/>
          <w:szCs w:val="24"/>
          <w:lang w:val="sq-AL"/>
        </w:rPr>
        <w:t>vazhdimin e shqyrtimit të kërkesës”.</w:t>
      </w:r>
    </w:p>
    <w:p w14:paraId="18B11CBA" w14:textId="7CC3D0D7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lastRenderedPageBreak/>
        <w:t xml:space="preserve">Prandaj, ajo mund të çregjistrojë kërkesën sipas nenit 37 § 1 (c) bazuar në një deklaratë të njëanshme nga një Qeveri e paditur edhe nëse kërkuesi dëshiron vazhdimin e shqyrtimit të çështjes (shihni në veçanti, </w:t>
      </w:r>
      <w:r w:rsidRPr="007C1C8B">
        <w:rPr>
          <w:rFonts w:ascii="Garamond" w:hAnsi="Garamond"/>
          <w:i/>
          <w:iCs/>
          <w:lang w:val="sq-AL"/>
        </w:rPr>
        <w:t xml:space="preserve">çështja </w:t>
      </w:r>
      <w:proofErr w:type="spellStart"/>
      <w:r w:rsidRPr="007C1C8B">
        <w:rPr>
          <w:rFonts w:ascii="Garamond" w:hAnsi="Garamond"/>
          <w:i/>
          <w:iCs/>
          <w:lang w:val="sq-AL"/>
        </w:rPr>
        <w:t>Tahsin</w:t>
      </w:r>
      <w:proofErr w:type="spellEnd"/>
      <w:r w:rsidRPr="007C1C8B">
        <w:rPr>
          <w:rFonts w:ascii="Garamond" w:hAnsi="Garamond"/>
          <w:i/>
          <w:iCs/>
          <w:lang w:val="sq-AL"/>
        </w:rPr>
        <w:t xml:space="preserve"> Acar kundër Turqisë </w:t>
      </w:r>
      <w:r w:rsidRPr="007C1C8B">
        <w:rPr>
          <w:rFonts w:ascii="Garamond" w:hAnsi="Garamond"/>
          <w:lang w:val="sq-AL"/>
        </w:rPr>
        <w:t>vendimi (kundërshtime paraprake) [</w:t>
      </w:r>
      <w:proofErr w:type="spellStart"/>
      <w:r w:rsidRPr="007C1C8B">
        <w:rPr>
          <w:rFonts w:ascii="Garamond" w:hAnsi="Garamond"/>
          <w:lang w:val="sq-AL"/>
        </w:rPr>
        <w:t>GC</w:t>
      </w:r>
      <w:proofErr w:type="spellEnd"/>
      <w:r w:rsidRPr="007C1C8B">
        <w:rPr>
          <w:rFonts w:ascii="Garamond" w:hAnsi="Garamond"/>
          <w:lang w:val="sq-AL"/>
        </w:rPr>
        <w:t xml:space="preserve">], nr. 26307/95, §§ 75 77, </w:t>
      </w:r>
      <w:proofErr w:type="spellStart"/>
      <w:r w:rsidRPr="007C1C8B">
        <w:rPr>
          <w:rFonts w:ascii="Garamond" w:hAnsi="Garamond"/>
          <w:lang w:val="sq-AL"/>
        </w:rPr>
        <w:t>GJEDNJ</w:t>
      </w:r>
      <w:proofErr w:type="spellEnd"/>
      <w:r w:rsidRPr="007C1C8B">
        <w:rPr>
          <w:rFonts w:ascii="Garamond" w:hAnsi="Garamond"/>
          <w:lang w:val="sq-AL"/>
        </w:rPr>
        <w:t xml:space="preserve"> 2003-</w:t>
      </w:r>
      <w:proofErr w:type="spellStart"/>
      <w:r w:rsidRPr="007C1C8B">
        <w:rPr>
          <w:rFonts w:ascii="Garamond" w:hAnsi="Garamond"/>
          <w:lang w:val="sq-AL"/>
        </w:rPr>
        <w:t>VI</w:t>
      </w:r>
      <w:proofErr w:type="spellEnd"/>
      <w:r w:rsidRPr="007C1C8B">
        <w:rPr>
          <w:rFonts w:ascii="Garamond" w:hAnsi="Garamond"/>
          <w:lang w:val="sq-AL"/>
        </w:rPr>
        <w:t>).</w:t>
      </w:r>
    </w:p>
    <w:p w14:paraId="5DA7C2B7" w14:textId="7D83B157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Gjykata ka krijuar praktikë gjyqësore të qartë dhe të gjerë në lidhje me ankimet për tejkalimin e kohëzgjatjes së proceseve civile (shihni për shembull, </w:t>
      </w:r>
      <w:r w:rsidRPr="007C1C8B">
        <w:rPr>
          <w:rFonts w:ascii="Garamond" w:hAnsi="Garamond"/>
          <w:i/>
          <w:iCs/>
          <w:lang w:val="sq-AL"/>
        </w:rPr>
        <w:t xml:space="preserve">çështja Luli dhe të tjerët kundër Shqipërisë, </w:t>
      </w:r>
      <w:r w:rsidRPr="007C1C8B">
        <w:rPr>
          <w:rFonts w:ascii="Garamond" w:hAnsi="Garamond"/>
          <w:lang w:val="sq-AL"/>
        </w:rPr>
        <w:t xml:space="preserve">nr. 64480/09 dhe të tjera, 1 prill 2014, dhe </w:t>
      </w:r>
      <w:r w:rsidRPr="007C1C8B">
        <w:rPr>
          <w:rFonts w:ascii="Garamond" w:hAnsi="Garamond"/>
          <w:i/>
          <w:iCs/>
          <w:lang w:val="sq-AL"/>
        </w:rPr>
        <w:t xml:space="preserve">çështja </w:t>
      </w:r>
      <w:proofErr w:type="spellStart"/>
      <w:r w:rsidRPr="007C1C8B">
        <w:rPr>
          <w:rFonts w:ascii="Garamond" w:hAnsi="Garamond"/>
          <w:i/>
          <w:iCs/>
          <w:lang w:val="sq-AL"/>
        </w:rPr>
        <w:t>Mishgjoni</w:t>
      </w:r>
      <w:proofErr w:type="spellEnd"/>
      <w:r w:rsidRPr="007C1C8B">
        <w:rPr>
          <w:rFonts w:ascii="Garamond" w:hAnsi="Garamond"/>
          <w:i/>
          <w:iCs/>
          <w:lang w:val="sq-AL"/>
        </w:rPr>
        <w:t xml:space="preserve"> kundër Shqipërisë, </w:t>
      </w:r>
      <w:r w:rsidRPr="007C1C8B">
        <w:rPr>
          <w:rFonts w:ascii="Garamond" w:hAnsi="Garamond"/>
          <w:lang w:val="sq-AL"/>
        </w:rPr>
        <w:t>nr. 18381/05, 7 dhjetor 2010).</w:t>
      </w:r>
    </w:p>
    <w:p w14:paraId="07E5DAB3" w14:textId="07A61B13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Duke vërejtur pranimet që përmban deklarata e Qeverisë si edhe shumën e propozuar të kompensimit - që është në përputhje me shumat e dhëna në çështje të ngjashme </w:t>
      </w:r>
      <w:r w:rsidR="0095571D">
        <w:rPr>
          <w:rFonts w:ascii="Garamond" w:hAnsi="Garamond"/>
          <w:lang w:val="sq-AL"/>
        </w:rPr>
        <w:t>–</w:t>
      </w:r>
      <w:r w:rsidRPr="007C1C8B">
        <w:rPr>
          <w:rFonts w:ascii="Garamond" w:hAnsi="Garamond"/>
          <w:lang w:val="sq-AL"/>
        </w:rPr>
        <w:t xml:space="preserve"> Gjykata</w:t>
      </w:r>
      <w:r w:rsidR="0095571D">
        <w:rPr>
          <w:rFonts w:ascii="Garamond" w:hAnsi="Garamond"/>
          <w:lang w:val="sq-AL"/>
        </w:rPr>
        <w:t xml:space="preserve"> </w:t>
      </w:r>
      <w:r w:rsidRPr="007C1C8B">
        <w:rPr>
          <w:rFonts w:ascii="Garamond" w:hAnsi="Garamond"/>
          <w:lang w:val="sq-AL"/>
        </w:rPr>
        <w:t>konsideron që nuk justifikohet më tej vazhdimi i shqyrtimit të kërkesës (</w:t>
      </w:r>
      <w:r w:rsidR="00AA5403" w:rsidRPr="007C1C8B">
        <w:rPr>
          <w:rFonts w:ascii="Garamond" w:hAnsi="Garamond"/>
          <w:lang w:val="sq-AL"/>
        </w:rPr>
        <w:t>n</w:t>
      </w:r>
      <w:r w:rsidRPr="007C1C8B">
        <w:rPr>
          <w:rFonts w:ascii="Garamond" w:hAnsi="Garamond"/>
          <w:lang w:val="sq-AL"/>
        </w:rPr>
        <w:t>eni 37 § 1 (c)).</w:t>
      </w:r>
    </w:p>
    <w:p w14:paraId="1803ADF1" w14:textId="182EBE6A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Nisur nga konsideratat e mësipërme, Gjykata është e bindur që respektimi i të drejtave të njeriut siç përcaktohet në Konventë dhe </w:t>
      </w:r>
      <w:r w:rsidR="00140725">
        <w:rPr>
          <w:rFonts w:ascii="Garamond" w:hAnsi="Garamond"/>
          <w:lang w:val="sq-AL"/>
        </w:rPr>
        <w:t>p</w:t>
      </w:r>
      <w:bookmarkStart w:id="0" w:name="_GoBack"/>
      <w:bookmarkEnd w:id="0"/>
      <w:r w:rsidRPr="007C1C8B">
        <w:rPr>
          <w:rFonts w:ascii="Garamond" w:hAnsi="Garamond"/>
          <w:lang w:val="sq-AL"/>
        </w:rPr>
        <w:t xml:space="preserve">rotokollet e saj nuk kërkon që ajo të vazhdojë të shqyrtojë kërkesën (neni 37 § 1 </w:t>
      </w:r>
      <w:r w:rsidRPr="007C1C8B">
        <w:rPr>
          <w:rFonts w:ascii="Garamond" w:hAnsi="Garamond"/>
          <w:i/>
          <w:iCs/>
          <w:lang w:val="sq-AL"/>
        </w:rPr>
        <w:t>in fine</w:t>
      </w:r>
      <w:r w:rsidRPr="007C1C8B">
        <w:rPr>
          <w:rFonts w:ascii="Garamond" w:hAnsi="Garamond"/>
          <w:lang w:val="sq-AL"/>
        </w:rPr>
        <w:t>).</w:t>
      </w:r>
    </w:p>
    <w:p w14:paraId="6034B0C5" w14:textId="0B90BDC5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Në përfundim, Gjykata thekson që nëse Qeveria nuk përmbush kushtet e deklaratës së saj të njëanshme, kërkesa mund të futet përsëri në listë në përputhje me nenin 37 § 2 të Konventës (shihni </w:t>
      </w:r>
      <w:r w:rsidRPr="007C1C8B">
        <w:rPr>
          <w:rFonts w:ascii="Garamond" w:hAnsi="Garamond" w:cs="Times New Roman"/>
          <w:i/>
          <w:iCs/>
          <w:lang w:val="sq-AL"/>
        </w:rPr>
        <w:t xml:space="preserve">çështja </w:t>
      </w:r>
      <w:proofErr w:type="spellStart"/>
      <w:r w:rsidRPr="007C1C8B">
        <w:rPr>
          <w:rFonts w:ascii="Garamond" w:hAnsi="Garamond" w:cs="Times New Roman"/>
          <w:i/>
          <w:iCs/>
          <w:lang w:val="sq-AL"/>
        </w:rPr>
        <w:t>Josipović</w:t>
      </w:r>
      <w:proofErr w:type="spellEnd"/>
      <w:r w:rsidRPr="007C1C8B">
        <w:rPr>
          <w:rFonts w:ascii="Garamond" w:hAnsi="Garamond" w:cs="Times New Roman"/>
          <w:i/>
          <w:iCs/>
          <w:lang w:val="sq-AL"/>
        </w:rPr>
        <w:t xml:space="preserve"> kundër Serbisë</w:t>
      </w:r>
      <w:r w:rsidRPr="007C1C8B">
        <w:rPr>
          <w:rFonts w:ascii="Garamond" w:hAnsi="Garamond"/>
          <w:lang w:val="sq-AL"/>
        </w:rPr>
        <w:t xml:space="preserve"> (</w:t>
      </w:r>
      <w:proofErr w:type="spellStart"/>
      <w:r w:rsidRPr="007C1C8B">
        <w:rPr>
          <w:rFonts w:ascii="Garamond" w:hAnsi="Garamond"/>
          <w:lang w:val="sq-AL"/>
        </w:rPr>
        <w:t>dec</w:t>
      </w:r>
      <w:proofErr w:type="spellEnd"/>
      <w:r w:rsidRPr="007C1C8B">
        <w:rPr>
          <w:rFonts w:ascii="Garamond" w:hAnsi="Garamond"/>
          <w:lang w:val="sq-AL"/>
        </w:rPr>
        <w:t>.), nr. 18369/07, 4 mars 2008).</w:t>
      </w:r>
    </w:p>
    <w:p w14:paraId="606E5493" w14:textId="18986E43" w:rsidR="00692AE6" w:rsidRPr="007C1C8B" w:rsidRDefault="00692AE6" w:rsidP="00692AE6">
      <w:pPr>
        <w:pStyle w:val="JuPara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Nisur nga sa më lart, është me vend çregjistrimi i çështjes nga lista.</w:t>
      </w:r>
    </w:p>
    <w:p w14:paraId="03AF7189" w14:textId="2BCDB7A3" w:rsidR="00692AE6" w:rsidRPr="007C1C8B" w:rsidRDefault="00692AE6" w:rsidP="00692AE6">
      <w:pPr>
        <w:pStyle w:val="JuParaLast"/>
        <w:keepNext w:val="0"/>
        <w:keepLines w:val="0"/>
        <w:spacing w:before="0" w:after="0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Për këto arsye, Gjykata, unanimisht,</w:t>
      </w:r>
    </w:p>
    <w:p w14:paraId="7CA337FC" w14:textId="32921B57" w:rsidR="00692AE6" w:rsidRPr="007C1C8B" w:rsidRDefault="00692AE6" w:rsidP="00692AE6">
      <w:pPr>
        <w:pStyle w:val="DecList"/>
        <w:spacing w:before="0" w:after="0"/>
        <w:ind w:left="0"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i/>
          <w:iCs/>
          <w:lang w:val="sq-AL"/>
        </w:rPr>
        <w:t>mban parasysh</w:t>
      </w:r>
      <w:r w:rsidRPr="007C1C8B">
        <w:rPr>
          <w:rFonts w:ascii="Garamond" w:hAnsi="Garamond"/>
          <w:lang w:val="sq-AL"/>
        </w:rPr>
        <w:t xml:space="preserve"> kushtet e deklaratës së Qeverisë së paditur dhe të rregullimeve për të siguruar përmbushjen e angazhimeve të përmendura në të;</w:t>
      </w:r>
    </w:p>
    <w:p w14:paraId="1CA7A6A0" w14:textId="71E33626" w:rsidR="00692AE6" w:rsidRPr="007C1C8B" w:rsidRDefault="00692AE6" w:rsidP="00692AE6">
      <w:pPr>
        <w:pStyle w:val="DecList"/>
        <w:spacing w:before="0" w:after="0"/>
        <w:ind w:left="0"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i/>
          <w:iCs/>
          <w:lang w:val="sq-AL"/>
        </w:rPr>
        <w:t>vendos</w:t>
      </w:r>
      <w:r w:rsidRPr="007C1C8B">
        <w:rPr>
          <w:rFonts w:ascii="Garamond" w:hAnsi="Garamond"/>
          <w:lang w:val="sq-AL"/>
        </w:rPr>
        <w:t xml:space="preserve"> të çregjistrojë kërkesën nga lista e saj e çështjeve në përputhje me nenin 37 § 1 (c) të Konventës.</w:t>
      </w:r>
    </w:p>
    <w:p w14:paraId="66B00723" w14:textId="3A146043" w:rsidR="00692AE6" w:rsidRPr="007C1C8B" w:rsidRDefault="00692AE6" w:rsidP="00692AE6">
      <w:pPr>
        <w:pStyle w:val="JuParaLast"/>
        <w:keepNext w:val="0"/>
        <w:keepLines w:val="0"/>
        <w:spacing w:before="0" w:after="0"/>
        <w:ind w:firstLine="284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>Bërë në gjuhën angleze dhe njoftuar me shkrim</w:t>
      </w:r>
      <w:r w:rsidR="00D1372F" w:rsidRPr="007C1C8B">
        <w:rPr>
          <w:rFonts w:ascii="Garamond" w:hAnsi="Garamond"/>
          <w:lang w:val="sq-AL"/>
        </w:rPr>
        <w:t>,</w:t>
      </w:r>
      <w:r w:rsidRPr="007C1C8B">
        <w:rPr>
          <w:rFonts w:ascii="Garamond" w:hAnsi="Garamond"/>
          <w:lang w:val="sq-AL"/>
        </w:rPr>
        <w:t xml:space="preserve"> më 5 tetor 2023.</w:t>
      </w:r>
    </w:p>
    <w:p w14:paraId="49B43D92" w14:textId="77777777" w:rsidR="006F5F7A" w:rsidRPr="007C1C8B" w:rsidRDefault="00692AE6" w:rsidP="00692AE6">
      <w:pPr>
        <w:pStyle w:val="ECHRPlaceholder"/>
        <w:spacing w:before="0"/>
        <w:ind w:firstLine="284"/>
        <w:jc w:val="both"/>
        <w:rPr>
          <w:rFonts w:ascii="Garamond" w:hAnsi="Garamond"/>
          <w:lang w:val="sq-AL"/>
        </w:rPr>
      </w:pPr>
      <w:r w:rsidRPr="007C1C8B">
        <w:rPr>
          <w:rFonts w:ascii="Garamond" w:hAnsi="Garamond"/>
          <w:lang w:val="sq-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410"/>
      </w:tblGrid>
      <w:tr w:rsidR="006F5F7A" w:rsidRPr="007C1C8B" w14:paraId="34E58240" w14:textId="77777777" w:rsidTr="006F5F7A">
        <w:tc>
          <w:tcPr>
            <w:tcW w:w="3114" w:type="dxa"/>
          </w:tcPr>
          <w:p w14:paraId="7F07C0A2" w14:textId="69F8F2C5" w:rsidR="006F5F7A" w:rsidRPr="007C1C8B" w:rsidRDefault="006F5F7A" w:rsidP="006F5F7A">
            <w:pPr>
              <w:pStyle w:val="ECHRPlaceholder"/>
              <w:spacing w:before="0"/>
              <w:jc w:val="center"/>
              <w:rPr>
                <w:rFonts w:ascii="Garamond" w:hAnsi="Garamond"/>
                <w:lang w:val="sq-AL"/>
              </w:rPr>
            </w:pPr>
            <w:proofErr w:type="spellStart"/>
            <w:r w:rsidRPr="007C1C8B">
              <w:rPr>
                <w:rFonts w:ascii="Garamond" w:hAnsi="Garamond"/>
                <w:b/>
                <w:color w:val="000000"/>
                <w:lang w:val="sq-AL"/>
              </w:rPr>
              <w:t>Viktoriya</w:t>
            </w:r>
            <w:proofErr w:type="spellEnd"/>
            <w:r w:rsidRPr="007C1C8B">
              <w:rPr>
                <w:rFonts w:ascii="Garamond" w:hAnsi="Garamond"/>
                <w:b/>
                <w:color w:val="000000"/>
                <w:lang w:val="sq-AL"/>
              </w:rPr>
              <w:t xml:space="preserve"> </w:t>
            </w:r>
            <w:proofErr w:type="spellStart"/>
            <w:r w:rsidRPr="007C1C8B">
              <w:rPr>
                <w:rFonts w:ascii="Garamond" w:hAnsi="Garamond"/>
                <w:b/>
                <w:color w:val="000000"/>
                <w:lang w:val="sq-AL"/>
              </w:rPr>
              <w:t>Maradudina</w:t>
            </w:r>
            <w:proofErr w:type="spellEnd"/>
            <w:r w:rsidRPr="007C1C8B">
              <w:rPr>
                <w:rFonts w:ascii="Garamond" w:hAnsi="Garamond"/>
                <w:color w:val="000000"/>
                <w:lang w:val="sq-AL"/>
              </w:rPr>
              <w:t xml:space="preserve"> </w:t>
            </w:r>
            <w:proofErr w:type="spellStart"/>
            <w:r w:rsidR="000B212B" w:rsidRPr="007C1C8B">
              <w:rPr>
                <w:rFonts w:ascii="Garamond" w:hAnsi="Garamond"/>
                <w:color w:val="000000"/>
                <w:lang w:val="sq-AL"/>
              </w:rPr>
              <w:t>Zëvendëskancelare</w:t>
            </w:r>
            <w:proofErr w:type="spellEnd"/>
            <w:r w:rsidR="000B212B" w:rsidRPr="007C1C8B">
              <w:rPr>
                <w:rFonts w:ascii="Garamond" w:hAnsi="Garamond"/>
                <w:color w:val="000000"/>
                <w:lang w:val="sq-AL"/>
              </w:rPr>
              <w:t xml:space="preserve"> </w:t>
            </w:r>
            <w:r w:rsidRPr="007C1C8B">
              <w:rPr>
                <w:rFonts w:ascii="Garamond" w:hAnsi="Garamond"/>
                <w:color w:val="000000"/>
                <w:lang w:val="sq-AL"/>
              </w:rPr>
              <w:t>në detyrë</w:t>
            </w:r>
          </w:p>
        </w:tc>
        <w:tc>
          <w:tcPr>
            <w:tcW w:w="2410" w:type="dxa"/>
          </w:tcPr>
          <w:p w14:paraId="6656F586" w14:textId="31160B65" w:rsidR="006F5F7A" w:rsidRPr="007C1C8B" w:rsidRDefault="006F5F7A" w:rsidP="006F5F7A">
            <w:pPr>
              <w:pStyle w:val="ECHRPlaceholder"/>
              <w:spacing w:before="0"/>
              <w:ind w:firstLine="284"/>
              <w:jc w:val="center"/>
              <w:rPr>
                <w:rFonts w:ascii="Garamond" w:hAnsi="Garamond"/>
                <w:b/>
                <w:color w:val="000000"/>
                <w:lang w:val="sq-AL"/>
              </w:rPr>
            </w:pPr>
            <w:proofErr w:type="spellStart"/>
            <w:r w:rsidRPr="007C1C8B">
              <w:rPr>
                <w:rFonts w:ascii="Garamond" w:hAnsi="Garamond"/>
                <w:b/>
                <w:color w:val="000000"/>
                <w:lang w:val="sq-AL"/>
              </w:rPr>
              <w:t>Ioannis</w:t>
            </w:r>
            <w:proofErr w:type="spellEnd"/>
            <w:r w:rsidRPr="007C1C8B">
              <w:rPr>
                <w:rFonts w:ascii="Garamond" w:hAnsi="Garamond"/>
                <w:b/>
                <w:color w:val="000000"/>
                <w:lang w:val="sq-AL"/>
              </w:rPr>
              <w:t xml:space="preserve"> </w:t>
            </w:r>
            <w:proofErr w:type="spellStart"/>
            <w:r w:rsidRPr="007C1C8B">
              <w:rPr>
                <w:rFonts w:ascii="Garamond" w:hAnsi="Garamond"/>
                <w:b/>
                <w:color w:val="000000"/>
                <w:lang w:val="sq-AL"/>
              </w:rPr>
              <w:t>Ktistakis</w:t>
            </w:r>
            <w:proofErr w:type="spellEnd"/>
          </w:p>
          <w:p w14:paraId="6775FFDC" w14:textId="1E4A808A" w:rsidR="006F5F7A" w:rsidRPr="007C1C8B" w:rsidRDefault="006F5F7A" w:rsidP="006F5F7A">
            <w:pPr>
              <w:pStyle w:val="ECHRPlaceholder"/>
              <w:spacing w:before="0"/>
              <w:ind w:firstLine="284"/>
              <w:jc w:val="center"/>
              <w:rPr>
                <w:rFonts w:ascii="Garamond" w:hAnsi="Garamond"/>
                <w:color w:val="000000"/>
                <w:lang w:val="sq-AL"/>
              </w:rPr>
            </w:pPr>
            <w:r w:rsidRPr="007C1C8B">
              <w:rPr>
                <w:rFonts w:ascii="Garamond" w:hAnsi="Garamond"/>
                <w:color w:val="000000"/>
                <w:lang w:val="sq-AL"/>
              </w:rPr>
              <w:t>President</w:t>
            </w:r>
          </w:p>
        </w:tc>
      </w:tr>
    </w:tbl>
    <w:p w14:paraId="0A0EC0B4" w14:textId="65E2D28C" w:rsidR="00692AE6" w:rsidRPr="007C1C8B" w:rsidRDefault="00692AE6" w:rsidP="00692AE6">
      <w:pPr>
        <w:pStyle w:val="ECHRPlaceholder"/>
        <w:spacing w:before="0"/>
        <w:ind w:firstLine="284"/>
        <w:jc w:val="both"/>
        <w:rPr>
          <w:rFonts w:ascii="Garamond" w:hAnsi="Garamond"/>
          <w:lang w:val="sq-AL"/>
        </w:rPr>
      </w:pPr>
    </w:p>
    <w:p w14:paraId="128B248D" w14:textId="77777777" w:rsidR="008F5D31" w:rsidRPr="007C1C8B" w:rsidRDefault="008F5D31" w:rsidP="008F5D31">
      <w:pPr>
        <w:pStyle w:val="DecHTitle"/>
        <w:spacing w:after="0"/>
        <w:ind w:firstLine="0"/>
        <w:rPr>
          <w:rFonts w:ascii="Garamond" w:eastAsia="PMingLiU" w:hAnsi="Garamond"/>
          <w:sz w:val="24"/>
          <w:szCs w:val="24"/>
          <w:lang w:val="sq-AL"/>
        </w:rPr>
      </w:pPr>
      <w:r w:rsidRPr="007C1C8B">
        <w:rPr>
          <w:rFonts w:ascii="Garamond" w:hAnsi="Garamond"/>
          <w:sz w:val="24"/>
          <w:szCs w:val="24"/>
          <w:lang w:val="sq-AL"/>
        </w:rPr>
        <w:t>SHTOJCË</w:t>
      </w:r>
    </w:p>
    <w:p w14:paraId="7F05F236" w14:textId="77777777" w:rsidR="008F5D31" w:rsidRPr="007C1C8B" w:rsidRDefault="008F5D31" w:rsidP="008F5D31">
      <w:pPr>
        <w:pStyle w:val="DecHCase"/>
        <w:spacing w:after="0"/>
        <w:ind w:firstLine="0"/>
        <w:contextualSpacing/>
        <w:rPr>
          <w:rFonts w:ascii="Garamond" w:hAnsi="Garamond"/>
          <w:i/>
          <w:lang w:val="sq-AL"/>
        </w:rPr>
      </w:pPr>
      <w:r w:rsidRPr="007C1C8B">
        <w:rPr>
          <w:rFonts w:ascii="Garamond" w:hAnsi="Garamond"/>
          <w:i/>
          <w:lang w:val="sq-AL"/>
        </w:rPr>
        <w:t>Kërkesa që paraqet ankimin sipas nenit 6 § 1 të Konventës</w:t>
      </w:r>
    </w:p>
    <w:p w14:paraId="2229FC47" w14:textId="77777777" w:rsidR="008F5D31" w:rsidRPr="007C1C8B" w:rsidRDefault="008F5D31" w:rsidP="008F5D31">
      <w:pPr>
        <w:pStyle w:val="DecHCase"/>
        <w:spacing w:after="0"/>
        <w:ind w:firstLine="0"/>
        <w:rPr>
          <w:rFonts w:ascii="Garamond" w:hAnsi="Garamond"/>
          <w:i/>
          <w:lang w:val="sq-AL"/>
        </w:rPr>
      </w:pPr>
      <w:r w:rsidRPr="007C1C8B">
        <w:rPr>
          <w:rFonts w:ascii="Garamond" w:hAnsi="Garamond"/>
          <w:i/>
          <w:lang w:val="sq-AL"/>
        </w:rPr>
        <w:t>(Tejkalimi i kohëzgjatjes së procesit civil)</w:t>
      </w:r>
    </w:p>
    <w:tbl>
      <w:tblPr>
        <w:tblStyle w:val="ECHRListTable"/>
        <w:tblpPr w:leftFromText="141" w:rightFromText="141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35"/>
        <w:gridCol w:w="2013"/>
        <w:gridCol w:w="1678"/>
        <w:gridCol w:w="2268"/>
        <w:gridCol w:w="1956"/>
      </w:tblGrid>
      <w:tr w:rsidR="008F5D31" w:rsidRPr="007C1C8B" w14:paraId="094AB804" w14:textId="77777777" w:rsidTr="000B21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67" w:type="pct"/>
          </w:tcPr>
          <w:p w14:paraId="3FBFF09B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bookmarkStart w:id="1" w:name="WECLListStart"/>
            <w:bookmarkStart w:id="2" w:name="TableStart"/>
            <w:bookmarkEnd w:id="1"/>
            <w:bookmarkEnd w:id="2"/>
            <w:r w:rsidRPr="007C1C8B">
              <w:rPr>
                <w:rFonts w:ascii="Garamond" w:hAnsi="Garamond"/>
                <w:color w:val="000000" w:themeColor="text1"/>
              </w:rPr>
              <w:t>Kërkesa nr.</w:t>
            </w:r>
            <w:r w:rsidRPr="007C1C8B">
              <w:rPr>
                <w:rFonts w:ascii="Garamond" w:hAnsi="Garamond"/>
                <w:color w:val="000000" w:themeColor="text1"/>
              </w:rPr>
              <w:br/>
              <w:t>Data e paraqitjes</w:t>
            </w:r>
          </w:p>
        </w:tc>
        <w:tc>
          <w:tcPr>
            <w:tcW w:w="1076" w:type="pct"/>
          </w:tcPr>
          <w:p w14:paraId="417E48B8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r w:rsidRPr="007C1C8B">
              <w:rPr>
                <w:rFonts w:ascii="Garamond" w:hAnsi="Garamond"/>
                <w:color w:val="000000" w:themeColor="text1"/>
              </w:rPr>
              <w:t>Emri i kërkuesit</w:t>
            </w:r>
          </w:p>
          <w:p w14:paraId="24B88F97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r w:rsidRPr="007C1C8B">
              <w:rPr>
                <w:rFonts w:ascii="Garamond" w:hAnsi="Garamond"/>
                <w:color w:val="000000" w:themeColor="text1"/>
              </w:rPr>
              <w:t>Viti i lindjes</w:t>
            </w:r>
          </w:p>
          <w:p w14:paraId="5769580A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</w:p>
        </w:tc>
        <w:tc>
          <w:tcPr>
            <w:tcW w:w="897" w:type="pct"/>
          </w:tcPr>
          <w:p w14:paraId="7F635CB5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  <w:spacing w:val="-4"/>
              </w:rPr>
            </w:pPr>
            <w:r w:rsidRPr="007C1C8B">
              <w:rPr>
                <w:rFonts w:ascii="Garamond" w:hAnsi="Garamond"/>
                <w:color w:val="000000" w:themeColor="text1"/>
              </w:rPr>
              <w:t>Data e marrjes së deklaratës së Qeverisë</w:t>
            </w:r>
          </w:p>
        </w:tc>
        <w:tc>
          <w:tcPr>
            <w:tcW w:w="1213" w:type="pct"/>
          </w:tcPr>
          <w:p w14:paraId="21E88D3B" w14:textId="77787C10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r w:rsidRPr="007C1C8B">
              <w:rPr>
                <w:rFonts w:ascii="Garamond" w:hAnsi="Garamond"/>
                <w:color w:val="000000" w:themeColor="text1"/>
              </w:rPr>
              <w:t xml:space="preserve">Shuma e dhënë për dëmshpërblim </w:t>
            </w:r>
            <w:proofErr w:type="spellStart"/>
            <w:r w:rsidRPr="007C1C8B">
              <w:rPr>
                <w:rFonts w:ascii="Garamond" w:hAnsi="Garamond"/>
                <w:color w:val="000000" w:themeColor="text1"/>
              </w:rPr>
              <w:t>jomonetar</w:t>
            </w:r>
            <w:proofErr w:type="spellEnd"/>
          </w:p>
          <w:p w14:paraId="717EE579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r w:rsidRPr="007C1C8B">
              <w:rPr>
                <w:rFonts w:ascii="Garamond" w:hAnsi="Garamond"/>
                <w:color w:val="000000" w:themeColor="text1"/>
              </w:rPr>
              <w:t>për kërkues</w:t>
            </w:r>
          </w:p>
          <w:p w14:paraId="2C365961" w14:textId="3FC5D1A5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r w:rsidRPr="007C1C8B">
              <w:rPr>
                <w:rFonts w:ascii="Garamond" w:hAnsi="Garamond"/>
                <w:color w:val="000000" w:themeColor="text1"/>
              </w:rPr>
              <w:t>(në euro)</w:t>
            </w:r>
            <w:r w:rsidRPr="007C1C8B">
              <w:rPr>
                <w:rStyle w:val="FootnoteReference"/>
                <w:rFonts w:ascii="Garamond" w:hAnsi="Garamond"/>
                <w:color w:val="000000" w:themeColor="text1"/>
              </w:rPr>
              <w:footnoteReference w:id="2"/>
            </w:r>
            <w:r w:rsidRPr="007C1C8B">
              <w:rPr>
                <w:rStyle w:val="EndnoteReference"/>
                <w:rFonts w:ascii="Garamond" w:hAnsi="Garamond"/>
                <w:color w:val="000000" w:themeColor="text1"/>
              </w:rPr>
              <w:t xml:space="preserve"> </w:t>
            </w:r>
          </w:p>
        </w:tc>
        <w:tc>
          <w:tcPr>
            <w:tcW w:w="1046" w:type="pct"/>
          </w:tcPr>
          <w:p w14:paraId="3C0FB2FC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r w:rsidRPr="007C1C8B">
              <w:rPr>
                <w:rFonts w:ascii="Garamond" w:hAnsi="Garamond"/>
                <w:color w:val="000000" w:themeColor="text1"/>
              </w:rPr>
              <w:t>Shumat e dhëna për kosto dhe shpenzime për kërkesën</w:t>
            </w:r>
          </w:p>
          <w:p w14:paraId="415231BB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  <w:color w:val="000000" w:themeColor="text1"/>
              </w:rPr>
            </w:pPr>
            <w:r w:rsidRPr="007C1C8B">
              <w:rPr>
                <w:rFonts w:ascii="Garamond" w:hAnsi="Garamond"/>
                <w:color w:val="000000" w:themeColor="text1"/>
              </w:rPr>
              <w:t>(në euro)</w:t>
            </w:r>
          </w:p>
        </w:tc>
      </w:tr>
      <w:tr w:rsidR="008F5D31" w:rsidRPr="007C1C8B" w14:paraId="1C5972D4" w14:textId="77777777" w:rsidTr="000B212B">
        <w:tc>
          <w:tcPr>
            <w:tcW w:w="767" w:type="pct"/>
          </w:tcPr>
          <w:p w14:paraId="12822635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</w:rPr>
            </w:pPr>
            <w:r w:rsidRPr="007C1C8B">
              <w:rPr>
                <w:rFonts w:ascii="Garamond" w:hAnsi="Garamond"/>
              </w:rPr>
              <w:t>50783/12</w:t>
            </w:r>
          </w:p>
          <w:p w14:paraId="26006DF0" w14:textId="727B18EF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</w:rPr>
            </w:pPr>
            <w:r w:rsidRPr="007C1C8B">
              <w:rPr>
                <w:rFonts w:ascii="Garamond" w:hAnsi="Garamond"/>
              </w:rPr>
              <w:t>31</w:t>
            </w:r>
            <w:r w:rsidR="000B212B" w:rsidRPr="007C1C8B">
              <w:rPr>
                <w:rFonts w:ascii="Garamond" w:hAnsi="Garamond"/>
              </w:rPr>
              <w:t>.</w:t>
            </w:r>
            <w:r w:rsidRPr="007C1C8B">
              <w:rPr>
                <w:rFonts w:ascii="Garamond" w:hAnsi="Garamond"/>
              </w:rPr>
              <w:t>7</w:t>
            </w:r>
            <w:r w:rsidR="000B212B" w:rsidRPr="007C1C8B">
              <w:rPr>
                <w:rFonts w:ascii="Garamond" w:hAnsi="Garamond"/>
              </w:rPr>
              <w:t>.</w:t>
            </w:r>
            <w:r w:rsidRPr="007C1C8B">
              <w:rPr>
                <w:rFonts w:ascii="Garamond" w:hAnsi="Garamond"/>
              </w:rPr>
              <w:t>2012</w:t>
            </w:r>
          </w:p>
        </w:tc>
        <w:tc>
          <w:tcPr>
            <w:tcW w:w="1076" w:type="pct"/>
          </w:tcPr>
          <w:p w14:paraId="798649E1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</w:rPr>
            </w:pPr>
            <w:r w:rsidRPr="007C1C8B">
              <w:rPr>
                <w:rFonts w:ascii="Garamond" w:hAnsi="Garamond"/>
                <w:b/>
              </w:rPr>
              <w:t xml:space="preserve">Dede </w:t>
            </w:r>
            <w:proofErr w:type="spellStart"/>
            <w:r w:rsidRPr="007C1C8B">
              <w:rPr>
                <w:rFonts w:ascii="Garamond" w:hAnsi="Garamond"/>
                <w:b/>
              </w:rPr>
              <w:t>ZHIVANI</w:t>
            </w:r>
            <w:proofErr w:type="spellEnd"/>
          </w:p>
          <w:p w14:paraId="2FCD37B2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</w:rPr>
            </w:pPr>
            <w:r w:rsidRPr="007C1C8B">
              <w:rPr>
                <w:rFonts w:ascii="Garamond" w:hAnsi="Garamond"/>
              </w:rPr>
              <w:t>1957</w:t>
            </w:r>
          </w:p>
        </w:tc>
        <w:tc>
          <w:tcPr>
            <w:tcW w:w="897" w:type="pct"/>
          </w:tcPr>
          <w:p w14:paraId="6EDE8459" w14:textId="31271694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</w:rPr>
            </w:pPr>
            <w:r w:rsidRPr="007C1C8B">
              <w:rPr>
                <w:rFonts w:ascii="Garamond" w:hAnsi="Garamond"/>
              </w:rPr>
              <w:t>5</w:t>
            </w:r>
            <w:r w:rsidR="000B212B" w:rsidRPr="007C1C8B">
              <w:rPr>
                <w:rFonts w:ascii="Garamond" w:hAnsi="Garamond"/>
              </w:rPr>
              <w:t>.</w:t>
            </w:r>
            <w:r w:rsidRPr="007C1C8B">
              <w:rPr>
                <w:rFonts w:ascii="Garamond" w:hAnsi="Garamond"/>
              </w:rPr>
              <w:t>4</w:t>
            </w:r>
            <w:r w:rsidR="000B212B" w:rsidRPr="007C1C8B">
              <w:rPr>
                <w:rFonts w:ascii="Garamond" w:hAnsi="Garamond"/>
              </w:rPr>
              <w:t>.</w:t>
            </w:r>
            <w:r w:rsidRPr="007C1C8B">
              <w:rPr>
                <w:rFonts w:ascii="Garamond" w:hAnsi="Garamond"/>
              </w:rPr>
              <w:t>2023</w:t>
            </w:r>
          </w:p>
        </w:tc>
        <w:tc>
          <w:tcPr>
            <w:tcW w:w="1213" w:type="pct"/>
          </w:tcPr>
          <w:p w14:paraId="69883E9E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</w:rPr>
            </w:pPr>
            <w:r w:rsidRPr="007C1C8B">
              <w:rPr>
                <w:rFonts w:ascii="Garamond" w:hAnsi="Garamond"/>
              </w:rPr>
              <w:t>1.200</w:t>
            </w:r>
          </w:p>
        </w:tc>
        <w:tc>
          <w:tcPr>
            <w:tcW w:w="1046" w:type="pct"/>
          </w:tcPr>
          <w:p w14:paraId="2AD73001" w14:textId="77777777" w:rsidR="008F5D31" w:rsidRPr="007C1C8B" w:rsidRDefault="008F5D31" w:rsidP="008F5D31">
            <w:pPr>
              <w:jc w:val="center"/>
              <w:rPr>
                <w:rFonts w:ascii="Garamond" w:eastAsia="PMingLiU" w:hAnsi="Garamond" w:cs="Times New Roman"/>
              </w:rPr>
            </w:pPr>
            <w:r w:rsidRPr="007C1C8B">
              <w:rPr>
                <w:rFonts w:ascii="Garamond" w:hAnsi="Garamond"/>
              </w:rPr>
              <w:t>250</w:t>
            </w:r>
          </w:p>
        </w:tc>
      </w:tr>
    </w:tbl>
    <w:p w14:paraId="7CD0FAA2" w14:textId="782C1082" w:rsidR="00692AE6" w:rsidRPr="007C1C8B" w:rsidRDefault="00692AE6" w:rsidP="008F5D31">
      <w:pPr>
        <w:pStyle w:val="ECHRPlaceholder"/>
        <w:spacing w:before="0"/>
        <w:jc w:val="both"/>
        <w:rPr>
          <w:rFonts w:ascii="Garamond" w:hAnsi="Garamond"/>
          <w:lang w:val="sq-AL"/>
        </w:rPr>
      </w:pPr>
    </w:p>
    <w:p w14:paraId="4D824E93" w14:textId="77777777" w:rsidR="00692AE6" w:rsidRPr="007C1C8B" w:rsidRDefault="00692AE6" w:rsidP="008F5D31">
      <w:pPr>
        <w:pStyle w:val="ECHRPlaceholder"/>
        <w:spacing w:before="0"/>
        <w:jc w:val="both"/>
        <w:rPr>
          <w:rFonts w:ascii="Garamond" w:hAnsi="Garamond"/>
          <w:lang w:val="sq-AL"/>
        </w:rPr>
      </w:pPr>
    </w:p>
    <w:p w14:paraId="73037DF2" w14:textId="582F8A78" w:rsidR="00692AE6" w:rsidRPr="007C1C8B" w:rsidRDefault="00692AE6" w:rsidP="008F5D31">
      <w:pPr>
        <w:pStyle w:val="ECHRPlaceholder"/>
        <w:spacing w:before="0"/>
        <w:jc w:val="both"/>
        <w:rPr>
          <w:rFonts w:ascii="Garamond" w:hAnsi="Garamond"/>
          <w:color w:val="000000"/>
          <w:lang w:val="sq-AL"/>
        </w:rPr>
      </w:pPr>
      <w:r w:rsidRPr="007C1C8B">
        <w:rPr>
          <w:rFonts w:ascii="Garamond" w:hAnsi="Garamond"/>
          <w:color w:val="000000"/>
          <w:lang w:val="sq-AL"/>
        </w:rPr>
        <w:t xml:space="preserve"> </w:t>
      </w:r>
    </w:p>
    <w:p w14:paraId="39B52EE6" w14:textId="6E5083DF" w:rsidR="00692AE6" w:rsidRPr="007C1C8B" w:rsidRDefault="00692AE6" w:rsidP="008F5D3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1E003B7" w14:textId="29FB4724" w:rsidR="008F5D31" w:rsidRPr="007C1C8B" w:rsidRDefault="008F5D31" w:rsidP="008F5D3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7E50ABE" w14:textId="18D9ECA0" w:rsidR="008F5D31" w:rsidRPr="007C1C8B" w:rsidRDefault="008F5D31" w:rsidP="008F5D3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B57622E" w14:textId="625E776B" w:rsidR="008F5D31" w:rsidRPr="007C1C8B" w:rsidRDefault="008F5D31" w:rsidP="008F5D3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D1835B0" w14:textId="04D07769" w:rsidR="008F5D31" w:rsidRPr="007C1C8B" w:rsidRDefault="008F5D31" w:rsidP="008F5D3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8F5D31" w:rsidRPr="007C1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8D48F" w14:textId="77777777" w:rsidR="007D4ED1" w:rsidRDefault="007D4ED1" w:rsidP="008F5D31">
      <w:pPr>
        <w:spacing w:after="0" w:line="240" w:lineRule="auto"/>
      </w:pPr>
      <w:r>
        <w:separator/>
      </w:r>
    </w:p>
  </w:endnote>
  <w:endnote w:type="continuationSeparator" w:id="0">
    <w:p w14:paraId="40574784" w14:textId="77777777" w:rsidR="007D4ED1" w:rsidRDefault="007D4ED1" w:rsidP="008F5D31">
      <w:pPr>
        <w:spacing w:after="0" w:line="240" w:lineRule="auto"/>
      </w:pPr>
      <w:r>
        <w:continuationSeparator/>
      </w:r>
    </w:p>
  </w:endnote>
  <w:endnote w:type="continuationNotice" w:id="1">
    <w:p w14:paraId="6EB8C6FA" w14:textId="77777777" w:rsidR="00EE6FBD" w:rsidRDefault="00EE6F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58E0A" w14:textId="77777777" w:rsidR="007D4ED1" w:rsidRDefault="007D4ED1" w:rsidP="008F5D31">
      <w:pPr>
        <w:spacing w:after="0" w:line="240" w:lineRule="auto"/>
      </w:pPr>
      <w:r>
        <w:separator/>
      </w:r>
    </w:p>
  </w:footnote>
  <w:footnote w:type="continuationSeparator" w:id="0">
    <w:p w14:paraId="169842F4" w14:textId="77777777" w:rsidR="007D4ED1" w:rsidRDefault="007D4ED1" w:rsidP="008F5D31">
      <w:pPr>
        <w:spacing w:after="0" w:line="240" w:lineRule="auto"/>
      </w:pPr>
      <w:r>
        <w:continuationSeparator/>
      </w:r>
    </w:p>
  </w:footnote>
  <w:footnote w:type="continuationNotice" w:id="1">
    <w:p w14:paraId="4BBBFA0E" w14:textId="77777777" w:rsidR="00EE6FBD" w:rsidRDefault="00EE6FBD">
      <w:pPr>
        <w:spacing w:after="0" w:line="240" w:lineRule="auto"/>
      </w:pPr>
    </w:p>
  </w:footnote>
  <w:footnote w:id="2">
    <w:p w14:paraId="23086BE1" w14:textId="6F39FA7F" w:rsidR="007D4ED1" w:rsidRPr="00D9569D" w:rsidRDefault="007D4ED1">
      <w:pPr>
        <w:pStyle w:val="FootnoteText"/>
        <w:rPr>
          <w:rFonts w:ascii="Garamond" w:hAnsi="Garamond"/>
          <w:lang w:val="sq-AL"/>
        </w:rPr>
      </w:pPr>
      <w:r w:rsidRPr="00D9569D">
        <w:rPr>
          <w:rStyle w:val="FootnoteReference"/>
          <w:rFonts w:ascii="Garamond" w:hAnsi="Garamond"/>
          <w:lang w:val="sq-AL"/>
        </w:rPr>
        <w:footnoteRef/>
      </w:r>
      <w:r w:rsidRPr="00D9569D">
        <w:rPr>
          <w:rFonts w:ascii="Garamond" w:hAnsi="Garamond"/>
          <w:lang w:val="sq-AL"/>
        </w:rPr>
        <w:t xml:space="preserve"> Plus çdo taksë që mund t</w:t>
      </w:r>
      <w:r w:rsidR="00D9569D">
        <w:rPr>
          <w:rFonts w:ascii="Garamond" w:hAnsi="Garamond"/>
          <w:lang w:val="sq-AL"/>
        </w:rPr>
        <w:t>’</w:t>
      </w:r>
      <w:r w:rsidRPr="00D9569D">
        <w:rPr>
          <w:rFonts w:ascii="Garamond" w:hAnsi="Garamond"/>
          <w:lang w:val="sq-AL"/>
        </w:rPr>
        <w:t>i ngarkohet kërkuesit</w:t>
      </w:r>
      <w:r w:rsidR="00D9569D" w:rsidRPr="00D9569D"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1D"/>
    <w:rsid w:val="000B212B"/>
    <w:rsid w:val="000F74B6"/>
    <w:rsid w:val="00126853"/>
    <w:rsid w:val="00140725"/>
    <w:rsid w:val="00211C60"/>
    <w:rsid w:val="00420FCC"/>
    <w:rsid w:val="0047451F"/>
    <w:rsid w:val="00484203"/>
    <w:rsid w:val="00495544"/>
    <w:rsid w:val="0059192E"/>
    <w:rsid w:val="00692AE6"/>
    <w:rsid w:val="006F5F7A"/>
    <w:rsid w:val="00705519"/>
    <w:rsid w:val="007A461B"/>
    <w:rsid w:val="007C1C8B"/>
    <w:rsid w:val="007D4ED1"/>
    <w:rsid w:val="008C6CC4"/>
    <w:rsid w:val="008C7EE7"/>
    <w:rsid w:val="008F5D31"/>
    <w:rsid w:val="0095571D"/>
    <w:rsid w:val="00AA5403"/>
    <w:rsid w:val="00AD6F91"/>
    <w:rsid w:val="00AE79F1"/>
    <w:rsid w:val="00D1372F"/>
    <w:rsid w:val="00D9569D"/>
    <w:rsid w:val="00DF68E0"/>
    <w:rsid w:val="00E95D1D"/>
    <w:rsid w:val="00EB6E56"/>
    <w:rsid w:val="00EC3B71"/>
    <w:rsid w:val="00EE6F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FBE63"/>
  <w15:chartTrackingRefBased/>
  <w15:docId w15:val="{3A9E48BA-2D38-4045-9356-ED38CC3A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8" w:unhideWhenUsed="1"/>
    <w:lsdException w:name="endnote text" w:semiHidden="1" w:uiPriority="98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Quot">
    <w:name w:val="Ju_Quot"/>
    <w:aliases w:val="_Quote"/>
    <w:basedOn w:val="Normal"/>
    <w:rsid w:val="00692AE6"/>
    <w:pPr>
      <w:autoSpaceDE w:val="0"/>
      <w:autoSpaceDN w:val="0"/>
      <w:adjustRightInd w:val="0"/>
      <w:spacing w:before="120" w:after="120" w:line="240" w:lineRule="auto"/>
      <w:ind w:left="420" w:firstLine="140"/>
      <w:jc w:val="both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ECHRPlaceholder">
    <w:name w:val="ECHR_Placeholder"/>
    <w:aliases w:val="_Placeholder"/>
    <w:uiPriority w:val="99"/>
    <w:rsid w:val="00692AE6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Calibri" w:hAnsi="Calibri" w:cs="Calibri"/>
      <w:color w:val="FFFFFF"/>
      <w:sz w:val="24"/>
      <w:szCs w:val="24"/>
    </w:rPr>
  </w:style>
  <w:style w:type="paragraph" w:customStyle="1" w:styleId="JuParaLast">
    <w:name w:val="Ju_Para_Last"/>
    <w:aliases w:val="_Para_Spaced"/>
    <w:basedOn w:val="Normal"/>
    <w:uiPriority w:val="99"/>
    <w:rsid w:val="00692AE6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Calibri" w:hAnsi="Calibri" w:cs="Calibri"/>
      <w:color w:val="000000"/>
      <w:sz w:val="24"/>
      <w:szCs w:val="24"/>
    </w:rPr>
  </w:style>
  <w:style w:type="paragraph" w:customStyle="1" w:styleId="DecList">
    <w:name w:val="Dec_List"/>
    <w:aliases w:val="_List"/>
    <w:basedOn w:val="Normal"/>
    <w:uiPriority w:val="99"/>
    <w:rsid w:val="00692AE6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Calibri" w:hAnsi="Calibri" w:cs="Calibri"/>
      <w:color w:val="000000"/>
      <w:sz w:val="24"/>
      <w:szCs w:val="24"/>
    </w:rPr>
  </w:style>
  <w:style w:type="paragraph" w:customStyle="1" w:styleId="JuJudges">
    <w:name w:val="Ju_Judges"/>
    <w:aliases w:val="_Judges"/>
    <w:basedOn w:val="Normal"/>
    <w:uiPriority w:val="99"/>
    <w:rsid w:val="00692AE6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92AE6"/>
    <w:pPr>
      <w:keepNext/>
      <w:keepLines/>
      <w:spacing w:after="280"/>
      <w:jc w:val="center"/>
    </w:pPr>
    <w:rPr>
      <w:rFonts w:ascii="Calibri Light" w:hAnsi="Calibri Light" w:cs="Calibri Light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92AE6"/>
    <w:pPr>
      <w:keepNext/>
      <w:keepLines/>
      <w:spacing w:after="240"/>
      <w:jc w:val="center"/>
    </w:pPr>
    <w:rPr>
      <w:rFonts w:ascii="Calibri Light" w:hAnsi="Calibri Light" w:cs="Calibri Light"/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692AE6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5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8"/>
    <w:semiHidden/>
    <w:rsid w:val="008F5D31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8F5D31"/>
    <w:pPr>
      <w:spacing w:after="0" w:line="240" w:lineRule="auto"/>
    </w:pPr>
    <w:rPr>
      <w:sz w:val="20"/>
      <w:szCs w:val="20"/>
      <w:lang w:val="sq-AL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8F5D31"/>
    <w:rPr>
      <w:sz w:val="20"/>
      <w:szCs w:val="20"/>
      <w:lang w:val="sq-AL"/>
    </w:rPr>
  </w:style>
  <w:style w:type="table" w:customStyle="1" w:styleId="ECHRListTable">
    <w:name w:val="ECHR_List_Table"/>
    <w:basedOn w:val="TableNormal"/>
    <w:uiPriority w:val="99"/>
    <w:rsid w:val="008F5D31"/>
    <w:pPr>
      <w:spacing w:after="0" w:line="240" w:lineRule="auto"/>
    </w:pPr>
    <w:rPr>
      <w:sz w:val="24"/>
      <w:szCs w:val="24"/>
      <w:lang w:val="sq-AL"/>
    </w:rPr>
    <w:tblPr>
      <w:tblBorders>
        <w:top w:val="single" w:sz="4" w:space="0" w:color="323E4F" w:themeColor="text2" w:themeShade="BF"/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7B7B7B" w:themeColor="accent3" w:themeShade="BF"/>
      </w:rPr>
      <w:tblPr/>
      <w:trPr>
        <w:tblHeader/>
      </w:trPr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cBorders>
        <w:shd w:val="clear" w:color="auto" w:fill="D0CECE" w:themeFill="background2" w:themeFillShade="E6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5D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5D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5D31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EE6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6FBD"/>
  </w:style>
  <w:style w:type="paragraph" w:styleId="Footer">
    <w:name w:val="footer"/>
    <w:basedOn w:val="Normal"/>
    <w:link w:val="FooterChar"/>
    <w:uiPriority w:val="99"/>
    <w:semiHidden/>
    <w:unhideWhenUsed/>
    <w:rsid w:val="00EE6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6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50783-12</Nr_x002e__x0020_akti>
    <Data_x0020_e_x0020_Krijimit xmlns="0e656187-b300-4fb0-8bf4-3a50f872073c">2023-11-15T14:14:49Z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Dede Zhivani kundër Shqipërisë ( kërkesa nr. 50783/12)</Titulli>
    <Modifikuesi xmlns="0e656187-b300-4fb0-8bf4-3a50f872073c">ermira.bukaci</Modifikuesi>
    <Nr_x002e__x0020_prot_x0020_QBZ xmlns="0e656187-b300-4fb0-8bf4-3a50f872073c">1702-1</Nr_x002e__x0020_prot_x0020_QBZ>
    <Data_x0020_e_x0020_Modifikimit xmlns="0e656187-b300-4fb0-8bf4-3a50f872073c">2023-11-16T09:51:23Z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6223-1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C72E2D0FBE446E918235B0D1B77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C72E2D0FBE446E918235B0D1B77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30A85-E581-4BC8-B786-AF93D100D28D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53B0A39-144F-4FF8-97B9-246A04E444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BD97E-DA46-4F9A-AEBD-03405B3DC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78C186-8833-4A46-B072-99215D2C0C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B99794-1723-4481-8552-19C4095F2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B05B43-7BD8-4A76-B50C-8BE5C91C0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Dede Zhivani kundër Shqipërisë ( kërkesa nr. 50783/12)</vt:lpstr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Dede Zhivani kundër Shqipërisë ( kërkesa nr. 50783/12)</dc:title>
  <dc:creator>Entela Suli</dc:creator>
  <cp:lastModifiedBy>Jorina Kryeziu</cp:lastModifiedBy>
  <cp:revision>23</cp:revision>
  <dcterms:created xsi:type="dcterms:W3CDTF">2023-11-15T12:28:00Z</dcterms:created>
  <dcterms:modified xsi:type="dcterms:W3CDTF">2023-11-16T10:34:00Z</dcterms:modified>
</cp:coreProperties>
</file>