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CA81CE" w14:textId="77777777" w:rsidR="00684153" w:rsidRPr="005C2AE8" w:rsidRDefault="00684153" w:rsidP="00684153">
      <w:pPr>
        <w:tabs>
          <w:tab w:val="left" w:pos="5529"/>
        </w:tabs>
        <w:spacing w:after="0" w:line="240" w:lineRule="auto"/>
        <w:ind w:firstLine="284"/>
        <w:jc w:val="center"/>
        <w:rPr>
          <w:rFonts w:ascii="Garamond" w:hAnsi="Garamond"/>
          <w:sz w:val="24"/>
          <w:szCs w:val="24"/>
        </w:rPr>
      </w:pPr>
      <w:r w:rsidRPr="005C2AE8">
        <w:rPr>
          <w:rFonts w:ascii="Garamond" w:hAnsi="Garamond"/>
          <w:sz w:val="24"/>
          <w:szCs w:val="24"/>
        </w:rPr>
        <w:t>GJYKATA EVROPIANE PËR TË DREJTAT E NJERIUT</w:t>
      </w:r>
    </w:p>
    <w:p w14:paraId="3F934E11" w14:textId="052D0272" w:rsidR="00684153" w:rsidRPr="005C2AE8" w:rsidRDefault="00684153" w:rsidP="00684153">
      <w:pPr>
        <w:autoSpaceDE w:val="0"/>
        <w:autoSpaceDN w:val="0"/>
        <w:adjustRightInd w:val="0"/>
        <w:spacing w:after="0" w:line="240" w:lineRule="auto"/>
        <w:ind w:firstLine="284"/>
        <w:jc w:val="center"/>
        <w:rPr>
          <w:rFonts w:ascii="Garamond" w:hAnsi="Garamond" w:cs="Times New Roman"/>
          <w:color w:val="000000"/>
          <w:sz w:val="24"/>
          <w:szCs w:val="24"/>
        </w:rPr>
      </w:pPr>
      <w:r w:rsidRPr="005C2AE8">
        <w:rPr>
          <w:rFonts w:ascii="Garamond" w:hAnsi="Garamond" w:cs="Times New Roman"/>
          <w:color w:val="000000"/>
          <w:sz w:val="24"/>
          <w:szCs w:val="24"/>
        </w:rPr>
        <w:t>SEKSIONI I TRETË</w:t>
      </w:r>
    </w:p>
    <w:p w14:paraId="5D1A6489" w14:textId="77777777" w:rsidR="00684153" w:rsidRPr="005C2AE8" w:rsidRDefault="00684153" w:rsidP="00684153">
      <w:pPr>
        <w:autoSpaceDE w:val="0"/>
        <w:autoSpaceDN w:val="0"/>
        <w:adjustRightInd w:val="0"/>
        <w:spacing w:after="0" w:line="240" w:lineRule="auto"/>
        <w:ind w:firstLine="284"/>
        <w:jc w:val="center"/>
        <w:rPr>
          <w:rFonts w:ascii="Garamond" w:hAnsi="Garamond" w:cs="Times New Roman"/>
          <w:color w:val="000000"/>
          <w:sz w:val="24"/>
          <w:szCs w:val="24"/>
        </w:rPr>
      </w:pPr>
    </w:p>
    <w:p w14:paraId="1126BF8A" w14:textId="2B00E9E9" w:rsidR="00684153" w:rsidRPr="005C2AE8" w:rsidRDefault="00684153" w:rsidP="00684153">
      <w:pPr>
        <w:autoSpaceDE w:val="0"/>
        <w:autoSpaceDN w:val="0"/>
        <w:adjustRightInd w:val="0"/>
        <w:spacing w:after="0" w:line="240" w:lineRule="auto"/>
        <w:ind w:firstLine="284"/>
        <w:jc w:val="center"/>
        <w:rPr>
          <w:rFonts w:ascii="Garamond" w:hAnsi="Garamond" w:cs="Times New Roman"/>
          <w:b/>
          <w:color w:val="000000"/>
          <w:sz w:val="24"/>
          <w:szCs w:val="24"/>
        </w:rPr>
      </w:pPr>
      <w:r w:rsidRPr="005C2AE8">
        <w:rPr>
          <w:rFonts w:ascii="Garamond" w:hAnsi="Garamond" w:cs="Times New Roman"/>
          <w:b/>
          <w:color w:val="000000"/>
          <w:sz w:val="24"/>
          <w:szCs w:val="24"/>
        </w:rPr>
        <w:t>VENDIM</w:t>
      </w:r>
    </w:p>
    <w:p w14:paraId="168ED10D" w14:textId="69CEB150" w:rsidR="00684153" w:rsidRPr="005C2AE8" w:rsidRDefault="00684153" w:rsidP="00684153">
      <w:pPr>
        <w:autoSpaceDE w:val="0"/>
        <w:autoSpaceDN w:val="0"/>
        <w:adjustRightInd w:val="0"/>
        <w:spacing w:after="0" w:line="240" w:lineRule="auto"/>
        <w:ind w:firstLine="284"/>
        <w:jc w:val="center"/>
        <w:rPr>
          <w:rFonts w:ascii="Garamond" w:hAnsi="Garamond" w:cs="Times New Roman"/>
          <w:i/>
          <w:color w:val="000000"/>
          <w:sz w:val="24"/>
          <w:szCs w:val="24"/>
        </w:rPr>
      </w:pPr>
      <w:r w:rsidRPr="005C2AE8">
        <w:rPr>
          <w:rFonts w:ascii="Garamond" w:hAnsi="Garamond" w:cs="Times New Roman"/>
          <w:i/>
          <w:color w:val="000000"/>
          <w:sz w:val="24"/>
          <w:szCs w:val="24"/>
        </w:rPr>
        <w:t>Kërkesa nr. 33183/07</w:t>
      </w:r>
    </w:p>
    <w:p w14:paraId="20CE9E74" w14:textId="77777777" w:rsidR="00684153" w:rsidRPr="005C2AE8" w:rsidRDefault="00684153" w:rsidP="00684153">
      <w:pPr>
        <w:autoSpaceDE w:val="0"/>
        <w:autoSpaceDN w:val="0"/>
        <w:adjustRightInd w:val="0"/>
        <w:spacing w:after="0" w:line="240" w:lineRule="auto"/>
        <w:ind w:firstLine="284"/>
        <w:jc w:val="center"/>
        <w:rPr>
          <w:rFonts w:ascii="Garamond" w:hAnsi="Garamond" w:cs="Times New Roman"/>
          <w:color w:val="000000"/>
          <w:sz w:val="24"/>
          <w:szCs w:val="24"/>
        </w:rPr>
      </w:pPr>
    </w:p>
    <w:p w14:paraId="7FF690DF" w14:textId="35B0A28A" w:rsidR="00684153" w:rsidRPr="005C2AE8" w:rsidRDefault="00684153" w:rsidP="00684153">
      <w:pPr>
        <w:autoSpaceDE w:val="0"/>
        <w:autoSpaceDN w:val="0"/>
        <w:adjustRightInd w:val="0"/>
        <w:spacing w:after="0" w:line="240" w:lineRule="auto"/>
        <w:ind w:firstLine="284"/>
        <w:jc w:val="center"/>
        <w:rPr>
          <w:rFonts w:ascii="Garamond" w:hAnsi="Garamond" w:cs="Times New Roman"/>
          <w:b/>
          <w:color w:val="000000"/>
          <w:sz w:val="24"/>
          <w:szCs w:val="24"/>
        </w:rPr>
      </w:pPr>
      <w:r w:rsidRPr="005C2AE8">
        <w:rPr>
          <w:rFonts w:ascii="Garamond" w:hAnsi="Garamond" w:cs="Times New Roman"/>
          <w:b/>
          <w:color w:val="000000"/>
          <w:sz w:val="24"/>
          <w:szCs w:val="24"/>
        </w:rPr>
        <w:t xml:space="preserve">PRIMA SHPK DHE ARTAN </w:t>
      </w:r>
      <w:proofErr w:type="spellStart"/>
      <w:r w:rsidRPr="005C2AE8">
        <w:rPr>
          <w:rFonts w:ascii="Garamond" w:hAnsi="Garamond" w:cs="Times New Roman"/>
          <w:b/>
          <w:color w:val="000000"/>
          <w:sz w:val="24"/>
          <w:szCs w:val="24"/>
        </w:rPr>
        <w:t>KOZMAI</w:t>
      </w:r>
      <w:proofErr w:type="spellEnd"/>
    </w:p>
    <w:p w14:paraId="3120C136" w14:textId="17AC9CE8" w:rsidR="00684153" w:rsidRPr="005C2AE8" w:rsidRDefault="00684153" w:rsidP="00684153">
      <w:pPr>
        <w:autoSpaceDE w:val="0"/>
        <w:autoSpaceDN w:val="0"/>
        <w:adjustRightInd w:val="0"/>
        <w:spacing w:after="0" w:line="240" w:lineRule="auto"/>
        <w:ind w:firstLine="284"/>
        <w:jc w:val="center"/>
        <w:rPr>
          <w:rFonts w:ascii="Garamond" w:hAnsi="Garamond" w:cs="Times New Roman"/>
          <w:b/>
          <w:i/>
          <w:iCs/>
          <w:color w:val="000000"/>
          <w:sz w:val="24"/>
          <w:szCs w:val="24"/>
        </w:rPr>
      </w:pPr>
      <w:r w:rsidRPr="005C2AE8">
        <w:rPr>
          <w:rFonts w:ascii="Garamond" w:hAnsi="Garamond" w:cs="Times New Roman"/>
          <w:b/>
          <w:color w:val="000000"/>
          <w:sz w:val="24"/>
          <w:szCs w:val="24"/>
        </w:rPr>
        <w:t>KUNDËR SHQIPËRISË</w:t>
      </w:r>
    </w:p>
    <w:p w14:paraId="50A0F461" w14:textId="0BD89799" w:rsidR="00684153" w:rsidRPr="005C2AE8" w:rsidRDefault="00684153" w:rsidP="00684153">
      <w:pPr>
        <w:autoSpaceDE w:val="0"/>
        <w:autoSpaceDN w:val="0"/>
        <w:adjustRightInd w:val="0"/>
        <w:spacing w:after="0" w:line="240" w:lineRule="auto"/>
        <w:ind w:firstLine="284"/>
        <w:jc w:val="both"/>
        <w:rPr>
          <w:rFonts w:ascii="Garamond" w:hAnsi="Garamond" w:cs="Times New Roman"/>
          <w:color w:val="000000"/>
          <w:sz w:val="24"/>
          <w:szCs w:val="24"/>
        </w:rPr>
      </w:pPr>
    </w:p>
    <w:p w14:paraId="0F3C8341" w14:textId="77777777" w:rsidR="00684153" w:rsidRPr="005C2AE8" w:rsidRDefault="00684153" w:rsidP="00684153">
      <w:pPr>
        <w:autoSpaceDE w:val="0"/>
        <w:autoSpaceDN w:val="0"/>
        <w:adjustRightInd w:val="0"/>
        <w:spacing w:after="0" w:line="240" w:lineRule="auto"/>
        <w:ind w:firstLine="284"/>
        <w:jc w:val="both"/>
        <w:rPr>
          <w:rFonts w:ascii="Garamond" w:hAnsi="Garamond" w:cs="Times New Roman"/>
          <w:color w:val="000000"/>
          <w:sz w:val="24"/>
          <w:szCs w:val="24"/>
        </w:rPr>
      </w:pPr>
    </w:p>
    <w:p w14:paraId="49CC1D2E" w14:textId="5D01CAE4" w:rsidR="00684153" w:rsidRPr="005C2AE8" w:rsidRDefault="00684153" w:rsidP="00684153">
      <w:pPr>
        <w:autoSpaceDE w:val="0"/>
        <w:autoSpaceDN w:val="0"/>
        <w:adjustRightInd w:val="0"/>
        <w:spacing w:after="0" w:line="240" w:lineRule="auto"/>
        <w:ind w:firstLine="284"/>
        <w:jc w:val="both"/>
        <w:rPr>
          <w:rFonts w:ascii="Garamond" w:hAnsi="Garamond" w:cs="Times New Roman"/>
          <w:color w:val="000000"/>
          <w:sz w:val="24"/>
          <w:szCs w:val="24"/>
        </w:rPr>
      </w:pPr>
      <w:r w:rsidRPr="005C2AE8">
        <w:rPr>
          <w:rFonts w:ascii="Garamond" w:hAnsi="Garamond" w:cs="Times New Roman"/>
          <w:color w:val="000000"/>
          <w:sz w:val="24"/>
          <w:szCs w:val="24"/>
        </w:rPr>
        <w:t xml:space="preserve">Gjykata </w:t>
      </w:r>
      <w:r w:rsidR="005C2AE8" w:rsidRPr="005C2AE8">
        <w:rPr>
          <w:rFonts w:ascii="Garamond" w:hAnsi="Garamond" w:cs="Times New Roman"/>
          <w:color w:val="000000"/>
          <w:sz w:val="24"/>
          <w:szCs w:val="24"/>
        </w:rPr>
        <w:t>Evropiane</w:t>
      </w:r>
      <w:r w:rsidRPr="005C2AE8">
        <w:rPr>
          <w:rFonts w:ascii="Garamond" w:hAnsi="Garamond" w:cs="Times New Roman"/>
          <w:color w:val="000000"/>
          <w:sz w:val="24"/>
          <w:szCs w:val="24"/>
        </w:rPr>
        <w:t xml:space="preserve"> e të Drejtave të Njeriut (Seksioni i Tretë), e mbledhur më 19 shtator 2023</w:t>
      </w:r>
      <w:r w:rsidR="005C2AE8" w:rsidRPr="005C2AE8">
        <w:rPr>
          <w:rFonts w:ascii="Garamond" w:hAnsi="Garamond" w:cs="Times New Roman"/>
          <w:color w:val="000000"/>
          <w:sz w:val="24"/>
          <w:szCs w:val="24"/>
        </w:rPr>
        <w:t>,</w:t>
      </w:r>
      <w:r w:rsidRPr="005C2AE8">
        <w:rPr>
          <w:rFonts w:ascii="Garamond" w:hAnsi="Garamond" w:cs="Times New Roman"/>
          <w:color w:val="000000"/>
          <w:sz w:val="24"/>
          <w:szCs w:val="24"/>
        </w:rPr>
        <w:t xml:space="preserve"> si Komitet i përbërë nga:</w:t>
      </w:r>
    </w:p>
    <w:p w14:paraId="368855CA" w14:textId="45211E01" w:rsidR="00684153" w:rsidRPr="005C2AE8" w:rsidRDefault="00684153" w:rsidP="00684153">
      <w:pPr>
        <w:tabs>
          <w:tab w:val="left" w:pos="280"/>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5C2AE8">
        <w:rPr>
          <w:rFonts w:ascii="Garamond" w:hAnsi="Garamond" w:cs="Times New Roman"/>
          <w:color w:val="000000"/>
          <w:sz w:val="24"/>
          <w:szCs w:val="24"/>
        </w:rPr>
        <w:t xml:space="preserve"> </w:t>
      </w:r>
      <w:proofErr w:type="spellStart"/>
      <w:r w:rsidRPr="005C2AE8">
        <w:rPr>
          <w:rFonts w:ascii="Garamond" w:hAnsi="Garamond" w:cs="Times New Roman"/>
          <w:color w:val="000000"/>
          <w:sz w:val="24"/>
          <w:szCs w:val="24"/>
        </w:rPr>
        <w:t>Georgios</w:t>
      </w:r>
      <w:proofErr w:type="spellEnd"/>
      <w:r w:rsidRPr="005C2AE8">
        <w:rPr>
          <w:rFonts w:ascii="Garamond" w:hAnsi="Garamond" w:cs="Times New Roman"/>
          <w:color w:val="000000"/>
          <w:sz w:val="24"/>
          <w:szCs w:val="24"/>
        </w:rPr>
        <w:t xml:space="preserve"> A. </w:t>
      </w:r>
      <w:proofErr w:type="spellStart"/>
      <w:r w:rsidRPr="005C2AE8">
        <w:rPr>
          <w:rFonts w:ascii="Garamond" w:hAnsi="Garamond" w:cs="Times New Roman"/>
          <w:color w:val="000000"/>
          <w:sz w:val="24"/>
          <w:szCs w:val="24"/>
        </w:rPr>
        <w:t>Serghides</w:t>
      </w:r>
      <w:proofErr w:type="spellEnd"/>
      <w:r w:rsidRPr="005C2AE8">
        <w:rPr>
          <w:rFonts w:ascii="Garamond" w:hAnsi="Garamond" w:cs="Times New Roman"/>
          <w:i/>
          <w:iCs/>
          <w:color w:val="000000"/>
          <w:sz w:val="24"/>
          <w:szCs w:val="24"/>
        </w:rPr>
        <w:t>, President</w:t>
      </w:r>
      <w:r w:rsidRPr="005C2AE8">
        <w:rPr>
          <w:rFonts w:ascii="Garamond" w:hAnsi="Garamond" w:cs="Times New Roman"/>
          <w:color w:val="000000"/>
          <w:sz w:val="24"/>
          <w:szCs w:val="24"/>
        </w:rPr>
        <w:t>,</w:t>
      </w:r>
    </w:p>
    <w:p w14:paraId="274FE553" w14:textId="66F04739" w:rsidR="00684153" w:rsidRPr="005C2AE8" w:rsidRDefault="00684153" w:rsidP="00684153">
      <w:pPr>
        <w:tabs>
          <w:tab w:val="left" w:pos="280"/>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5C2AE8">
        <w:rPr>
          <w:rFonts w:ascii="Garamond" w:hAnsi="Garamond" w:cs="Times New Roman"/>
          <w:color w:val="000000"/>
          <w:sz w:val="24"/>
          <w:szCs w:val="24"/>
        </w:rPr>
        <w:t xml:space="preserve"> </w:t>
      </w:r>
      <w:proofErr w:type="spellStart"/>
      <w:r w:rsidRPr="005C2AE8">
        <w:rPr>
          <w:rFonts w:ascii="Garamond" w:hAnsi="Garamond" w:cs="Times New Roman"/>
          <w:color w:val="000000"/>
          <w:sz w:val="24"/>
          <w:szCs w:val="24"/>
        </w:rPr>
        <w:t>Darian</w:t>
      </w:r>
      <w:proofErr w:type="spellEnd"/>
      <w:r w:rsidRPr="005C2AE8">
        <w:rPr>
          <w:rFonts w:ascii="Garamond" w:hAnsi="Garamond" w:cs="Times New Roman"/>
          <w:color w:val="000000"/>
          <w:sz w:val="24"/>
          <w:szCs w:val="24"/>
        </w:rPr>
        <w:t xml:space="preserve"> </w:t>
      </w:r>
      <w:proofErr w:type="spellStart"/>
      <w:r w:rsidRPr="005C2AE8">
        <w:rPr>
          <w:rFonts w:ascii="Garamond" w:hAnsi="Garamond" w:cs="Times New Roman"/>
          <w:color w:val="000000"/>
          <w:sz w:val="24"/>
          <w:szCs w:val="24"/>
        </w:rPr>
        <w:t>Pavli</w:t>
      </w:r>
      <w:proofErr w:type="spellEnd"/>
      <w:r w:rsidRPr="005C2AE8">
        <w:rPr>
          <w:rFonts w:ascii="Garamond" w:hAnsi="Garamond" w:cs="Times New Roman"/>
          <w:color w:val="000000"/>
          <w:sz w:val="24"/>
          <w:szCs w:val="24"/>
        </w:rPr>
        <w:t>,</w:t>
      </w:r>
    </w:p>
    <w:p w14:paraId="3F1D6ACF" w14:textId="7074C920" w:rsidR="00684153" w:rsidRPr="005C2AE8" w:rsidRDefault="00684153" w:rsidP="00684153">
      <w:pPr>
        <w:tabs>
          <w:tab w:val="left" w:pos="280"/>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5C2AE8">
        <w:rPr>
          <w:rFonts w:ascii="Garamond" w:hAnsi="Garamond" w:cs="Times New Roman"/>
          <w:color w:val="000000"/>
          <w:sz w:val="24"/>
          <w:szCs w:val="24"/>
        </w:rPr>
        <w:t xml:space="preserve"> </w:t>
      </w:r>
      <w:proofErr w:type="spellStart"/>
      <w:r w:rsidRPr="005C2AE8">
        <w:rPr>
          <w:rFonts w:ascii="Garamond" w:hAnsi="Garamond" w:cs="Times New Roman"/>
          <w:color w:val="000000"/>
          <w:sz w:val="24"/>
          <w:szCs w:val="24"/>
        </w:rPr>
        <w:t>Oddný</w:t>
      </w:r>
      <w:proofErr w:type="spellEnd"/>
      <w:r w:rsidRPr="005C2AE8">
        <w:rPr>
          <w:rFonts w:ascii="Garamond" w:hAnsi="Garamond" w:cs="Times New Roman"/>
          <w:color w:val="000000"/>
          <w:sz w:val="24"/>
          <w:szCs w:val="24"/>
        </w:rPr>
        <w:t xml:space="preserve"> </w:t>
      </w:r>
      <w:proofErr w:type="spellStart"/>
      <w:r w:rsidRPr="005C2AE8">
        <w:rPr>
          <w:rFonts w:ascii="Garamond" w:hAnsi="Garamond" w:cs="Times New Roman"/>
          <w:color w:val="000000"/>
          <w:sz w:val="24"/>
          <w:szCs w:val="24"/>
        </w:rPr>
        <w:t>Mjöll</w:t>
      </w:r>
      <w:proofErr w:type="spellEnd"/>
      <w:r w:rsidRPr="005C2AE8">
        <w:rPr>
          <w:rFonts w:ascii="Garamond" w:hAnsi="Garamond" w:cs="Times New Roman"/>
          <w:color w:val="000000"/>
          <w:sz w:val="24"/>
          <w:szCs w:val="24"/>
        </w:rPr>
        <w:t xml:space="preserve"> </w:t>
      </w:r>
      <w:proofErr w:type="spellStart"/>
      <w:r w:rsidRPr="005C2AE8">
        <w:rPr>
          <w:rFonts w:ascii="Garamond" w:hAnsi="Garamond" w:cs="Times New Roman"/>
          <w:color w:val="000000"/>
          <w:sz w:val="24"/>
          <w:szCs w:val="24"/>
        </w:rPr>
        <w:t>Arnardóttir</w:t>
      </w:r>
      <w:proofErr w:type="spellEnd"/>
      <w:r w:rsidRPr="005C2AE8">
        <w:rPr>
          <w:rFonts w:ascii="Garamond" w:hAnsi="Garamond" w:cs="Times New Roman"/>
          <w:i/>
          <w:iCs/>
          <w:color w:val="000000"/>
          <w:sz w:val="24"/>
          <w:szCs w:val="24"/>
        </w:rPr>
        <w:t>, gjyqtarë</w:t>
      </w:r>
      <w:r w:rsidRPr="005C2AE8">
        <w:rPr>
          <w:rFonts w:ascii="Garamond" w:hAnsi="Garamond" w:cs="Times New Roman"/>
          <w:color w:val="000000"/>
          <w:sz w:val="24"/>
          <w:szCs w:val="24"/>
        </w:rPr>
        <w:t>,</w:t>
      </w:r>
    </w:p>
    <w:p w14:paraId="66974FE1" w14:textId="2A83849A" w:rsidR="00684153" w:rsidRPr="005C2AE8" w:rsidRDefault="00684153" w:rsidP="00684153">
      <w:pPr>
        <w:tabs>
          <w:tab w:val="left" w:pos="280"/>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5C2AE8">
        <w:rPr>
          <w:rFonts w:ascii="Garamond" w:hAnsi="Garamond" w:cs="Times New Roman"/>
          <w:color w:val="000000"/>
          <w:sz w:val="24"/>
          <w:szCs w:val="24"/>
        </w:rPr>
        <w:t xml:space="preserve">dhe </w:t>
      </w:r>
      <w:proofErr w:type="spellStart"/>
      <w:r w:rsidRPr="005C2AE8">
        <w:rPr>
          <w:rFonts w:ascii="Garamond" w:hAnsi="Garamond" w:cs="Times New Roman"/>
          <w:color w:val="000000"/>
          <w:sz w:val="24"/>
          <w:szCs w:val="24"/>
        </w:rPr>
        <w:t>Olga</w:t>
      </w:r>
      <w:proofErr w:type="spellEnd"/>
      <w:r w:rsidRPr="005C2AE8">
        <w:rPr>
          <w:rFonts w:ascii="Garamond" w:hAnsi="Garamond" w:cs="Times New Roman"/>
          <w:color w:val="000000"/>
          <w:sz w:val="24"/>
          <w:szCs w:val="24"/>
        </w:rPr>
        <w:t xml:space="preserve"> </w:t>
      </w:r>
      <w:proofErr w:type="spellStart"/>
      <w:r w:rsidRPr="005C2AE8">
        <w:rPr>
          <w:rFonts w:ascii="Garamond" w:hAnsi="Garamond" w:cs="Times New Roman"/>
          <w:color w:val="000000"/>
          <w:sz w:val="24"/>
          <w:szCs w:val="24"/>
        </w:rPr>
        <w:t>Chernishova</w:t>
      </w:r>
      <w:proofErr w:type="spellEnd"/>
      <w:r w:rsidRPr="005C2AE8">
        <w:rPr>
          <w:rFonts w:ascii="Garamond" w:hAnsi="Garamond" w:cs="Times New Roman"/>
          <w:color w:val="000000"/>
          <w:sz w:val="24"/>
          <w:szCs w:val="24"/>
        </w:rPr>
        <w:t xml:space="preserve">, </w:t>
      </w:r>
      <w:proofErr w:type="spellStart"/>
      <w:r w:rsidR="005C2AE8" w:rsidRPr="005C2AE8">
        <w:rPr>
          <w:rFonts w:ascii="Garamond" w:hAnsi="Garamond" w:cs="Times New Roman"/>
          <w:i/>
          <w:iCs/>
          <w:color w:val="000000"/>
          <w:sz w:val="24"/>
          <w:szCs w:val="24"/>
        </w:rPr>
        <w:t>z</w:t>
      </w:r>
      <w:r w:rsidRPr="005C2AE8">
        <w:rPr>
          <w:rFonts w:ascii="Garamond" w:hAnsi="Garamond" w:cs="Times New Roman"/>
          <w:i/>
          <w:iCs/>
          <w:color w:val="000000"/>
          <w:sz w:val="24"/>
          <w:szCs w:val="24"/>
        </w:rPr>
        <w:t>ëvendës</w:t>
      </w:r>
      <w:r w:rsidR="005C2AE8" w:rsidRPr="005C2AE8">
        <w:rPr>
          <w:rFonts w:ascii="Garamond" w:hAnsi="Garamond" w:cs="Times New Roman"/>
          <w:color w:val="000000"/>
          <w:sz w:val="24"/>
          <w:szCs w:val="24"/>
        </w:rPr>
        <w:t>k</w:t>
      </w:r>
      <w:r w:rsidRPr="005C2AE8">
        <w:rPr>
          <w:rFonts w:ascii="Garamond" w:hAnsi="Garamond" w:cs="Times New Roman"/>
          <w:i/>
          <w:iCs/>
          <w:color w:val="000000"/>
          <w:sz w:val="24"/>
          <w:szCs w:val="24"/>
        </w:rPr>
        <w:t>ancelare</w:t>
      </w:r>
      <w:proofErr w:type="spellEnd"/>
      <w:r w:rsidRPr="005C2AE8">
        <w:rPr>
          <w:rFonts w:ascii="Garamond" w:hAnsi="Garamond" w:cs="Times New Roman"/>
          <w:i/>
          <w:iCs/>
          <w:color w:val="000000"/>
          <w:sz w:val="24"/>
          <w:szCs w:val="24"/>
        </w:rPr>
        <w:t xml:space="preserve"> e Seksionit,</w:t>
      </w:r>
    </w:p>
    <w:p w14:paraId="55E04BEB" w14:textId="40288432" w:rsidR="00684153" w:rsidRPr="005C2AE8" w:rsidRDefault="005C2AE8" w:rsidP="00684153">
      <w:pPr>
        <w:autoSpaceDE w:val="0"/>
        <w:autoSpaceDN w:val="0"/>
        <w:adjustRightInd w:val="0"/>
        <w:spacing w:after="0" w:line="240" w:lineRule="auto"/>
        <w:ind w:firstLine="284"/>
        <w:jc w:val="both"/>
        <w:rPr>
          <w:rFonts w:ascii="Garamond" w:hAnsi="Garamond" w:cs="Times New Roman"/>
          <w:color w:val="000000"/>
          <w:sz w:val="24"/>
          <w:szCs w:val="24"/>
        </w:rPr>
      </w:pPr>
      <w:r w:rsidRPr="005C2AE8">
        <w:rPr>
          <w:rFonts w:ascii="Garamond" w:hAnsi="Garamond" w:cs="Times New Roman"/>
          <w:color w:val="000000"/>
          <w:sz w:val="24"/>
          <w:szCs w:val="24"/>
        </w:rPr>
        <w:t>d</w:t>
      </w:r>
      <w:r w:rsidR="00684153" w:rsidRPr="005C2AE8">
        <w:rPr>
          <w:rFonts w:ascii="Garamond" w:hAnsi="Garamond" w:cs="Times New Roman"/>
          <w:color w:val="000000"/>
          <w:sz w:val="24"/>
          <w:szCs w:val="24"/>
        </w:rPr>
        <w:t>uke pasur parasysh:</w:t>
      </w:r>
    </w:p>
    <w:p w14:paraId="18CD66C4" w14:textId="6AE076E9" w:rsidR="00684153" w:rsidRPr="005C2AE8" w:rsidRDefault="00684153" w:rsidP="00684153">
      <w:pPr>
        <w:autoSpaceDE w:val="0"/>
        <w:autoSpaceDN w:val="0"/>
        <w:adjustRightInd w:val="0"/>
        <w:spacing w:after="0" w:line="240" w:lineRule="auto"/>
        <w:ind w:firstLine="284"/>
        <w:jc w:val="both"/>
        <w:rPr>
          <w:rFonts w:ascii="Garamond" w:hAnsi="Garamond" w:cs="Times New Roman"/>
          <w:color w:val="000000"/>
          <w:sz w:val="24"/>
          <w:szCs w:val="24"/>
        </w:rPr>
      </w:pPr>
      <w:r w:rsidRPr="005C2AE8">
        <w:rPr>
          <w:rFonts w:ascii="Garamond" w:hAnsi="Garamond" w:cs="Times New Roman"/>
          <w:color w:val="000000"/>
          <w:sz w:val="24"/>
          <w:szCs w:val="24"/>
        </w:rPr>
        <w:t>kërkesën (nr. 33183/07) kundër Republikës së Shqipërisë të depozituar në Gjykatë</w:t>
      </w:r>
      <w:r w:rsidR="005C2AE8">
        <w:rPr>
          <w:rFonts w:ascii="Garamond" w:hAnsi="Garamond" w:cs="Times New Roman"/>
          <w:color w:val="000000"/>
          <w:sz w:val="24"/>
          <w:szCs w:val="24"/>
        </w:rPr>
        <w:t>,</w:t>
      </w:r>
      <w:r w:rsidRPr="005C2AE8">
        <w:rPr>
          <w:rFonts w:ascii="Garamond" w:hAnsi="Garamond" w:cs="Times New Roman"/>
          <w:color w:val="000000"/>
          <w:sz w:val="24"/>
          <w:szCs w:val="24"/>
        </w:rPr>
        <w:t xml:space="preserve"> sipas nenit 34 të Konventës për Mbrojtjen e të Drejtave dhe Lirive Themelore të Njeriut (“Konventa”)</w:t>
      </w:r>
      <w:r w:rsidR="005C2AE8">
        <w:rPr>
          <w:rFonts w:ascii="Garamond" w:hAnsi="Garamond" w:cs="Times New Roman"/>
          <w:color w:val="000000"/>
          <w:sz w:val="24"/>
          <w:szCs w:val="24"/>
        </w:rPr>
        <w:t>,</w:t>
      </w:r>
      <w:r w:rsidRPr="005C2AE8">
        <w:rPr>
          <w:rFonts w:ascii="Garamond" w:hAnsi="Garamond" w:cs="Times New Roman"/>
          <w:color w:val="000000"/>
          <w:sz w:val="24"/>
          <w:szCs w:val="24"/>
        </w:rPr>
        <w:t xml:space="preserve"> më 25 korrik 2017</w:t>
      </w:r>
      <w:r w:rsidR="005C2AE8">
        <w:rPr>
          <w:rFonts w:ascii="Garamond" w:hAnsi="Garamond" w:cs="Times New Roman"/>
          <w:color w:val="000000"/>
          <w:sz w:val="24"/>
          <w:szCs w:val="24"/>
        </w:rPr>
        <w:t>,</w:t>
      </w:r>
      <w:r w:rsidRPr="005C2AE8">
        <w:rPr>
          <w:rFonts w:ascii="Garamond" w:hAnsi="Garamond" w:cs="Times New Roman"/>
          <w:color w:val="000000"/>
          <w:sz w:val="24"/>
          <w:szCs w:val="24"/>
        </w:rPr>
        <w:t xml:space="preserve"> nga Prima </w:t>
      </w:r>
      <w:proofErr w:type="spellStart"/>
      <w:r w:rsidRPr="005C2AE8">
        <w:rPr>
          <w:rFonts w:ascii="Garamond" w:hAnsi="Garamond" w:cs="Times New Roman"/>
          <w:color w:val="000000"/>
          <w:sz w:val="24"/>
          <w:szCs w:val="24"/>
        </w:rPr>
        <w:t>sh.p.k</w:t>
      </w:r>
      <w:proofErr w:type="spellEnd"/>
      <w:r w:rsidR="005C2AE8">
        <w:rPr>
          <w:rFonts w:ascii="Garamond" w:hAnsi="Garamond" w:cs="Times New Roman"/>
          <w:color w:val="000000"/>
          <w:sz w:val="24"/>
          <w:szCs w:val="24"/>
        </w:rPr>
        <w:t>.,</w:t>
      </w:r>
      <w:r w:rsidRPr="005C2AE8">
        <w:rPr>
          <w:rFonts w:ascii="Garamond" w:hAnsi="Garamond" w:cs="Times New Roman"/>
          <w:color w:val="000000"/>
          <w:sz w:val="24"/>
          <w:szCs w:val="24"/>
        </w:rPr>
        <w:t xml:space="preserve"> shoqëri tregtare e themeluar në Shqipëri</w:t>
      </w:r>
      <w:r w:rsidR="005C2AE8">
        <w:rPr>
          <w:rFonts w:ascii="Garamond" w:hAnsi="Garamond" w:cs="Times New Roman"/>
          <w:color w:val="000000"/>
          <w:sz w:val="24"/>
          <w:szCs w:val="24"/>
        </w:rPr>
        <w:t>,</w:t>
      </w:r>
      <w:r w:rsidRPr="005C2AE8">
        <w:rPr>
          <w:rFonts w:ascii="Garamond" w:hAnsi="Garamond" w:cs="Times New Roman"/>
          <w:color w:val="000000"/>
          <w:sz w:val="24"/>
          <w:szCs w:val="24"/>
        </w:rPr>
        <w:t xml:space="preserve"> dhe një shtetas shqiptar z. Artan </w:t>
      </w:r>
      <w:proofErr w:type="spellStart"/>
      <w:r w:rsidRPr="005C2AE8">
        <w:rPr>
          <w:rFonts w:ascii="Garamond" w:hAnsi="Garamond" w:cs="Times New Roman"/>
          <w:color w:val="000000"/>
          <w:sz w:val="24"/>
          <w:szCs w:val="24"/>
        </w:rPr>
        <w:t>Kozmai</w:t>
      </w:r>
      <w:proofErr w:type="spellEnd"/>
      <w:r w:rsidRPr="005C2AE8">
        <w:rPr>
          <w:rFonts w:ascii="Garamond" w:hAnsi="Garamond" w:cs="Times New Roman"/>
          <w:color w:val="000000"/>
          <w:sz w:val="24"/>
          <w:szCs w:val="24"/>
        </w:rPr>
        <w:t xml:space="preserve">, i lindur në vitin 1962 dhe banues në Tiranë. Kërkuesi i dytë është pronari dhe administratori i kërkuesit të parë, shoqërisë tregtare. Kërkuesit përfaqësohen në Gjykatë nga z. </w:t>
      </w:r>
      <w:proofErr w:type="spellStart"/>
      <w:r w:rsidRPr="005C2AE8">
        <w:rPr>
          <w:rFonts w:ascii="Garamond" w:hAnsi="Garamond" w:cs="Times New Roman"/>
          <w:color w:val="000000"/>
          <w:sz w:val="24"/>
          <w:szCs w:val="24"/>
        </w:rPr>
        <w:t>A.Hajdari</w:t>
      </w:r>
      <w:proofErr w:type="spellEnd"/>
      <w:r w:rsidRPr="005C2AE8">
        <w:rPr>
          <w:rFonts w:ascii="Garamond" w:hAnsi="Garamond" w:cs="Times New Roman"/>
          <w:color w:val="000000"/>
          <w:sz w:val="24"/>
          <w:szCs w:val="24"/>
        </w:rPr>
        <w:t xml:space="preserve"> dhe z. A. </w:t>
      </w:r>
      <w:proofErr w:type="spellStart"/>
      <w:r w:rsidRPr="005C2AE8">
        <w:rPr>
          <w:rFonts w:ascii="Garamond" w:hAnsi="Garamond" w:cs="Times New Roman"/>
          <w:color w:val="000000"/>
          <w:sz w:val="24"/>
          <w:szCs w:val="24"/>
        </w:rPr>
        <w:t>Brovina</w:t>
      </w:r>
      <w:proofErr w:type="spellEnd"/>
      <w:r w:rsidRPr="005C2AE8">
        <w:rPr>
          <w:rFonts w:ascii="Garamond" w:hAnsi="Garamond" w:cs="Times New Roman"/>
          <w:color w:val="000000"/>
          <w:sz w:val="24"/>
          <w:szCs w:val="24"/>
        </w:rPr>
        <w:t>, avokatë të licencuar në Tiranë;</w:t>
      </w:r>
    </w:p>
    <w:p w14:paraId="1AEC325D" w14:textId="36488B8C" w:rsidR="00684153" w:rsidRPr="005C2AE8" w:rsidRDefault="00684153" w:rsidP="00684153">
      <w:pPr>
        <w:autoSpaceDE w:val="0"/>
        <w:autoSpaceDN w:val="0"/>
        <w:adjustRightInd w:val="0"/>
        <w:spacing w:after="0" w:line="240" w:lineRule="auto"/>
        <w:ind w:firstLine="284"/>
        <w:jc w:val="both"/>
        <w:rPr>
          <w:rFonts w:ascii="Garamond" w:hAnsi="Garamond" w:cs="Times New Roman"/>
          <w:color w:val="000000"/>
          <w:sz w:val="24"/>
          <w:szCs w:val="24"/>
        </w:rPr>
      </w:pPr>
      <w:r w:rsidRPr="005C2AE8">
        <w:rPr>
          <w:rFonts w:ascii="Garamond" w:hAnsi="Garamond" w:cs="Times New Roman"/>
          <w:color w:val="000000"/>
          <w:sz w:val="24"/>
          <w:szCs w:val="24"/>
        </w:rPr>
        <w:t xml:space="preserve">vendimin për të njoftuar Qeverinë Shqiptare (“Qeveria”) të përfaqësuar nga Agjenti i saj në atë kohë, </w:t>
      </w:r>
      <w:r w:rsidR="005C2AE8">
        <w:rPr>
          <w:rFonts w:ascii="Garamond" w:hAnsi="Garamond" w:cs="Times New Roman"/>
          <w:color w:val="000000"/>
          <w:sz w:val="24"/>
          <w:szCs w:val="24"/>
        </w:rPr>
        <w:t>z</w:t>
      </w:r>
      <w:r w:rsidRPr="005C2AE8">
        <w:rPr>
          <w:rFonts w:ascii="Garamond" w:hAnsi="Garamond" w:cs="Times New Roman"/>
          <w:color w:val="000000"/>
          <w:sz w:val="24"/>
          <w:szCs w:val="24"/>
        </w:rPr>
        <w:t xml:space="preserve">. </w:t>
      </w:r>
      <w:proofErr w:type="spellStart"/>
      <w:r w:rsidRPr="005C2AE8">
        <w:rPr>
          <w:rFonts w:ascii="Garamond" w:hAnsi="Garamond" w:cs="Times New Roman"/>
          <w:color w:val="000000"/>
          <w:sz w:val="24"/>
          <w:szCs w:val="24"/>
        </w:rPr>
        <w:t>N.Naço</w:t>
      </w:r>
      <w:proofErr w:type="spellEnd"/>
      <w:r w:rsidRPr="005C2AE8">
        <w:rPr>
          <w:rFonts w:ascii="Garamond" w:hAnsi="Garamond" w:cs="Times New Roman"/>
          <w:color w:val="000000"/>
          <w:sz w:val="24"/>
          <w:szCs w:val="24"/>
        </w:rPr>
        <w:t>, ish</w:t>
      </w:r>
      <w:r w:rsidR="005C2AE8">
        <w:rPr>
          <w:rFonts w:ascii="Garamond" w:hAnsi="Garamond" w:cs="Times New Roman"/>
          <w:color w:val="000000"/>
          <w:sz w:val="24"/>
          <w:szCs w:val="24"/>
        </w:rPr>
        <w:t>-m</w:t>
      </w:r>
      <w:r w:rsidRPr="005C2AE8">
        <w:rPr>
          <w:rFonts w:ascii="Garamond" w:hAnsi="Garamond" w:cs="Times New Roman"/>
          <w:color w:val="000000"/>
          <w:sz w:val="24"/>
          <w:szCs w:val="24"/>
        </w:rPr>
        <w:t xml:space="preserve">inistër i Drejtësisë dhe më pas nga </w:t>
      </w:r>
      <w:r w:rsidR="005C2AE8" w:rsidRPr="005C2AE8">
        <w:rPr>
          <w:rFonts w:ascii="Garamond" w:hAnsi="Garamond" w:cs="Times New Roman"/>
          <w:color w:val="000000"/>
          <w:sz w:val="24"/>
          <w:szCs w:val="24"/>
        </w:rPr>
        <w:t>z</w:t>
      </w:r>
      <w:r w:rsidRPr="005C2AE8">
        <w:rPr>
          <w:rFonts w:ascii="Garamond" w:hAnsi="Garamond" w:cs="Times New Roman"/>
          <w:color w:val="000000"/>
          <w:sz w:val="24"/>
          <w:szCs w:val="24"/>
        </w:rPr>
        <w:t xml:space="preserve">. </w:t>
      </w:r>
      <w:proofErr w:type="spellStart"/>
      <w:r w:rsidRPr="005C2AE8">
        <w:rPr>
          <w:rFonts w:ascii="Garamond" w:hAnsi="Garamond" w:cs="Times New Roman"/>
          <w:color w:val="000000"/>
          <w:sz w:val="24"/>
          <w:szCs w:val="24"/>
        </w:rPr>
        <w:t>O.Moçka</w:t>
      </w:r>
      <w:proofErr w:type="spellEnd"/>
      <w:r w:rsidRPr="005C2AE8">
        <w:rPr>
          <w:rFonts w:ascii="Garamond" w:hAnsi="Garamond" w:cs="Times New Roman"/>
          <w:color w:val="000000"/>
          <w:sz w:val="24"/>
          <w:szCs w:val="24"/>
        </w:rPr>
        <w:t xml:space="preserve">, Avokat i Përgjithshëm i Shtetit, për </w:t>
      </w:r>
      <w:proofErr w:type="spellStart"/>
      <w:r w:rsidRPr="005C2AE8">
        <w:rPr>
          <w:rFonts w:ascii="Garamond" w:hAnsi="Garamond" w:cs="Times New Roman"/>
          <w:color w:val="000000"/>
          <w:sz w:val="24"/>
          <w:szCs w:val="24"/>
        </w:rPr>
        <w:t>ankimimet</w:t>
      </w:r>
      <w:proofErr w:type="spellEnd"/>
      <w:r w:rsidRPr="005C2AE8">
        <w:rPr>
          <w:rFonts w:ascii="Garamond" w:hAnsi="Garamond" w:cs="Times New Roman"/>
          <w:color w:val="000000"/>
          <w:sz w:val="24"/>
          <w:szCs w:val="24"/>
        </w:rPr>
        <w:t xml:space="preserve"> në lidhje me </w:t>
      </w:r>
      <w:proofErr w:type="spellStart"/>
      <w:r w:rsidRPr="005C2AE8">
        <w:rPr>
          <w:rFonts w:ascii="Garamond" w:hAnsi="Garamond" w:cs="Times New Roman"/>
          <w:color w:val="000000"/>
          <w:sz w:val="24"/>
          <w:szCs w:val="24"/>
        </w:rPr>
        <w:t>mosshqyrtimin</w:t>
      </w:r>
      <w:proofErr w:type="spellEnd"/>
      <w:r w:rsidRPr="005C2AE8">
        <w:rPr>
          <w:rFonts w:ascii="Garamond" w:hAnsi="Garamond" w:cs="Times New Roman"/>
          <w:color w:val="000000"/>
          <w:sz w:val="24"/>
          <w:szCs w:val="24"/>
        </w:rPr>
        <w:t xml:space="preserve"> nga Gjykata e Lartë të pretendimit të kërkuesve se padia e paditësve ishte jashtë afatit, sipas nenit 6 § 1 të Konventës dhe të drejtën e pronësisë </w:t>
      </w:r>
      <w:r w:rsidR="005C2AE8">
        <w:rPr>
          <w:rFonts w:ascii="Garamond" w:hAnsi="Garamond" w:cs="Times New Roman"/>
          <w:color w:val="000000"/>
          <w:sz w:val="24"/>
          <w:szCs w:val="24"/>
        </w:rPr>
        <w:t>s</w:t>
      </w:r>
      <w:r w:rsidRPr="005C2AE8">
        <w:rPr>
          <w:rFonts w:ascii="Garamond" w:hAnsi="Garamond" w:cs="Times New Roman"/>
          <w:color w:val="000000"/>
          <w:sz w:val="24"/>
          <w:szCs w:val="24"/>
        </w:rPr>
        <w:t>ë kërkuesve</w:t>
      </w:r>
      <w:r w:rsidR="005C2AE8">
        <w:rPr>
          <w:rFonts w:ascii="Garamond" w:hAnsi="Garamond" w:cs="Times New Roman"/>
          <w:color w:val="000000"/>
          <w:sz w:val="24"/>
          <w:szCs w:val="24"/>
        </w:rPr>
        <w:t>,</w:t>
      </w:r>
      <w:r w:rsidRPr="005C2AE8">
        <w:rPr>
          <w:rFonts w:ascii="Garamond" w:hAnsi="Garamond" w:cs="Times New Roman"/>
          <w:color w:val="000000"/>
          <w:sz w:val="24"/>
          <w:szCs w:val="24"/>
        </w:rPr>
        <w:t xml:space="preserve"> sipas nenit 1</w:t>
      </w:r>
      <w:r w:rsidR="005C2AE8">
        <w:rPr>
          <w:rFonts w:ascii="Garamond" w:hAnsi="Garamond" w:cs="Times New Roman"/>
          <w:color w:val="000000"/>
          <w:sz w:val="24"/>
          <w:szCs w:val="24"/>
        </w:rPr>
        <w:t>,</w:t>
      </w:r>
      <w:r w:rsidRPr="005C2AE8">
        <w:rPr>
          <w:rFonts w:ascii="Garamond" w:hAnsi="Garamond" w:cs="Times New Roman"/>
          <w:color w:val="000000"/>
          <w:sz w:val="24"/>
          <w:szCs w:val="24"/>
        </w:rPr>
        <w:t xml:space="preserve"> të Protokollit nr. 1</w:t>
      </w:r>
      <w:r w:rsidR="005C2AE8">
        <w:rPr>
          <w:rFonts w:ascii="Garamond" w:hAnsi="Garamond" w:cs="Times New Roman"/>
          <w:color w:val="000000"/>
          <w:sz w:val="24"/>
          <w:szCs w:val="24"/>
        </w:rPr>
        <w:t>,</w:t>
      </w:r>
      <w:r w:rsidRPr="005C2AE8">
        <w:rPr>
          <w:rFonts w:ascii="Garamond" w:hAnsi="Garamond" w:cs="Times New Roman"/>
          <w:color w:val="000000"/>
          <w:sz w:val="24"/>
          <w:szCs w:val="24"/>
        </w:rPr>
        <w:t xml:space="preserve"> të Konventës dhe për të shpallur të papranueshme pjesën tjetër të kërkesës;</w:t>
      </w:r>
    </w:p>
    <w:p w14:paraId="7254E65C" w14:textId="302CBA3C" w:rsidR="00684153" w:rsidRPr="005C2AE8" w:rsidRDefault="00684153" w:rsidP="00684153">
      <w:pPr>
        <w:autoSpaceDE w:val="0"/>
        <w:autoSpaceDN w:val="0"/>
        <w:adjustRightInd w:val="0"/>
        <w:spacing w:after="0" w:line="240" w:lineRule="auto"/>
        <w:ind w:firstLine="284"/>
        <w:jc w:val="both"/>
        <w:rPr>
          <w:rFonts w:ascii="Garamond" w:hAnsi="Garamond" w:cs="Times New Roman"/>
          <w:color w:val="000000"/>
          <w:sz w:val="24"/>
          <w:szCs w:val="24"/>
        </w:rPr>
      </w:pPr>
      <w:r w:rsidRPr="005C2AE8">
        <w:rPr>
          <w:rFonts w:ascii="Garamond" w:hAnsi="Garamond" w:cs="Times New Roman"/>
          <w:color w:val="000000"/>
          <w:sz w:val="24"/>
          <w:szCs w:val="24"/>
        </w:rPr>
        <w:t>parashtrimet e palëve;</w:t>
      </w:r>
    </w:p>
    <w:p w14:paraId="3E1649B0" w14:textId="0A3409DF" w:rsidR="00684153" w:rsidRPr="005C2AE8" w:rsidRDefault="00684153" w:rsidP="00684153">
      <w:pPr>
        <w:autoSpaceDE w:val="0"/>
        <w:autoSpaceDN w:val="0"/>
        <w:adjustRightInd w:val="0"/>
        <w:spacing w:after="0" w:line="240" w:lineRule="auto"/>
        <w:ind w:firstLine="284"/>
        <w:jc w:val="both"/>
        <w:rPr>
          <w:rFonts w:ascii="Garamond" w:hAnsi="Garamond" w:cs="Times New Roman"/>
          <w:color w:val="000000"/>
          <w:sz w:val="24"/>
          <w:szCs w:val="24"/>
        </w:rPr>
      </w:pPr>
      <w:r w:rsidRPr="005C2AE8">
        <w:rPr>
          <w:rFonts w:ascii="Garamond" w:hAnsi="Garamond" w:cs="Times New Roman"/>
          <w:color w:val="000000"/>
          <w:sz w:val="24"/>
          <w:szCs w:val="24"/>
        </w:rPr>
        <w:t>Pas diskutimit, vendosi si më poshtë:</w:t>
      </w:r>
    </w:p>
    <w:p w14:paraId="7815BEEC" w14:textId="347D63B7" w:rsidR="00684153" w:rsidRPr="005C2AE8" w:rsidRDefault="00684153" w:rsidP="00684153">
      <w:pPr>
        <w:tabs>
          <w:tab w:val="left" w:pos="360"/>
        </w:tabs>
        <w:autoSpaceDE w:val="0"/>
        <w:autoSpaceDN w:val="0"/>
        <w:adjustRightInd w:val="0"/>
        <w:spacing w:after="0" w:line="240" w:lineRule="auto"/>
        <w:ind w:firstLine="284"/>
        <w:jc w:val="both"/>
        <w:rPr>
          <w:rFonts w:ascii="Garamond" w:hAnsi="Garamond" w:cs="Times New Roman"/>
          <w:caps/>
          <w:color w:val="000000"/>
          <w:sz w:val="24"/>
          <w:szCs w:val="24"/>
        </w:rPr>
      </w:pPr>
      <w:r w:rsidRPr="005C2AE8">
        <w:rPr>
          <w:rFonts w:ascii="Garamond" w:hAnsi="Garamond" w:cs="Times New Roman"/>
          <w:caps/>
          <w:color w:val="000000"/>
          <w:sz w:val="24"/>
          <w:szCs w:val="24"/>
        </w:rPr>
        <w:t>OBJEKTI I ÇËSHTJES</w:t>
      </w:r>
    </w:p>
    <w:p w14:paraId="754A69B4" w14:textId="2D03F333" w:rsidR="00684153" w:rsidRPr="005C2AE8" w:rsidRDefault="00684153" w:rsidP="00684153">
      <w:pPr>
        <w:autoSpaceDE w:val="0"/>
        <w:autoSpaceDN w:val="0"/>
        <w:adjustRightInd w:val="0"/>
        <w:spacing w:after="0" w:line="240" w:lineRule="auto"/>
        <w:ind w:firstLine="284"/>
        <w:jc w:val="both"/>
        <w:rPr>
          <w:rFonts w:ascii="Garamond" w:hAnsi="Garamond" w:cs="Times New Roman"/>
          <w:color w:val="000000"/>
          <w:sz w:val="24"/>
          <w:szCs w:val="24"/>
        </w:rPr>
      </w:pPr>
      <w:r w:rsidRPr="005C2AE8">
        <w:rPr>
          <w:rFonts w:ascii="Garamond" w:hAnsi="Garamond" w:cs="Times New Roman"/>
          <w:color w:val="000000"/>
          <w:sz w:val="24"/>
          <w:szCs w:val="24"/>
        </w:rPr>
        <w:t xml:space="preserve">38. Çështja ka të bëjë me shkeljen e dyshuar të </w:t>
      </w:r>
      <w:proofErr w:type="spellStart"/>
      <w:r w:rsidRPr="005C2AE8">
        <w:rPr>
          <w:rFonts w:ascii="Garamond" w:hAnsi="Garamond" w:cs="Times New Roman"/>
          <w:color w:val="000000"/>
          <w:sz w:val="24"/>
          <w:szCs w:val="24"/>
        </w:rPr>
        <w:t>të</w:t>
      </w:r>
      <w:proofErr w:type="spellEnd"/>
      <w:r w:rsidRPr="005C2AE8">
        <w:rPr>
          <w:rFonts w:ascii="Garamond" w:hAnsi="Garamond" w:cs="Times New Roman"/>
          <w:color w:val="000000"/>
          <w:sz w:val="24"/>
          <w:szCs w:val="24"/>
        </w:rPr>
        <w:t xml:space="preserve"> drejtave të kërkuesve për gjykim të drejtë dhe respektimin e pronës si pasojë e vendimit të Gjykatës së Lartë në një çështje civile.</w:t>
      </w:r>
    </w:p>
    <w:p w14:paraId="42C615E7" w14:textId="09637425" w:rsidR="00684153" w:rsidRPr="005C2AE8" w:rsidRDefault="00684153" w:rsidP="00684153">
      <w:pPr>
        <w:autoSpaceDE w:val="0"/>
        <w:autoSpaceDN w:val="0"/>
        <w:adjustRightInd w:val="0"/>
        <w:spacing w:after="0" w:line="240" w:lineRule="auto"/>
        <w:ind w:firstLine="284"/>
        <w:jc w:val="both"/>
        <w:rPr>
          <w:rFonts w:ascii="Garamond" w:hAnsi="Garamond" w:cs="Times New Roman"/>
          <w:color w:val="000000"/>
          <w:sz w:val="24"/>
          <w:szCs w:val="24"/>
        </w:rPr>
      </w:pPr>
      <w:r w:rsidRPr="005C2AE8">
        <w:rPr>
          <w:rFonts w:ascii="Garamond" w:hAnsi="Garamond" w:cs="Times New Roman"/>
          <w:color w:val="000000"/>
          <w:sz w:val="24"/>
          <w:szCs w:val="24"/>
        </w:rPr>
        <w:t>39. Më 16 gusht 1997, Këshilli Bashkiak për Planifikimin Territorial të Tiranës (këtu e më poshtë “Këshilli”) i dha shoqërisë kërkuese një leje planifikimi për një parcelë toke në pronësi të kërkuesit të dytë dhe e miratoi atë më 14 tetor 1997.</w:t>
      </w:r>
    </w:p>
    <w:p w14:paraId="44430DF8" w14:textId="181E5CC4" w:rsidR="00684153" w:rsidRPr="005C2AE8" w:rsidRDefault="00684153" w:rsidP="00684153">
      <w:pPr>
        <w:autoSpaceDE w:val="0"/>
        <w:autoSpaceDN w:val="0"/>
        <w:adjustRightInd w:val="0"/>
        <w:spacing w:after="0" w:line="240" w:lineRule="auto"/>
        <w:ind w:firstLine="284"/>
        <w:jc w:val="both"/>
        <w:rPr>
          <w:rFonts w:ascii="Garamond" w:hAnsi="Garamond" w:cs="Times New Roman"/>
          <w:color w:val="000000"/>
          <w:sz w:val="24"/>
          <w:szCs w:val="24"/>
        </w:rPr>
      </w:pPr>
      <w:r w:rsidRPr="005C2AE8">
        <w:rPr>
          <w:rFonts w:ascii="Garamond" w:hAnsi="Garamond" w:cs="Times New Roman"/>
          <w:color w:val="000000"/>
          <w:sz w:val="24"/>
          <w:szCs w:val="24"/>
        </w:rPr>
        <w:t>40. Në një datë të pa saktësuar në vitin 1998, pas fillimit të punimeve nga shoqëri</w:t>
      </w:r>
      <w:r w:rsidR="005C2AE8">
        <w:rPr>
          <w:rFonts w:ascii="Garamond" w:hAnsi="Garamond" w:cs="Times New Roman"/>
          <w:color w:val="000000"/>
          <w:sz w:val="24"/>
          <w:szCs w:val="24"/>
        </w:rPr>
        <w:t>a</w:t>
      </w:r>
      <w:r w:rsidRPr="005C2AE8">
        <w:rPr>
          <w:rFonts w:ascii="Garamond" w:hAnsi="Garamond" w:cs="Times New Roman"/>
          <w:color w:val="000000"/>
          <w:sz w:val="24"/>
          <w:szCs w:val="24"/>
        </w:rPr>
        <w:t xml:space="preserve"> kërkuese, fqinjët në ndërtesën ngjitur depozituan një padi civile kundër shoqërisë kërkuese, ku kërkonin pezullimin e ndërtimit dhe shfuqizimin e vendimeve të Këshillit.</w:t>
      </w:r>
    </w:p>
    <w:p w14:paraId="5B7BAEC5" w14:textId="79B1BEE8" w:rsidR="00684153" w:rsidRPr="005C2AE8" w:rsidRDefault="00684153" w:rsidP="00684153">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5C2AE8">
        <w:rPr>
          <w:rFonts w:ascii="Garamond" w:hAnsi="Garamond" w:cs="Times New Roman"/>
          <w:color w:val="000000"/>
          <w:sz w:val="24"/>
          <w:szCs w:val="24"/>
        </w:rPr>
        <w:t>41. Më 5 maj 1998, Gjykata e Rrethit Gjyqësor Tiranë (“Gjykata e Rrethit”) urdhëroi pezullimin e punimeve të ndërtimit.</w:t>
      </w:r>
    </w:p>
    <w:p w14:paraId="32ECA6F1" w14:textId="00D23260" w:rsidR="00684153" w:rsidRPr="005C2AE8" w:rsidRDefault="00684153" w:rsidP="00684153">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5C2AE8">
        <w:rPr>
          <w:rFonts w:ascii="Garamond" w:hAnsi="Garamond" w:cs="Times New Roman"/>
          <w:color w:val="000000"/>
          <w:sz w:val="24"/>
          <w:szCs w:val="24"/>
        </w:rPr>
        <w:t>42. Më 20 nëntor 1998, Gjykata e Rrethit Gjyqësor pranoi pjesërisht padinë civile, por nuk u mor vendim në lidhje me kërkesën për shfuqizimin e vendimit të Këshillit. Më 16 prill 1999, Gjykata e Apelit Tiranë (“Gjykata e Apelit”) la në fuqi vendimin e Gjykatës së Rrethit Gjyqësor.</w:t>
      </w:r>
    </w:p>
    <w:p w14:paraId="3BCD2A31" w14:textId="5CEA6FC1" w:rsidR="00684153" w:rsidRPr="005C2AE8" w:rsidRDefault="00684153" w:rsidP="00684153">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5C2AE8">
        <w:rPr>
          <w:rFonts w:ascii="Garamond" w:hAnsi="Garamond" w:cs="Times New Roman"/>
          <w:color w:val="000000"/>
          <w:sz w:val="24"/>
          <w:szCs w:val="24"/>
        </w:rPr>
        <w:t>43. Më 8 mars 2000, Gjykata e Lartë prishi vendimet e të dyjave gjykatave më të ulëta dhe ktheu çështjen në Gjykatën e Rrethit Gjyqësor për t’u shqyrtuar përsëri nga një trupë tjetër gjyqësore.</w:t>
      </w:r>
    </w:p>
    <w:p w14:paraId="48D86DF2" w14:textId="05E68567" w:rsidR="00684153" w:rsidRPr="005C2AE8" w:rsidRDefault="00684153" w:rsidP="00684153">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5C2AE8">
        <w:rPr>
          <w:rFonts w:ascii="Garamond" w:hAnsi="Garamond" w:cs="Times New Roman"/>
          <w:color w:val="000000"/>
          <w:sz w:val="24"/>
          <w:szCs w:val="24"/>
        </w:rPr>
        <w:lastRenderedPageBreak/>
        <w:t>44. Më 16 prill 2002, Gjykata e Rrethit Gjyqësor pranoi pjesërisht padinë civile, duke urdhëruar shoqërinë kërkuese që të mos ndërhyjë në të drejtat e pronës së paditësit. Ajo gjithashtu rrëzoi si të pabazuar pjesën e padisë në lidhje me shfuqizimin e lejes së ndërtimit.</w:t>
      </w:r>
    </w:p>
    <w:p w14:paraId="31FEB614" w14:textId="2377007A" w:rsidR="00684153" w:rsidRPr="005C2AE8" w:rsidRDefault="00684153" w:rsidP="00684153">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5C2AE8">
        <w:rPr>
          <w:rFonts w:ascii="Garamond" w:hAnsi="Garamond" w:cs="Times New Roman"/>
          <w:color w:val="000000"/>
          <w:sz w:val="24"/>
          <w:szCs w:val="24"/>
        </w:rPr>
        <w:t xml:space="preserve">45. Shoqëria kërkuese e </w:t>
      </w:r>
      <w:proofErr w:type="spellStart"/>
      <w:r w:rsidRPr="005C2AE8">
        <w:rPr>
          <w:rFonts w:ascii="Garamond" w:hAnsi="Garamond" w:cs="Times New Roman"/>
          <w:color w:val="000000"/>
          <w:sz w:val="24"/>
          <w:szCs w:val="24"/>
        </w:rPr>
        <w:t>ankimoi</w:t>
      </w:r>
      <w:proofErr w:type="spellEnd"/>
      <w:r w:rsidRPr="005C2AE8">
        <w:rPr>
          <w:rFonts w:ascii="Garamond" w:hAnsi="Garamond" w:cs="Times New Roman"/>
          <w:color w:val="000000"/>
          <w:sz w:val="24"/>
          <w:szCs w:val="24"/>
        </w:rPr>
        <w:t xml:space="preserve"> dhe</w:t>
      </w:r>
      <w:r w:rsidR="005C2AE8">
        <w:rPr>
          <w:rFonts w:ascii="Garamond" w:hAnsi="Garamond" w:cs="Times New Roman"/>
          <w:color w:val="000000"/>
          <w:sz w:val="24"/>
          <w:szCs w:val="24"/>
        </w:rPr>
        <w:t>,</w:t>
      </w:r>
      <w:r w:rsidRPr="005C2AE8">
        <w:rPr>
          <w:rFonts w:ascii="Garamond" w:hAnsi="Garamond" w:cs="Times New Roman"/>
          <w:color w:val="000000"/>
          <w:sz w:val="24"/>
          <w:szCs w:val="24"/>
        </w:rPr>
        <w:t xml:space="preserve"> më 21 korrik 2003</w:t>
      </w:r>
      <w:r w:rsidR="005C2AE8">
        <w:rPr>
          <w:rFonts w:ascii="Garamond" w:hAnsi="Garamond" w:cs="Times New Roman"/>
          <w:color w:val="000000"/>
          <w:sz w:val="24"/>
          <w:szCs w:val="24"/>
        </w:rPr>
        <w:t>,</w:t>
      </w:r>
      <w:r w:rsidRPr="005C2AE8">
        <w:rPr>
          <w:rFonts w:ascii="Garamond" w:hAnsi="Garamond" w:cs="Times New Roman"/>
          <w:color w:val="000000"/>
          <w:sz w:val="24"/>
          <w:szCs w:val="24"/>
        </w:rPr>
        <w:t xml:space="preserve"> Gjykata e Apelit përmbysi vendimin e Gjykatës së Rrethit Gjyqësor dhe rrëzoi padinë e paditësit, duke u shprehur që pretendimi kryesor, që kishte të bënte me kërkesën për shfuqizimin e lejes së ndërtimit, ishte depozituar jashtë afatit kohor prej tridhjetë ditësh</w:t>
      </w:r>
      <w:r w:rsidR="005C2AE8">
        <w:rPr>
          <w:rFonts w:ascii="Garamond" w:hAnsi="Garamond" w:cs="Times New Roman"/>
          <w:color w:val="000000"/>
          <w:sz w:val="24"/>
          <w:szCs w:val="24"/>
        </w:rPr>
        <w:t>,</w:t>
      </w:r>
      <w:r w:rsidRPr="005C2AE8">
        <w:rPr>
          <w:rFonts w:ascii="Garamond" w:hAnsi="Garamond" w:cs="Times New Roman"/>
          <w:color w:val="000000"/>
          <w:sz w:val="24"/>
          <w:szCs w:val="24"/>
        </w:rPr>
        <w:t xml:space="preserve"> të përcaktuar në nenin 328 të Kodit të Procedurës Civile.</w:t>
      </w:r>
    </w:p>
    <w:p w14:paraId="139BFCF4" w14:textId="0FA29942" w:rsidR="00684153" w:rsidRPr="005C2AE8" w:rsidRDefault="00684153" w:rsidP="00684153">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5C2AE8">
        <w:rPr>
          <w:rFonts w:ascii="Garamond" w:hAnsi="Garamond" w:cs="Times New Roman"/>
          <w:color w:val="000000"/>
          <w:sz w:val="24"/>
          <w:szCs w:val="24"/>
        </w:rPr>
        <w:t>46. Më 23 nëntor 2004, Gjykata e Lartë prishi vendimin e Gjykatës së Apelit dhe konstatoi se ndërtimi i ri përbënte rrezik për pronën e paditësit dhe urdhëroi shoqërinë kërkuese që të mos ndërhynte më tej.</w:t>
      </w:r>
    </w:p>
    <w:p w14:paraId="6243CE64" w14:textId="275A03E4" w:rsidR="00684153" w:rsidRPr="005C2AE8" w:rsidRDefault="00684153" w:rsidP="00684153">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5C2AE8">
        <w:rPr>
          <w:rFonts w:ascii="Garamond" w:hAnsi="Garamond" w:cs="Times New Roman"/>
          <w:color w:val="000000"/>
          <w:sz w:val="24"/>
          <w:szCs w:val="24"/>
        </w:rPr>
        <w:t>47. Gjithashtu, Gjykata e Lartë shfuqizoi lejet e planifikimit dhe ndërtimit, duke u shprehur që ishin në shkelje të Ligjit për Urbanizimin 1993. Më tej u shpreh se meqë leja e ndërtimit ishte nxjerrë për një periudhë gjashtëmujore dhe nuk ishte depozituar kërkesë për rinovimin e saj, vendimet që miratonin këto leje duhej të shfuqizoheshin.</w:t>
      </w:r>
    </w:p>
    <w:p w14:paraId="5E51C38B" w14:textId="55534B0B" w:rsidR="00684153" w:rsidRPr="005C2AE8" w:rsidRDefault="00684153" w:rsidP="00684153">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5C2AE8">
        <w:rPr>
          <w:rFonts w:ascii="Garamond" w:hAnsi="Garamond" w:cs="Times New Roman"/>
          <w:color w:val="000000"/>
          <w:sz w:val="24"/>
          <w:szCs w:val="24"/>
        </w:rPr>
        <w:t>48. Më 30 janar 2007, Gjykata Kushtetuese me panel të përbërë nga tre gjyqtarë, shpalli të papranueshëm ankimin kushtetues të shoqërisë kërkuese.</w:t>
      </w:r>
    </w:p>
    <w:p w14:paraId="01C796F3" w14:textId="5590C688" w:rsidR="00684153" w:rsidRPr="005C2AE8" w:rsidRDefault="00684153" w:rsidP="00684153">
      <w:pPr>
        <w:tabs>
          <w:tab w:val="left" w:pos="360"/>
        </w:tabs>
        <w:autoSpaceDE w:val="0"/>
        <w:autoSpaceDN w:val="0"/>
        <w:adjustRightInd w:val="0"/>
        <w:spacing w:after="0" w:line="240" w:lineRule="auto"/>
        <w:ind w:firstLine="284"/>
        <w:jc w:val="both"/>
        <w:rPr>
          <w:rFonts w:ascii="Garamond" w:hAnsi="Garamond" w:cs="Times New Roman"/>
          <w:caps/>
          <w:color w:val="000000"/>
          <w:sz w:val="24"/>
          <w:szCs w:val="24"/>
        </w:rPr>
      </w:pPr>
      <w:r w:rsidRPr="005C2AE8">
        <w:rPr>
          <w:rFonts w:ascii="Garamond" w:hAnsi="Garamond" w:cs="Times New Roman"/>
          <w:color w:val="000000"/>
          <w:sz w:val="24"/>
          <w:szCs w:val="24"/>
        </w:rPr>
        <w:t xml:space="preserve"> </w:t>
      </w:r>
      <w:r w:rsidRPr="005C2AE8">
        <w:rPr>
          <w:rFonts w:ascii="Garamond" w:hAnsi="Garamond" w:cs="Times New Roman"/>
          <w:caps/>
          <w:color w:val="000000"/>
          <w:sz w:val="24"/>
          <w:szCs w:val="24"/>
        </w:rPr>
        <w:t>VLERËSIMI I GJYKATËS</w:t>
      </w:r>
    </w:p>
    <w:p w14:paraId="60F68785" w14:textId="15A2BCD7" w:rsidR="00684153" w:rsidRPr="005C2AE8" w:rsidRDefault="00684153" w:rsidP="00684153">
      <w:pPr>
        <w:autoSpaceDE w:val="0"/>
        <w:autoSpaceDN w:val="0"/>
        <w:adjustRightInd w:val="0"/>
        <w:spacing w:after="0" w:line="240" w:lineRule="auto"/>
        <w:ind w:firstLine="284"/>
        <w:jc w:val="both"/>
        <w:rPr>
          <w:rFonts w:ascii="Garamond" w:hAnsi="Garamond" w:cs="Times New Roman"/>
          <w:color w:val="000000"/>
          <w:sz w:val="24"/>
          <w:szCs w:val="24"/>
        </w:rPr>
      </w:pPr>
      <w:r w:rsidRPr="005C2AE8">
        <w:rPr>
          <w:rFonts w:ascii="Garamond" w:hAnsi="Garamond" w:cs="Times New Roman"/>
          <w:color w:val="000000"/>
          <w:sz w:val="24"/>
          <w:szCs w:val="24"/>
        </w:rPr>
        <w:t>49. Kërkuesit argumentuan që mostrajtimi nga Gjykata e Lartë i kundërshtimit të tyre</w:t>
      </w:r>
      <w:r w:rsidR="005C2AE8">
        <w:rPr>
          <w:rFonts w:ascii="Garamond" w:hAnsi="Garamond" w:cs="Times New Roman"/>
          <w:color w:val="000000"/>
          <w:sz w:val="24"/>
          <w:szCs w:val="24"/>
        </w:rPr>
        <w:t>,</w:t>
      </w:r>
      <w:r w:rsidRPr="005C2AE8">
        <w:rPr>
          <w:rFonts w:ascii="Garamond" w:hAnsi="Garamond" w:cs="Times New Roman"/>
          <w:color w:val="000000"/>
          <w:sz w:val="24"/>
          <w:szCs w:val="24"/>
        </w:rPr>
        <w:t xml:space="preserve"> në lidhje me </w:t>
      </w:r>
      <w:proofErr w:type="spellStart"/>
      <w:r w:rsidRPr="005C2AE8">
        <w:rPr>
          <w:rFonts w:ascii="Garamond" w:hAnsi="Garamond" w:cs="Times New Roman"/>
          <w:color w:val="000000"/>
          <w:sz w:val="24"/>
          <w:szCs w:val="24"/>
        </w:rPr>
        <w:t>pranueshmërinë</w:t>
      </w:r>
      <w:proofErr w:type="spellEnd"/>
      <w:r w:rsidRPr="005C2AE8">
        <w:rPr>
          <w:rFonts w:ascii="Garamond" w:hAnsi="Garamond" w:cs="Times New Roman"/>
          <w:color w:val="000000"/>
          <w:sz w:val="24"/>
          <w:szCs w:val="24"/>
        </w:rPr>
        <w:t xml:space="preserve"> e pretendimit të paditësit</w:t>
      </w:r>
      <w:r w:rsidR="005C2AE8">
        <w:rPr>
          <w:rFonts w:ascii="Garamond" w:hAnsi="Garamond" w:cs="Times New Roman"/>
          <w:color w:val="000000"/>
          <w:sz w:val="24"/>
          <w:szCs w:val="24"/>
        </w:rPr>
        <w:t>,</w:t>
      </w:r>
      <w:r w:rsidRPr="005C2AE8">
        <w:rPr>
          <w:rFonts w:ascii="Garamond" w:hAnsi="Garamond" w:cs="Times New Roman"/>
          <w:color w:val="000000"/>
          <w:sz w:val="24"/>
          <w:szCs w:val="24"/>
        </w:rPr>
        <w:t xml:space="preserve"> përbënte shkelje të detyrimit të gjykatave për të arsyetuar vendimet e tyre dhe ndërhyrje në të drejtat e tyre për pronën</w:t>
      </w:r>
      <w:r w:rsidR="005C2AE8">
        <w:rPr>
          <w:rFonts w:ascii="Garamond" w:hAnsi="Garamond" w:cs="Times New Roman"/>
          <w:color w:val="000000"/>
          <w:sz w:val="24"/>
          <w:szCs w:val="24"/>
        </w:rPr>
        <w:t>,</w:t>
      </w:r>
      <w:r w:rsidRPr="005C2AE8">
        <w:rPr>
          <w:rFonts w:ascii="Garamond" w:hAnsi="Garamond" w:cs="Times New Roman"/>
          <w:color w:val="000000"/>
          <w:sz w:val="24"/>
          <w:szCs w:val="24"/>
        </w:rPr>
        <w:t xml:space="preserve"> sepse nëse Gjykata e Lartë do të kishte konstatuar që padia civile e paditësve ishte depozituar jashtë afatit, leja e ndërtimit të kërkuesit nuk do të ishte shfuqizuar. Kërkuesit u bazuan në nenin 6</w:t>
      </w:r>
      <w:r w:rsidR="005C2AE8">
        <w:rPr>
          <w:rFonts w:ascii="Garamond" w:hAnsi="Garamond" w:cs="Times New Roman"/>
          <w:color w:val="000000"/>
          <w:sz w:val="24"/>
          <w:szCs w:val="24"/>
        </w:rPr>
        <w:t>,</w:t>
      </w:r>
      <w:r w:rsidRPr="005C2AE8">
        <w:rPr>
          <w:rFonts w:ascii="Garamond" w:hAnsi="Garamond" w:cs="Times New Roman"/>
          <w:color w:val="000000"/>
          <w:sz w:val="24"/>
          <w:szCs w:val="24"/>
        </w:rPr>
        <w:t xml:space="preserve"> paragrafi 1</w:t>
      </w:r>
      <w:r w:rsidR="005C2AE8">
        <w:rPr>
          <w:rFonts w:ascii="Garamond" w:hAnsi="Garamond" w:cs="Times New Roman"/>
          <w:color w:val="000000"/>
          <w:sz w:val="24"/>
          <w:szCs w:val="24"/>
        </w:rPr>
        <w:t>,</w:t>
      </w:r>
      <w:r w:rsidRPr="005C2AE8">
        <w:rPr>
          <w:rFonts w:ascii="Garamond" w:hAnsi="Garamond" w:cs="Times New Roman"/>
          <w:color w:val="000000"/>
          <w:sz w:val="24"/>
          <w:szCs w:val="24"/>
        </w:rPr>
        <w:t xml:space="preserve"> të Konventës dhe në nenin 1</w:t>
      </w:r>
      <w:r w:rsidR="005C2AE8">
        <w:rPr>
          <w:rFonts w:ascii="Garamond" w:hAnsi="Garamond" w:cs="Times New Roman"/>
          <w:color w:val="000000"/>
          <w:sz w:val="24"/>
          <w:szCs w:val="24"/>
        </w:rPr>
        <w:t>,</w:t>
      </w:r>
      <w:r w:rsidRPr="005C2AE8">
        <w:rPr>
          <w:rFonts w:ascii="Garamond" w:hAnsi="Garamond" w:cs="Times New Roman"/>
          <w:color w:val="000000"/>
          <w:sz w:val="24"/>
          <w:szCs w:val="24"/>
        </w:rPr>
        <w:t xml:space="preserve"> të Protokollit nr.</w:t>
      </w:r>
      <w:r w:rsidR="005C2AE8">
        <w:rPr>
          <w:rFonts w:ascii="Garamond" w:hAnsi="Garamond" w:cs="Times New Roman"/>
          <w:color w:val="000000"/>
          <w:sz w:val="24"/>
          <w:szCs w:val="24"/>
        </w:rPr>
        <w:t xml:space="preserve"> </w:t>
      </w:r>
      <w:r w:rsidRPr="005C2AE8">
        <w:rPr>
          <w:rFonts w:ascii="Garamond" w:hAnsi="Garamond" w:cs="Times New Roman"/>
          <w:color w:val="000000"/>
          <w:sz w:val="24"/>
          <w:szCs w:val="24"/>
        </w:rPr>
        <w:t>1.</w:t>
      </w:r>
    </w:p>
    <w:p w14:paraId="6CB9EFB4" w14:textId="3F006913" w:rsidR="00684153" w:rsidRPr="005C2AE8" w:rsidRDefault="00684153" w:rsidP="00684153">
      <w:pPr>
        <w:autoSpaceDE w:val="0"/>
        <w:autoSpaceDN w:val="0"/>
        <w:adjustRightInd w:val="0"/>
        <w:spacing w:after="0" w:line="240" w:lineRule="auto"/>
        <w:ind w:firstLine="284"/>
        <w:jc w:val="both"/>
        <w:rPr>
          <w:rFonts w:ascii="Garamond" w:hAnsi="Garamond" w:cs="Times New Roman"/>
          <w:color w:val="000000"/>
          <w:sz w:val="24"/>
          <w:szCs w:val="24"/>
        </w:rPr>
      </w:pPr>
      <w:r w:rsidRPr="005C2AE8">
        <w:rPr>
          <w:rFonts w:ascii="Garamond" w:hAnsi="Garamond" w:cs="Times New Roman"/>
          <w:color w:val="000000"/>
          <w:sz w:val="24"/>
          <w:szCs w:val="24"/>
        </w:rPr>
        <w:t>50. Gjykata nuk e ka për detyrë të trajtojë çështjen e statusit viktimë të kërkuesit të dytë sepse, edhe nëse supozojmë se ai ka legjitimitet, kërkesa në çdo rast është e papranueshme për shkaqet e mëposhtme.</w:t>
      </w:r>
    </w:p>
    <w:p w14:paraId="342DBCEF" w14:textId="0A0DAAA2" w:rsidR="00684153" w:rsidRPr="005C2AE8" w:rsidRDefault="00684153" w:rsidP="00684153">
      <w:pPr>
        <w:tabs>
          <w:tab w:val="left" w:pos="360"/>
        </w:tabs>
        <w:autoSpaceDE w:val="0"/>
        <w:autoSpaceDN w:val="0"/>
        <w:adjustRightInd w:val="0"/>
        <w:spacing w:after="0" w:line="240" w:lineRule="auto"/>
        <w:ind w:firstLine="284"/>
        <w:jc w:val="both"/>
        <w:rPr>
          <w:rFonts w:ascii="Garamond" w:hAnsi="Garamond" w:cs="Times New Roman"/>
          <w:b/>
          <w:bCs/>
          <w:color w:val="000000"/>
          <w:sz w:val="24"/>
          <w:szCs w:val="24"/>
        </w:rPr>
      </w:pPr>
      <w:r w:rsidRPr="005C2AE8">
        <w:rPr>
          <w:rFonts w:ascii="Garamond" w:hAnsi="Garamond" w:cs="Times New Roman"/>
          <w:b/>
          <w:bCs/>
          <w:color w:val="000000"/>
          <w:sz w:val="24"/>
          <w:szCs w:val="24"/>
        </w:rPr>
        <w:t>A. Neni 6</w:t>
      </w:r>
      <w:r w:rsidR="005C2AE8">
        <w:rPr>
          <w:rFonts w:ascii="Garamond" w:hAnsi="Garamond" w:cs="Times New Roman"/>
          <w:b/>
          <w:bCs/>
          <w:color w:val="000000"/>
          <w:sz w:val="24"/>
          <w:szCs w:val="24"/>
        </w:rPr>
        <w:t>,</w:t>
      </w:r>
      <w:r w:rsidRPr="005C2AE8">
        <w:rPr>
          <w:rFonts w:ascii="Garamond" w:hAnsi="Garamond" w:cs="Times New Roman"/>
          <w:b/>
          <w:bCs/>
          <w:color w:val="000000"/>
          <w:sz w:val="24"/>
          <w:szCs w:val="24"/>
        </w:rPr>
        <w:t xml:space="preserve"> paragrafi 1</w:t>
      </w:r>
      <w:r w:rsidR="005C2AE8">
        <w:rPr>
          <w:rFonts w:ascii="Garamond" w:hAnsi="Garamond" w:cs="Times New Roman"/>
          <w:b/>
          <w:bCs/>
          <w:color w:val="000000"/>
          <w:sz w:val="24"/>
          <w:szCs w:val="24"/>
        </w:rPr>
        <w:t>,</w:t>
      </w:r>
      <w:r w:rsidRPr="005C2AE8">
        <w:rPr>
          <w:rFonts w:ascii="Garamond" w:hAnsi="Garamond" w:cs="Times New Roman"/>
          <w:b/>
          <w:bCs/>
          <w:color w:val="000000"/>
          <w:sz w:val="24"/>
          <w:szCs w:val="24"/>
        </w:rPr>
        <w:t xml:space="preserve"> i Konventës</w:t>
      </w:r>
    </w:p>
    <w:p w14:paraId="59B5F011" w14:textId="37ABB2DA" w:rsidR="00684153" w:rsidRPr="005C2AE8" w:rsidRDefault="00684153" w:rsidP="00684153">
      <w:pPr>
        <w:autoSpaceDE w:val="0"/>
        <w:autoSpaceDN w:val="0"/>
        <w:adjustRightInd w:val="0"/>
        <w:spacing w:after="0" w:line="240" w:lineRule="auto"/>
        <w:ind w:firstLine="284"/>
        <w:jc w:val="both"/>
        <w:rPr>
          <w:rFonts w:ascii="Garamond" w:hAnsi="Garamond" w:cs="Times New Roman"/>
          <w:color w:val="000000"/>
          <w:sz w:val="24"/>
          <w:szCs w:val="24"/>
        </w:rPr>
      </w:pPr>
      <w:r w:rsidRPr="005C2AE8">
        <w:rPr>
          <w:rFonts w:ascii="Garamond" w:hAnsi="Garamond" w:cs="Times New Roman"/>
          <w:color w:val="000000"/>
          <w:sz w:val="24"/>
          <w:szCs w:val="24"/>
        </w:rPr>
        <w:t xml:space="preserve">51. Gjykata përsërit që sipas praktikës së saj të konsoliduar që pasqyron një parim në lidhje me administrimin e duhur të drejtësisë, vendimet e gjykatave dhe </w:t>
      </w:r>
      <w:proofErr w:type="spellStart"/>
      <w:r w:rsidRPr="005C2AE8">
        <w:rPr>
          <w:rFonts w:ascii="Garamond" w:hAnsi="Garamond" w:cs="Times New Roman"/>
          <w:color w:val="000000"/>
          <w:sz w:val="24"/>
          <w:szCs w:val="24"/>
        </w:rPr>
        <w:t>tribunaleve</w:t>
      </w:r>
      <w:proofErr w:type="spellEnd"/>
      <w:r w:rsidRPr="005C2AE8">
        <w:rPr>
          <w:rFonts w:ascii="Garamond" w:hAnsi="Garamond" w:cs="Times New Roman"/>
          <w:color w:val="000000"/>
          <w:sz w:val="24"/>
          <w:szCs w:val="24"/>
        </w:rPr>
        <w:t xml:space="preserve"> duhet të shprehin mjaftueshëm arsyet mbi të cilat ato bazohen (shihni </w:t>
      </w:r>
      <w:r w:rsidRPr="005C2AE8">
        <w:rPr>
          <w:rFonts w:ascii="Garamond" w:hAnsi="Garamond" w:cs="Times New Roman"/>
          <w:i/>
          <w:iCs/>
          <w:color w:val="000000"/>
          <w:sz w:val="24"/>
          <w:szCs w:val="24"/>
        </w:rPr>
        <w:t xml:space="preserve">çështja </w:t>
      </w:r>
      <w:proofErr w:type="spellStart"/>
      <w:r w:rsidRPr="005C2AE8">
        <w:rPr>
          <w:rFonts w:ascii="Garamond" w:hAnsi="Garamond" w:cs="Times New Roman"/>
          <w:i/>
          <w:iCs/>
          <w:color w:val="000000"/>
          <w:sz w:val="24"/>
          <w:szCs w:val="24"/>
        </w:rPr>
        <w:t>García</w:t>
      </w:r>
      <w:proofErr w:type="spellEnd"/>
      <w:r w:rsidRPr="005C2AE8">
        <w:rPr>
          <w:rFonts w:ascii="Garamond" w:hAnsi="Garamond" w:cs="Times New Roman"/>
          <w:i/>
          <w:iCs/>
          <w:color w:val="000000"/>
          <w:sz w:val="24"/>
          <w:szCs w:val="24"/>
        </w:rPr>
        <w:t xml:space="preserve"> </w:t>
      </w:r>
      <w:proofErr w:type="spellStart"/>
      <w:r w:rsidRPr="005C2AE8">
        <w:rPr>
          <w:rFonts w:ascii="Garamond" w:hAnsi="Garamond" w:cs="Times New Roman"/>
          <w:i/>
          <w:iCs/>
          <w:color w:val="000000"/>
          <w:sz w:val="24"/>
          <w:szCs w:val="24"/>
        </w:rPr>
        <w:t>Ruiz</w:t>
      </w:r>
      <w:proofErr w:type="spellEnd"/>
      <w:r w:rsidRPr="005C2AE8">
        <w:rPr>
          <w:rFonts w:ascii="Garamond" w:hAnsi="Garamond" w:cs="Times New Roman"/>
          <w:i/>
          <w:iCs/>
          <w:color w:val="000000"/>
          <w:sz w:val="24"/>
          <w:szCs w:val="24"/>
        </w:rPr>
        <w:t xml:space="preserve"> kundër Spanjës</w:t>
      </w:r>
      <w:r w:rsidRPr="005C2AE8">
        <w:rPr>
          <w:rFonts w:ascii="Garamond" w:hAnsi="Garamond" w:cs="Times New Roman"/>
          <w:color w:val="000000"/>
          <w:sz w:val="24"/>
          <w:szCs w:val="24"/>
        </w:rPr>
        <w:t xml:space="preserve"> [</w:t>
      </w:r>
      <w:proofErr w:type="spellStart"/>
      <w:r w:rsidRPr="005C2AE8">
        <w:rPr>
          <w:rFonts w:ascii="Garamond" w:hAnsi="Garamond" w:cs="Times New Roman"/>
          <w:color w:val="000000"/>
          <w:sz w:val="24"/>
          <w:szCs w:val="24"/>
        </w:rPr>
        <w:t>GC</w:t>
      </w:r>
      <w:proofErr w:type="spellEnd"/>
      <w:r w:rsidRPr="005C2AE8">
        <w:rPr>
          <w:rFonts w:ascii="Garamond" w:hAnsi="Garamond" w:cs="Times New Roman"/>
          <w:color w:val="000000"/>
          <w:sz w:val="24"/>
          <w:szCs w:val="24"/>
        </w:rPr>
        <w:t xml:space="preserve">], nr. 30544/96, § 26, </w:t>
      </w:r>
      <w:proofErr w:type="spellStart"/>
      <w:r w:rsidRPr="005C2AE8">
        <w:rPr>
          <w:rFonts w:ascii="Garamond" w:hAnsi="Garamond" w:cs="Times New Roman"/>
          <w:color w:val="000000"/>
          <w:sz w:val="24"/>
          <w:szCs w:val="24"/>
        </w:rPr>
        <w:t>GJEDNJ</w:t>
      </w:r>
      <w:proofErr w:type="spellEnd"/>
      <w:r w:rsidRPr="005C2AE8">
        <w:rPr>
          <w:rFonts w:ascii="Garamond" w:hAnsi="Garamond" w:cs="Times New Roman"/>
          <w:color w:val="000000"/>
          <w:sz w:val="24"/>
          <w:szCs w:val="24"/>
        </w:rPr>
        <w:t xml:space="preserve"> 1999-I). Sipas këtij detyrimi një palë në proces gjyqësor mund të presë një përgjigje specifike dhe të shpejtë për ato parashtrime që janë vendimtare për rezultatin e procesit në fjalë (shihni </w:t>
      </w:r>
      <w:r w:rsidRPr="005C2AE8">
        <w:rPr>
          <w:rFonts w:ascii="Garamond" w:hAnsi="Garamond" w:cs="Times New Roman"/>
          <w:i/>
          <w:iCs/>
          <w:color w:val="000000"/>
          <w:sz w:val="24"/>
          <w:szCs w:val="24"/>
        </w:rPr>
        <w:t xml:space="preserve">çështja </w:t>
      </w:r>
      <w:proofErr w:type="spellStart"/>
      <w:r w:rsidRPr="005C2AE8">
        <w:rPr>
          <w:rFonts w:ascii="Garamond" w:hAnsi="Garamond" w:cs="Times New Roman"/>
          <w:i/>
          <w:iCs/>
          <w:color w:val="000000"/>
          <w:sz w:val="24"/>
          <w:szCs w:val="24"/>
        </w:rPr>
        <w:t>Ramos</w:t>
      </w:r>
      <w:proofErr w:type="spellEnd"/>
      <w:r w:rsidRPr="005C2AE8">
        <w:rPr>
          <w:rFonts w:ascii="Garamond" w:hAnsi="Garamond" w:cs="Times New Roman"/>
          <w:i/>
          <w:iCs/>
          <w:color w:val="000000"/>
          <w:sz w:val="24"/>
          <w:szCs w:val="24"/>
        </w:rPr>
        <w:t xml:space="preserve"> </w:t>
      </w:r>
      <w:proofErr w:type="spellStart"/>
      <w:r w:rsidRPr="005C2AE8">
        <w:rPr>
          <w:rFonts w:ascii="Garamond" w:hAnsi="Garamond" w:cs="Times New Roman"/>
          <w:i/>
          <w:iCs/>
          <w:color w:val="000000"/>
          <w:sz w:val="24"/>
          <w:szCs w:val="24"/>
        </w:rPr>
        <w:t>Nunes</w:t>
      </w:r>
      <w:proofErr w:type="spellEnd"/>
      <w:r w:rsidRPr="005C2AE8">
        <w:rPr>
          <w:rFonts w:ascii="Garamond" w:hAnsi="Garamond" w:cs="Times New Roman"/>
          <w:i/>
          <w:iCs/>
          <w:color w:val="000000"/>
          <w:sz w:val="24"/>
          <w:szCs w:val="24"/>
        </w:rPr>
        <w:t xml:space="preserve"> de </w:t>
      </w:r>
      <w:proofErr w:type="spellStart"/>
      <w:r w:rsidRPr="005C2AE8">
        <w:rPr>
          <w:rFonts w:ascii="Garamond" w:hAnsi="Garamond" w:cs="Times New Roman"/>
          <w:i/>
          <w:iCs/>
          <w:color w:val="000000"/>
          <w:sz w:val="24"/>
          <w:szCs w:val="24"/>
        </w:rPr>
        <w:t>Carvalho</w:t>
      </w:r>
      <w:proofErr w:type="spellEnd"/>
      <w:r w:rsidRPr="005C2AE8">
        <w:rPr>
          <w:rFonts w:ascii="Garamond" w:hAnsi="Garamond" w:cs="Times New Roman"/>
          <w:i/>
          <w:iCs/>
          <w:color w:val="000000"/>
          <w:sz w:val="24"/>
          <w:szCs w:val="24"/>
        </w:rPr>
        <w:t xml:space="preserve"> e </w:t>
      </w:r>
      <w:proofErr w:type="spellStart"/>
      <w:r w:rsidRPr="005C2AE8">
        <w:rPr>
          <w:rFonts w:ascii="Garamond" w:hAnsi="Garamond" w:cs="Times New Roman"/>
          <w:i/>
          <w:iCs/>
          <w:color w:val="000000"/>
          <w:sz w:val="24"/>
          <w:szCs w:val="24"/>
        </w:rPr>
        <w:t>Sá</w:t>
      </w:r>
      <w:proofErr w:type="spellEnd"/>
      <w:r w:rsidRPr="005C2AE8">
        <w:rPr>
          <w:rFonts w:ascii="Garamond" w:hAnsi="Garamond" w:cs="Times New Roman"/>
          <w:i/>
          <w:iCs/>
          <w:color w:val="000000"/>
          <w:sz w:val="24"/>
          <w:szCs w:val="24"/>
        </w:rPr>
        <w:t xml:space="preserve"> kundër Portugalisë</w:t>
      </w:r>
      <w:r w:rsidRPr="005C2AE8">
        <w:rPr>
          <w:rFonts w:ascii="Garamond" w:hAnsi="Garamond" w:cs="Times New Roman"/>
          <w:color w:val="000000"/>
          <w:sz w:val="24"/>
          <w:szCs w:val="24"/>
        </w:rPr>
        <w:t xml:space="preserve"> [</w:t>
      </w:r>
      <w:proofErr w:type="spellStart"/>
      <w:r w:rsidRPr="005C2AE8">
        <w:rPr>
          <w:rFonts w:ascii="Garamond" w:hAnsi="Garamond" w:cs="Times New Roman"/>
          <w:color w:val="000000"/>
          <w:sz w:val="24"/>
          <w:szCs w:val="24"/>
        </w:rPr>
        <w:t>GC</w:t>
      </w:r>
      <w:proofErr w:type="spellEnd"/>
      <w:r w:rsidRPr="005C2AE8">
        <w:rPr>
          <w:rFonts w:ascii="Garamond" w:hAnsi="Garamond" w:cs="Times New Roman"/>
          <w:color w:val="000000"/>
          <w:sz w:val="24"/>
          <w:szCs w:val="24"/>
        </w:rPr>
        <w:t>], nr. 55391/13 dhe 2 të tjerë, § 185, 6 nëntor 2018).</w:t>
      </w:r>
    </w:p>
    <w:p w14:paraId="33C7B4D0" w14:textId="62E64698" w:rsidR="00684153" w:rsidRPr="005C2AE8" w:rsidRDefault="00684153" w:rsidP="00684153">
      <w:pPr>
        <w:autoSpaceDE w:val="0"/>
        <w:autoSpaceDN w:val="0"/>
        <w:adjustRightInd w:val="0"/>
        <w:spacing w:after="0" w:line="240" w:lineRule="auto"/>
        <w:ind w:firstLine="284"/>
        <w:jc w:val="both"/>
        <w:rPr>
          <w:rFonts w:ascii="Garamond" w:hAnsi="Garamond" w:cs="Times New Roman"/>
          <w:color w:val="000000"/>
          <w:sz w:val="24"/>
          <w:szCs w:val="24"/>
        </w:rPr>
      </w:pPr>
      <w:r w:rsidRPr="005C2AE8">
        <w:rPr>
          <w:rFonts w:ascii="Garamond" w:hAnsi="Garamond" w:cs="Times New Roman"/>
          <w:color w:val="000000"/>
          <w:sz w:val="24"/>
          <w:szCs w:val="24"/>
        </w:rPr>
        <w:t xml:space="preserve">52. Masa në të cilën zbatohet ky detyrim për arsyetim mund të jetë e ndryshme sipas natyrës së vendimit dhe mund të vendoset vetëm nisur nga rrethanat e çështjes: është e nevojshme të mbahet parasysh </w:t>
      </w:r>
      <w:proofErr w:type="spellStart"/>
      <w:r w:rsidRPr="005C2AE8">
        <w:rPr>
          <w:rFonts w:ascii="Garamond" w:hAnsi="Garamond" w:cs="Times New Roman"/>
          <w:i/>
          <w:iCs/>
          <w:color w:val="000000"/>
          <w:sz w:val="24"/>
          <w:szCs w:val="24"/>
        </w:rPr>
        <w:t>inter</w:t>
      </w:r>
      <w:proofErr w:type="spellEnd"/>
      <w:r w:rsidRPr="005C2AE8">
        <w:rPr>
          <w:rFonts w:ascii="Garamond" w:hAnsi="Garamond" w:cs="Times New Roman"/>
          <w:i/>
          <w:iCs/>
          <w:color w:val="000000"/>
          <w:sz w:val="24"/>
          <w:szCs w:val="24"/>
        </w:rPr>
        <w:t xml:space="preserve"> </w:t>
      </w:r>
      <w:proofErr w:type="spellStart"/>
      <w:r w:rsidRPr="005C2AE8">
        <w:rPr>
          <w:rFonts w:ascii="Garamond" w:hAnsi="Garamond" w:cs="Times New Roman"/>
          <w:i/>
          <w:iCs/>
          <w:color w:val="000000"/>
          <w:sz w:val="24"/>
          <w:szCs w:val="24"/>
        </w:rPr>
        <w:t>alia</w:t>
      </w:r>
      <w:proofErr w:type="spellEnd"/>
      <w:r w:rsidRPr="005C2AE8">
        <w:rPr>
          <w:rFonts w:ascii="Garamond" w:hAnsi="Garamond" w:cs="Times New Roman"/>
          <w:color w:val="000000"/>
          <w:sz w:val="24"/>
          <w:szCs w:val="24"/>
        </w:rPr>
        <w:t xml:space="preserve"> larmia e parashtrimeve që një palë ndërgjyqësore mund të sjellë përpara gjykatave dhe dallimet që ekzistojnë në </w:t>
      </w:r>
      <w:r w:rsidR="005C2AE8">
        <w:rPr>
          <w:rFonts w:ascii="Garamond" w:hAnsi="Garamond" w:cs="Times New Roman"/>
          <w:color w:val="000000"/>
          <w:sz w:val="24"/>
          <w:szCs w:val="24"/>
        </w:rPr>
        <w:t>s</w:t>
      </w:r>
      <w:r w:rsidRPr="005C2AE8">
        <w:rPr>
          <w:rFonts w:ascii="Garamond" w:hAnsi="Garamond" w:cs="Times New Roman"/>
          <w:color w:val="000000"/>
          <w:sz w:val="24"/>
          <w:szCs w:val="24"/>
        </w:rPr>
        <w:t>htetet Palë Kontraktuese</w:t>
      </w:r>
      <w:r w:rsidR="005C2AE8">
        <w:rPr>
          <w:rFonts w:ascii="Garamond" w:hAnsi="Garamond" w:cs="Times New Roman"/>
          <w:color w:val="000000"/>
          <w:sz w:val="24"/>
          <w:szCs w:val="24"/>
        </w:rPr>
        <w:t>,</w:t>
      </w:r>
      <w:r w:rsidRPr="005C2AE8">
        <w:rPr>
          <w:rFonts w:ascii="Garamond" w:hAnsi="Garamond" w:cs="Times New Roman"/>
          <w:color w:val="000000"/>
          <w:sz w:val="24"/>
          <w:szCs w:val="24"/>
        </w:rPr>
        <w:t xml:space="preserve"> në lidhje me dispozitat ligjore, rregullat zakonore, opinionet ligjore dhe prezantimin</w:t>
      </w:r>
      <w:r w:rsidR="005C2AE8">
        <w:rPr>
          <w:rFonts w:ascii="Garamond" w:hAnsi="Garamond" w:cs="Times New Roman"/>
          <w:color w:val="000000"/>
          <w:sz w:val="24"/>
          <w:szCs w:val="24"/>
        </w:rPr>
        <w:t>,</w:t>
      </w:r>
      <w:r w:rsidRPr="005C2AE8">
        <w:rPr>
          <w:rFonts w:ascii="Garamond" w:hAnsi="Garamond" w:cs="Times New Roman"/>
          <w:color w:val="000000"/>
          <w:sz w:val="24"/>
          <w:szCs w:val="24"/>
        </w:rPr>
        <w:t xml:space="preserve"> dhe hartimin e vendimeve (</w:t>
      </w:r>
      <w:r w:rsidRPr="005C2AE8">
        <w:rPr>
          <w:rFonts w:ascii="Garamond" w:hAnsi="Garamond" w:cs="Times New Roman"/>
          <w:i/>
          <w:iCs/>
          <w:color w:val="000000"/>
          <w:sz w:val="24"/>
          <w:szCs w:val="24"/>
        </w:rPr>
        <w:t xml:space="preserve">çështja </w:t>
      </w:r>
      <w:proofErr w:type="spellStart"/>
      <w:r w:rsidRPr="005C2AE8">
        <w:rPr>
          <w:rFonts w:ascii="Garamond" w:hAnsi="Garamond" w:cs="Times New Roman"/>
          <w:i/>
          <w:iCs/>
          <w:color w:val="000000"/>
          <w:sz w:val="24"/>
          <w:szCs w:val="24"/>
        </w:rPr>
        <w:t>Ruiz</w:t>
      </w:r>
      <w:proofErr w:type="spellEnd"/>
      <w:r w:rsidRPr="005C2AE8">
        <w:rPr>
          <w:rFonts w:ascii="Garamond" w:hAnsi="Garamond" w:cs="Times New Roman"/>
          <w:i/>
          <w:iCs/>
          <w:color w:val="000000"/>
          <w:sz w:val="24"/>
          <w:szCs w:val="24"/>
        </w:rPr>
        <w:t xml:space="preserve"> </w:t>
      </w:r>
      <w:proofErr w:type="spellStart"/>
      <w:r w:rsidRPr="005C2AE8">
        <w:rPr>
          <w:rFonts w:ascii="Garamond" w:hAnsi="Garamond" w:cs="Times New Roman"/>
          <w:i/>
          <w:iCs/>
          <w:color w:val="000000"/>
          <w:sz w:val="24"/>
          <w:szCs w:val="24"/>
        </w:rPr>
        <w:t>Torija</w:t>
      </w:r>
      <w:proofErr w:type="spellEnd"/>
      <w:r w:rsidRPr="005C2AE8">
        <w:rPr>
          <w:rFonts w:ascii="Garamond" w:hAnsi="Garamond" w:cs="Times New Roman"/>
          <w:i/>
          <w:iCs/>
          <w:color w:val="000000"/>
          <w:sz w:val="24"/>
          <w:szCs w:val="24"/>
        </w:rPr>
        <w:t xml:space="preserve"> kundër Spanjës</w:t>
      </w:r>
      <w:r w:rsidRPr="005C2AE8">
        <w:rPr>
          <w:rFonts w:ascii="Garamond" w:hAnsi="Garamond" w:cs="Times New Roman"/>
          <w:color w:val="000000"/>
          <w:sz w:val="24"/>
          <w:szCs w:val="24"/>
        </w:rPr>
        <w:t xml:space="preserve">, 9 dhjetor 1994, § 29, </w:t>
      </w:r>
      <w:r w:rsidR="005C2AE8">
        <w:rPr>
          <w:rFonts w:ascii="Garamond" w:hAnsi="Garamond" w:cs="Times New Roman"/>
          <w:color w:val="000000"/>
          <w:sz w:val="24"/>
          <w:szCs w:val="24"/>
        </w:rPr>
        <w:t>s</w:t>
      </w:r>
      <w:r w:rsidRPr="005C2AE8">
        <w:rPr>
          <w:rFonts w:ascii="Garamond" w:hAnsi="Garamond" w:cs="Times New Roman"/>
          <w:color w:val="000000"/>
          <w:sz w:val="24"/>
          <w:szCs w:val="24"/>
        </w:rPr>
        <w:t xml:space="preserve">eria A nr. 303-A, dhe </w:t>
      </w:r>
      <w:r w:rsidRPr="005C2AE8">
        <w:rPr>
          <w:rFonts w:ascii="Garamond" w:hAnsi="Garamond" w:cs="Times New Roman"/>
          <w:i/>
          <w:iCs/>
          <w:color w:val="000000"/>
          <w:sz w:val="24"/>
          <w:szCs w:val="24"/>
        </w:rPr>
        <w:t xml:space="preserve">çështja Hiro </w:t>
      </w:r>
      <w:proofErr w:type="spellStart"/>
      <w:r w:rsidRPr="005C2AE8">
        <w:rPr>
          <w:rFonts w:ascii="Garamond" w:hAnsi="Garamond" w:cs="Times New Roman"/>
          <w:i/>
          <w:iCs/>
          <w:color w:val="000000"/>
          <w:sz w:val="24"/>
          <w:szCs w:val="24"/>
        </w:rPr>
        <w:t>Balani</w:t>
      </w:r>
      <w:proofErr w:type="spellEnd"/>
      <w:r w:rsidRPr="005C2AE8">
        <w:rPr>
          <w:rFonts w:ascii="Garamond" w:hAnsi="Garamond" w:cs="Times New Roman"/>
          <w:i/>
          <w:iCs/>
          <w:color w:val="000000"/>
          <w:sz w:val="24"/>
          <w:szCs w:val="24"/>
        </w:rPr>
        <w:t xml:space="preserve"> kundër Spanjës</w:t>
      </w:r>
      <w:r w:rsidRPr="005C2AE8">
        <w:rPr>
          <w:rFonts w:ascii="Garamond" w:hAnsi="Garamond" w:cs="Times New Roman"/>
          <w:color w:val="000000"/>
          <w:sz w:val="24"/>
          <w:szCs w:val="24"/>
        </w:rPr>
        <w:t xml:space="preserve">, 9 dhjetor 1994, § 27, </w:t>
      </w:r>
      <w:r w:rsidR="005C2AE8">
        <w:rPr>
          <w:rFonts w:ascii="Garamond" w:hAnsi="Garamond" w:cs="Times New Roman"/>
          <w:color w:val="000000"/>
          <w:sz w:val="24"/>
          <w:szCs w:val="24"/>
        </w:rPr>
        <w:t>s</w:t>
      </w:r>
      <w:r w:rsidRPr="005C2AE8">
        <w:rPr>
          <w:rFonts w:ascii="Garamond" w:hAnsi="Garamond" w:cs="Times New Roman"/>
          <w:color w:val="000000"/>
          <w:sz w:val="24"/>
          <w:szCs w:val="24"/>
        </w:rPr>
        <w:t>eria A nr. 303-B).</w:t>
      </w:r>
    </w:p>
    <w:p w14:paraId="0F7053FA" w14:textId="787C7EAB" w:rsidR="00684153" w:rsidRPr="005C2AE8" w:rsidRDefault="00684153" w:rsidP="00684153">
      <w:pPr>
        <w:autoSpaceDE w:val="0"/>
        <w:autoSpaceDN w:val="0"/>
        <w:adjustRightInd w:val="0"/>
        <w:spacing w:after="0" w:line="240" w:lineRule="auto"/>
        <w:ind w:firstLine="284"/>
        <w:jc w:val="both"/>
        <w:rPr>
          <w:rFonts w:ascii="Garamond" w:hAnsi="Garamond" w:cs="Times New Roman"/>
          <w:color w:val="000000"/>
          <w:sz w:val="24"/>
          <w:szCs w:val="24"/>
        </w:rPr>
      </w:pPr>
      <w:r w:rsidRPr="005C2AE8">
        <w:rPr>
          <w:rFonts w:ascii="Garamond" w:hAnsi="Garamond" w:cs="Times New Roman"/>
          <w:color w:val="000000"/>
          <w:sz w:val="24"/>
          <w:szCs w:val="24"/>
        </w:rPr>
        <w:t xml:space="preserve">53. Fillimisht i takon autoriteteve kombëtare, sidomos gjykatave, që të zgjidhin problemet e interpretimit të legjislacionit të brendshëm. Kjo vlen në veçanti për interpretimin që gjykatat i bëjnë rregullave me natyrë procedurale siç është mënyra e parashikuar dhe afati i parashikuar për depozitimin, </w:t>
      </w:r>
      <w:proofErr w:type="spellStart"/>
      <w:r w:rsidRPr="005C2AE8">
        <w:rPr>
          <w:rFonts w:ascii="Garamond" w:hAnsi="Garamond" w:cs="Times New Roman"/>
          <w:i/>
          <w:iCs/>
          <w:color w:val="000000"/>
          <w:sz w:val="24"/>
          <w:szCs w:val="24"/>
        </w:rPr>
        <w:t>inter</w:t>
      </w:r>
      <w:proofErr w:type="spellEnd"/>
      <w:r w:rsidRPr="005C2AE8">
        <w:rPr>
          <w:rFonts w:ascii="Garamond" w:hAnsi="Garamond" w:cs="Times New Roman"/>
          <w:i/>
          <w:iCs/>
          <w:color w:val="000000"/>
          <w:sz w:val="24"/>
          <w:szCs w:val="24"/>
        </w:rPr>
        <w:t xml:space="preserve"> </w:t>
      </w:r>
      <w:proofErr w:type="spellStart"/>
      <w:r w:rsidRPr="005C2AE8">
        <w:rPr>
          <w:rFonts w:ascii="Garamond" w:hAnsi="Garamond" w:cs="Times New Roman"/>
          <w:i/>
          <w:iCs/>
          <w:color w:val="000000"/>
          <w:sz w:val="24"/>
          <w:szCs w:val="24"/>
        </w:rPr>
        <w:t>alia</w:t>
      </w:r>
      <w:proofErr w:type="spellEnd"/>
      <w:r w:rsidRPr="005C2AE8">
        <w:rPr>
          <w:rFonts w:ascii="Garamond" w:hAnsi="Garamond" w:cs="Times New Roman"/>
          <w:color w:val="000000"/>
          <w:sz w:val="24"/>
          <w:szCs w:val="24"/>
        </w:rPr>
        <w:t xml:space="preserve"> e një padie civile ose </w:t>
      </w:r>
      <w:proofErr w:type="spellStart"/>
      <w:r w:rsidRPr="005C2AE8">
        <w:rPr>
          <w:rFonts w:ascii="Garamond" w:hAnsi="Garamond" w:cs="Times New Roman"/>
          <w:color w:val="000000"/>
          <w:sz w:val="24"/>
          <w:szCs w:val="24"/>
        </w:rPr>
        <w:t>ankimimi</w:t>
      </w:r>
      <w:proofErr w:type="spellEnd"/>
      <w:r w:rsidRPr="005C2AE8">
        <w:rPr>
          <w:rFonts w:ascii="Garamond" w:hAnsi="Garamond" w:cs="Times New Roman"/>
          <w:color w:val="000000"/>
          <w:sz w:val="24"/>
          <w:szCs w:val="24"/>
        </w:rPr>
        <w:t xml:space="preserve">. Roli i Gjykatës është i kufizuar me konstatimin nëse efektet e këtij interpretimi janë në përputhje me Konventën (shihni </w:t>
      </w:r>
      <w:r w:rsidRPr="005C2AE8">
        <w:rPr>
          <w:rFonts w:ascii="Garamond" w:hAnsi="Garamond" w:cs="Times New Roman"/>
          <w:i/>
          <w:iCs/>
          <w:color w:val="000000"/>
          <w:sz w:val="24"/>
          <w:szCs w:val="24"/>
        </w:rPr>
        <w:t xml:space="preserve">çështja </w:t>
      </w:r>
      <w:proofErr w:type="spellStart"/>
      <w:r w:rsidRPr="005C2AE8">
        <w:rPr>
          <w:rFonts w:ascii="Garamond" w:hAnsi="Garamond" w:cs="Times New Roman"/>
          <w:i/>
          <w:iCs/>
          <w:color w:val="000000"/>
          <w:sz w:val="24"/>
          <w:szCs w:val="24"/>
        </w:rPr>
        <w:t>Platakou</w:t>
      </w:r>
      <w:proofErr w:type="spellEnd"/>
      <w:r w:rsidRPr="005C2AE8">
        <w:rPr>
          <w:rFonts w:ascii="Garamond" w:hAnsi="Garamond" w:cs="Times New Roman"/>
          <w:i/>
          <w:iCs/>
          <w:color w:val="000000"/>
          <w:sz w:val="24"/>
          <w:szCs w:val="24"/>
        </w:rPr>
        <w:t xml:space="preserve"> kundër Greqisë</w:t>
      </w:r>
      <w:r w:rsidRPr="005C2AE8">
        <w:rPr>
          <w:rFonts w:ascii="Garamond" w:hAnsi="Garamond" w:cs="Times New Roman"/>
          <w:color w:val="000000"/>
          <w:sz w:val="24"/>
          <w:szCs w:val="24"/>
        </w:rPr>
        <w:t xml:space="preserve">, nr. 38460/97, § 37, </w:t>
      </w:r>
      <w:proofErr w:type="spellStart"/>
      <w:r w:rsidRPr="005C2AE8">
        <w:rPr>
          <w:rFonts w:ascii="Garamond" w:hAnsi="Garamond" w:cs="Times New Roman"/>
          <w:color w:val="000000"/>
          <w:sz w:val="24"/>
          <w:szCs w:val="24"/>
        </w:rPr>
        <w:t>GJEDNJ</w:t>
      </w:r>
      <w:proofErr w:type="spellEnd"/>
      <w:r w:rsidRPr="005C2AE8">
        <w:rPr>
          <w:rFonts w:ascii="Garamond" w:hAnsi="Garamond" w:cs="Times New Roman"/>
          <w:color w:val="000000"/>
          <w:sz w:val="24"/>
          <w:szCs w:val="24"/>
        </w:rPr>
        <w:t xml:space="preserve"> 2001-I).</w:t>
      </w:r>
    </w:p>
    <w:p w14:paraId="63524B13" w14:textId="2EF4C1BB" w:rsidR="00684153" w:rsidRPr="005C2AE8" w:rsidRDefault="00684153" w:rsidP="00684153">
      <w:pPr>
        <w:autoSpaceDE w:val="0"/>
        <w:autoSpaceDN w:val="0"/>
        <w:adjustRightInd w:val="0"/>
        <w:spacing w:after="0" w:line="240" w:lineRule="auto"/>
        <w:ind w:firstLine="284"/>
        <w:jc w:val="both"/>
        <w:rPr>
          <w:rFonts w:ascii="Garamond" w:hAnsi="Garamond" w:cs="Times New Roman"/>
          <w:color w:val="000000"/>
          <w:sz w:val="24"/>
          <w:szCs w:val="24"/>
        </w:rPr>
      </w:pPr>
      <w:r w:rsidRPr="005C2AE8">
        <w:rPr>
          <w:rFonts w:ascii="Garamond" w:hAnsi="Garamond" w:cs="Times New Roman"/>
          <w:color w:val="000000"/>
          <w:sz w:val="24"/>
          <w:szCs w:val="24"/>
        </w:rPr>
        <w:lastRenderedPageBreak/>
        <w:t>54. Në lidhje me çështjen në fjalë, Gjykata vëren që padia civile kishte të bënte me dy pretendime kryesore: që punimet e shoqërisë kërkuese të pezulloheshin dhe që vendimet e Këshillit që autorizonin ndërtimin të prisheshin. Secili pretendim ishte objekt i një afati të ndryshëm parashkrimi. Për pretendimin e parë ishte një vit nga fillimi i punimeve të ndërtimit dhe për pretendimin e dytë ishte tridhjetë ditë nga data e dhënies së lejes së ndërtimit ose nga data e marrjes dijeni nga palët e interesuara. Nuk kontestohet që pretendimi i parë është depozituar brenda afatit të parashkrimit. Megjithatë, pretendimi i dytë është depozituar më shumë se tridhjetë ditë pas miratimit të lejes së ndërtimit. Meqë ky vendim nuk ju njoftua fqinjëve, nuk është e mundur që të përcaktohet data e saktë e marrjes dijeni prej tyre.</w:t>
      </w:r>
    </w:p>
    <w:p w14:paraId="67170D03" w14:textId="6D9D5386" w:rsidR="00684153" w:rsidRPr="005C2AE8" w:rsidRDefault="00684153" w:rsidP="00684153">
      <w:pPr>
        <w:autoSpaceDE w:val="0"/>
        <w:autoSpaceDN w:val="0"/>
        <w:adjustRightInd w:val="0"/>
        <w:spacing w:after="0" w:line="240" w:lineRule="auto"/>
        <w:ind w:firstLine="284"/>
        <w:jc w:val="both"/>
        <w:rPr>
          <w:rFonts w:ascii="Garamond" w:hAnsi="Garamond" w:cs="Times New Roman"/>
          <w:color w:val="000000"/>
          <w:sz w:val="24"/>
          <w:szCs w:val="24"/>
        </w:rPr>
      </w:pPr>
      <w:r w:rsidRPr="005C2AE8">
        <w:rPr>
          <w:rFonts w:ascii="Garamond" w:hAnsi="Garamond" w:cs="Times New Roman"/>
          <w:color w:val="000000"/>
          <w:sz w:val="24"/>
          <w:szCs w:val="24"/>
        </w:rPr>
        <w:t>55. Gjykata konstaton që edhe nëse vendimi i Gjykatës së Lartë nuk trajtoi shprehimisht pyetjen nëse pretendimi në lidhje me shfuqizimin e lejes së ndërtimit ishte i parashkruar, duhet vërejtur që, siç arsyetoi Gjykata e Lartë, ishte e qartë nga dosja se leja e ndërtimit ishte dhënë vetëm për gjashtë muaj, dhe shoqëria kërkuese nuk kishte dorëzuar kërkesë për rinovimin ose zgjatjen e saj. Për këtë shkak, leja e ndërtimit nuk ishte e vlefshme, pavarësisht çdo vendimi gjyqësor. Prandaj, fakti që Gjykata e Lartë nuk e trajtoi pyetjen nëse ajo pjesë e pretendimit të paditësve ishte e parashkruar nuk mund të kishte ndikuar në vlefshmërinë e lejes së ndërtimit, sepse afati i saj tashmë kishte përfunduar.</w:t>
      </w:r>
    </w:p>
    <w:p w14:paraId="7A5B289E" w14:textId="25814ECA" w:rsidR="00684153" w:rsidRPr="005C2AE8" w:rsidRDefault="00684153" w:rsidP="00684153">
      <w:pPr>
        <w:autoSpaceDE w:val="0"/>
        <w:autoSpaceDN w:val="0"/>
        <w:adjustRightInd w:val="0"/>
        <w:spacing w:after="0" w:line="240" w:lineRule="auto"/>
        <w:ind w:firstLine="284"/>
        <w:jc w:val="both"/>
        <w:rPr>
          <w:rFonts w:ascii="Garamond" w:hAnsi="Garamond" w:cs="Times New Roman"/>
          <w:color w:val="000000"/>
          <w:sz w:val="24"/>
          <w:szCs w:val="24"/>
        </w:rPr>
      </w:pPr>
      <w:r w:rsidRPr="005C2AE8">
        <w:rPr>
          <w:rFonts w:ascii="Garamond" w:hAnsi="Garamond" w:cs="Times New Roman"/>
          <w:color w:val="000000"/>
          <w:sz w:val="24"/>
          <w:szCs w:val="24"/>
        </w:rPr>
        <w:t>56. Problemet kryesore për vendimmarrje nga gjykatat e brendshme ishin nëse ndërtimi nga shoqëria kërkuese ndikonte negativisht në ndërtesat e fqinjëve dhe nëse ndërtimi ishte në përputhje me kuadrin ligjor ekzistues. Këto pyetje u trajtuan me kujdes nga Gjykata e Lartë në vendimin e saj, duke renditur mospërputhjet e lejes së ndërtimit me Planin e Urbanizimit 1993 dhe duke konstatuar që të drejtat e pronës së fqinjëve të shoqërisë kërkuese do të ishin shkelur nëse ndërtimi do të kishte përfunduar.</w:t>
      </w:r>
    </w:p>
    <w:p w14:paraId="16323142" w14:textId="669DDB06" w:rsidR="00684153" w:rsidRPr="005C2AE8" w:rsidRDefault="00684153" w:rsidP="00684153">
      <w:pPr>
        <w:autoSpaceDE w:val="0"/>
        <w:autoSpaceDN w:val="0"/>
        <w:adjustRightInd w:val="0"/>
        <w:spacing w:after="0" w:line="240" w:lineRule="auto"/>
        <w:ind w:firstLine="284"/>
        <w:jc w:val="both"/>
        <w:rPr>
          <w:rFonts w:ascii="Garamond" w:hAnsi="Garamond" w:cs="Times New Roman"/>
          <w:color w:val="000000"/>
          <w:sz w:val="24"/>
          <w:szCs w:val="24"/>
        </w:rPr>
      </w:pPr>
      <w:r w:rsidRPr="005C2AE8">
        <w:rPr>
          <w:rFonts w:ascii="Garamond" w:hAnsi="Garamond" w:cs="Times New Roman"/>
          <w:color w:val="000000"/>
          <w:sz w:val="24"/>
          <w:szCs w:val="24"/>
        </w:rPr>
        <w:t>57. Në këto rrethana, Gjykata konsideron që ankimi i kërkuesve për mungesën e arsyetimit të vendimit të Gjykatës së Lartë është haptazi i pabazuar dhe duhet të refuzohet në përputhje me nenin 35 §§ 3 (a) dhe 4 të Konventës.</w:t>
      </w:r>
    </w:p>
    <w:p w14:paraId="1E986E32" w14:textId="677C683D" w:rsidR="00684153" w:rsidRPr="005C2AE8" w:rsidRDefault="00684153" w:rsidP="00684153">
      <w:pPr>
        <w:tabs>
          <w:tab w:val="left" w:pos="360"/>
        </w:tabs>
        <w:autoSpaceDE w:val="0"/>
        <w:autoSpaceDN w:val="0"/>
        <w:adjustRightInd w:val="0"/>
        <w:spacing w:after="0" w:line="240" w:lineRule="auto"/>
        <w:ind w:firstLine="284"/>
        <w:jc w:val="both"/>
        <w:rPr>
          <w:rFonts w:ascii="Garamond" w:hAnsi="Garamond" w:cs="Times New Roman"/>
          <w:b/>
          <w:bCs/>
          <w:color w:val="000000"/>
          <w:sz w:val="24"/>
          <w:szCs w:val="24"/>
        </w:rPr>
      </w:pPr>
      <w:r w:rsidRPr="005C2AE8">
        <w:rPr>
          <w:rFonts w:ascii="Garamond" w:hAnsi="Garamond" w:cs="Times New Roman"/>
          <w:b/>
          <w:bCs/>
          <w:color w:val="000000"/>
          <w:sz w:val="24"/>
          <w:szCs w:val="24"/>
        </w:rPr>
        <w:t>B. Neni 1</w:t>
      </w:r>
      <w:r w:rsidR="005C2AE8">
        <w:rPr>
          <w:rFonts w:ascii="Garamond" w:hAnsi="Garamond" w:cs="Times New Roman"/>
          <w:b/>
          <w:bCs/>
          <w:color w:val="000000"/>
          <w:sz w:val="24"/>
          <w:szCs w:val="24"/>
        </w:rPr>
        <w:t>,</w:t>
      </w:r>
      <w:r w:rsidRPr="005C2AE8">
        <w:rPr>
          <w:rFonts w:ascii="Garamond" w:hAnsi="Garamond" w:cs="Times New Roman"/>
          <w:b/>
          <w:bCs/>
          <w:color w:val="000000"/>
          <w:sz w:val="24"/>
          <w:szCs w:val="24"/>
        </w:rPr>
        <w:t xml:space="preserve"> i Protokollit nr.</w:t>
      </w:r>
      <w:r w:rsidR="005C2AE8">
        <w:rPr>
          <w:rFonts w:ascii="Garamond" w:hAnsi="Garamond" w:cs="Times New Roman"/>
          <w:b/>
          <w:bCs/>
          <w:color w:val="000000"/>
          <w:sz w:val="24"/>
          <w:szCs w:val="24"/>
        </w:rPr>
        <w:t xml:space="preserve"> </w:t>
      </w:r>
      <w:r w:rsidRPr="005C2AE8">
        <w:rPr>
          <w:rFonts w:ascii="Garamond" w:hAnsi="Garamond" w:cs="Times New Roman"/>
          <w:b/>
          <w:bCs/>
          <w:color w:val="000000"/>
          <w:sz w:val="24"/>
          <w:szCs w:val="24"/>
        </w:rPr>
        <w:t>1</w:t>
      </w:r>
    </w:p>
    <w:p w14:paraId="58C83700" w14:textId="5B416E6D" w:rsidR="00684153" w:rsidRPr="005C2AE8" w:rsidRDefault="00684153" w:rsidP="00684153">
      <w:pPr>
        <w:autoSpaceDE w:val="0"/>
        <w:autoSpaceDN w:val="0"/>
        <w:adjustRightInd w:val="0"/>
        <w:spacing w:after="0" w:line="240" w:lineRule="auto"/>
        <w:ind w:firstLine="284"/>
        <w:jc w:val="both"/>
        <w:rPr>
          <w:rFonts w:ascii="Garamond" w:hAnsi="Garamond" w:cs="Times New Roman"/>
          <w:sz w:val="24"/>
          <w:szCs w:val="24"/>
        </w:rPr>
      </w:pPr>
      <w:r w:rsidRPr="005C2AE8">
        <w:rPr>
          <w:rFonts w:ascii="Garamond" w:hAnsi="Garamond" w:cs="Times New Roman"/>
          <w:color w:val="000000"/>
          <w:sz w:val="24"/>
          <w:szCs w:val="24"/>
        </w:rPr>
        <w:t>58. Gjithashtu</w:t>
      </w:r>
      <w:r w:rsidR="005C2AE8">
        <w:rPr>
          <w:rFonts w:ascii="Garamond" w:hAnsi="Garamond" w:cs="Times New Roman"/>
          <w:color w:val="000000"/>
          <w:sz w:val="24"/>
          <w:szCs w:val="24"/>
        </w:rPr>
        <w:t>,</w:t>
      </w:r>
      <w:r w:rsidRPr="005C2AE8">
        <w:rPr>
          <w:rFonts w:ascii="Garamond" w:hAnsi="Garamond" w:cs="Times New Roman"/>
          <w:color w:val="000000"/>
          <w:sz w:val="24"/>
          <w:szCs w:val="24"/>
        </w:rPr>
        <w:t xml:space="preserve"> kërkuesit paraqitën ankim sipas nenit 1</w:t>
      </w:r>
      <w:r w:rsidR="005C2AE8">
        <w:rPr>
          <w:rFonts w:ascii="Garamond" w:hAnsi="Garamond" w:cs="Times New Roman"/>
          <w:color w:val="000000"/>
          <w:sz w:val="24"/>
          <w:szCs w:val="24"/>
        </w:rPr>
        <w:t>,</w:t>
      </w:r>
      <w:r w:rsidRPr="005C2AE8">
        <w:rPr>
          <w:rFonts w:ascii="Garamond" w:hAnsi="Garamond" w:cs="Times New Roman"/>
          <w:color w:val="000000"/>
          <w:sz w:val="24"/>
          <w:szCs w:val="24"/>
        </w:rPr>
        <w:t xml:space="preserve"> të Protokollit nr</w:t>
      </w:r>
      <w:r w:rsidR="005C2AE8">
        <w:rPr>
          <w:rFonts w:ascii="Garamond" w:hAnsi="Garamond" w:cs="Times New Roman"/>
          <w:color w:val="000000"/>
          <w:sz w:val="24"/>
          <w:szCs w:val="24"/>
        </w:rPr>
        <w:t>.</w:t>
      </w:r>
      <w:r w:rsidRPr="005C2AE8">
        <w:rPr>
          <w:rFonts w:ascii="Garamond" w:hAnsi="Garamond" w:cs="Times New Roman"/>
          <w:color w:val="000000"/>
          <w:sz w:val="24"/>
          <w:szCs w:val="24"/>
        </w:rPr>
        <w:t xml:space="preserve"> 1</w:t>
      </w:r>
      <w:r w:rsidR="005C2AE8">
        <w:rPr>
          <w:rFonts w:ascii="Garamond" w:hAnsi="Garamond" w:cs="Times New Roman"/>
          <w:color w:val="000000"/>
          <w:sz w:val="24"/>
          <w:szCs w:val="24"/>
        </w:rPr>
        <w:t>,</w:t>
      </w:r>
      <w:r w:rsidRPr="005C2AE8">
        <w:rPr>
          <w:rFonts w:ascii="Garamond" w:hAnsi="Garamond" w:cs="Times New Roman"/>
          <w:color w:val="000000"/>
          <w:sz w:val="24"/>
          <w:szCs w:val="24"/>
        </w:rPr>
        <w:t xml:space="preserve"> me pretendimin e shkeljes së të drejtës së tyre për gëzimin e qetë të pronës së tyre, për shkak të shfuqizimit të lejes së ndërtimit. Nisur nga vlerësimi i mësipërm</w:t>
      </w:r>
      <w:r w:rsidR="005C2AE8">
        <w:rPr>
          <w:rFonts w:ascii="Garamond" w:hAnsi="Garamond" w:cs="Times New Roman"/>
          <w:color w:val="000000"/>
          <w:sz w:val="24"/>
          <w:szCs w:val="24"/>
        </w:rPr>
        <w:t>,</w:t>
      </w:r>
      <w:r w:rsidRPr="005C2AE8">
        <w:rPr>
          <w:rFonts w:ascii="Garamond" w:hAnsi="Garamond" w:cs="Times New Roman"/>
          <w:color w:val="000000"/>
          <w:sz w:val="24"/>
          <w:szCs w:val="24"/>
        </w:rPr>
        <w:t xml:space="preserve"> sipas nenit 6 § 1 të Konventës, Gjykata konsideron se, bazuar në tërësinë e materialit në dispozicion të saj dhe në masën që kjo çështje është brenda kompetencës së saj, ky ankim nuk tregon ndonjë shfaqje të shkeljes së të drejtave dhe lirive të shprehura në Konventë ose në Protokollet e saj. Duke pasur parasysh arsyet e dhëna nga gjykatat e brendshme (d.m.th mbarimin e afatit të lejes së ndërtimit</w:t>
      </w:r>
      <w:r w:rsidR="005C2AE8">
        <w:rPr>
          <w:rFonts w:ascii="Garamond" w:hAnsi="Garamond" w:cs="Times New Roman"/>
          <w:color w:val="000000"/>
          <w:sz w:val="24"/>
          <w:szCs w:val="24"/>
        </w:rPr>
        <w:t>,</w:t>
      </w:r>
      <w:r w:rsidRPr="005C2AE8">
        <w:rPr>
          <w:rFonts w:ascii="Garamond" w:hAnsi="Garamond" w:cs="Times New Roman"/>
          <w:color w:val="000000"/>
          <w:sz w:val="24"/>
          <w:szCs w:val="24"/>
        </w:rPr>
        <w:t xml:space="preserve"> në zbatim të neneve 60 dhe 33 të Ligjit për Urbanizimin, mungesa e vigjilencës nga kërkuesit që nuk kërkuan rinovimin e saj dhe mosrespektimi i legjislacionit për urbanizimin), Gjykata konsideron se vendimi i gjykatave që rezultoi në shfuqizimin e lejes së ndërtimit nuk gjeti shkelje të </w:t>
      </w:r>
      <w:proofErr w:type="spellStart"/>
      <w:r w:rsidRPr="005C2AE8">
        <w:rPr>
          <w:rFonts w:ascii="Garamond" w:hAnsi="Garamond" w:cs="Times New Roman"/>
          <w:color w:val="000000"/>
          <w:sz w:val="24"/>
          <w:szCs w:val="24"/>
        </w:rPr>
        <w:t>të</w:t>
      </w:r>
      <w:proofErr w:type="spellEnd"/>
      <w:r w:rsidRPr="005C2AE8">
        <w:rPr>
          <w:rFonts w:ascii="Garamond" w:hAnsi="Garamond" w:cs="Times New Roman"/>
          <w:color w:val="000000"/>
          <w:sz w:val="24"/>
          <w:szCs w:val="24"/>
        </w:rPr>
        <w:t xml:space="preserve"> drejtave të pronës së kërkuesve (shihni </w:t>
      </w:r>
      <w:proofErr w:type="spellStart"/>
      <w:r w:rsidRPr="005C2AE8">
        <w:rPr>
          <w:rFonts w:ascii="Garamond" w:hAnsi="Garamond" w:cs="Times New Roman"/>
          <w:i/>
          <w:iCs/>
          <w:color w:val="000000"/>
          <w:sz w:val="24"/>
          <w:szCs w:val="24"/>
        </w:rPr>
        <w:t>mutatis</w:t>
      </w:r>
      <w:proofErr w:type="spellEnd"/>
      <w:r w:rsidRPr="005C2AE8">
        <w:rPr>
          <w:rFonts w:ascii="Garamond" w:hAnsi="Garamond" w:cs="Times New Roman"/>
          <w:i/>
          <w:iCs/>
          <w:color w:val="000000"/>
          <w:sz w:val="24"/>
          <w:szCs w:val="24"/>
        </w:rPr>
        <w:t xml:space="preserve"> </w:t>
      </w:r>
      <w:proofErr w:type="spellStart"/>
      <w:r w:rsidRPr="005C2AE8">
        <w:rPr>
          <w:rFonts w:ascii="Garamond" w:hAnsi="Garamond" w:cs="Times New Roman"/>
          <w:i/>
          <w:iCs/>
          <w:color w:val="000000"/>
          <w:sz w:val="24"/>
          <w:szCs w:val="24"/>
        </w:rPr>
        <w:t>mutandis</w:t>
      </w:r>
      <w:proofErr w:type="spellEnd"/>
      <w:r w:rsidRPr="005C2AE8">
        <w:rPr>
          <w:rFonts w:ascii="Garamond" w:hAnsi="Garamond" w:cs="Times New Roman"/>
          <w:color w:val="000000"/>
          <w:sz w:val="24"/>
          <w:szCs w:val="24"/>
        </w:rPr>
        <w:t xml:space="preserve">, </w:t>
      </w:r>
      <w:r w:rsidRPr="005C2AE8">
        <w:rPr>
          <w:rFonts w:ascii="Garamond" w:hAnsi="Garamond" w:cs="Times New Roman"/>
          <w:i/>
          <w:iCs/>
          <w:color w:val="000000"/>
          <w:sz w:val="24"/>
          <w:szCs w:val="24"/>
        </w:rPr>
        <w:t xml:space="preserve">çështja </w:t>
      </w:r>
      <w:proofErr w:type="spellStart"/>
      <w:r w:rsidRPr="005C2AE8">
        <w:rPr>
          <w:rFonts w:ascii="Garamond" w:hAnsi="Garamond" w:cs="Times New Roman"/>
          <w:i/>
          <w:iCs/>
          <w:color w:val="000000"/>
          <w:sz w:val="24"/>
          <w:szCs w:val="24"/>
        </w:rPr>
        <w:t>Gorraiz</w:t>
      </w:r>
      <w:proofErr w:type="spellEnd"/>
      <w:r w:rsidRPr="005C2AE8">
        <w:rPr>
          <w:rFonts w:ascii="Garamond" w:hAnsi="Garamond" w:cs="Times New Roman"/>
          <w:i/>
          <w:iCs/>
          <w:color w:val="000000"/>
          <w:sz w:val="24"/>
          <w:szCs w:val="24"/>
        </w:rPr>
        <w:t xml:space="preserve"> </w:t>
      </w:r>
      <w:proofErr w:type="spellStart"/>
      <w:r w:rsidRPr="005C2AE8">
        <w:rPr>
          <w:rFonts w:ascii="Garamond" w:hAnsi="Garamond" w:cs="Times New Roman"/>
          <w:i/>
          <w:iCs/>
          <w:color w:val="000000"/>
          <w:sz w:val="24"/>
          <w:szCs w:val="24"/>
        </w:rPr>
        <w:t>Lizarraga</w:t>
      </w:r>
      <w:proofErr w:type="spellEnd"/>
      <w:r w:rsidRPr="005C2AE8">
        <w:rPr>
          <w:rFonts w:ascii="Garamond" w:hAnsi="Garamond" w:cs="Times New Roman"/>
          <w:i/>
          <w:iCs/>
          <w:color w:val="000000"/>
          <w:sz w:val="24"/>
          <w:szCs w:val="24"/>
        </w:rPr>
        <w:t xml:space="preserve"> dhe të Tjerët kundër Spanjës</w:t>
      </w:r>
      <w:r w:rsidRPr="005C2AE8">
        <w:rPr>
          <w:rFonts w:ascii="Garamond" w:hAnsi="Garamond" w:cs="Times New Roman"/>
          <w:color w:val="000000"/>
          <w:sz w:val="24"/>
          <w:szCs w:val="24"/>
        </w:rPr>
        <w:t xml:space="preserve">, nr. 62543/00, § 70, </w:t>
      </w:r>
      <w:proofErr w:type="spellStart"/>
      <w:r w:rsidRPr="005C2AE8">
        <w:rPr>
          <w:rFonts w:ascii="Garamond" w:hAnsi="Garamond" w:cs="Times New Roman"/>
          <w:color w:val="000000"/>
          <w:sz w:val="24"/>
          <w:szCs w:val="24"/>
        </w:rPr>
        <w:t>GJEDNJ</w:t>
      </w:r>
      <w:proofErr w:type="spellEnd"/>
      <w:r w:rsidRPr="005C2AE8">
        <w:rPr>
          <w:rFonts w:ascii="Garamond" w:hAnsi="Garamond" w:cs="Times New Roman"/>
          <w:color w:val="000000"/>
          <w:sz w:val="24"/>
          <w:szCs w:val="24"/>
        </w:rPr>
        <w:t xml:space="preserve"> 2004-III)</w:t>
      </w:r>
    </w:p>
    <w:p w14:paraId="13F2D5BE" w14:textId="0D8B6F36" w:rsidR="00684153" w:rsidRPr="005C2AE8" w:rsidRDefault="00684153" w:rsidP="00684153">
      <w:pPr>
        <w:autoSpaceDE w:val="0"/>
        <w:autoSpaceDN w:val="0"/>
        <w:adjustRightInd w:val="0"/>
        <w:spacing w:after="0" w:line="240" w:lineRule="auto"/>
        <w:ind w:firstLine="284"/>
        <w:jc w:val="both"/>
        <w:rPr>
          <w:rFonts w:ascii="Garamond" w:hAnsi="Garamond" w:cs="Times New Roman"/>
          <w:color w:val="000000"/>
          <w:sz w:val="24"/>
          <w:szCs w:val="24"/>
        </w:rPr>
      </w:pPr>
      <w:r w:rsidRPr="005C2AE8">
        <w:rPr>
          <w:rFonts w:ascii="Garamond" w:hAnsi="Garamond" w:cs="Times New Roman"/>
          <w:color w:val="000000"/>
          <w:sz w:val="24"/>
          <w:szCs w:val="24"/>
        </w:rPr>
        <w:t>59. Për rrjedhojë, ky ankim është haptazi i pabazuar dhe duhet të refuzohet në përputhje me nenin 35 §§ 3 (a) dhe 4 të Konventës.</w:t>
      </w:r>
    </w:p>
    <w:p w14:paraId="65FE8C39" w14:textId="21A82E35" w:rsidR="00684153" w:rsidRPr="005C2AE8" w:rsidRDefault="00684153" w:rsidP="00684153">
      <w:pPr>
        <w:autoSpaceDE w:val="0"/>
        <w:autoSpaceDN w:val="0"/>
        <w:adjustRightInd w:val="0"/>
        <w:spacing w:after="0" w:line="240" w:lineRule="auto"/>
        <w:ind w:firstLine="284"/>
        <w:jc w:val="both"/>
        <w:rPr>
          <w:rFonts w:ascii="Garamond" w:hAnsi="Garamond" w:cs="Times New Roman"/>
          <w:color w:val="000000"/>
          <w:sz w:val="24"/>
          <w:szCs w:val="24"/>
        </w:rPr>
      </w:pPr>
      <w:r w:rsidRPr="005C2AE8">
        <w:rPr>
          <w:rFonts w:ascii="Garamond" w:hAnsi="Garamond" w:cs="Times New Roman"/>
          <w:color w:val="000000"/>
          <w:sz w:val="24"/>
          <w:szCs w:val="24"/>
        </w:rPr>
        <w:t>Për këto arsye, Gjykata, unanimisht,</w:t>
      </w:r>
    </w:p>
    <w:p w14:paraId="71565B5E" w14:textId="106178C8" w:rsidR="00684153" w:rsidRPr="005C2AE8" w:rsidRDefault="00684153" w:rsidP="00684153">
      <w:pPr>
        <w:autoSpaceDE w:val="0"/>
        <w:autoSpaceDN w:val="0"/>
        <w:adjustRightInd w:val="0"/>
        <w:spacing w:after="0" w:line="240" w:lineRule="auto"/>
        <w:ind w:firstLine="284"/>
        <w:jc w:val="both"/>
        <w:rPr>
          <w:rFonts w:ascii="Garamond" w:hAnsi="Garamond" w:cs="Times New Roman"/>
          <w:color w:val="000000"/>
          <w:sz w:val="24"/>
          <w:szCs w:val="24"/>
        </w:rPr>
      </w:pPr>
      <w:r w:rsidRPr="005C2AE8">
        <w:rPr>
          <w:rFonts w:ascii="Garamond" w:hAnsi="Garamond" w:cs="Times New Roman"/>
          <w:i/>
          <w:iCs/>
          <w:color w:val="000000"/>
          <w:sz w:val="24"/>
          <w:szCs w:val="24"/>
        </w:rPr>
        <w:t>Shpall</w:t>
      </w:r>
      <w:r w:rsidRPr="005C2AE8">
        <w:rPr>
          <w:rFonts w:ascii="Garamond" w:hAnsi="Garamond" w:cs="Times New Roman"/>
          <w:color w:val="000000"/>
          <w:sz w:val="24"/>
          <w:szCs w:val="24"/>
        </w:rPr>
        <w:t xml:space="preserve"> kërkesën të papranueshme.</w:t>
      </w:r>
    </w:p>
    <w:p w14:paraId="20095BB9" w14:textId="77777777" w:rsidR="005C2AE8" w:rsidRDefault="00684153" w:rsidP="005C2AE8">
      <w:pPr>
        <w:tabs>
          <w:tab w:val="center" w:pos="1400"/>
          <w:tab w:val="center" w:pos="5940"/>
        </w:tabs>
        <w:autoSpaceDE w:val="0"/>
        <w:autoSpaceDN w:val="0"/>
        <w:adjustRightInd w:val="0"/>
        <w:jc w:val="center"/>
        <w:rPr>
          <w:rFonts w:ascii="Garamond" w:hAnsi="Garamond" w:cs="Times New Roman"/>
          <w:b/>
          <w:color w:val="000000"/>
          <w:sz w:val="24"/>
          <w:szCs w:val="24"/>
        </w:rPr>
      </w:pPr>
      <w:r w:rsidRPr="005C2AE8">
        <w:rPr>
          <w:rFonts w:ascii="Garamond" w:hAnsi="Garamond" w:cs="Times New Roman"/>
          <w:color w:val="000000"/>
          <w:sz w:val="24"/>
          <w:szCs w:val="24"/>
        </w:rPr>
        <w:t>Bërë në gjuhën angleze dhe njoftuar me shkrim më 12 tetor 2023.</w:t>
      </w:r>
      <w:r w:rsidR="005C2AE8" w:rsidRPr="005C2AE8">
        <w:rPr>
          <w:rFonts w:ascii="Garamond" w:hAnsi="Garamond" w:cs="Times New Roman"/>
          <w:b/>
          <w:color w:val="000000"/>
          <w:sz w:val="24"/>
          <w:szCs w:val="24"/>
        </w:rPr>
        <w:t xml:space="preserve"> </w:t>
      </w:r>
    </w:p>
    <w:p w14:paraId="1D7CEF20" w14:textId="154A8D09" w:rsidR="00000000" w:rsidRPr="00684153" w:rsidRDefault="00224A79" w:rsidP="00761B45">
      <w:pPr>
        <w:tabs>
          <w:tab w:val="center" w:pos="1400"/>
          <w:tab w:val="center" w:pos="5940"/>
        </w:tabs>
        <w:autoSpaceDE w:val="0"/>
        <w:autoSpaceDN w:val="0"/>
        <w:adjustRightInd w:val="0"/>
        <w:spacing w:after="0" w:line="240" w:lineRule="auto"/>
        <w:ind w:firstLine="284"/>
        <w:jc w:val="both"/>
        <w:rPr>
          <w:rFonts w:ascii="Garamond" w:hAnsi="Garamond"/>
          <w:sz w:val="24"/>
          <w:szCs w:val="24"/>
        </w:rPr>
      </w:pPr>
    </w:p>
    <w:p w14:paraId="358CBAE3" w14:textId="5808B46B" w:rsidR="005C2AE8" w:rsidRDefault="005C2AE8" w:rsidP="005C2AE8">
      <w:pPr>
        <w:tabs>
          <w:tab w:val="center" w:pos="1400"/>
          <w:tab w:val="center" w:pos="5940"/>
        </w:tabs>
        <w:autoSpaceDE w:val="0"/>
        <w:autoSpaceDN w:val="0"/>
        <w:adjustRightInd w:val="0"/>
        <w:spacing w:after="0" w:line="240" w:lineRule="auto"/>
        <w:jc w:val="right"/>
        <w:rPr>
          <w:rFonts w:ascii="Garamond" w:hAnsi="Garamond" w:cs="Times New Roman"/>
          <w:color w:val="000000"/>
          <w:sz w:val="24"/>
          <w:szCs w:val="24"/>
        </w:rPr>
      </w:pPr>
      <w:proofErr w:type="spellStart"/>
      <w:r w:rsidRPr="005C2AE8">
        <w:rPr>
          <w:rFonts w:ascii="Garamond" w:hAnsi="Garamond" w:cs="Times New Roman"/>
          <w:b/>
          <w:color w:val="000000"/>
          <w:sz w:val="24"/>
          <w:szCs w:val="24"/>
        </w:rPr>
        <w:t>Olga</w:t>
      </w:r>
      <w:proofErr w:type="spellEnd"/>
      <w:r w:rsidRPr="005C2AE8">
        <w:rPr>
          <w:rFonts w:ascii="Garamond" w:hAnsi="Garamond" w:cs="Times New Roman"/>
          <w:b/>
          <w:color w:val="000000"/>
          <w:sz w:val="24"/>
          <w:szCs w:val="24"/>
        </w:rPr>
        <w:t xml:space="preserve"> </w:t>
      </w:r>
      <w:proofErr w:type="spellStart"/>
      <w:r w:rsidRPr="005C2AE8">
        <w:rPr>
          <w:rFonts w:ascii="Garamond" w:hAnsi="Garamond" w:cs="Times New Roman"/>
          <w:b/>
          <w:color w:val="000000"/>
          <w:sz w:val="24"/>
          <w:szCs w:val="24"/>
        </w:rPr>
        <w:t>Chernishova</w:t>
      </w:r>
      <w:proofErr w:type="spellEnd"/>
      <w:r w:rsidRPr="005C2AE8">
        <w:rPr>
          <w:rFonts w:ascii="Garamond" w:hAnsi="Garamond" w:cs="Times New Roman"/>
          <w:color w:val="000000"/>
          <w:sz w:val="24"/>
          <w:szCs w:val="24"/>
        </w:rPr>
        <w:t xml:space="preserve"> </w:t>
      </w:r>
    </w:p>
    <w:p w14:paraId="366F6547" w14:textId="7A76AA00" w:rsidR="005C2AE8" w:rsidRDefault="005C2AE8" w:rsidP="005C2AE8">
      <w:pPr>
        <w:tabs>
          <w:tab w:val="center" w:pos="1400"/>
          <w:tab w:val="center" w:pos="5940"/>
        </w:tabs>
        <w:autoSpaceDE w:val="0"/>
        <w:autoSpaceDN w:val="0"/>
        <w:adjustRightInd w:val="0"/>
        <w:spacing w:after="0" w:line="240" w:lineRule="auto"/>
        <w:jc w:val="right"/>
        <w:rPr>
          <w:rFonts w:ascii="Garamond" w:hAnsi="Garamond" w:cs="Times New Roman"/>
          <w:b/>
          <w:color w:val="000000"/>
          <w:sz w:val="24"/>
          <w:szCs w:val="24"/>
        </w:rPr>
      </w:pPr>
      <w:proofErr w:type="spellStart"/>
      <w:r w:rsidRPr="005C2AE8">
        <w:rPr>
          <w:rFonts w:ascii="Garamond" w:hAnsi="Garamond" w:cs="Times New Roman"/>
          <w:color w:val="000000"/>
          <w:sz w:val="24"/>
          <w:szCs w:val="24"/>
        </w:rPr>
        <w:t>ZËVENDËS</w:t>
      </w:r>
      <w:r>
        <w:rPr>
          <w:rFonts w:ascii="Garamond" w:hAnsi="Garamond" w:cs="Times New Roman"/>
          <w:color w:val="000000"/>
          <w:sz w:val="24"/>
          <w:szCs w:val="24"/>
        </w:rPr>
        <w:t>K</w:t>
      </w:r>
      <w:r w:rsidRPr="005C2AE8">
        <w:rPr>
          <w:rFonts w:ascii="Garamond" w:hAnsi="Garamond" w:cs="Times New Roman"/>
          <w:color w:val="000000"/>
          <w:sz w:val="24"/>
          <w:szCs w:val="24"/>
        </w:rPr>
        <w:t>ANCELARE</w:t>
      </w:r>
      <w:proofErr w:type="spellEnd"/>
      <w:r w:rsidRPr="005C2AE8">
        <w:rPr>
          <w:rFonts w:ascii="Garamond" w:hAnsi="Garamond" w:cs="Times New Roman"/>
          <w:b/>
          <w:color w:val="000000"/>
          <w:sz w:val="24"/>
          <w:szCs w:val="24"/>
        </w:rPr>
        <w:t xml:space="preserve"> </w:t>
      </w:r>
    </w:p>
    <w:p w14:paraId="01DBA60F" w14:textId="77777777" w:rsidR="005C2AE8" w:rsidRDefault="005C2AE8" w:rsidP="005C2AE8">
      <w:pPr>
        <w:tabs>
          <w:tab w:val="center" w:pos="1400"/>
          <w:tab w:val="center" w:pos="5940"/>
        </w:tabs>
        <w:autoSpaceDE w:val="0"/>
        <w:autoSpaceDN w:val="0"/>
        <w:adjustRightInd w:val="0"/>
        <w:spacing w:after="0" w:line="240" w:lineRule="auto"/>
        <w:ind w:firstLine="284"/>
        <w:jc w:val="right"/>
        <w:rPr>
          <w:rFonts w:ascii="Garamond" w:hAnsi="Garamond" w:cs="Times New Roman"/>
          <w:color w:val="000000"/>
          <w:sz w:val="24"/>
          <w:szCs w:val="24"/>
        </w:rPr>
      </w:pPr>
      <w:proofErr w:type="spellStart"/>
      <w:r w:rsidRPr="005C2AE8">
        <w:rPr>
          <w:rFonts w:ascii="Garamond" w:hAnsi="Garamond" w:cs="Times New Roman"/>
          <w:b/>
          <w:color w:val="000000"/>
          <w:sz w:val="24"/>
          <w:szCs w:val="24"/>
        </w:rPr>
        <w:t>Georgios</w:t>
      </w:r>
      <w:proofErr w:type="spellEnd"/>
      <w:r w:rsidRPr="005C2AE8">
        <w:rPr>
          <w:rFonts w:ascii="Garamond" w:hAnsi="Garamond" w:cs="Times New Roman"/>
          <w:b/>
          <w:color w:val="000000"/>
          <w:sz w:val="24"/>
          <w:szCs w:val="24"/>
        </w:rPr>
        <w:t xml:space="preserve"> A. </w:t>
      </w:r>
      <w:proofErr w:type="spellStart"/>
      <w:r w:rsidRPr="005C2AE8">
        <w:rPr>
          <w:rFonts w:ascii="Garamond" w:hAnsi="Garamond" w:cs="Times New Roman"/>
          <w:b/>
          <w:color w:val="000000"/>
          <w:sz w:val="24"/>
          <w:szCs w:val="24"/>
        </w:rPr>
        <w:t>Serghides</w:t>
      </w:r>
      <w:proofErr w:type="spellEnd"/>
      <w:r w:rsidRPr="005C2AE8">
        <w:rPr>
          <w:rFonts w:ascii="Garamond" w:hAnsi="Garamond" w:cs="Times New Roman"/>
          <w:color w:val="000000"/>
          <w:sz w:val="24"/>
          <w:szCs w:val="24"/>
        </w:rPr>
        <w:t xml:space="preserve"> </w:t>
      </w:r>
    </w:p>
    <w:p w14:paraId="455ED14A" w14:textId="3625424D" w:rsidR="005C2AE8" w:rsidRPr="00224A79" w:rsidRDefault="005C2AE8" w:rsidP="00224A79">
      <w:pPr>
        <w:tabs>
          <w:tab w:val="center" w:pos="1400"/>
          <w:tab w:val="center" w:pos="5940"/>
        </w:tabs>
        <w:autoSpaceDE w:val="0"/>
        <w:autoSpaceDN w:val="0"/>
        <w:adjustRightInd w:val="0"/>
        <w:spacing w:after="0" w:line="240" w:lineRule="auto"/>
        <w:ind w:firstLine="284"/>
        <w:jc w:val="right"/>
        <w:rPr>
          <w:rFonts w:ascii="Garamond" w:hAnsi="Garamond" w:cs="Times New Roman"/>
          <w:color w:val="000000"/>
          <w:sz w:val="24"/>
          <w:szCs w:val="24"/>
        </w:rPr>
      </w:pPr>
      <w:r w:rsidRPr="005C2AE8">
        <w:rPr>
          <w:rFonts w:ascii="Garamond" w:hAnsi="Garamond" w:cs="Times New Roman"/>
          <w:color w:val="000000"/>
          <w:sz w:val="24"/>
          <w:szCs w:val="24"/>
        </w:rPr>
        <w:t>PRESIDENT</w:t>
      </w:r>
      <w:bookmarkStart w:id="0" w:name="_GoBack"/>
      <w:bookmarkEnd w:id="0"/>
    </w:p>
    <w:sectPr w:rsidR="005C2AE8" w:rsidRPr="00224A79" w:rsidSect="005C2AE8">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2F9C"/>
    <w:rsid w:val="000954E1"/>
    <w:rsid w:val="000F74B6"/>
    <w:rsid w:val="00224A79"/>
    <w:rsid w:val="002949DB"/>
    <w:rsid w:val="00420FCC"/>
    <w:rsid w:val="00495544"/>
    <w:rsid w:val="005C2AE8"/>
    <w:rsid w:val="005F58E6"/>
    <w:rsid w:val="00684153"/>
    <w:rsid w:val="00761B45"/>
    <w:rsid w:val="007A461B"/>
    <w:rsid w:val="008C7EE7"/>
    <w:rsid w:val="009B3C49"/>
    <w:rsid w:val="00AD6F91"/>
    <w:rsid w:val="00C07E8A"/>
    <w:rsid w:val="00C52F9C"/>
    <w:rsid w:val="00EF5405"/>
    <w:rsid w:val="00F23F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375BC3"/>
  <w15:chartTrackingRefBased/>
  <w15:docId w15:val="{AC79F0DF-128B-4245-9455-5255922FC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sq-AL"/>
    </w:rPr>
  </w:style>
  <w:style w:type="paragraph" w:styleId="Heading1">
    <w:name w:val="heading 1"/>
    <w:basedOn w:val="Normal"/>
    <w:next w:val="Normal"/>
    <w:link w:val="Heading1Char"/>
    <w:uiPriority w:val="9"/>
    <w:qFormat/>
    <w:rsid w:val="0068415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68415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HRPlaceholder">
    <w:name w:val="ECHR_Placeholder"/>
    <w:aliases w:val="_Placeholder"/>
    <w:rsid w:val="00684153"/>
    <w:pPr>
      <w:tabs>
        <w:tab w:val="center" w:pos="1400"/>
        <w:tab w:val="center" w:pos="5940"/>
      </w:tabs>
      <w:autoSpaceDE w:val="0"/>
      <w:autoSpaceDN w:val="0"/>
      <w:adjustRightInd w:val="0"/>
      <w:spacing w:before="720" w:after="0" w:line="240" w:lineRule="auto"/>
    </w:pPr>
    <w:rPr>
      <w:rFonts w:ascii="Times New Roman" w:hAnsi="Times New Roman" w:cs="Times New Roman"/>
      <w:color w:val="FFFFFF"/>
      <w:sz w:val="24"/>
      <w:szCs w:val="24"/>
    </w:rPr>
  </w:style>
  <w:style w:type="paragraph" w:customStyle="1" w:styleId="JuParaLast">
    <w:name w:val="Ju_Para_Last"/>
    <w:aliases w:val="_Para_Spaced"/>
    <w:basedOn w:val="Normal"/>
    <w:uiPriority w:val="99"/>
    <w:rsid w:val="00684153"/>
    <w:pPr>
      <w:keepNext/>
      <w:keepLines/>
      <w:autoSpaceDE w:val="0"/>
      <w:autoSpaceDN w:val="0"/>
      <w:adjustRightInd w:val="0"/>
      <w:spacing w:before="240" w:after="240" w:line="240" w:lineRule="auto"/>
      <w:ind w:firstLine="280"/>
      <w:jc w:val="both"/>
    </w:pPr>
    <w:rPr>
      <w:rFonts w:ascii="Times New Roman" w:hAnsi="Times New Roman" w:cs="Times New Roman"/>
      <w:color w:val="000000"/>
      <w:sz w:val="24"/>
      <w:szCs w:val="24"/>
    </w:rPr>
  </w:style>
  <w:style w:type="paragraph" w:customStyle="1" w:styleId="DecList">
    <w:name w:val="Dec_List"/>
    <w:aliases w:val="_List"/>
    <w:basedOn w:val="Normal"/>
    <w:uiPriority w:val="99"/>
    <w:rsid w:val="00684153"/>
    <w:pPr>
      <w:autoSpaceDE w:val="0"/>
      <w:autoSpaceDN w:val="0"/>
      <w:adjustRightInd w:val="0"/>
      <w:spacing w:before="280" w:after="60" w:line="240" w:lineRule="auto"/>
      <w:ind w:left="280"/>
      <w:jc w:val="both"/>
    </w:pPr>
    <w:rPr>
      <w:rFonts w:ascii="Times New Roman" w:hAnsi="Times New Roman" w:cs="Times New Roman"/>
      <w:color w:val="000000"/>
      <w:sz w:val="24"/>
      <w:szCs w:val="24"/>
    </w:rPr>
  </w:style>
  <w:style w:type="paragraph" w:customStyle="1" w:styleId="JuHA">
    <w:name w:val="Ju_H_A"/>
    <w:aliases w:val="_Head_3"/>
    <w:basedOn w:val="Heading3"/>
    <w:next w:val="JuPara"/>
    <w:uiPriority w:val="99"/>
    <w:rsid w:val="00684153"/>
    <w:pPr>
      <w:tabs>
        <w:tab w:val="left" w:pos="360"/>
      </w:tabs>
      <w:autoSpaceDE w:val="0"/>
      <w:autoSpaceDN w:val="0"/>
      <w:adjustRightInd w:val="0"/>
      <w:spacing w:before="100" w:after="240" w:line="240" w:lineRule="auto"/>
      <w:jc w:val="both"/>
      <w:outlineLvl w:val="9"/>
    </w:pPr>
    <w:rPr>
      <w:rFonts w:ascii="Times New Roman" w:eastAsiaTheme="minorHAnsi" w:hAnsi="Times New Roman" w:cs="Times New Roman"/>
      <w:b/>
      <w:bCs/>
      <w:color w:val="auto"/>
    </w:rPr>
  </w:style>
  <w:style w:type="paragraph" w:customStyle="1" w:styleId="JuHHead">
    <w:name w:val="Ju_H_Head"/>
    <w:aliases w:val="_Head_1"/>
    <w:basedOn w:val="Heading1"/>
    <w:next w:val="JuPara"/>
    <w:uiPriority w:val="99"/>
    <w:rsid w:val="00684153"/>
    <w:pPr>
      <w:tabs>
        <w:tab w:val="left" w:pos="360"/>
      </w:tabs>
      <w:autoSpaceDE w:val="0"/>
      <w:autoSpaceDN w:val="0"/>
      <w:adjustRightInd w:val="0"/>
      <w:spacing w:before="100" w:after="240" w:line="240" w:lineRule="auto"/>
      <w:jc w:val="both"/>
      <w:outlineLvl w:val="9"/>
    </w:pPr>
    <w:rPr>
      <w:rFonts w:ascii="Times New Roman" w:eastAsiaTheme="minorHAnsi" w:hAnsi="Times New Roman" w:cs="Times New Roman"/>
      <w:caps/>
      <w:color w:val="auto"/>
      <w:sz w:val="28"/>
      <w:szCs w:val="28"/>
    </w:rPr>
  </w:style>
  <w:style w:type="paragraph" w:customStyle="1" w:styleId="JuJudges">
    <w:name w:val="Ju_Judges"/>
    <w:aliases w:val="_Judges"/>
    <w:basedOn w:val="Normal"/>
    <w:uiPriority w:val="99"/>
    <w:rsid w:val="00684153"/>
    <w:pPr>
      <w:tabs>
        <w:tab w:val="left" w:pos="560"/>
        <w:tab w:val="left" w:pos="1120"/>
      </w:tabs>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DecHCase">
    <w:name w:val="Dec_H_Case"/>
    <w:aliases w:val="_Title_3"/>
    <w:basedOn w:val="JuPara"/>
    <w:next w:val="JuPara"/>
    <w:uiPriority w:val="99"/>
    <w:rsid w:val="00684153"/>
    <w:pPr>
      <w:keepNext/>
      <w:keepLines/>
      <w:spacing w:after="280"/>
      <w:jc w:val="center"/>
    </w:pPr>
  </w:style>
  <w:style w:type="paragraph" w:customStyle="1" w:styleId="DecHTitle">
    <w:name w:val="Dec_H_Title"/>
    <w:aliases w:val="_Title_1"/>
    <w:basedOn w:val="JuPara"/>
    <w:next w:val="JuPara"/>
    <w:uiPriority w:val="99"/>
    <w:rsid w:val="00684153"/>
    <w:pPr>
      <w:keepNext/>
      <w:keepLines/>
      <w:spacing w:after="240"/>
      <w:jc w:val="center"/>
    </w:pPr>
    <w:rPr>
      <w:sz w:val="28"/>
      <w:szCs w:val="28"/>
    </w:rPr>
  </w:style>
  <w:style w:type="paragraph" w:customStyle="1" w:styleId="JuPara">
    <w:name w:val="Ju_Para"/>
    <w:aliases w:val="_Para"/>
    <w:basedOn w:val="Normal"/>
    <w:uiPriority w:val="99"/>
    <w:rsid w:val="00684153"/>
    <w:pPr>
      <w:autoSpaceDE w:val="0"/>
      <w:autoSpaceDN w:val="0"/>
      <w:adjustRightInd w:val="0"/>
      <w:spacing w:after="0" w:line="240" w:lineRule="auto"/>
      <w:ind w:firstLine="280"/>
      <w:jc w:val="both"/>
    </w:pPr>
    <w:rPr>
      <w:rFonts w:ascii="Times New Roman" w:hAnsi="Times New Roman" w:cs="Times New Roman"/>
      <w:color w:val="000000"/>
      <w:sz w:val="24"/>
      <w:szCs w:val="24"/>
    </w:rPr>
  </w:style>
  <w:style w:type="character" w:customStyle="1" w:styleId="Heading3Char">
    <w:name w:val="Heading 3 Char"/>
    <w:basedOn w:val="DefaultParagraphFont"/>
    <w:link w:val="Heading3"/>
    <w:uiPriority w:val="9"/>
    <w:semiHidden/>
    <w:rsid w:val="00684153"/>
    <w:rPr>
      <w:rFonts w:asciiTheme="majorHAnsi" w:eastAsiaTheme="majorEastAsia" w:hAnsiTheme="majorHAnsi" w:cstheme="majorBidi"/>
      <w:color w:val="1F4D78" w:themeColor="accent1" w:themeShade="7F"/>
      <w:sz w:val="24"/>
      <w:szCs w:val="24"/>
    </w:rPr>
  </w:style>
  <w:style w:type="character" w:customStyle="1" w:styleId="Heading1Char">
    <w:name w:val="Heading 1 Char"/>
    <w:basedOn w:val="DefaultParagraphFont"/>
    <w:link w:val="Heading1"/>
    <w:uiPriority w:val="9"/>
    <w:rsid w:val="00684153"/>
    <w:rPr>
      <w:rFonts w:asciiTheme="majorHAnsi" w:eastAsiaTheme="majorEastAsia" w:hAnsiTheme="majorHAnsi" w:cstheme="majorBidi"/>
      <w:color w:val="2E74B5" w:themeColor="accent1" w:themeShade="BF"/>
      <w:sz w:val="32"/>
      <w:szCs w:val="32"/>
    </w:rPr>
  </w:style>
  <w:style w:type="table" w:styleId="TableGrid">
    <w:name w:val="Table Grid"/>
    <w:basedOn w:val="TableNormal"/>
    <w:uiPriority w:val="39"/>
    <w:rsid w:val="00761B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33183-07</Nr_x002e__x0020_akti>
    <Data_x0020_e_x0020_Krijimit xmlns="0e656187-b300-4fb0-8bf4-3a50f872073c">2023-11-16T08:43:08Z</Data_x0020_e_x0020_Krijimit>
    <URL xmlns="0e656187-b300-4fb0-8bf4-3a50f872073c" xsi:nil="true"/>
    <Institucion_x0020_Pergjegjes xmlns="0e656187-b300-4fb0-8bf4-3a50f872073c">http://qbz.gov.al/resource/authority/legal-institution/15|gjykata-europiane-e-te-drejtave-te-njeriut</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2023-11-13T23:00:00Z</Date_x0020_protokolli>
    <Titulli xmlns="0e656187-b300-4fb0-8bf4-3a50f872073c">Çështja Prima sh.p.k dhe Artan Kozmai kundër Shqipërisë ( kërkesa nr. 33183/07 ) </Titulli>
    <Modifikuesi xmlns="0e656187-b300-4fb0-8bf4-3a50f872073c">ermira.bukaci</Modifikuesi>
    <Nr_x002e__x0020_prot_x0020_QBZ xmlns="0e656187-b300-4fb0-8bf4-3a50f872073c">1704/3</Nr_x002e__x0020_prot_x0020_QBZ>
    <Data_x0020_e_x0020_Modifikimit xmlns="0e656187-b300-4fb0-8bf4-3a50f872073c">2023-11-16T11:32:41Z</Data_x0020_e_x0020_Modifikimit>
    <Dekretuar xmlns="0e656187-b300-4fb0-8bf4-3a50f872073c">false</Dekretuar>
    <Data xmlns="0e656187-b300-4fb0-8bf4-3a50f872073c">2023-10-11T22:00:00Z</Data>
    <Nr_x002e__x0020_protokolli_x0020_i_x0020_aktit xmlns="0e656187-b300-4fb0-8bf4-3a50f872073c">6146/1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FCDC776E6B964104BB2755768C49C5D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FCDC776E6B964104BB2755768C49C5D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E382C34-AF54-4BA3-8339-570E630AD808}">
  <ds:schemaRefs>
    <ds:schemaRef ds:uri="0e656187-b300-4fb0-8bf4-3a50f872073c"/>
    <ds:schemaRef ds:uri="http://schemas.microsoft.com/office/2006/documentManagement/types"/>
    <ds:schemaRef ds:uri="http://www.w3.org/XML/1998/namespace"/>
    <ds:schemaRef ds:uri="http://purl.org/dc/terms/"/>
    <ds:schemaRef ds:uri="http://schemas.microsoft.com/office/2006/metadata/properties"/>
    <ds:schemaRef ds:uri="http://purl.org/dc/elements/1.1/"/>
    <ds:schemaRef ds:uri="http://schemas.openxmlformats.org/package/2006/metadata/core-properties"/>
    <ds:schemaRef ds:uri="http://purl.org/dc/dcmitype/"/>
  </ds:schemaRefs>
</ds:datastoreItem>
</file>

<file path=customXml/itemProps2.xml><?xml version="1.0" encoding="utf-8"?>
<ds:datastoreItem xmlns:ds="http://schemas.openxmlformats.org/officeDocument/2006/customXml" ds:itemID="{2073D923-DD6D-4F40-AEAF-1F53B9D2BBD9}">
  <ds:schemaRefs>
    <ds:schemaRef ds:uri="http://schemas.microsoft.com/sharepoint/v3/contenttype/forms"/>
  </ds:schemaRefs>
</ds:datastoreItem>
</file>

<file path=customXml/itemProps3.xml><?xml version="1.0" encoding="utf-8"?>
<ds:datastoreItem xmlns:ds="http://schemas.openxmlformats.org/officeDocument/2006/customXml" ds:itemID="{D2872C57-1BF8-4F5D-B1B1-232EA8198B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8527561B-12D7-412A-AE0A-B4201A658B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368A6273-72B1-4BD1-9DF3-C1427B58588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Pages>
  <Words>1562</Words>
  <Characters>8908</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Çështja Prima sh.p.k dhe Artan Kozmai kundër Shqipërisë ( kërkesa nr. 33183/07 )</vt:lpstr>
    </vt:vector>
  </TitlesOfParts>
  <Company/>
  <LinksUpToDate>false</LinksUpToDate>
  <CharactersWithSpaces>10450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Çështja Prima sh.p.k dhe Artan Kozmai kundër Shqipërisë ( kërkesa nr. 33183/07 )</dc:title>
  <dc:creator>Entela Suli</dc:creator>
  <cp:lastModifiedBy>Fjora Cahani</cp:lastModifiedBy>
  <cp:revision>7</cp:revision>
  <dcterms:created xsi:type="dcterms:W3CDTF">2023-11-16T08:47:00Z</dcterms:created>
  <dcterms:modified xsi:type="dcterms:W3CDTF">2023-11-16T12:01:00Z</dcterms:modified>
</cp:coreProperties>
</file>