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DF3FF" w14:textId="2055618F" w:rsidR="001527CB" w:rsidRPr="00FB7A5D" w:rsidRDefault="001527CB" w:rsidP="006917C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GJYKATA </w:t>
      </w:r>
      <w:r w:rsidR="00FB7A5D" w:rsidRPr="00FB7A5D">
        <w:rPr>
          <w:rFonts w:ascii="Garamond" w:eastAsiaTheme="minorHAnsi" w:hAnsi="Garamond"/>
          <w:color w:val="000000"/>
          <w:sz w:val="24"/>
          <w:szCs w:val="24"/>
          <w14:ligatures w14:val="standardContextual"/>
        </w:rPr>
        <w:t>EVROPIANE</w:t>
      </w:r>
      <w:r w:rsidRPr="00FB7A5D">
        <w:rPr>
          <w:rFonts w:ascii="Garamond" w:eastAsiaTheme="minorHAnsi" w:hAnsi="Garamond"/>
          <w:color w:val="000000"/>
          <w:sz w:val="24"/>
          <w:szCs w:val="24"/>
          <w14:ligatures w14:val="standardContextual"/>
        </w:rPr>
        <w:t xml:space="preserve"> E TË DREJTAVE TË NJERIUT</w:t>
      </w:r>
    </w:p>
    <w:p w14:paraId="52D9C4B3" w14:textId="77777777" w:rsidR="001527CB" w:rsidRPr="00FB7A5D" w:rsidRDefault="001527CB" w:rsidP="006917C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6FA8B7A8" w14:textId="1C967380" w:rsidR="005531C6" w:rsidRPr="00FB7A5D" w:rsidRDefault="005531C6" w:rsidP="006917C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SEKSIONI I TRETË</w:t>
      </w:r>
    </w:p>
    <w:p w14:paraId="659F8577" w14:textId="6867F991" w:rsidR="005531C6" w:rsidRPr="00FB7A5D" w:rsidRDefault="005531C6" w:rsidP="006917C7">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FB7A5D">
        <w:rPr>
          <w:rFonts w:ascii="Garamond" w:eastAsiaTheme="minorHAnsi" w:hAnsi="Garamond"/>
          <w:b/>
          <w:bCs/>
          <w:color w:val="000000"/>
          <w:sz w:val="24"/>
          <w:szCs w:val="24"/>
          <w14:ligatures w14:val="standardContextual"/>
        </w:rPr>
        <w:t>ÇËSHTJA OSMANI KUNDËR SHQIPËRISË</w:t>
      </w:r>
    </w:p>
    <w:p w14:paraId="33D008E9" w14:textId="043ED611" w:rsidR="005531C6" w:rsidRPr="00FB7A5D" w:rsidRDefault="005531C6" w:rsidP="006917C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FB7A5D">
        <w:rPr>
          <w:rFonts w:ascii="Garamond" w:eastAsiaTheme="minorHAnsi" w:hAnsi="Garamond"/>
          <w:i/>
          <w:iCs/>
          <w:color w:val="000000"/>
          <w:sz w:val="24"/>
          <w:szCs w:val="24"/>
          <w14:ligatures w14:val="standardContextual"/>
        </w:rPr>
        <w:t>(Kërkesa nr. 8706/18)</w:t>
      </w:r>
    </w:p>
    <w:p w14:paraId="4EF2B4F3" w14:textId="77777777" w:rsidR="005531C6" w:rsidRPr="00FB7A5D" w:rsidRDefault="005531C6" w:rsidP="006917C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F660D4C" w14:textId="6F606329" w:rsidR="005531C6" w:rsidRPr="00FB7A5D" w:rsidRDefault="005531C6" w:rsidP="006917C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VENDIM</w:t>
      </w:r>
    </w:p>
    <w:p w14:paraId="4E3F71CF" w14:textId="77777777" w:rsidR="005531C6" w:rsidRPr="00FB7A5D" w:rsidRDefault="005531C6" w:rsidP="006917C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2FDEBE3" w14:textId="77777777" w:rsidR="005531C6" w:rsidRPr="00FB7A5D" w:rsidRDefault="005531C6" w:rsidP="006917C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STRASBURG</w:t>
      </w:r>
    </w:p>
    <w:p w14:paraId="124F4D91" w14:textId="56C3B715" w:rsidR="005531C6" w:rsidRPr="00FB7A5D" w:rsidRDefault="005531C6" w:rsidP="006917C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5 </w:t>
      </w:r>
      <w:r w:rsidR="00FB7A5D">
        <w:rPr>
          <w:rFonts w:ascii="Garamond" w:eastAsiaTheme="minorHAnsi" w:hAnsi="Garamond"/>
          <w:color w:val="000000"/>
          <w:sz w:val="24"/>
          <w:szCs w:val="24"/>
          <w14:ligatures w14:val="standardContextual"/>
        </w:rPr>
        <w:t>d</w:t>
      </w:r>
      <w:r w:rsidRPr="00FB7A5D">
        <w:rPr>
          <w:rFonts w:ascii="Garamond" w:eastAsiaTheme="minorHAnsi" w:hAnsi="Garamond"/>
          <w:color w:val="000000"/>
          <w:sz w:val="24"/>
          <w:szCs w:val="24"/>
          <w14:ligatures w14:val="standardContextual"/>
        </w:rPr>
        <w:t>hjetor 2023</w:t>
      </w:r>
    </w:p>
    <w:p w14:paraId="7A0B6648" w14:textId="77777777" w:rsidR="005531C6" w:rsidRPr="00FB7A5D" w:rsidRDefault="005531C6" w:rsidP="006917C7">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14985A20" w14:textId="2A81C6FA" w:rsidR="005531C6" w:rsidRPr="00FB7A5D" w:rsidRDefault="005531C6" w:rsidP="006917C7">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FB7A5D">
        <w:rPr>
          <w:rFonts w:ascii="Garamond" w:eastAsiaTheme="minorHAnsi" w:hAnsi="Garamond"/>
          <w:i/>
          <w:iCs/>
          <w:color w:val="000000"/>
          <w:sz w:val="24"/>
          <w:szCs w:val="24"/>
          <w14:ligatures w14:val="standardContextual"/>
        </w:rPr>
        <w:t>Ky vendim është i formës së prerë, por mund të bëhet subjekt i rishikimit redaktues.</w:t>
      </w:r>
    </w:p>
    <w:p w14:paraId="597294C8" w14:textId="68DE4A43" w:rsidR="005531C6" w:rsidRPr="00FB7A5D" w:rsidRDefault="005531C6" w:rsidP="006917C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FB7A5D">
        <w:rPr>
          <w:rFonts w:ascii="Garamond" w:eastAsiaTheme="minorHAnsi" w:hAnsi="Garamond"/>
          <w:b/>
          <w:bCs/>
          <w:color w:val="000000"/>
          <w:sz w:val="24"/>
          <w:szCs w:val="24"/>
          <w14:ligatures w14:val="standardContextual"/>
        </w:rPr>
        <w:t>Në çështjen Osmani kundër Shqipërisë,</w:t>
      </w:r>
    </w:p>
    <w:p w14:paraId="1BC2B046" w14:textId="4C7AA455"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Gjykata Evropiane e të Drejtave të Njeriut (Seksioni i Tretë), e mbledhur si një Komitet i përbërë nga: </w:t>
      </w:r>
    </w:p>
    <w:p w14:paraId="16F12B53" w14:textId="766E80AF" w:rsidR="005531C6" w:rsidRPr="00FB7A5D" w:rsidRDefault="005531C6" w:rsidP="006917C7">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FB7A5D">
        <w:rPr>
          <w:rFonts w:ascii="Garamond" w:eastAsiaTheme="minorHAnsi" w:hAnsi="Garamond"/>
          <w:color w:val="000000"/>
          <w:sz w:val="24"/>
          <w:szCs w:val="24"/>
          <w14:ligatures w14:val="standardContextual"/>
        </w:rPr>
        <w:t>Georgios A. Serghides,</w:t>
      </w:r>
      <w:r w:rsidRPr="00FB7A5D">
        <w:rPr>
          <w:rFonts w:ascii="Garamond" w:eastAsiaTheme="minorHAnsi" w:hAnsi="Garamond"/>
          <w:i/>
          <w:iCs/>
          <w:color w:val="000000"/>
          <w:sz w:val="24"/>
          <w:szCs w:val="24"/>
          <w14:ligatures w14:val="standardContextual"/>
        </w:rPr>
        <w:t xml:space="preserve"> </w:t>
      </w:r>
      <w:r w:rsidR="00FB7A5D">
        <w:rPr>
          <w:rFonts w:ascii="Garamond" w:eastAsiaTheme="minorHAnsi" w:hAnsi="Garamond"/>
          <w:i/>
          <w:iCs/>
          <w:color w:val="000000"/>
          <w:sz w:val="24"/>
          <w:szCs w:val="24"/>
          <w14:ligatures w14:val="standardContextual"/>
        </w:rPr>
        <w:t>k</w:t>
      </w:r>
      <w:r w:rsidRPr="00FB7A5D">
        <w:rPr>
          <w:rFonts w:ascii="Garamond" w:eastAsiaTheme="minorHAnsi" w:hAnsi="Garamond"/>
          <w:i/>
          <w:iCs/>
          <w:color w:val="000000"/>
          <w:sz w:val="24"/>
          <w:szCs w:val="24"/>
          <w14:ligatures w14:val="standardContextual"/>
        </w:rPr>
        <w:t>ryetar,</w:t>
      </w:r>
    </w:p>
    <w:p w14:paraId="3D17C3FA" w14:textId="7CB40192" w:rsidR="005531C6" w:rsidRPr="00FB7A5D" w:rsidRDefault="005531C6" w:rsidP="006917C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Darian Pavli,</w:t>
      </w:r>
    </w:p>
    <w:p w14:paraId="4FA35F97" w14:textId="20AD3075" w:rsidR="005531C6" w:rsidRPr="00FB7A5D" w:rsidRDefault="005531C6" w:rsidP="006917C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Oddný Mjöll Arnardóttir, </w:t>
      </w:r>
      <w:r w:rsidRPr="00FB7A5D">
        <w:rPr>
          <w:rFonts w:ascii="Garamond" w:eastAsiaTheme="minorHAnsi" w:hAnsi="Garamond"/>
          <w:i/>
          <w:iCs/>
          <w:color w:val="000000"/>
          <w:sz w:val="24"/>
          <w:szCs w:val="24"/>
          <w14:ligatures w14:val="standardContextual"/>
        </w:rPr>
        <w:t xml:space="preserve">gjyqtarë </w:t>
      </w:r>
    </w:p>
    <w:p w14:paraId="20EDD41D" w14:textId="5D1CEDDD" w:rsidR="005531C6" w:rsidRPr="00FB7A5D" w:rsidRDefault="005531C6" w:rsidP="006917C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dhe Olga Chernishova, </w:t>
      </w:r>
      <w:r w:rsidR="00FB7A5D">
        <w:rPr>
          <w:rFonts w:ascii="Garamond" w:eastAsiaTheme="minorHAnsi" w:hAnsi="Garamond"/>
          <w:i/>
          <w:iCs/>
          <w:color w:val="000000"/>
          <w:sz w:val="24"/>
          <w:szCs w:val="24"/>
          <w14:ligatures w14:val="standardContextual"/>
        </w:rPr>
        <w:t>z</w:t>
      </w:r>
      <w:r w:rsidRPr="00FB7A5D">
        <w:rPr>
          <w:rFonts w:ascii="Garamond" w:eastAsiaTheme="minorHAnsi" w:hAnsi="Garamond"/>
          <w:i/>
          <w:iCs/>
          <w:color w:val="000000"/>
          <w:sz w:val="24"/>
          <w:szCs w:val="24"/>
          <w14:ligatures w14:val="standardContextual"/>
        </w:rPr>
        <w:t>ëvendëssekretare e Seksionit,</w:t>
      </w:r>
      <w:r w:rsidRPr="00FB7A5D">
        <w:rPr>
          <w:rFonts w:ascii="Garamond" w:eastAsiaTheme="minorHAnsi" w:hAnsi="Garamond"/>
          <w:color w:val="000000"/>
          <w:sz w:val="24"/>
          <w:szCs w:val="24"/>
          <w14:ligatures w14:val="standardContextual"/>
        </w:rPr>
        <w:t xml:space="preserve"> </w:t>
      </w:r>
    </w:p>
    <w:p w14:paraId="5C57112B" w14:textId="39DE115A" w:rsidR="005531C6" w:rsidRPr="00FB7A5D" w:rsidRDefault="005531C6" w:rsidP="006917C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Duke marrë në konsideratë:</w:t>
      </w:r>
    </w:p>
    <w:p w14:paraId="6D498319" w14:textId="7E05A3E8" w:rsidR="005531C6" w:rsidRPr="00FB7A5D" w:rsidRDefault="005531C6" w:rsidP="006917C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kërkesën (nr. 8706/18) kundër Republikës së Shqipërisë depozituar pranë Gjykatës</w:t>
      </w:r>
      <w:r w:rsidR="00FB7A5D">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në mbështetje të </w:t>
      </w:r>
      <w:r w:rsidR="00FB7A5D">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34 të Konventës për Mbrojtjen e të Drejtave të Njeriut dhe Lirive Themelore (“Konventa”) më 12 </w:t>
      </w:r>
      <w:r w:rsidR="00FB7A5D">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hkurt 2018</w:t>
      </w:r>
      <w:r w:rsidR="00FB7A5D">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nga një shtetas shqiptar, </w:t>
      </w:r>
      <w:r w:rsidR="00FB7A5D">
        <w:rPr>
          <w:rFonts w:ascii="Garamond" w:eastAsiaTheme="minorHAnsi" w:hAnsi="Garamond"/>
          <w:color w:val="000000"/>
          <w:sz w:val="24"/>
          <w:szCs w:val="24"/>
          <w14:ligatures w14:val="standardContextual"/>
        </w:rPr>
        <w:t>z</w:t>
      </w:r>
      <w:r w:rsidRPr="00FB7A5D">
        <w:rPr>
          <w:rFonts w:ascii="Garamond" w:eastAsiaTheme="minorHAnsi" w:hAnsi="Garamond"/>
          <w:color w:val="000000"/>
          <w:sz w:val="24"/>
          <w:szCs w:val="24"/>
          <w14:ligatures w14:val="standardContextual"/>
        </w:rPr>
        <w:t xml:space="preserve">. Fiqiri Osmani (“kërkuesi”), lindur në vitin 1960 dhe banues në Vorë, i cili u përfaqësua nga </w:t>
      </w:r>
      <w:r w:rsidR="00FB7A5D">
        <w:rPr>
          <w:rFonts w:ascii="Garamond" w:eastAsiaTheme="minorHAnsi" w:hAnsi="Garamond"/>
          <w:color w:val="000000"/>
          <w:sz w:val="24"/>
          <w:szCs w:val="24"/>
          <w14:ligatures w14:val="standardContextual"/>
        </w:rPr>
        <w:t>zn</w:t>
      </w:r>
      <w:r w:rsidRPr="00FB7A5D">
        <w:rPr>
          <w:rFonts w:ascii="Garamond" w:eastAsiaTheme="minorHAnsi" w:hAnsi="Garamond"/>
          <w:color w:val="000000"/>
          <w:sz w:val="24"/>
          <w:szCs w:val="24"/>
          <w14:ligatures w14:val="standardContextual"/>
        </w:rPr>
        <w:t xml:space="preserve">j. S. Mëneri, një avokate që e praktikon ligjin në Tiranë; </w:t>
      </w:r>
    </w:p>
    <w:p w14:paraId="01FCCFFF" w14:textId="2B2DB477" w:rsidR="005531C6" w:rsidRPr="00FB7A5D" w:rsidRDefault="005531C6" w:rsidP="006917C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vendimin për të njoftuar mbi kërkesën </w:t>
      </w:r>
      <w:r w:rsidR="00FB7A5D">
        <w:rPr>
          <w:rFonts w:ascii="Garamond" w:eastAsiaTheme="minorHAnsi" w:hAnsi="Garamond"/>
          <w:color w:val="000000"/>
          <w:sz w:val="24"/>
          <w:szCs w:val="24"/>
          <w14:ligatures w14:val="standardContextual"/>
        </w:rPr>
        <w:t>q</w:t>
      </w:r>
      <w:r w:rsidRPr="00FB7A5D">
        <w:rPr>
          <w:rFonts w:ascii="Garamond" w:eastAsiaTheme="minorHAnsi" w:hAnsi="Garamond"/>
          <w:color w:val="000000"/>
          <w:sz w:val="24"/>
          <w:szCs w:val="24"/>
          <w14:ligatures w14:val="standardContextual"/>
        </w:rPr>
        <w:t xml:space="preserve">everinë shqiptare (“Qeveria”), të përfaqësuar nga </w:t>
      </w:r>
      <w:r w:rsidR="00FB7A5D">
        <w:rPr>
          <w:rFonts w:ascii="Garamond" w:eastAsiaTheme="minorHAnsi" w:hAnsi="Garamond"/>
          <w:color w:val="000000"/>
          <w:sz w:val="24"/>
          <w:szCs w:val="24"/>
          <w14:ligatures w14:val="standardContextual"/>
        </w:rPr>
        <w:t>a</w:t>
      </w:r>
      <w:r w:rsidRPr="00FB7A5D">
        <w:rPr>
          <w:rFonts w:ascii="Garamond" w:eastAsiaTheme="minorHAnsi" w:hAnsi="Garamond"/>
          <w:color w:val="000000"/>
          <w:sz w:val="24"/>
          <w:szCs w:val="24"/>
          <w14:ligatures w14:val="standardContextual"/>
        </w:rPr>
        <w:t xml:space="preserve">gjentët e saj, </w:t>
      </w:r>
      <w:r w:rsidR="00FB7A5D">
        <w:rPr>
          <w:rFonts w:ascii="Garamond" w:eastAsiaTheme="minorHAnsi" w:hAnsi="Garamond"/>
          <w:color w:val="000000"/>
          <w:sz w:val="24"/>
          <w:szCs w:val="24"/>
          <w14:ligatures w14:val="standardContextual"/>
        </w:rPr>
        <w:t>zn</w:t>
      </w:r>
      <w:r w:rsidRPr="00FB7A5D">
        <w:rPr>
          <w:rFonts w:ascii="Garamond" w:eastAsiaTheme="minorHAnsi" w:hAnsi="Garamond"/>
          <w:color w:val="000000"/>
          <w:sz w:val="24"/>
          <w:szCs w:val="24"/>
          <w14:ligatures w14:val="standardContextual"/>
        </w:rPr>
        <w:t xml:space="preserve">j. A. Hiçka, </w:t>
      </w:r>
      <w:r w:rsidR="00FB7A5D">
        <w:rPr>
          <w:rFonts w:ascii="Garamond" w:eastAsiaTheme="minorHAnsi" w:hAnsi="Garamond"/>
          <w:color w:val="000000"/>
          <w:sz w:val="24"/>
          <w:szCs w:val="24"/>
          <w14:ligatures w14:val="standardContextual"/>
        </w:rPr>
        <w:t>z</w:t>
      </w:r>
      <w:r w:rsidRPr="00FB7A5D">
        <w:rPr>
          <w:rFonts w:ascii="Garamond" w:eastAsiaTheme="minorHAnsi" w:hAnsi="Garamond"/>
          <w:color w:val="000000"/>
          <w:sz w:val="24"/>
          <w:szCs w:val="24"/>
          <w14:ligatures w14:val="standardContextual"/>
        </w:rPr>
        <w:t xml:space="preserve">. A. Metani dhe më pas nga </w:t>
      </w:r>
      <w:r w:rsidR="00FB7A5D">
        <w:rPr>
          <w:rFonts w:ascii="Garamond" w:eastAsiaTheme="minorHAnsi" w:hAnsi="Garamond"/>
          <w:color w:val="000000"/>
          <w:sz w:val="24"/>
          <w:szCs w:val="24"/>
          <w14:ligatures w14:val="standardContextual"/>
        </w:rPr>
        <w:t>z</w:t>
      </w:r>
      <w:r w:rsidRPr="00FB7A5D">
        <w:rPr>
          <w:rFonts w:ascii="Garamond" w:eastAsiaTheme="minorHAnsi" w:hAnsi="Garamond"/>
          <w:color w:val="000000"/>
          <w:sz w:val="24"/>
          <w:szCs w:val="24"/>
          <w14:ligatures w14:val="standardContextual"/>
        </w:rPr>
        <w:t>. O. Moçka, Avokati i Përgjithshëm i Shtetit;</w:t>
      </w:r>
    </w:p>
    <w:p w14:paraId="154510ED" w14:textId="7840959F" w:rsidR="005531C6" w:rsidRPr="00FB7A5D" w:rsidRDefault="005531C6" w:rsidP="006917C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vërejtjet e palëve;</w:t>
      </w:r>
    </w:p>
    <w:p w14:paraId="5EEF3087" w14:textId="6F9A2B06"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Pasi diskutoi me dyer të mbyllura më 14 </w:t>
      </w:r>
      <w:r w:rsidR="00FB7A5D" w:rsidRPr="00FB7A5D">
        <w:rPr>
          <w:rFonts w:ascii="Garamond" w:eastAsiaTheme="minorHAnsi" w:hAnsi="Garamond"/>
          <w:color w:val="000000"/>
          <w:sz w:val="24"/>
          <w:szCs w:val="24"/>
          <w14:ligatures w14:val="standardContextual"/>
        </w:rPr>
        <w:t xml:space="preserve">nëntor </w:t>
      </w:r>
      <w:r w:rsidRPr="00FB7A5D">
        <w:rPr>
          <w:rFonts w:ascii="Garamond" w:eastAsiaTheme="minorHAnsi" w:hAnsi="Garamond"/>
          <w:color w:val="000000"/>
          <w:sz w:val="24"/>
          <w:szCs w:val="24"/>
          <w14:ligatures w14:val="standardContextual"/>
        </w:rPr>
        <w:t>2023,</w:t>
      </w:r>
    </w:p>
    <w:p w14:paraId="19259CA3" w14:textId="77777777"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Shpall vendimin e mëposhtëm, i cili u miratua në po atë datë:</w:t>
      </w:r>
    </w:p>
    <w:p w14:paraId="702D31DA" w14:textId="3C02BB2B"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OBJEKTI I ÇËSHTJES</w:t>
      </w:r>
    </w:p>
    <w:p w14:paraId="45F88A02" w14:textId="5A675093"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Çështja ka të bëjë me një ankesë të bërë në mbështetje të </w:t>
      </w:r>
      <w:r w:rsidR="00FB7A5D">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të Konventës dhe </w:t>
      </w:r>
      <w:r w:rsidR="00FB7A5D">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1 të Protokollit </w:t>
      </w:r>
      <w:r w:rsidR="00FB7A5D">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r. 1, sipas së cilës gjykatat vendase nuk dhanë arsye për shumën që kërkuesi kishte të drejtë të merrte si kompensim për shpronësimin e pasurisë së tij.</w:t>
      </w:r>
    </w:p>
    <w:p w14:paraId="45A7FEF4" w14:textId="7E82C779"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I.</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PROCESET PRANË GJYKATAVE TË RRETHIT DHE TË APELIT</w:t>
      </w:r>
    </w:p>
    <w:p w14:paraId="0A103DCF" w14:textId="6BB4B5EB" w:rsidR="005531C6" w:rsidRPr="00FB7A5D" w:rsidRDefault="005531C6" w:rsidP="006917C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FB7A5D">
        <w:rPr>
          <w:rFonts w:ascii="Garamond" w:eastAsiaTheme="minorHAnsi" w:hAnsi="Garamond"/>
          <w:b/>
          <w:bCs/>
          <w:color w:val="000000"/>
          <w:sz w:val="24"/>
          <w:szCs w:val="24"/>
          <w14:ligatures w14:val="standardContextual"/>
        </w:rPr>
        <w:t>A.</w:t>
      </w:r>
      <w:r w:rsidR="006917C7" w:rsidRPr="00FB7A5D">
        <w:rPr>
          <w:rFonts w:ascii="Garamond" w:eastAsiaTheme="minorHAnsi" w:hAnsi="Garamond"/>
          <w:b/>
          <w:bCs/>
          <w:color w:val="000000"/>
          <w:sz w:val="24"/>
          <w:szCs w:val="24"/>
          <w14:ligatures w14:val="standardContextual"/>
        </w:rPr>
        <w:t xml:space="preserve"> </w:t>
      </w:r>
      <w:r w:rsidRPr="00FB7A5D">
        <w:rPr>
          <w:rFonts w:ascii="Garamond" w:eastAsiaTheme="minorHAnsi" w:hAnsi="Garamond"/>
          <w:b/>
          <w:bCs/>
          <w:color w:val="000000"/>
          <w:sz w:val="24"/>
          <w:szCs w:val="24"/>
          <w14:ligatures w14:val="standardContextual"/>
        </w:rPr>
        <w:t xml:space="preserve">Informacion i përgjithshëm mbi ngjarjen </w:t>
      </w:r>
    </w:p>
    <w:p w14:paraId="5F0D30EA" w14:textId="4B050CCC"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27 </w:t>
      </w:r>
      <w:r w:rsidR="00FB7A5D">
        <w:rPr>
          <w:rFonts w:ascii="Garamond" w:eastAsiaTheme="minorHAnsi" w:hAnsi="Garamond"/>
          <w:color w:val="000000"/>
          <w:sz w:val="24"/>
          <w:szCs w:val="24"/>
          <w14:ligatures w14:val="standardContextual"/>
        </w:rPr>
        <w:t>k</w:t>
      </w:r>
      <w:r w:rsidRPr="00FB7A5D">
        <w:rPr>
          <w:rFonts w:ascii="Garamond" w:eastAsiaTheme="minorHAnsi" w:hAnsi="Garamond"/>
          <w:color w:val="000000"/>
          <w:sz w:val="24"/>
          <w:szCs w:val="24"/>
          <w14:ligatures w14:val="standardContextual"/>
        </w:rPr>
        <w:t>orrik 2010, Inspektorati Ndërtimor dhe Urbanistik Vorë (“Inspektorati”) informoi kërkuesin se pranë pronës së tij ishte planifikuar të ndërtohej një rrugë, dhe i kërkonte që të lironte “pronën që ishte shpronësuar” prej tij për këtë qëllim brenda pesë ditësh.</w:t>
      </w:r>
    </w:p>
    <w:p w14:paraId="181A61BE" w14:textId="0CC8D5CA"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3.</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Pas një kërkese të bërë nga kërkuesi, më 4 </w:t>
      </w:r>
      <w:r w:rsidR="00FB7A5D">
        <w:rPr>
          <w:rFonts w:ascii="Garamond" w:eastAsiaTheme="minorHAnsi" w:hAnsi="Garamond"/>
          <w:color w:val="000000"/>
          <w:sz w:val="24"/>
          <w:szCs w:val="24"/>
          <w14:ligatures w14:val="standardContextual"/>
        </w:rPr>
        <w:t>g</w:t>
      </w:r>
      <w:r w:rsidRPr="00FB7A5D">
        <w:rPr>
          <w:rFonts w:ascii="Garamond" w:eastAsiaTheme="minorHAnsi" w:hAnsi="Garamond"/>
          <w:color w:val="000000"/>
          <w:sz w:val="24"/>
          <w:szCs w:val="24"/>
          <w14:ligatures w14:val="standardContextual"/>
        </w:rPr>
        <w:t>usht 2010, Drejtoria e Përgjithshme e Rrugëve (“DPRR”), që në atë periudhë ishte organi përgjegjës për infrastrukturën rrugore në vend, e informoi kërkuesin se asnjë pasuri nuk ishte shpronësuar prej tij, sepse “projekti për ndërtimin e rrugëve nuk ishte zbatuar plotësisht”.</w:t>
      </w:r>
    </w:p>
    <w:p w14:paraId="47247C9B" w14:textId="0EF91EDC"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4.</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11 </w:t>
      </w:r>
      <w:r w:rsidR="00FB7A5D">
        <w:rPr>
          <w:rFonts w:ascii="Garamond" w:eastAsiaTheme="minorHAnsi" w:hAnsi="Garamond"/>
          <w:color w:val="000000"/>
          <w:sz w:val="24"/>
          <w:szCs w:val="24"/>
          <w14:ligatures w14:val="standardContextual"/>
        </w:rPr>
        <w:t>g</w:t>
      </w:r>
      <w:r w:rsidRPr="00FB7A5D">
        <w:rPr>
          <w:rFonts w:ascii="Garamond" w:eastAsiaTheme="minorHAnsi" w:hAnsi="Garamond"/>
          <w:color w:val="000000"/>
          <w:sz w:val="24"/>
          <w:szCs w:val="24"/>
          <w14:ligatures w14:val="standardContextual"/>
        </w:rPr>
        <w:t>usht 2010, Inspektorati informoi kërkuesin se çdo gardh dhe objekt brenda perimetrit, i ndërtuar me ose pa autorizim, që pengonte projektin për ndërtimin e rrugës, duhej të prishej vullnetarisht brenda pesë ditësh.</w:t>
      </w:r>
    </w:p>
    <w:p w14:paraId="5DCD2431" w14:textId="1FF0E554"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5.</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6 </w:t>
      </w:r>
      <w:r w:rsidR="00FB7A5D">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htator 2010, inspektorët konstatuan se kërkuesi kishte ndërtuar pa autorizim një shtesë në ndërtesë dhe një mur që e rrethonte pronën e tij. Më 7 </w:t>
      </w:r>
      <w:r w:rsidR="00FB7A5D">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htator, autoritetet vendosën t’i prishnin këto ndërtime dhe më 8 </w:t>
      </w:r>
      <w:r w:rsidR="00FB7A5D">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htator, ata e ekzekutuan atë vendim.</w:t>
      </w:r>
    </w:p>
    <w:p w14:paraId="69D32ECE" w14:textId="4653EE6D" w:rsidR="005531C6" w:rsidRPr="00FB7A5D" w:rsidRDefault="005531C6" w:rsidP="006917C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FB7A5D">
        <w:rPr>
          <w:rFonts w:ascii="Garamond" w:eastAsiaTheme="minorHAnsi" w:hAnsi="Garamond"/>
          <w:b/>
          <w:bCs/>
          <w:color w:val="000000"/>
          <w:sz w:val="24"/>
          <w:szCs w:val="24"/>
          <w14:ligatures w14:val="standardContextual"/>
        </w:rPr>
        <w:t>B.</w:t>
      </w:r>
      <w:r w:rsidR="006917C7" w:rsidRPr="00FB7A5D">
        <w:rPr>
          <w:rFonts w:ascii="Garamond" w:eastAsiaTheme="minorHAnsi" w:hAnsi="Garamond"/>
          <w:b/>
          <w:bCs/>
          <w:color w:val="000000"/>
          <w:sz w:val="24"/>
          <w:szCs w:val="24"/>
          <w14:ligatures w14:val="standardContextual"/>
        </w:rPr>
        <w:t xml:space="preserve"> </w:t>
      </w:r>
      <w:r w:rsidRPr="00FB7A5D">
        <w:rPr>
          <w:rFonts w:ascii="Garamond" w:eastAsiaTheme="minorHAnsi" w:hAnsi="Garamond"/>
          <w:b/>
          <w:bCs/>
          <w:color w:val="000000"/>
          <w:sz w:val="24"/>
          <w:szCs w:val="24"/>
          <w14:ligatures w14:val="standardContextual"/>
        </w:rPr>
        <w:t>Procedurat gjyqësore</w:t>
      </w:r>
    </w:p>
    <w:p w14:paraId="4A6845A6" w14:textId="6E0D7A77"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lastRenderedPageBreak/>
        <w:t>6.</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13 </w:t>
      </w:r>
      <w:r w:rsidR="00FB7A5D">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htator 2010, kërkuesi depozitoi në gjykatë një padi për dëme ndaj bashkisë për ndërtimet e prishura, që sipas këndvështrimit të tij ishin ndërtuar në përputhje me lejet përkatëse. Ai shtoi se gjatë procesit të shkatërrimit, autoritetet kishin prishur edhe një sërë pemësh dekorative në kopshtin e tij, një pus me ujë, një tendë, sende shtëpiake etj. Në fund, ai kërkoi kompensim për një pjesë të pacaktuar të truallit të tij, që </w:t>
      </w:r>
      <w:r w:rsidRPr="00FB7A5D">
        <w:rPr>
          <w:rFonts w:ascii="Garamond" w:eastAsiaTheme="minorHAnsi" w:hAnsi="Garamond"/>
          <w:i/>
          <w:iCs/>
          <w:color w:val="000000"/>
          <w:sz w:val="24"/>
          <w:szCs w:val="24"/>
          <w14:ligatures w14:val="standardContextual"/>
        </w:rPr>
        <w:t xml:space="preserve">de facto </w:t>
      </w:r>
      <w:r w:rsidRPr="00FB7A5D">
        <w:rPr>
          <w:rFonts w:ascii="Garamond" w:eastAsiaTheme="minorHAnsi" w:hAnsi="Garamond"/>
          <w:color w:val="000000"/>
          <w:sz w:val="24"/>
          <w:szCs w:val="24"/>
          <w14:ligatures w14:val="standardContextual"/>
        </w:rPr>
        <w:t>ishte shpronësuar nga autoritetet për të ndërtuar rrugën e re,</w:t>
      </w:r>
    </w:p>
    <w:p w14:paraId="1D44BD22" w14:textId="505382B2"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7.</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13 </w:t>
      </w:r>
      <w:r w:rsidR="00FB7A5D" w:rsidRPr="00FB7A5D">
        <w:rPr>
          <w:rFonts w:ascii="Garamond" w:eastAsiaTheme="minorHAnsi" w:hAnsi="Garamond"/>
          <w:color w:val="000000"/>
          <w:sz w:val="24"/>
          <w:szCs w:val="24"/>
          <w14:ligatures w14:val="standardContextual"/>
        </w:rPr>
        <w:t xml:space="preserve">qershor </w:t>
      </w:r>
      <w:r w:rsidRPr="00FB7A5D">
        <w:rPr>
          <w:rFonts w:ascii="Garamond" w:eastAsiaTheme="minorHAnsi" w:hAnsi="Garamond"/>
          <w:color w:val="000000"/>
          <w:sz w:val="24"/>
          <w:szCs w:val="24"/>
          <w14:ligatures w14:val="standardContextual"/>
        </w:rPr>
        <w:t>2011, me kërkesë të kërkuesit, DPRR</w:t>
      </w:r>
      <w:r w:rsidR="00FB7A5D">
        <w:rPr>
          <w:rFonts w:ascii="Garamond" w:eastAsiaTheme="minorHAnsi" w:hAnsi="Garamond"/>
          <w:color w:val="000000"/>
          <w:sz w:val="24"/>
          <w:szCs w:val="24"/>
          <w14:ligatures w14:val="standardContextual"/>
        </w:rPr>
        <w:t>-ja</w:t>
      </w:r>
      <w:r w:rsidRPr="00FB7A5D">
        <w:rPr>
          <w:rFonts w:ascii="Garamond" w:eastAsiaTheme="minorHAnsi" w:hAnsi="Garamond"/>
          <w:color w:val="000000"/>
          <w:sz w:val="24"/>
          <w:szCs w:val="24"/>
          <w14:ligatures w14:val="standardContextual"/>
        </w:rPr>
        <w:t xml:space="preserve"> iu bashkua procedurave si palë e tretë. </w:t>
      </w:r>
    </w:p>
    <w:p w14:paraId="7118944B" w14:textId="58036540"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8.</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16 </w:t>
      </w:r>
      <w:r w:rsidR="00FB7A5D" w:rsidRPr="00FB7A5D">
        <w:rPr>
          <w:rFonts w:ascii="Garamond" w:eastAsiaTheme="minorHAnsi" w:hAnsi="Garamond"/>
          <w:color w:val="000000"/>
          <w:sz w:val="24"/>
          <w:szCs w:val="24"/>
          <w14:ligatures w14:val="standardContextual"/>
        </w:rPr>
        <w:t xml:space="preserve">nëntor </w:t>
      </w:r>
      <w:r w:rsidRPr="00FB7A5D">
        <w:rPr>
          <w:rFonts w:ascii="Garamond" w:eastAsiaTheme="minorHAnsi" w:hAnsi="Garamond"/>
          <w:color w:val="000000"/>
          <w:sz w:val="24"/>
          <w:szCs w:val="24"/>
          <w14:ligatures w14:val="standardContextual"/>
        </w:rPr>
        <w:t xml:space="preserve">2011, një eksperte e caktuar nga gjykata arriti në përfundimin se, për sa kishte të bënte me çështjen, 88 </w:t>
      </w:r>
      <w:r w:rsidR="00FB7A5D">
        <w:rPr>
          <w:rFonts w:ascii="Garamond" w:eastAsiaTheme="minorHAnsi" w:hAnsi="Garamond"/>
          <w:color w:val="000000"/>
          <w:sz w:val="24"/>
          <w:szCs w:val="24"/>
          <w14:ligatures w14:val="standardContextual"/>
        </w:rPr>
        <w:t>m</w:t>
      </w:r>
      <w:r w:rsidR="00FB7A5D" w:rsidRPr="00FB7A5D">
        <w:rPr>
          <w:rFonts w:ascii="Garamond" w:eastAsiaTheme="minorHAnsi" w:hAnsi="Garamond"/>
          <w:color w:val="000000"/>
          <w:sz w:val="24"/>
          <w:szCs w:val="24"/>
          <w:vertAlign w:val="superscript"/>
          <w14:ligatures w14:val="standardContextual"/>
        </w:rPr>
        <w:t>2</w:t>
      </w:r>
      <w:r w:rsidRPr="00FB7A5D">
        <w:rPr>
          <w:rFonts w:ascii="Garamond" w:eastAsiaTheme="minorHAnsi" w:hAnsi="Garamond"/>
          <w:color w:val="000000"/>
          <w:sz w:val="24"/>
          <w:szCs w:val="24"/>
          <w14:ligatures w14:val="standardContextual"/>
        </w:rPr>
        <w:t xml:space="preserve"> e truallit të kërkuesit ishte zënë nga rruga e re. Ajo deklaroi se sipas njoftimeve për shitje për toka të ngjashme, vlera e tregut të pronës ishte 160 euro për metër katror. </w:t>
      </w:r>
    </w:p>
    <w:p w14:paraId="56FE045F" w14:textId="79267500"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9.</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Kërkuesi nuk ra dakord dhe parashtroi se toka e tij kishte vlerë të paktën 200 euro për metër katror. </w:t>
      </w:r>
    </w:p>
    <w:p w14:paraId="69FA858E" w14:textId="42BBD877"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10.</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Rezulton se në një datë të papërcaktuar, DPRR</w:t>
      </w:r>
      <w:r w:rsidR="00FB7A5D">
        <w:rPr>
          <w:rFonts w:ascii="Garamond" w:eastAsiaTheme="minorHAnsi" w:hAnsi="Garamond"/>
          <w:color w:val="000000"/>
          <w:sz w:val="24"/>
          <w:szCs w:val="24"/>
          <w14:ligatures w14:val="standardContextual"/>
        </w:rPr>
        <w:t>-ja</w:t>
      </w:r>
      <w:r w:rsidRPr="00FB7A5D">
        <w:rPr>
          <w:rFonts w:ascii="Garamond" w:eastAsiaTheme="minorHAnsi" w:hAnsi="Garamond"/>
          <w:color w:val="000000"/>
          <w:sz w:val="24"/>
          <w:szCs w:val="24"/>
          <w14:ligatures w14:val="standardContextual"/>
        </w:rPr>
        <w:t xml:space="preserve"> parashtroi në gjykatë se kishte nisur procesi formal për shpronësimin ndaj kërkuesit.</w:t>
      </w:r>
    </w:p>
    <w:p w14:paraId="4AE278A5" w14:textId="0C21B488"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11.</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29 </w:t>
      </w:r>
      <w:r w:rsidR="00FB7A5D">
        <w:rPr>
          <w:rFonts w:ascii="Garamond" w:eastAsiaTheme="minorHAnsi" w:hAnsi="Garamond"/>
          <w:color w:val="000000"/>
          <w:sz w:val="24"/>
          <w:szCs w:val="24"/>
          <w14:ligatures w14:val="standardContextual"/>
        </w:rPr>
        <w:t>j</w:t>
      </w:r>
      <w:r w:rsidRPr="00FB7A5D">
        <w:rPr>
          <w:rFonts w:ascii="Garamond" w:eastAsiaTheme="minorHAnsi" w:hAnsi="Garamond"/>
          <w:color w:val="000000"/>
          <w:sz w:val="24"/>
          <w:szCs w:val="24"/>
          <w14:ligatures w14:val="standardContextual"/>
        </w:rPr>
        <w:t>anar 2012, DPRR</w:t>
      </w:r>
      <w:r w:rsidR="00FB7A5D">
        <w:rPr>
          <w:rFonts w:ascii="Garamond" w:eastAsiaTheme="minorHAnsi" w:hAnsi="Garamond"/>
          <w:color w:val="000000"/>
          <w:sz w:val="24"/>
          <w:szCs w:val="24"/>
          <w14:ligatures w14:val="standardContextual"/>
        </w:rPr>
        <w:t>-ja</w:t>
      </w:r>
      <w:r w:rsidRPr="00FB7A5D">
        <w:rPr>
          <w:rFonts w:ascii="Garamond" w:eastAsiaTheme="minorHAnsi" w:hAnsi="Garamond"/>
          <w:color w:val="000000"/>
          <w:sz w:val="24"/>
          <w:szCs w:val="24"/>
          <w14:ligatures w14:val="standardContextual"/>
        </w:rPr>
        <w:t xml:space="preserve"> paraqiti pranë Ministrisë së Transportit dhe Punëve Publike një listë me emrat e pronarëve dhe pronat e tyre që prekeshin nga rruga e re konkrete. Për sa i përket kërkuesit, lista përcaktonte se 90 metër katrorë ishin subjekt i shpronësimit për një kompensim prej 2750 lekësh për metër katror (afërsisht 20 euro në atë periudhë). Rezulton se kjo listë ishte përfshirë si provë n</w:t>
      </w:r>
      <w:r w:rsidR="00FB7A5D">
        <w:rPr>
          <w:rFonts w:ascii="Garamond" w:eastAsiaTheme="minorHAnsi" w:hAnsi="Garamond"/>
          <w:color w:val="000000"/>
          <w:sz w:val="24"/>
          <w:szCs w:val="24"/>
          <w14:ligatures w14:val="standardContextual"/>
        </w:rPr>
        <w:t>ë</w:t>
      </w:r>
      <w:r w:rsidRPr="00FB7A5D">
        <w:rPr>
          <w:rFonts w:ascii="Garamond" w:eastAsiaTheme="minorHAnsi" w:hAnsi="Garamond"/>
          <w:color w:val="000000"/>
          <w:sz w:val="24"/>
          <w:szCs w:val="24"/>
          <w14:ligatures w14:val="standardContextual"/>
        </w:rPr>
        <w:t xml:space="preserve"> dosjen e çështjes. </w:t>
      </w:r>
    </w:p>
    <w:p w14:paraId="6D3B2688" w14:textId="3564D2EC"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12.</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9 </w:t>
      </w:r>
      <w:r w:rsidR="00FB7A5D" w:rsidRPr="00FB7A5D">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hkurt 2012, ekspertja e plotësoi raportin e saj të datës 16 </w:t>
      </w:r>
      <w:r w:rsidR="00FB7A5D" w:rsidRPr="00FB7A5D">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ëntor 2011 me një shtesë, ku deklarohej se sipas </w:t>
      </w:r>
      <w:r w:rsidR="00FB7A5D" w:rsidRPr="00FB7A5D">
        <w:rPr>
          <w:rFonts w:ascii="Garamond" w:eastAsiaTheme="minorHAnsi" w:hAnsi="Garamond"/>
          <w:color w:val="000000"/>
          <w:sz w:val="24"/>
          <w:szCs w:val="24"/>
          <w14:ligatures w14:val="standardContextual"/>
        </w:rPr>
        <w:t>v</w:t>
      </w:r>
      <w:r w:rsidRPr="00FB7A5D">
        <w:rPr>
          <w:rFonts w:ascii="Garamond" w:eastAsiaTheme="minorHAnsi" w:hAnsi="Garamond"/>
          <w:color w:val="000000"/>
          <w:sz w:val="24"/>
          <w:szCs w:val="24"/>
          <w14:ligatures w14:val="standardContextual"/>
        </w:rPr>
        <w:t xml:space="preserve">endimit të Këshillit të Ministrave </w:t>
      </w:r>
      <w:r w:rsidR="00CF4477">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r. 1620</w:t>
      </w:r>
      <w:r w:rsidR="00CF4477">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të datës 26 </w:t>
      </w:r>
      <w:r w:rsidR="00CF4477">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ëntor 2008 (“VKM 1620”), që rregullonte çmimin e referencës së tokës për metër katror në zonën përkatëse</w:t>
      </w:r>
      <w:r w:rsidR="00CF4477">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në kontekstin e procedurave të kompensimit për tokën e shpronësuar gjatë regjimit komunist (shih </w:t>
      </w:r>
      <w:r w:rsidRPr="00FB7A5D">
        <w:rPr>
          <w:rFonts w:ascii="Garamond" w:eastAsiaTheme="minorHAnsi" w:hAnsi="Garamond"/>
          <w:i/>
          <w:iCs/>
          <w:color w:val="000000"/>
          <w:sz w:val="24"/>
          <w:szCs w:val="24"/>
          <w14:ligatures w14:val="standardContextual"/>
        </w:rPr>
        <w:t>Çaush Driza kundër Shqipërisë</w:t>
      </w:r>
      <w:r w:rsidRPr="00FB7A5D">
        <w:rPr>
          <w:rFonts w:ascii="Garamond" w:eastAsiaTheme="minorHAnsi" w:hAnsi="Garamond"/>
          <w:color w:val="000000"/>
          <w:sz w:val="24"/>
          <w:szCs w:val="24"/>
          <w14:ligatures w14:val="standardContextual"/>
        </w:rPr>
        <w:t xml:space="preserve">, nr. 10810/05, </w:t>
      </w:r>
      <w:r w:rsidR="00CF4477"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44</w:t>
      </w:r>
      <w:r w:rsidR="00CF4477">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45, 15 </w:t>
      </w:r>
      <w:r w:rsidR="00CF4477">
        <w:rPr>
          <w:rFonts w:ascii="Garamond" w:eastAsiaTheme="minorHAnsi" w:hAnsi="Garamond"/>
          <w:color w:val="000000"/>
          <w:sz w:val="24"/>
          <w:szCs w:val="24"/>
          <w14:ligatures w14:val="standardContextual"/>
        </w:rPr>
        <w:t>m</w:t>
      </w:r>
      <w:r w:rsidRPr="00FB7A5D">
        <w:rPr>
          <w:rFonts w:ascii="Garamond" w:eastAsiaTheme="minorHAnsi" w:hAnsi="Garamond"/>
          <w:color w:val="000000"/>
          <w:sz w:val="24"/>
          <w:szCs w:val="24"/>
          <w14:ligatures w14:val="standardContextual"/>
        </w:rPr>
        <w:t>ars 2011), trualli i kërkuesit vlerësohej në vlerën 12000 lekë për metër katror (afërsisht 86 euro në atë periudhë). Ekspertja ia la gjykatës që të vendoste për shumën e përshtatshme.</w:t>
      </w:r>
    </w:p>
    <w:p w14:paraId="11423262" w14:textId="11BA74C7"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13.</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23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ëntor 2012, Gjykata e Rrethit Tiranë e rrëzoi kërkesën. Ajo iu referua parashtrimeve dhe korrespondencës së DPRR</w:t>
      </w:r>
      <w:r w:rsidR="00434AFE">
        <w:rPr>
          <w:rFonts w:ascii="Garamond" w:eastAsiaTheme="minorHAnsi" w:hAnsi="Garamond"/>
          <w:color w:val="000000"/>
          <w:sz w:val="24"/>
          <w:szCs w:val="24"/>
          <w14:ligatures w14:val="standardContextual"/>
        </w:rPr>
        <w:t>-së</w:t>
      </w:r>
      <w:r w:rsidRPr="00FB7A5D">
        <w:rPr>
          <w:rFonts w:ascii="Garamond" w:eastAsiaTheme="minorHAnsi" w:hAnsi="Garamond"/>
          <w:color w:val="000000"/>
          <w:sz w:val="24"/>
          <w:szCs w:val="24"/>
          <w14:ligatures w14:val="standardContextual"/>
        </w:rPr>
        <w:t xml:space="preserve">, të datës 29 </w:t>
      </w:r>
      <w:r w:rsidR="00434AFE">
        <w:rPr>
          <w:rFonts w:ascii="Garamond" w:eastAsiaTheme="minorHAnsi" w:hAnsi="Garamond"/>
          <w:color w:val="000000"/>
          <w:sz w:val="24"/>
          <w:szCs w:val="24"/>
          <w14:ligatures w14:val="standardContextual"/>
        </w:rPr>
        <w:t>j</w:t>
      </w:r>
      <w:r w:rsidRPr="00FB7A5D">
        <w:rPr>
          <w:rFonts w:ascii="Garamond" w:eastAsiaTheme="minorHAnsi" w:hAnsi="Garamond"/>
          <w:color w:val="000000"/>
          <w:sz w:val="24"/>
          <w:szCs w:val="24"/>
          <w14:ligatures w14:val="standardContextual"/>
        </w:rPr>
        <w:t>anar 2012 (shih paragrafët 10</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11 më sipër) për të arritur në përfundimin nëse trualli ishte shpronësuar rregullisht</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si edhe për përllogaritjen e kompensimit që do të duhej të shlyhej. Gjithashtu, ajo urdhëroi kërkuesin të shlyente kostot dhe shpenzimet e procesit që arrinin vlerën 452000 lekë (afërsisht 3200 euro në atë periudhë).</w:t>
      </w:r>
    </w:p>
    <w:p w14:paraId="3393A08F" w14:textId="391EC019"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14.</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Në një datë të papërcaktuar, kërkuesi apeloi me argumentin se vendimi i gjykatës fillestare ishte i pambështetur në fakte dhe përsëriti kërkesën e tij për një shumë kompensimi më të madhe.</w:t>
      </w:r>
    </w:p>
    <w:p w14:paraId="41836850" w14:textId="7C0BF7B1"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15.</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5 </w:t>
      </w:r>
      <w:r w:rsidR="00434AFE">
        <w:rPr>
          <w:rFonts w:ascii="Garamond" w:eastAsiaTheme="minorHAnsi" w:hAnsi="Garamond"/>
          <w:color w:val="000000"/>
          <w:sz w:val="24"/>
          <w:szCs w:val="24"/>
          <w14:ligatures w14:val="standardContextual"/>
        </w:rPr>
        <w:t>q</w:t>
      </w:r>
      <w:r w:rsidRPr="00FB7A5D">
        <w:rPr>
          <w:rFonts w:ascii="Garamond" w:eastAsiaTheme="minorHAnsi" w:hAnsi="Garamond"/>
          <w:color w:val="000000"/>
          <w:sz w:val="24"/>
          <w:szCs w:val="24"/>
          <w14:ligatures w14:val="standardContextual"/>
        </w:rPr>
        <w:t>ershor 2014, Gjykata Administrative Tiranë e Apelit la në fuqi vendimin dhe arsyetimin e gjykatës fillestare. Ajo theksonte veçanërisht se faktet përkatëse të çështjes kishin ndryshuar pas dorëzimit të padisë, sepse toka ishte shpronësuar m</w:t>
      </w:r>
      <w:r w:rsidR="00434AFE">
        <w:rPr>
          <w:rFonts w:ascii="Garamond" w:eastAsiaTheme="minorHAnsi" w:hAnsi="Garamond"/>
          <w:color w:val="000000"/>
          <w:sz w:val="24"/>
          <w:szCs w:val="24"/>
          <w14:ligatures w14:val="standardContextual"/>
        </w:rPr>
        <w:t>ë</w:t>
      </w:r>
      <w:r w:rsidRPr="00FB7A5D">
        <w:rPr>
          <w:rFonts w:ascii="Garamond" w:eastAsiaTheme="minorHAnsi" w:hAnsi="Garamond"/>
          <w:color w:val="000000"/>
          <w:sz w:val="24"/>
          <w:szCs w:val="24"/>
          <w14:ligatures w14:val="standardContextual"/>
        </w:rPr>
        <w:t xml:space="preserve"> herët</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më 29 </w:t>
      </w:r>
      <w:r w:rsidR="00434AFE">
        <w:rPr>
          <w:rFonts w:ascii="Garamond" w:eastAsiaTheme="minorHAnsi" w:hAnsi="Garamond"/>
          <w:color w:val="000000"/>
          <w:sz w:val="24"/>
          <w:szCs w:val="24"/>
          <w14:ligatures w14:val="standardContextual"/>
        </w:rPr>
        <w:t>j</w:t>
      </w:r>
      <w:r w:rsidRPr="00FB7A5D">
        <w:rPr>
          <w:rFonts w:ascii="Garamond" w:eastAsiaTheme="minorHAnsi" w:hAnsi="Garamond"/>
          <w:color w:val="000000"/>
          <w:sz w:val="24"/>
          <w:szCs w:val="24"/>
          <w14:ligatures w14:val="standardContextual"/>
        </w:rPr>
        <w:t>anar 2012.</w:t>
      </w:r>
    </w:p>
    <w:p w14:paraId="2F4411B6" w14:textId="7E20C0D2"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II.</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PROCEDURAT PRANË GJYKATËS SË LARTË DHE GJYKATËS KUSHTETUESE</w:t>
      </w:r>
    </w:p>
    <w:p w14:paraId="78043431" w14:textId="0C33B5F9"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16.</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21 </w:t>
      </w:r>
      <w:r w:rsidR="00434AFE">
        <w:rPr>
          <w:rFonts w:ascii="Garamond" w:eastAsiaTheme="minorHAnsi" w:hAnsi="Garamond"/>
          <w:color w:val="000000"/>
          <w:sz w:val="24"/>
          <w:szCs w:val="24"/>
          <w14:ligatures w14:val="standardContextual"/>
        </w:rPr>
        <w:t>t</w:t>
      </w:r>
      <w:r w:rsidRPr="00FB7A5D">
        <w:rPr>
          <w:rFonts w:ascii="Garamond" w:eastAsiaTheme="minorHAnsi" w:hAnsi="Garamond"/>
          <w:color w:val="000000"/>
          <w:sz w:val="24"/>
          <w:szCs w:val="24"/>
          <w14:ligatures w14:val="standardContextual"/>
        </w:rPr>
        <w:t>etor 2014, kërkuesi bëri një rekurs në Gjykatën e Lartë duke argumentuar, për sa ka të bëjë me çështjen, se gjykatat më të ulëta kishin shkelur të drejtën e tij ndaj pronës dhe ndaj një vendimi të arsyetuar pasi gjykatat nuk kishin dhënë arsye për miratimin e vlerësimit të DPRR</w:t>
      </w:r>
      <w:r w:rsidR="00434AFE">
        <w:rPr>
          <w:rFonts w:ascii="Garamond" w:eastAsiaTheme="minorHAnsi" w:hAnsi="Garamond"/>
          <w:color w:val="000000"/>
          <w:sz w:val="24"/>
          <w:szCs w:val="24"/>
          <w14:ligatures w14:val="standardContextual"/>
        </w:rPr>
        <w:t>-së</w:t>
      </w:r>
      <w:r w:rsidRPr="00FB7A5D">
        <w:rPr>
          <w:rFonts w:ascii="Garamond" w:eastAsiaTheme="minorHAnsi" w:hAnsi="Garamond"/>
          <w:color w:val="000000"/>
          <w:sz w:val="24"/>
          <w:szCs w:val="24"/>
          <w14:ligatures w14:val="standardContextual"/>
        </w:rPr>
        <w:t xml:space="preserve"> në lidhje me vlerën e tokës së shpronësuar për metër katror përkundrejt përllogaritjeve të ekspertes së caktuar nga gjykata, VKM</w:t>
      </w:r>
      <w:r w:rsidR="001418EC">
        <w:rPr>
          <w:rFonts w:ascii="Garamond" w:eastAsiaTheme="minorHAnsi" w:hAnsi="Garamond"/>
          <w:color w:val="000000"/>
          <w:sz w:val="24"/>
          <w:szCs w:val="24"/>
          <w14:ligatures w14:val="standardContextual"/>
        </w:rPr>
        <w:t>-së</w:t>
      </w:r>
      <w:bookmarkStart w:id="0" w:name="_GoBack"/>
      <w:bookmarkEnd w:id="0"/>
      <w:r w:rsidRPr="00FB7A5D">
        <w:rPr>
          <w:rFonts w:ascii="Garamond" w:eastAsiaTheme="minorHAnsi" w:hAnsi="Garamond"/>
          <w:color w:val="000000"/>
          <w:sz w:val="24"/>
          <w:szCs w:val="24"/>
          <w14:ligatures w14:val="standardContextual"/>
        </w:rPr>
        <w:t xml:space="preserve"> 1620 dhe parashtrimeve të kërkueses.</w:t>
      </w:r>
    </w:p>
    <w:p w14:paraId="5453375B" w14:textId="284E870A"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17.</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Ndërkohë, më 8 </w:t>
      </w:r>
      <w:r w:rsidR="00434AFE">
        <w:rPr>
          <w:rFonts w:ascii="Garamond" w:eastAsiaTheme="minorHAnsi" w:hAnsi="Garamond"/>
          <w:color w:val="000000"/>
          <w:sz w:val="24"/>
          <w:szCs w:val="24"/>
          <w14:ligatures w14:val="standardContextual"/>
        </w:rPr>
        <w:t>p</w:t>
      </w:r>
      <w:r w:rsidRPr="00FB7A5D">
        <w:rPr>
          <w:rFonts w:ascii="Garamond" w:eastAsiaTheme="minorHAnsi" w:hAnsi="Garamond"/>
          <w:color w:val="000000"/>
          <w:sz w:val="24"/>
          <w:szCs w:val="24"/>
          <w14:ligatures w14:val="standardContextual"/>
        </w:rPr>
        <w:t xml:space="preserve">rill 2015, Këshilli i Ministrave miratoi vendimin nr. 303 (“VKM 303”) me anë të së cilit ai shpronësonte 105 </w:t>
      </w:r>
      <w:r w:rsidR="00434AFE">
        <w:rPr>
          <w:rFonts w:ascii="Garamond" w:eastAsiaTheme="minorHAnsi" w:hAnsi="Garamond"/>
          <w:color w:val="000000"/>
          <w:sz w:val="24"/>
          <w:szCs w:val="24"/>
          <w14:ligatures w14:val="standardContextual"/>
        </w:rPr>
        <w:t>m</w:t>
      </w:r>
      <w:r w:rsidR="00434AFE" w:rsidRPr="00434AFE">
        <w:rPr>
          <w:rFonts w:ascii="Garamond" w:eastAsiaTheme="minorHAnsi" w:hAnsi="Garamond"/>
          <w:color w:val="000000"/>
          <w:sz w:val="24"/>
          <w:szCs w:val="24"/>
          <w:vertAlign w:val="superscript"/>
          <w14:ligatures w14:val="standardContextual"/>
        </w:rPr>
        <w:t>2</w:t>
      </w:r>
      <w:r w:rsidRPr="00FB7A5D">
        <w:rPr>
          <w:rFonts w:ascii="Garamond" w:eastAsiaTheme="minorHAnsi" w:hAnsi="Garamond"/>
          <w:color w:val="000000"/>
          <w:sz w:val="24"/>
          <w:szCs w:val="24"/>
          <w14:ligatures w14:val="standardContextual"/>
        </w:rPr>
        <w:t xml:space="preserve"> nga kërkuesi me vlerë 3081 lekë për metër katror (afërsisht 22 euro në atë periudhë).</w:t>
      </w:r>
    </w:p>
    <w:p w14:paraId="177F8C22" w14:textId="410020CD"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18.</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1 </w:t>
      </w:r>
      <w:r w:rsidR="00434AFE" w:rsidRPr="00FB7A5D">
        <w:rPr>
          <w:rFonts w:ascii="Garamond" w:eastAsiaTheme="minorHAnsi" w:hAnsi="Garamond"/>
          <w:color w:val="000000"/>
          <w:sz w:val="24"/>
          <w:szCs w:val="24"/>
          <w14:ligatures w14:val="standardContextual"/>
        </w:rPr>
        <w:t xml:space="preserve">mars </w:t>
      </w:r>
      <w:r w:rsidRPr="00FB7A5D">
        <w:rPr>
          <w:rFonts w:ascii="Garamond" w:eastAsiaTheme="minorHAnsi" w:hAnsi="Garamond"/>
          <w:color w:val="000000"/>
          <w:sz w:val="24"/>
          <w:szCs w:val="24"/>
          <w14:ligatures w14:val="standardContextual"/>
        </w:rPr>
        <w:t xml:space="preserve">2017, Gjykata e Lartë vendosi se procedura kishte qenë e drejtë dhe rrëzoi rekursin e kërkuesit si të papranueshëm. Ajo nuk adresoi çështjen e shumës së kompensimit. </w:t>
      </w:r>
    </w:p>
    <w:p w14:paraId="132FA150" w14:textId="73B898F9"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19.</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28 </w:t>
      </w:r>
      <w:r w:rsidR="00434AFE">
        <w:rPr>
          <w:rFonts w:ascii="Garamond" w:eastAsiaTheme="minorHAnsi" w:hAnsi="Garamond"/>
          <w:color w:val="000000"/>
          <w:sz w:val="24"/>
          <w:szCs w:val="24"/>
          <w14:ligatures w14:val="standardContextual"/>
        </w:rPr>
        <w:t>q</w:t>
      </w:r>
      <w:r w:rsidRPr="00FB7A5D">
        <w:rPr>
          <w:rFonts w:ascii="Garamond" w:eastAsiaTheme="minorHAnsi" w:hAnsi="Garamond"/>
          <w:color w:val="000000"/>
          <w:sz w:val="24"/>
          <w:szCs w:val="24"/>
          <w14:ligatures w14:val="standardContextual"/>
        </w:rPr>
        <w:t xml:space="preserve">ershor 2017, kërkuesi depozitoi një rekurs pranë Gjykatës Kushtetuese duke u ankuar, për sa ka të bëjë me çështjen, për një sërë shkeljesh të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të Konventës, duke përfshirë kërkesën për “afat të arsyeshëm” dhe të drejtën për një vendim të arsyetuar në lidhje me shumën e kompensimit për pjesën e shpronësuar të tokës së tij. Gjithashtu, ai u ankua për një shkelje të së drejtës së tij ndaj pronës sipas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enit 1</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të Protokollit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r. 1 të Konventës.</w:t>
      </w:r>
    </w:p>
    <w:p w14:paraId="254C2CF1" w14:textId="5DAA1068"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lastRenderedPageBreak/>
        <w:t>20.</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Më 18 </w:t>
      </w:r>
      <w:r w:rsidR="00434AFE">
        <w:rPr>
          <w:rFonts w:ascii="Garamond" w:eastAsiaTheme="minorHAnsi" w:hAnsi="Garamond"/>
          <w:color w:val="000000"/>
          <w:sz w:val="24"/>
          <w:szCs w:val="24"/>
          <w14:ligatures w14:val="standardContextual"/>
        </w:rPr>
        <w:t>d</w:t>
      </w:r>
      <w:r w:rsidRPr="00FB7A5D">
        <w:rPr>
          <w:rFonts w:ascii="Garamond" w:eastAsiaTheme="minorHAnsi" w:hAnsi="Garamond"/>
          <w:color w:val="000000"/>
          <w:sz w:val="24"/>
          <w:szCs w:val="24"/>
          <w14:ligatures w14:val="standardContextual"/>
        </w:rPr>
        <w:t>hjetor 2017, Gjykata Kushtetuese konstatoi një shkelje të së drejtës së kërkuesit për një gjykim brenda një afati të arsyeshëm dhe rrëzoi ankesat e tjera. Gjykata adresoi pretendimet e kërkuesit në lidhje me prishjen e një pjese të pronës së tij pa kompensim, pjesë e cila ishte trajtuar nga autoritetet si ndërtim i paligjshëm, por heshti për metodën e përllogaritjes për kompensim në procedurat e shpronësimit dhe për shumën e kompensimit ndaj kërkuesit.</w:t>
      </w:r>
    </w:p>
    <w:p w14:paraId="4311B6A7" w14:textId="14354CD8"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21.</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Një përshkrim i përgjithshëm për procedurën e shpronësimit sipas </w:t>
      </w:r>
      <w:r w:rsidR="00434AFE">
        <w:rPr>
          <w:rFonts w:ascii="Garamond" w:eastAsiaTheme="minorHAnsi" w:hAnsi="Garamond"/>
          <w:color w:val="000000"/>
          <w:sz w:val="24"/>
          <w:szCs w:val="24"/>
          <w14:ligatures w14:val="standardContextual"/>
        </w:rPr>
        <w:t>l</w:t>
      </w:r>
      <w:r w:rsidRPr="00FB7A5D">
        <w:rPr>
          <w:rFonts w:ascii="Garamond" w:eastAsiaTheme="minorHAnsi" w:hAnsi="Garamond"/>
          <w:color w:val="000000"/>
          <w:sz w:val="24"/>
          <w:szCs w:val="24"/>
          <w14:ligatures w14:val="standardContextual"/>
        </w:rPr>
        <w:t xml:space="preserve">igjit për </w:t>
      </w:r>
      <w:r w:rsidR="00434AFE">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hpronësimin (</w:t>
      </w:r>
      <w:r w:rsidR="00434AFE" w:rsidRPr="00FB7A5D">
        <w:rPr>
          <w:rFonts w:ascii="Garamond" w:eastAsiaTheme="minorHAnsi" w:hAnsi="Garamond"/>
          <w:color w:val="000000"/>
          <w:sz w:val="24"/>
          <w:szCs w:val="24"/>
          <w14:ligatures w14:val="standardContextual"/>
        </w:rPr>
        <w:t>ligji nr. 8561</w:t>
      </w:r>
      <w:r w:rsidR="00434AFE">
        <w:rPr>
          <w:rFonts w:ascii="Garamond" w:eastAsiaTheme="minorHAnsi" w:hAnsi="Garamond"/>
          <w:color w:val="000000"/>
          <w:sz w:val="24"/>
          <w:szCs w:val="24"/>
          <w14:ligatures w14:val="standardContextual"/>
        </w:rPr>
        <w:t>,</w:t>
      </w:r>
      <w:r w:rsidR="00434AFE" w:rsidRPr="00FB7A5D">
        <w:rPr>
          <w:rFonts w:ascii="Garamond" w:eastAsiaTheme="minorHAnsi" w:hAnsi="Garamond"/>
          <w:color w:val="000000"/>
          <w:sz w:val="24"/>
          <w:szCs w:val="24"/>
          <w14:ligatures w14:val="standardContextual"/>
        </w:rPr>
        <w:t xml:space="preserve"> i datës 22 dhjetor </w:t>
      </w:r>
      <w:r w:rsidRPr="00FB7A5D">
        <w:rPr>
          <w:rFonts w:ascii="Garamond" w:eastAsiaTheme="minorHAnsi" w:hAnsi="Garamond"/>
          <w:color w:val="000000"/>
          <w:sz w:val="24"/>
          <w:szCs w:val="24"/>
          <w14:ligatures w14:val="standardContextual"/>
        </w:rPr>
        <w:t>1999</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“Për </w:t>
      </w:r>
      <w:r w:rsidR="00434AFE" w:rsidRPr="00FB7A5D">
        <w:rPr>
          <w:rFonts w:ascii="Garamond" w:eastAsiaTheme="minorHAnsi" w:hAnsi="Garamond"/>
          <w:color w:val="000000"/>
          <w:sz w:val="24"/>
          <w:szCs w:val="24"/>
          <w14:ligatures w14:val="standardContextual"/>
        </w:rPr>
        <w:t>shpronësimet dhe përdorimin e përkohshëm të pronës private në interesin publ</w:t>
      </w:r>
      <w:r w:rsidRPr="00FB7A5D">
        <w:rPr>
          <w:rFonts w:ascii="Garamond" w:eastAsiaTheme="minorHAnsi" w:hAnsi="Garamond"/>
          <w:color w:val="000000"/>
          <w:sz w:val="24"/>
          <w:szCs w:val="24"/>
          <w14:ligatures w14:val="standardContextual"/>
        </w:rPr>
        <w:t xml:space="preserve">ik”) bëhet në vendimin </w:t>
      </w:r>
      <w:r w:rsidRPr="00FB7A5D">
        <w:rPr>
          <w:rFonts w:ascii="Garamond" w:eastAsiaTheme="minorHAnsi" w:hAnsi="Garamond"/>
          <w:i/>
          <w:iCs/>
          <w:color w:val="000000"/>
          <w:sz w:val="24"/>
          <w:szCs w:val="24"/>
          <w14:ligatures w14:val="standardContextual"/>
        </w:rPr>
        <w:t>Sharxhi dhe të Tjerë kundër Shqipërisë</w:t>
      </w:r>
      <w:r w:rsidRPr="00FB7A5D">
        <w:rPr>
          <w:rFonts w:ascii="Garamond" w:eastAsiaTheme="minorHAnsi" w:hAnsi="Garamond"/>
          <w:color w:val="000000"/>
          <w:sz w:val="24"/>
          <w:szCs w:val="24"/>
          <w14:ligatures w14:val="standardContextual"/>
        </w:rPr>
        <w:t xml:space="preserve"> (nr. 10613/16,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63, 11 </w:t>
      </w:r>
      <w:r w:rsidR="00434AFE">
        <w:rPr>
          <w:rFonts w:ascii="Garamond" w:eastAsiaTheme="minorHAnsi" w:hAnsi="Garamond"/>
          <w:color w:val="000000"/>
          <w:sz w:val="24"/>
          <w:szCs w:val="24"/>
          <w14:ligatures w14:val="standardContextual"/>
        </w:rPr>
        <w:t>j</w:t>
      </w:r>
      <w:r w:rsidRPr="00FB7A5D">
        <w:rPr>
          <w:rFonts w:ascii="Garamond" w:eastAsiaTheme="minorHAnsi" w:hAnsi="Garamond"/>
          <w:color w:val="000000"/>
          <w:sz w:val="24"/>
          <w:szCs w:val="24"/>
          <w14:ligatures w14:val="standardContextual"/>
        </w:rPr>
        <w:t xml:space="preserve">anar 2018). Për sa ka të bëjë me çështjen, në mbështetje të </w:t>
      </w:r>
      <w:r w:rsidR="00434AFE" w:rsidRPr="00FB7A5D">
        <w:rPr>
          <w:rFonts w:ascii="Garamond" w:eastAsiaTheme="minorHAnsi" w:hAnsi="Garamond"/>
          <w:color w:val="000000"/>
          <w:sz w:val="24"/>
          <w:szCs w:val="24"/>
          <w14:ligatures w14:val="standardContextual"/>
        </w:rPr>
        <w:t>nenit 17 të ligjit</w:t>
      </w:r>
      <w:r w:rsidRPr="00FB7A5D">
        <w:rPr>
          <w:rFonts w:ascii="Garamond" w:eastAsiaTheme="minorHAnsi" w:hAnsi="Garamond"/>
          <w:color w:val="000000"/>
          <w:sz w:val="24"/>
          <w:szCs w:val="24"/>
          <w14:ligatures w14:val="standardContextual"/>
        </w:rPr>
        <w:t xml:space="preserve">, vlera e pronës së shpronësuar përcaktohet nga një komision i posaçëm i ngritur nga </w:t>
      </w:r>
      <w:r w:rsidR="00434AFE" w:rsidRPr="00FB7A5D">
        <w:rPr>
          <w:rFonts w:ascii="Garamond" w:eastAsiaTheme="minorHAnsi" w:hAnsi="Garamond"/>
          <w:color w:val="000000"/>
          <w:sz w:val="24"/>
          <w:szCs w:val="24"/>
          <w14:ligatures w14:val="standardContextual"/>
        </w:rPr>
        <w:t xml:space="preserve">ministria </w:t>
      </w:r>
      <w:r w:rsidRPr="00FB7A5D">
        <w:rPr>
          <w:rFonts w:ascii="Garamond" w:eastAsiaTheme="minorHAnsi" w:hAnsi="Garamond"/>
          <w:color w:val="000000"/>
          <w:sz w:val="24"/>
          <w:szCs w:val="24"/>
          <w14:ligatures w14:val="standardContextual"/>
        </w:rPr>
        <w:t xml:space="preserve">përgjegjëse për shpronësimin. Në vijim, e njëjta </w:t>
      </w:r>
      <w:r w:rsidR="00434AFE" w:rsidRPr="00FB7A5D">
        <w:rPr>
          <w:rFonts w:ascii="Garamond" w:eastAsiaTheme="minorHAnsi" w:hAnsi="Garamond"/>
          <w:color w:val="000000"/>
          <w:sz w:val="24"/>
          <w:szCs w:val="24"/>
          <w14:ligatures w14:val="standardContextual"/>
        </w:rPr>
        <w:t xml:space="preserve">ministri </w:t>
      </w:r>
      <w:r w:rsidRPr="00FB7A5D">
        <w:rPr>
          <w:rFonts w:ascii="Garamond" w:eastAsiaTheme="minorHAnsi" w:hAnsi="Garamond"/>
          <w:color w:val="000000"/>
          <w:sz w:val="24"/>
          <w:szCs w:val="24"/>
          <w14:ligatures w14:val="standardContextual"/>
        </w:rPr>
        <w:t xml:space="preserve">i paraqet një propozim Këshillit të Ministrave, që në fund vendos nëse duhet të kryhet shpronësimi. Nëse propozimi pranohet, Këshilli i Ministrave lëshon një vendim ku përcaktohet, </w:t>
      </w:r>
      <w:r w:rsidRPr="00FB7A5D">
        <w:rPr>
          <w:rFonts w:ascii="Garamond" w:eastAsiaTheme="minorHAnsi" w:hAnsi="Garamond"/>
          <w:i/>
          <w:iCs/>
          <w:color w:val="000000"/>
          <w:sz w:val="24"/>
          <w:szCs w:val="24"/>
          <w14:ligatures w14:val="standardContextual"/>
        </w:rPr>
        <w:t xml:space="preserve">inter alia, </w:t>
      </w:r>
      <w:r w:rsidRPr="00FB7A5D">
        <w:rPr>
          <w:rFonts w:ascii="Garamond" w:eastAsiaTheme="minorHAnsi" w:hAnsi="Garamond"/>
          <w:color w:val="000000"/>
          <w:sz w:val="24"/>
          <w:szCs w:val="24"/>
          <w14:ligatures w14:val="standardContextual"/>
        </w:rPr>
        <w:t xml:space="preserve">prona e shpronësuar, pronari i saj dhe shuma e kompensimit për pronarin ose pronaren (neni 21). Brenda 30 ditëve nga </w:t>
      </w:r>
      <w:r w:rsidR="00434AFE">
        <w:rPr>
          <w:rFonts w:ascii="Garamond" w:eastAsiaTheme="minorHAnsi" w:hAnsi="Garamond"/>
          <w:color w:val="000000"/>
          <w:sz w:val="24"/>
          <w:szCs w:val="24"/>
          <w14:ligatures w14:val="standardContextual"/>
        </w:rPr>
        <w:t>v</w:t>
      </w:r>
      <w:r w:rsidRPr="00FB7A5D">
        <w:rPr>
          <w:rFonts w:ascii="Garamond" w:eastAsiaTheme="minorHAnsi" w:hAnsi="Garamond"/>
          <w:color w:val="000000"/>
          <w:sz w:val="24"/>
          <w:szCs w:val="24"/>
          <w14:ligatures w14:val="standardContextual"/>
        </w:rPr>
        <w:t xml:space="preserve">endimi i Këshillit të Ministrave për shpronësim, palët e prekura prej tij mund të fillojnë procedurat gjyqësore për të kundërshtuar shumën e kompensimit për pronat e tyre të shpronësuara (neni 24(1)). </w:t>
      </w:r>
    </w:p>
    <w:p w14:paraId="6013145F" w14:textId="254E9CC0"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VLERËSIMI I GJYKATËS </w:t>
      </w:r>
    </w:p>
    <w:p w14:paraId="7F33C866" w14:textId="5BD1A82C"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I.</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PRETENDIM PËR SHKELJE TË NENIT 6 § 1 TË KONVENTËS DHE NENIT 1 TË PROTOKOLLIT NR. 1 TË KONVENTËS</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PËR MUNGESËN E ARSYEVE NË VENDIMET VENDASE NË LIDHJE ME SHUMËN E KOMPENSIMIT</w:t>
      </w:r>
    </w:p>
    <w:p w14:paraId="7863CFA7" w14:textId="50A61AA9"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22.</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Kërkuesi u ankua në mbështetje të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të Konventës dhe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1 të Protokollit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r. 1 të Konventës se gjykatat vendase nuk kishin dhënë arsye në lidhje me shumën e kompensimit për tokën e tij dhe rrëzimin e kërkesave të tij sipas kuantit. Gjykata vëren se këto ankesa nuk ishin të pambështetura në fakte sipas interpretimit të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35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3 (a) të Konventës, apo të papranueshme për ndonjë arsye tjetër. Për këtë arsye, ato duhet të deklarohen të pranueshme.</w:t>
      </w:r>
    </w:p>
    <w:p w14:paraId="28223680" w14:textId="24226E05"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23.</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Parimet e përgjithshme sipas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të Konventës, në lidhje me detyrën e një gjykate për të dhënë arsye janë përmbledhur në vendimin </w:t>
      </w:r>
      <w:r w:rsidRPr="00FB7A5D">
        <w:rPr>
          <w:rFonts w:ascii="Garamond" w:eastAsiaTheme="minorHAnsi" w:hAnsi="Garamond"/>
          <w:i/>
          <w:iCs/>
          <w:color w:val="000000"/>
          <w:sz w:val="24"/>
          <w:szCs w:val="24"/>
          <w14:ligatures w14:val="standardContextual"/>
        </w:rPr>
        <w:t>Moreira Ferreitra kundër Portugalisë (nr. 2)</w:t>
      </w:r>
      <w:r w:rsidRPr="00FB7A5D">
        <w:rPr>
          <w:rFonts w:ascii="Garamond" w:eastAsiaTheme="minorHAnsi" w:hAnsi="Garamond"/>
          <w:color w:val="000000"/>
          <w:sz w:val="24"/>
          <w:szCs w:val="24"/>
          <w14:ligatures w14:val="standardContextual"/>
        </w:rPr>
        <w:t xml:space="preserve"> ([DHM]), nr. 19867/12,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84, 11 </w:t>
      </w:r>
      <w:r w:rsidR="00434AFE">
        <w:rPr>
          <w:rFonts w:ascii="Garamond" w:eastAsiaTheme="minorHAnsi" w:hAnsi="Garamond"/>
          <w:color w:val="000000"/>
          <w:sz w:val="24"/>
          <w:szCs w:val="24"/>
          <w14:ligatures w14:val="standardContextual"/>
        </w:rPr>
        <w:t>k</w:t>
      </w:r>
      <w:r w:rsidRPr="00FB7A5D">
        <w:rPr>
          <w:rFonts w:ascii="Garamond" w:eastAsiaTheme="minorHAnsi" w:hAnsi="Garamond"/>
          <w:color w:val="000000"/>
          <w:sz w:val="24"/>
          <w:szCs w:val="24"/>
          <w14:ligatures w14:val="standardContextual"/>
        </w:rPr>
        <w:t xml:space="preserve">orrik 2017). Parimet e zbatueshme në mbështetje të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1 të Protokollit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r. 1 të Konventës janë përmbledhur në vendimin </w:t>
      </w:r>
      <w:r w:rsidRPr="00FB7A5D">
        <w:rPr>
          <w:rFonts w:ascii="Garamond" w:eastAsiaTheme="minorHAnsi" w:hAnsi="Garamond"/>
          <w:i/>
          <w:iCs/>
          <w:color w:val="000000"/>
          <w:sz w:val="24"/>
          <w:szCs w:val="24"/>
          <w14:ligatures w14:val="standardContextual"/>
        </w:rPr>
        <w:t xml:space="preserve">Vistiņš dhe Perepjolkins kundër Letonisë </w:t>
      </w:r>
      <w:r w:rsidRPr="00FB7A5D">
        <w:rPr>
          <w:rFonts w:ascii="Garamond" w:eastAsiaTheme="minorHAnsi" w:hAnsi="Garamond"/>
          <w:color w:val="000000"/>
          <w:sz w:val="24"/>
          <w:szCs w:val="24"/>
          <w14:ligatures w14:val="standardContextual"/>
        </w:rPr>
        <w:t xml:space="preserve">([DHM], nr. 71243/01,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95-99 dhe 108-14, 25 </w:t>
      </w:r>
      <w:r w:rsidR="00434AFE">
        <w:rPr>
          <w:rFonts w:ascii="Garamond" w:eastAsiaTheme="minorHAnsi" w:hAnsi="Garamond"/>
          <w:color w:val="000000"/>
          <w:sz w:val="24"/>
          <w:szCs w:val="24"/>
          <w14:ligatures w14:val="standardContextual"/>
        </w:rPr>
        <w:t>t</w:t>
      </w:r>
      <w:r w:rsidRPr="00FB7A5D">
        <w:rPr>
          <w:rFonts w:ascii="Garamond" w:eastAsiaTheme="minorHAnsi" w:hAnsi="Garamond"/>
          <w:color w:val="000000"/>
          <w:sz w:val="24"/>
          <w:szCs w:val="24"/>
          <w14:ligatures w14:val="standardContextual"/>
        </w:rPr>
        <w:t xml:space="preserve">etor 2012). </w:t>
      </w:r>
    </w:p>
    <w:p w14:paraId="4391A30B" w14:textId="15BB4EDA"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24.</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Në gjykatat vendase nuk pati diskutime për faktin se një pjesë e tokës së kërkuesit ishte marrë nga autoritetet për ndërtimin e një rruge të re. Pasi ky aspekt ishte përcaktuar, çështja kryesore për t’u zgjidhur nga gjykatat vendase ishte shuma për metër katror, që do t’i paguhej kërkuesit si kompensim. Gjykata do ta shqyrtojë çështjen që ishte thelbi i ankesës së kërkuesit paraqitur pranë saj, më konkretisht nëse kompensimi dhënë për kërkuesin ishte i përshtatshëm. Teksa gjykatat vendase normalisht janë në një pozicion më të mirë për të përcaktuar ekzistencën dhe kuantin e dëmit pasuror (shih </w:t>
      </w:r>
      <w:r w:rsidRPr="00FB7A5D">
        <w:rPr>
          <w:rFonts w:ascii="Garamond" w:eastAsiaTheme="minorHAnsi" w:hAnsi="Garamond"/>
          <w:i/>
          <w:iCs/>
          <w:color w:val="000000"/>
          <w:sz w:val="24"/>
          <w:szCs w:val="24"/>
          <w14:ligatures w14:val="standardContextual"/>
        </w:rPr>
        <w:t xml:space="preserve">Scordino kundër Italisë </w:t>
      </w:r>
      <w:r w:rsidRPr="00FB7A5D">
        <w:rPr>
          <w:rFonts w:ascii="Garamond" w:eastAsiaTheme="minorHAnsi" w:hAnsi="Garamond"/>
          <w:color w:val="000000"/>
          <w:sz w:val="24"/>
          <w:szCs w:val="24"/>
          <w14:ligatures w14:val="standardContextual"/>
        </w:rPr>
        <w:t xml:space="preserve">(nr. 1) [DHM], nr. 36813/97,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203, GJEDNJ 2006-V), Gjykata ka juridiksionin për të vlerësuar nëse kompensimi ishte i përshtatshëm dhe i mjaftueshëm sipas interpretimit të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1 të Protokollit </w:t>
      </w:r>
      <w:r w:rsidR="00434AFE">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r. 1 të Konventës. </w:t>
      </w:r>
    </w:p>
    <w:p w14:paraId="4528AEF8" w14:textId="4EAFF5DB"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25.</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Fillimisht, ajo konstaton, siç edhe rezulton nga shkresa e DPRR</w:t>
      </w:r>
      <w:r w:rsidR="00434AFE">
        <w:rPr>
          <w:rFonts w:ascii="Garamond" w:eastAsiaTheme="minorHAnsi" w:hAnsi="Garamond"/>
          <w:color w:val="000000"/>
          <w:sz w:val="24"/>
          <w:szCs w:val="24"/>
          <w14:ligatures w14:val="standardContextual"/>
        </w:rPr>
        <w:t>-së</w:t>
      </w:r>
      <w:r w:rsidRPr="00FB7A5D">
        <w:rPr>
          <w:rFonts w:ascii="Garamond" w:eastAsiaTheme="minorHAnsi" w:hAnsi="Garamond"/>
          <w:color w:val="000000"/>
          <w:sz w:val="24"/>
          <w:szCs w:val="24"/>
          <w14:ligatures w14:val="standardContextual"/>
        </w:rPr>
        <w:t xml:space="preserve"> për kërkuesin (shih paragrafin 3 më sipër) dhe parashtrimet e tyre pranë gjykatës fillestare (shih paragrafin 10 më sipër), se në kohën kur kishin nisur punimet për ndërtimin e rrugës së re, procedura e shpronësimit nuk ishte përfunduar. Faktikisht, procedura formale e shpronësimit përfundoi vetëm në vitin 2015 (shih paragrafin 17 më sipër). Në këtë kontekst, rezulton se kur punimet për ndërtimin e rrugës filluan në vitin 2010, prona e kërkuesit ishte marrë nga autoritetet me anë të procedurës </w:t>
      </w:r>
      <w:r w:rsidRPr="00FB7A5D">
        <w:rPr>
          <w:rFonts w:ascii="Garamond" w:eastAsiaTheme="minorHAnsi" w:hAnsi="Garamond"/>
          <w:i/>
          <w:iCs/>
          <w:color w:val="000000"/>
          <w:sz w:val="24"/>
          <w:szCs w:val="24"/>
          <w14:ligatures w14:val="standardContextual"/>
        </w:rPr>
        <w:t>de facto</w:t>
      </w:r>
      <w:r w:rsidR="001418EC">
        <w:rPr>
          <w:rFonts w:ascii="Garamond" w:eastAsiaTheme="minorHAnsi" w:hAnsi="Garamond"/>
          <w:i/>
          <w:iCs/>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të shpronësimit, dhe për këtë arsye, në çështjen konkrete nuk do të këtë diskutime për “interesin publik”. Sipas rrethanave, nuk ishte e paarsyeshme që kërkuesi të kishte pritshmëri për kompensim të plotë për dëmin e shkaktuar (krahaso </w:t>
      </w:r>
      <w:r w:rsidRPr="00FB7A5D">
        <w:rPr>
          <w:rFonts w:ascii="Garamond" w:eastAsiaTheme="minorHAnsi" w:hAnsi="Garamond"/>
          <w:i/>
          <w:iCs/>
          <w:color w:val="000000"/>
          <w:sz w:val="24"/>
          <w:szCs w:val="24"/>
          <w14:ligatures w14:val="standardContextual"/>
        </w:rPr>
        <w:t>Khizanishvili dhe Kandelaki kundër Gjeorgjisë</w:t>
      </w:r>
      <w:r w:rsidRPr="00FB7A5D">
        <w:rPr>
          <w:rFonts w:ascii="Garamond" w:eastAsiaTheme="minorHAnsi" w:hAnsi="Garamond"/>
          <w:color w:val="000000"/>
          <w:sz w:val="24"/>
          <w:szCs w:val="24"/>
          <w14:ligatures w14:val="standardContextual"/>
        </w:rPr>
        <w:t xml:space="preserve"> nr. 25601/12, § 54, 17 </w:t>
      </w:r>
      <w:r w:rsidR="00434AFE">
        <w:rPr>
          <w:rFonts w:ascii="Garamond" w:eastAsiaTheme="minorHAnsi" w:hAnsi="Garamond"/>
          <w:color w:val="000000"/>
          <w:sz w:val="24"/>
          <w:szCs w:val="24"/>
          <w14:ligatures w14:val="standardContextual"/>
        </w:rPr>
        <w:t>d</w:t>
      </w:r>
      <w:r w:rsidRPr="00FB7A5D">
        <w:rPr>
          <w:rFonts w:ascii="Garamond" w:eastAsiaTheme="minorHAnsi" w:hAnsi="Garamond"/>
          <w:color w:val="000000"/>
          <w:sz w:val="24"/>
          <w:szCs w:val="24"/>
          <w14:ligatures w14:val="standardContextual"/>
        </w:rPr>
        <w:t xml:space="preserve">hjetor 2019). </w:t>
      </w:r>
    </w:p>
    <w:p w14:paraId="44CD2EFE" w14:textId="1721D34C"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26.</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Të paktën pesë parashtrime të ndryshme u paraqitën pranë gjykatave vendase në lidhje me shumën e kompensimit për tokën që ishte marrë prej tij. Ekspertja e caktuar nga gjykata vendosi se çmimi i tregut për metër katror për tokën e kërkuesit ishte 160 euro, ndërsa sipas VKM</w:t>
      </w:r>
      <w:r w:rsidR="00434AFE">
        <w:rPr>
          <w:rFonts w:ascii="Garamond" w:eastAsiaTheme="minorHAnsi" w:hAnsi="Garamond"/>
          <w:color w:val="000000"/>
          <w:sz w:val="24"/>
          <w:szCs w:val="24"/>
          <w14:ligatures w14:val="standardContextual"/>
        </w:rPr>
        <w:t>-së</w:t>
      </w:r>
      <w:r w:rsidRPr="00FB7A5D">
        <w:rPr>
          <w:rFonts w:ascii="Garamond" w:eastAsiaTheme="minorHAnsi" w:hAnsi="Garamond"/>
          <w:color w:val="000000"/>
          <w:sz w:val="24"/>
          <w:szCs w:val="24"/>
          <w14:ligatures w14:val="standardContextual"/>
        </w:rPr>
        <w:t xml:space="preserve"> 1620, </w:t>
      </w:r>
      <w:r w:rsidRPr="00FB7A5D">
        <w:rPr>
          <w:rFonts w:ascii="Garamond" w:eastAsiaTheme="minorHAnsi" w:hAnsi="Garamond"/>
          <w:color w:val="000000"/>
          <w:sz w:val="24"/>
          <w:szCs w:val="24"/>
          <w14:ligatures w14:val="standardContextual"/>
        </w:rPr>
        <w:lastRenderedPageBreak/>
        <w:t>çmimi ishte 86 euro (shih paragrafët 8 dhe 12 më sipër). Kërkuesi kundërshtoi se çmimi i tregut në fakt ishte 200 euro (shih paragrafin 9 më sipër). Një dokument pune i DPRR</w:t>
      </w:r>
      <w:r w:rsidR="00434AFE">
        <w:rPr>
          <w:rFonts w:ascii="Garamond" w:eastAsiaTheme="minorHAnsi" w:hAnsi="Garamond"/>
          <w:color w:val="000000"/>
          <w:sz w:val="24"/>
          <w:szCs w:val="24"/>
          <w14:ligatures w14:val="standardContextual"/>
        </w:rPr>
        <w:t>-së</w:t>
      </w:r>
      <w:r w:rsidRPr="00FB7A5D">
        <w:rPr>
          <w:rFonts w:ascii="Garamond" w:eastAsiaTheme="minorHAnsi" w:hAnsi="Garamond"/>
          <w:color w:val="000000"/>
          <w:sz w:val="24"/>
          <w:szCs w:val="24"/>
          <w14:ligatures w14:val="standardContextual"/>
        </w:rPr>
        <w:t xml:space="preserve"> ka përcaktuar shifrën e kompensimit në vlerën 20 euro (shih paragrafin 11 më sipër). Në fund, VKM</w:t>
      </w:r>
      <w:r w:rsidR="00434AFE">
        <w:rPr>
          <w:rFonts w:ascii="Garamond" w:eastAsiaTheme="minorHAnsi" w:hAnsi="Garamond"/>
          <w:color w:val="000000"/>
          <w:sz w:val="24"/>
          <w:szCs w:val="24"/>
          <w14:ligatures w14:val="standardContextual"/>
        </w:rPr>
        <w:t>-ja</w:t>
      </w:r>
      <w:r w:rsidRPr="00FB7A5D">
        <w:rPr>
          <w:rFonts w:ascii="Garamond" w:eastAsiaTheme="minorHAnsi" w:hAnsi="Garamond"/>
          <w:color w:val="000000"/>
          <w:sz w:val="24"/>
          <w:szCs w:val="24"/>
          <w14:ligatures w14:val="standardContextual"/>
        </w:rPr>
        <w:t xml:space="preserve"> 303 e përcaktonte shumën në vlerën 22 euro (shih paragrafin 17 më sipër).</w:t>
      </w:r>
    </w:p>
    <w:p w14:paraId="0E90AA62" w14:textId="4BAC4CBC"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27.</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Gjykata fillestare dhe gjykata e apelit iu referuan shumës së paraqitur nga DPRR</w:t>
      </w:r>
      <w:r w:rsidR="00434AFE">
        <w:rPr>
          <w:rFonts w:ascii="Garamond" w:eastAsiaTheme="minorHAnsi" w:hAnsi="Garamond"/>
          <w:color w:val="000000"/>
          <w:sz w:val="24"/>
          <w:szCs w:val="24"/>
          <w14:ligatures w14:val="standardContextual"/>
        </w:rPr>
        <w:t>-ja</w:t>
      </w:r>
      <w:r w:rsidRPr="00FB7A5D">
        <w:rPr>
          <w:rFonts w:ascii="Garamond" w:eastAsiaTheme="minorHAnsi" w:hAnsi="Garamond"/>
          <w:color w:val="000000"/>
          <w:sz w:val="24"/>
          <w:szCs w:val="24"/>
          <w14:ligatures w14:val="standardContextual"/>
        </w:rPr>
        <w:t xml:space="preserve"> në dokumentin e saj të punës pa dhënë arsye se cil</w:t>
      </w:r>
      <w:r w:rsidR="00434AFE">
        <w:rPr>
          <w:rFonts w:ascii="Garamond" w:eastAsiaTheme="minorHAnsi" w:hAnsi="Garamond"/>
          <w:color w:val="000000"/>
          <w:sz w:val="24"/>
          <w:szCs w:val="24"/>
          <w14:ligatures w14:val="standardContextual"/>
        </w:rPr>
        <w:t>a</w:t>
      </w:r>
      <w:r w:rsidRPr="00FB7A5D">
        <w:rPr>
          <w:rFonts w:ascii="Garamond" w:eastAsiaTheme="minorHAnsi" w:hAnsi="Garamond"/>
          <w:color w:val="000000"/>
          <w:sz w:val="24"/>
          <w:szCs w:val="24"/>
          <w14:ligatures w14:val="standardContextual"/>
        </w:rPr>
        <w:t>t element</w:t>
      </w:r>
      <w:r w:rsidR="00434AFE">
        <w:rPr>
          <w:rFonts w:ascii="Garamond" w:eastAsiaTheme="minorHAnsi" w:hAnsi="Garamond"/>
          <w:color w:val="000000"/>
          <w:sz w:val="24"/>
          <w:szCs w:val="24"/>
          <w14:ligatures w14:val="standardContextual"/>
        </w:rPr>
        <w:t>e</w:t>
      </w:r>
      <w:r w:rsidRPr="00FB7A5D">
        <w:rPr>
          <w:rFonts w:ascii="Garamond" w:eastAsiaTheme="minorHAnsi" w:hAnsi="Garamond"/>
          <w:color w:val="000000"/>
          <w:sz w:val="24"/>
          <w:szCs w:val="24"/>
          <w14:ligatures w14:val="standardContextual"/>
        </w:rPr>
        <w:t xml:space="preserve"> e çuan në miratimin e asaj vlere dhe në rrëzimin e parashtrimeve të tjera paraqitur pranë saj, veçanërisht propozimet e ekspertes. Rezulton se këto gjykata nuk u angazhuan në mënyrën e duhur, apo nuk dhanë një përgjigje specifike dhe eksplicite për kërkesën kryesore të kërkuesit, gjë që ishte vendimtare për rezultatin e procedurave (krahaso </w:t>
      </w:r>
      <w:r w:rsidRPr="00FB7A5D">
        <w:rPr>
          <w:rFonts w:ascii="Garamond" w:eastAsiaTheme="minorHAnsi" w:hAnsi="Garamond"/>
          <w:i/>
          <w:iCs/>
          <w:color w:val="000000"/>
          <w:sz w:val="24"/>
          <w:szCs w:val="24"/>
          <w14:ligatures w14:val="standardContextual"/>
        </w:rPr>
        <w:t>Ruiz Torija kundër Spanjës</w:t>
      </w:r>
      <w:r w:rsidRPr="00FB7A5D">
        <w:rPr>
          <w:rFonts w:ascii="Garamond" w:eastAsiaTheme="minorHAnsi" w:hAnsi="Garamond"/>
          <w:color w:val="000000"/>
          <w:sz w:val="24"/>
          <w:szCs w:val="24"/>
          <w14:ligatures w14:val="standardContextual"/>
        </w:rPr>
        <w:t xml:space="preserve">, 9 </w:t>
      </w:r>
      <w:r w:rsidR="00434AFE">
        <w:rPr>
          <w:rFonts w:ascii="Garamond" w:eastAsiaTheme="minorHAnsi" w:hAnsi="Garamond"/>
          <w:color w:val="000000"/>
          <w:sz w:val="24"/>
          <w:szCs w:val="24"/>
          <w14:ligatures w14:val="standardContextual"/>
        </w:rPr>
        <w:t>d</w:t>
      </w:r>
      <w:r w:rsidRPr="00FB7A5D">
        <w:rPr>
          <w:rFonts w:ascii="Garamond" w:eastAsiaTheme="minorHAnsi" w:hAnsi="Garamond"/>
          <w:color w:val="000000"/>
          <w:sz w:val="24"/>
          <w:szCs w:val="24"/>
          <w14:ligatures w14:val="standardContextual"/>
        </w:rPr>
        <w:t xml:space="preserve">hjetor 1994,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30, </w:t>
      </w:r>
      <w:r w:rsidR="00434AFE">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eritë A nr. 303-A; </w:t>
      </w:r>
      <w:r w:rsidRPr="00FB7A5D">
        <w:rPr>
          <w:rFonts w:ascii="Garamond" w:eastAsiaTheme="minorHAnsi" w:hAnsi="Garamond"/>
          <w:i/>
          <w:iCs/>
          <w:color w:val="000000"/>
          <w:sz w:val="24"/>
          <w:szCs w:val="24"/>
          <w14:ligatures w14:val="standardContextual"/>
        </w:rPr>
        <w:t>Buzescu kundër Rumanisë</w:t>
      </w:r>
      <w:r w:rsidRPr="00FB7A5D">
        <w:rPr>
          <w:rFonts w:ascii="Garamond" w:eastAsiaTheme="minorHAnsi" w:hAnsi="Garamond"/>
          <w:color w:val="000000"/>
          <w:sz w:val="24"/>
          <w:szCs w:val="24"/>
          <w14:ligatures w14:val="standardContextual"/>
        </w:rPr>
        <w:t xml:space="preserve"> nr. 61302/00, § 67, 24 </w:t>
      </w:r>
      <w:r w:rsidR="00434AFE">
        <w:rPr>
          <w:rFonts w:ascii="Garamond" w:eastAsiaTheme="minorHAnsi" w:hAnsi="Garamond"/>
          <w:color w:val="000000"/>
          <w:sz w:val="24"/>
          <w:szCs w:val="24"/>
          <w14:ligatures w14:val="standardContextual"/>
        </w:rPr>
        <w:t>m</w:t>
      </w:r>
      <w:r w:rsidRPr="00FB7A5D">
        <w:rPr>
          <w:rFonts w:ascii="Garamond" w:eastAsiaTheme="minorHAnsi" w:hAnsi="Garamond"/>
          <w:color w:val="000000"/>
          <w:sz w:val="24"/>
          <w:szCs w:val="24"/>
          <w14:ligatures w14:val="standardContextual"/>
        </w:rPr>
        <w:t xml:space="preserve">aj 2005; dhe për vlerësimin e proporcionalitetit të ndërhyrjes në të drejtën ndaj pronës, </w:t>
      </w:r>
      <w:r w:rsidRPr="00FB7A5D">
        <w:rPr>
          <w:rFonts w:ascii="Garamond" w:eastAsiaTheme="minorHAnsi" w:hAnsi="Garamond"/>
          <w:i/>
          <w:iCs/>
          <w:color w:val="000000"/>
          <w:sz w:val="24"/>
          <w:szCs w:val="24"/>
          <w14:ligatures w14:val="standardContextual"/>
        </w:rPr>
        <w:t xml:space="preserve">Vistņš dhe Perepjolkins,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111-14, dhe </w:t>
      </w:r>
      <w:r w:rsidRPr="00FB7A5D">
        <w:rPr>
          <w:rFonts w:ascii="Garamond" w:eastAsiaTheme="minorHAnsi" w:hAnsi="Garamond"/>
          <w:i/>
          <w:iCs/>
          <w:color w:val="000000"/>
          <w:sz w:val="24"/>
          <w:szCs w:val="24"/>
          <w14:ligatures w14:val="standardContextual"/>
        </w:rPr>
        <w:t>Khizanishvili dhe Kandelaki</w:t>
      </w:r>
      <w:r w:rsidRPr="00FB7A5D">
        <w:rPr>
          <w:rFonts w:ascii="Garamond" w:eastAsiaTheme="minorHAnsi" w:hAnsi="Garamond"/>
          <w:color w:val="000000"/>
          <w:sz w:val="24"/>
          <w:szCs w:val="24"/>
          <w14:ligatures w14:val="standardContextual"/>
        </w:rPr>
        <w:t xml:space="preserve">, </w:t>
      </w:r>
      <w:r w:rsidR="00434AFE"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58</w:t>
      </w:r>
      <w:r w:rsidR="00434AFE">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59, të dy cituar më sipër). </w:t>
      </w:r>
    </w:p>
    <w:p w14:paraId="5EE5187D" w14:textId="26841E42"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28.</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Kërkuesi u ankua për këtë aspekt në gjykatat më të lartë (shih paragrafët 16 dhe 19 më lart). Edhe pse ankesa e tij për mungesë të arsyeve nga gjykatat më të ulëta</w:t>
      </w:r>
      <w:r w:rsidR="0040499A">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në lidhje me një shkelje të mundshme të të drejtave të tij të garantuara nga Konventa, që gjykatat vendase duhej t’i shqyrtonin me vëmendje dhe kujdes të veçantë (shih </w:t>
      </w:r>
      <w:r w:rsidRPr="00FB7A5D">
        <w:rPr>
          <w:rFonts w:ascii="Garamond" w:eastAsiaTheme="minorHAnsi" w:hAnsi="Garamond"/>
          <w:i/>
          <w:iCs/>
          <w:color w:val="000000"/>
          <w:sz w:val="24"/>
          <w:szCs w:val="24"/>
          <w14:ligatures w14:val="standardContextual"/>
        </w:rPr>
        <w:t xml:space="preserve">Fabris kundër Francës </w:t>
      </w:r>
      <w:r w:rsidRPr="00FB7A5D">
        <w:rPr>
          <w:rFonts w:ascii="Garamond" w:eastAsiaTheme="minorHAnsi" w:hAnsi="Garamond"/>
          <w:color w:val="000000"/>
          <w:sz w:val="24"/>
          <w:szCs w:val="24"/>
          <w14:ligatures w14:val="standardContextual"/>
        </w:rPr>
        <w:t xml:space="preserve">[DHM] nr. 16574/08, </w:t>
      </w:r>
      <w:r w:rsidR="0040499A"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72, GJEDNJ 2013 (ekstrakte)), Gjykata e Lartë dhe Gjykata Kushtetuese i rrëzuan ankesat e tij, pa i adresuar pretendimet e tij në lidhje me përllogaritjen e shumës së kompensimit.</w:t>
      </w:r>
    </w:p>
    <w:p w14:paraId="15E957AB" w14:textId="2CD99BCD"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29.</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Në këtë mënyrë, është shkelur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 6 </w:t>
      </w:r>
      <w:r w:rsidR="0040499A"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dhe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 1 i Protokollit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r. 1 të Konventës për mosdhënien e arsyeve nga ana e gjykatave vendase në lidhje me shumën e kompensimit dhe për faktin se kërkuesit nuk i ishte akorduar kompensim i përshtatshëm për pronën që i ishte marrë nga autoritetet vendase. </w:t>
      </w:r>
    </w:p>
    <w:p w14:paraId="0B05F2EE" w14:textId="47C0D994"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II.</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ANKESA TË TJERA</w:t>
      </w:r>
    </w:p>
    <w:p w14:paraId="769ED832" w14:textId="479A91C4"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30.</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Duke marrë në konsideratë faktet e çështjes, parashtrimet e palëve dhe konstatimet e saj në mbështetje të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 1 të Konventës, Gjykata vlerëson se në çështjen konkrete nuk është e nevojshme që të jepet një vendim i veçantë për pranueshmërinë dhe meritat e ankesave sipas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eneve 6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dhe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8 të Konventës (krahaso </w:t>
      </w:r>
      <w:r w:rsidRPr="00FB7A5D">
        <w:rPr>
          <w:rFonts w:ascii="Garamond" w:eastAsiaTheme="minorHAnsi" w:hAnsi="Garamond"/>
          <w:i/>
          <w:iCs/>
          <w:color w:val="000000"/>
          <w:sz w:val="24"/>
          <w:szCs w:val="24"/>
          <w14:ligatures w14:val="standardContextual"/>
        </w:rPr>
        <w:t>Qendra për Burimet Juridike në emër të Valentin Câmpeanu kundër Rumanisë</w:t>
      </w:r>
      <w:r w:rsidRPr="00FB7A5D">
        <w:rPr>
          <w:rFonts w:ascii="Garamond" w:eastAsiaTheme="minorHAnsi" w:hAnsi="Garamond"/>
          <w:color w:val="000000"/>
          <w:sz w:val="24"/>
          <w:szCs w:val="24"/>
          <w14:ligatures w14:val="standardContextual"/>
        </w:rPr>
        <w:t xml:space="preserve"> [DHM] nr. 47848/08,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156, GJEDNJ 2014).</w:t>
      </w:r>
    </w:p>
    <w:p w14:paraId="7AA098EF" w14:textId="63EA7272"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ZBATIMI I NENIT 41 TË KONVENTËS</w:t>
      </w:r>
    </w:p>
    <w:p w14:paraId="6B3BBFFA" w14:textId="452F640B"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31.</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Kërkuesi kërkoi 154,000 euro për dëmin jopasuror. Gjithashtu, ai kërkoi 3,233 euro që i ishin ngarkuar nga gjykata e shkallës së parë si kosto dhe shpenzime për procedurat vendase. Së fundmi, për sa i përket kostove dhe shpenzimeve të bëra në Gjykatë, ai kërkoi 66,000 lekë (afërsisht 523 euro) për shërbimet e dy ekspertëve për vlerësimin e pronave.</w:t>
      </w:r>
    </w:p>
    <w:p w14:paraId="6E40C1BE" w14:textId="461DD615"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32.</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Qeveria i kundërshtoi shumat si të paarsyeshme.</w:t>
      </w:r>
    </w:p>
    <w:p w14:paraId="455593D4" w14:textId="02285511"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33.</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Gjykata ka konstatuar se shkeljet 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të Konventës dhe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1 të Protokollit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r. 1 erdhën si pasojë e mosjustifikimit në mënyrën e duhur të shumës së kompensimit nga ana e gjykatave vendase. Duke marrë në konsideratë karakterin procedural të shkeljes së konstatuar, Gjykata nuk mund të spekulojë për shumën e duhur të dëmit pasuror dhe konstaton se rihapja e procedurave vendase dhe rishqyrtimi i çështjes në nivel kombëtar, në parim, do të përbënte mënyrën më të përshtatshme për të korrigjuar shkeljen (shih, për qasje të ngjashme, </w:t>
      </w:r>
      <w:r w:rsidRPr="00FB7A5D">
        <w:rPr>
          <w:rFonts w:ascii="Garamond" w:eastAsiaTheme="minorHAnsi" w:hAnsi="Garamond"/>
          <w:i/>
          <w:iCs/>
          <w:color w:val="000000"/>
          <w:sz w:val="24"/>
          <w:szCs w:val="24"/>
          <w14:ligatures w14:val="standardContextual"/>
        </w:rPr>
        <w:t>Gereksar dhe të Tjerë kundër Turqisë</w:t>
      </w:r>
      <w:r w:rsidRPr="00FB7A5D">
        <w:rPr>
          <w:rFonts w:ascii="Garamond" w:eastAsiaTheme="minorHAnsi" w:hAnsi="Garamond"/>
          <w:color w:val="000000"/>
          <w:sz w:val="24"/>
          <w:szCs w:val="24"/>
          <w14:ligatures w14:val="standardContextual"/>
        </w:rPr>
        <w:t xml:space="preserve"> nr. 34764/05 dhe 3 të tjerë,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75, 1 </w:t>
      </w:r>
      <w:r w:rsidR="003D6454">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hkurt 2011; </w:t>
      </w:r>
      <w:r w:rsidRPr="00FB7A5D">
        <w:rPr>
          <w:rFonts w:ascii="Garamond" w:eastAsiaTheme="minorHAnsi" w:hAnsi="Garamond"/>
          <w:i/>
          <w:iCs/>
          <w:color w:val="000000"/>
          <w:sz w:val="24"/>
          <w:szCs w:val="24"/>
          <w14:ligatures w14:val="standardContextual"/>
        </w:rPr>
        <w:t>Kravchuk kundër Rusisë</w:t>
      </w:r>
      <w:r w:rsidRPr="00FB7A5D">
        <w:rPr>
          <w:rFonts w:ascii="Garamond" w:eastAsiaTheme="minorHAnsi" w:hAnsi="Garamond"/>
          <w:color w:val="000000"/>
          <w:sz w:val="24"/>
          <w:szCs w:val="24"/>
          <w14:ligatures w14:val="standardContextual"/>
        </w:rPr>
        <w:t xml:space="preserve"> nr. 10899/12,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55</w:t>
      </w:r>
      <w:r w:rsidR="003D6454">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56, 26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ëntor 2019; </w:t>
      </w:r>
      <w:r w:rsidRPr="00FB7A5D">
        <w:rPr>
          <w:rFonts w:ascii="Garamond" w:eastAsiaTheme="minorHAnsi" w:hAnsi="Garamond"/>
          <w:i/>
          <w:iCs/>
          <w:color w:val="000000"/>
          <w:sz w:val="24"/>
          <w:szCs w:val="24"/>
          <w14:ligatures w14:val="standardContextual"/>
        </w:rPr>
        <w:t>Kostov dhe të Tjerë kundër Bullgarisë</w:t>
      </w:r>
      <w:r w:rsidRPr="00FB7A5D">
        <w:rPr>
          <w:rFonts w:ascii="Garamond" w:eastAsiaTheme="minorHAnsi" w:hAnsi="Garamond"/>
          <w:color w:val="000000"/>
          <w:sz w:val="24"/>
          <w:szCs w:val="24"/>
          <w14:ligatures w14:val="standardContextual"/>
        </w:rPr>
        <w:t xml:space="preserve"> nr. 66581/12 dhe 25054/15,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105, 14 </w:t>
      </w:r>
      <w:r w:rsidR="003D6454">
        <w:rPr>
          <w:rFonts w:ascii="Garamond" w:eastAsiaTheme="minorHAnsi" w:hAnsi="Garamond"/>
          <w:color w:val="000000"/>
          <w:sz w:val="24"/>
          <w:szCs w:val="24"/>
          <w14:ligatures w14:val="standardContextual"/>
        </w:rPr>
        <w:t>m</w:t>
      </w:r>
      <w:r w:rsidRPr="00FB7A5D">
        <w:rPr>
          <w:rFonts w:ascii="Garamond" w:eastAsiaTheme="minorHAnsi" w:hAnsi="Garamond"/>
          <w:color w:val="000000"/>
          <w:sz w:val="24"/>
          <w:szCs w:val="24"/>
          <w14:ligatures w14:val="standardContextual"/>
        </w:rPr>
        <w:t xml:space="preserve">aj 2020; dhe </w:t>
      </w:r>
      <w:r w:rsidRPr="00FB7A5D">
        <w:rPr>
          <w:rFonts w:ascii="Garamond" w:eastAsiaTheme="minorHAnsi" w:hAnsi="Garamond"/>
          <w:i/>
          <w:iCs/>
          <w:color w:val="000000"/>
          <w:sz w:val="24"/>
          <w:szCs w:val="24"/>
          <w14:ligatures w14:val="standardContextual"/>
        </w:rPr>
        <w:t>Todorov dhe të Tjerë kundër Bullgarisë</w:t>
      </w:r>
      <w:r w:rsidRPr="00FB7A5D">
        <w:rPr>
          <w:rFonts w:ascii="Garamond" w:eastAsiaTheme="minorHAnsi" w:hAnsi="Garamond"/>
          <w:color w:val="000000"/>
          <w:sz w:val="24"/>
          <w:szCs w:val="24"/>
          <w14:ligatures w14:val="standardContextual"/>
        </w:rPr>
        <w:t xml:space="preserve"> nr. 50705/11 dhe 6 të tjerë,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322, 13 </w:t>
      </w:r>
      <w:r w:rsidR="003D6454">
        <w:rPr>
          <w:rFonts w:ascii="Garamond" w:eastAsiaTheme="minorHAnsi" w:hAnsi="Garamond"/>
          <w:color w:val="000000"/>
          <w:sz w:val="24"/>
          <w:szCs w:val="24"/>
          <w14:ligatures w14:val="standardContextual"/>
        </w:rPr>
        <w:t>k</w:t>
      </w:r>
      <w:r w:rsidRPr="00FB7A5D">
        <w:rPr>
          <w:rFonts w:ascii="Garamond" w:eastAsiaTheme="minorHAnsi" w:hAnsi="Garamond"/>
          <w:color w:val="000000"/>
          <w:sz w:val="24"/>
          <w:szCs w:val="24"/>
          <w14:ligatures w14:val="standardContextual"/>
        </w:rPr>
        <w:t xml:space="preserve">orrik 2021). Duke qenë se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 494 §(ë) i Kodit të Procedurës civile e parashikon një mundësi të tillë, një formë e përshtatshme korrigjimi për shkeljen e të drejtës së kërkuesit do të ishte rihapja e procedurave, nëse kërkuesi do ta kërkonte një rihapje të procedurave, si edhe rishqyrtimi i çështjes në një mënyrë që është në respektim të parashikimeve të Konventës (shih </w:t>
      </w:r>
      <w:r w:rsidRPr="00FB7A5D">
        <w:rPr>
          <w:rFonts w:ascii="Garamond" w:eastAsiaTheme="minorHAnsi" w:hAnsi="Garamond"/>
          <w:i/>
          <w:iCs/>
          <w:color w:val="000000"/>
          <w:sz w:val="24"/>
          <w:szCs w:val="24"/>
          <w14:ligatures w14:val="standardContextual"/>
        </w:rPr>
        <w:t xml:space="preserve">Pálka dhe të Tjerë kundër Republikës Çeke </w:t>
      </w:r>
      <w:r w:rsidRPr="00FB7A5D">
        <w:rPr>
          <w:rFonts w:ascii="Garamond" w:eastAsiaTheme="minorHAnsi" w:hAnsi="Garamond"/>
          <w:color w:val="000000"/>
          <w:sz w:val="24"/>
          <w:szCs w:val="24"/>
          <w14:ligatures w14:val="standardContextual"/>
        </w:rPr>
        <w:t xml:space="preserve">nr. 30262/13,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69, 24 </w:t>
      </w:r>
      <w:r w:rsidR="003D6454">
        <w:rPr>
          <w:rFonts w:ascii="Garamond" w:eastAsiaTheme="minorHAnsi" w:hAnsi="Garamond"/>
          <w:color w:val="000000"/>
          <w:sz w:val="24"/>
          <w:szCs w:val="24"/>
          <w14:ligatures w14:val="standardContextual"/>
        </w:rPr>
        <w:t>m</w:t>
      </w:r>
      <w:r w:rsidRPr="00FB7A5D">
        <w:rPr>
          <w:rFonts w:ascii="Garamond" w:eastAsiaTheme="minorHAnsi" w:hAnsi="Garamond"/>
          <w:color w:val="000000"/>
          <w:sz w:val="24"/>
          <w:szCs w:val="24"/>
          <w14:ligatures w14:val="standardContextual"/>
        </w:rPr>
        <w:t xml:space="preserve">ars 2022, </w:t>
      </w:r>
      <w:r w:rsidRPr="00FB7A5D">
        <w:rPr>
          <w:rFonts w:ascii="Garamond" w:eastAsiaTheme="minorHAnsi" w:hAnsi="Garamond"/>
          <w:i/>
          <w:iCs/>
          <w:color w:val="000000"/>
          <w:sz w:val="24"/>
          <w:szCs w:val="24"/>
          <w14:ligatures w14:val="standardContextual"/>
        </w:rPr>
        <w:t>Khizanishvili dhe Kandelaki</w:t>
      </w:r>
      <w:r w:rsidRPr="00FB7A5D">
        <w:rPr>
          <w:rFonts w:ascii="Garamond" w:eastAsiaTheme="minorHAnsi" w:hAnsi="Garamond"/>
          <w:color w:val="000000"/>
          <w:sz w:val="24"/>
          <w:szCs w:val="24"/>
          <w14:ligatures w14:val="standardContextual"/>
        </w:rPr>
        <w:t xml:space="preserve">,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63, cituar më sipër). Në vijim, ajo i akordin kërkuesit 4,700 euro për dëmin jopasuror, plus çdo taksë që mund t’i tarifohet kërkuesit. </w:t>
      </w:r>
    </w:p>
    <w:p w14:paraId="7F1504F4" w14:textId="47FFBE08"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lastRenderedPageBreak/>
        <w:t>34.</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Në lidhje me kostot dhe shpenzimet në gjykatën e shkallës së parë, Gjykata konstatoi një shkelje procedurale të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të Konventës, pa përcaktuar nëse kërkuesi do të kishte pasur sukses në atë proces apo nëse do të ishte ngarkuar me kostot e procesit. Në këtë mënyrë, ajo e rrëzon kërkesën e tij. Duke qenë se kërkuesi nuk paraqiti ndonjë kërkesë për kostot dhe shpenzimet pranë gjykatave të apelit dhe gjykatave më të larta, për këtë kategori nuk u bë asnjë akordim.</w:t>
      </w:r>
    </w:p>
    <w:p w14:paraId="5CF20BE7" w14:textId="3D571424"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35.</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Në lidhje me tarifat e ekspertëve</w:t>
      </w:r>
      <w:r w:rsidR="001418EC">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për procedurat pranë saj, këto shpenzime nuk ishin të nevojshme për të mbështetur shkeljen e konstatuar nga Gjykata, për aq kohë sa ato i përkisnin arsyetimit të gjykatave vendase (shih </w:t>
      </w:r>
      <w:r w:rsidRPr="00FB7A5D">
        <w:rPr>
          <w:rFonts w:ascii="Garamond" w:eastAsiaTheme="minorHAnsi" w:hAnsi="Garamond"/>
          <w:i/>
          <w:iCs/>
          <w:color w:val="000000"/>
          <w:sz w:val="24"/>
          <w:szCs w:val="24"/>
          <w14:ligatures w14:val="standardContextual"/>
        </w:rPr>
        <w:t>Merabishvili kundër Gjeorgjisë</w:t>
      </w:r>
      <w:r w:rsidRPr="00FB7A5D">
        <w:rPr>
          <w:rFonts w:ascii="Garamond" w:eastAsiaTheme="minorHAnsi" w:hAnsi="Garamond"/>
          <w:color w:val="000000"/>
          <w:sz w:val="24"/>
          <w:szCs w:val="24"/>
          <w14:ligatures w14:val="standardContextual"/>
        </w:rPr>
        <w:t xml:space="preserve"> [DH] nr. 72508/13,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370, 28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ëntor 2017), për këtë arsye nuk u dha asnjë akordim as edhe në këtë kategori.</w:t>
      </w:r>
    </w:p>
    <w:p w14:paraId="2BEA1654" w14:textId="205FD0B7"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PËR KËTO ARSYE, GJYKATA, NË MËNYRË UNANIME, </w:t>
      </w:r>
    </w:p>
    <w:p w14:paraId="2BC6B248" w14:textId="4DCEF8DA"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i/>
          <w:iCs/>
          <w:color w:val="000000"/>
          <w:sz w:val="24"/>
          <w:szCs w:val="24"/>
          <w14:ligatures w14:val="standardContextual"/>
        </w:rPr>
        <w:t>1.</w:t>
      </w:r>
      <w:r w:rsidR="006917C7" w:rsidRPr="00FB7A5D">
        <w:rPr>
          <w:rFonts w:ascii="Garamond" w:eastAsiaTheme="minorHAnsi" w:hAnsi="Garamond"/>
          <w:i/>
          <w:iCs/>
          <w:color w:val="000000"/>
          <w:sz w:val="24"/>
          <w:szCs w:val="24"/>
          <w14:ligatures w14:val="standardContextual"/>
        </w:rPr>
        <w:t xml:space="preserve"> </w:t>
      </w:r>
      <w:r w:rsidRPr="00FB7A5D">
        <w:rPr>
          <w:rFonts w:ascii="Garamond" w:eastAsiaTheme="minorHAnsi" w:hAnsi="Garamond"/>
          <w:i/>
          <w:iCs/>
          <w:color w:val="000000"/>
          <w:sz w:val="24"/>
          <w:szCs w:val="24"/>
          <w14:ligatures w14:val="standardContextual"/>
        </w:rPr>
        <w:t xml:space="preserve">E deklaron </w:t>
      </w:r>
      <w:r w:rsidRPr="00FB7A5D">
        <w:rPr>
          <w:rFonts w:ascii="Garamond" w:eastAsiaTheme="minorHAnsi" w:hAnsi="Garamond"/>
          <w:color w:val="000000"/>
          <w:sz w:val="24"/>
          <w:szCs w:val="24"/>
          <w14:ligatures w14:val="standardContextual"/>
        </w:rPr>
        <w:t xml:space="preserve">të pranueshme ankesën, në mbështetje të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të Konventës dhe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1 të Protokollit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r. 1 të Konventës</w:t>
      </w:r>
      <w:r w:rsidR="003D6454">
        <w:rPr>
          <w:rFonts w:ascii="Garamond" w:eastAsiaTheme="minorHAnsi" w:hAnsi="Garamond"/>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në lidhje me mosdhënien e arsyetimeve nga ana e gjykatave vendase; </w:t>
      </w:r>
    </w:p>
    <w:p w14:paraId="00B23785" w14:textId="74FCCA21"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i/>
          <w:iCs/>
          <w:color w:val="000000"/>
          <w:sz w:val="24"/>
          <w:szCs w:val="24"/>
          <w14:ligatures w14:val="standardContextual"/>
        </w:rPr>
        <w:t>2.</w:t>
      </w:r>
      <w:r w:rsidR="006917C7" w:rsidRPr="00FB7A5D">
        <w:rPr>
          <w:rFonts w:ascii="Garamond" w:eastAsiaTheme="minorHAnsi" w:hAnsi="Garamond"/>
          <w:i/>
          <w:iCs/>
          <w:color w:val="000000"/>
          <w:sz w:val="24"/>
          <w:szCs w:val="24"/>
          <w14:ligatures w14:val="standardContextual"/>
        </w:rPr>
        <w:t xml:space="preserve"> </w:t>
      </w:r>
      <w:r w:rsidRPr="00FB7A5D">
        <w:rPr>
          <w:rFonts w:ascii="Garamond" w:eastAsiaTheme="minorHAnsi" w:hAnsi="Garamond"/>
          <w:i/>
          <w:iCs/>
          <w:color w:val="000000"/>
          <w:sz w:val="24"/>
          <w:szCs w:val="24"/>
          <w14:ligatures w14:val="standardContextual"/>
        </w:rPr>
        <w:t xml:space="preserve">Gjykon </w:t>
      </w:r>
      <w:r w:rsidRPr="00FB7A5D">
        <w:rPr>
          <w:rFonts w:ascii="Garamond" w:eastAsiaTheme="minorHAnsi" w:hAnsi="Garamond"/>
          <w:color w:val="000000"/>
          <w:sz w:val="24"/>
          <w:szCs w:val="24"/>
          <w14:ligatures w14:val="standardContextual"/>
        </w:rPr>
        <w:t xml:space="preserve">se është shkelur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 6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dhe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 1 i Protokollit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r. 1 të Konventës për shkak të mosdhënies së arsyetimeve nga gjykatat vendase për vendimet e tyre;</w:t>
      </w:r>
    </w:p>
    <w:p w14:paraId="5008A81B" w14:textId="5F69A709"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i/>
          <w:iCs/>
          <w:color w:val="000000"/>
          <w:sz w:val="24"/>
          <w:szCs w:val="24"/>
          <w14:ligatures w14:val="standardContextual"/>
        </w:rPr>
        <w:t>3.</w:t>
      </w:r>
      <w:r w:rsidR="006917C7" w:rsidRPr="00FB7A5D">
        <w:rPr>
          <w:rFonts w:ascii="Garamond" w:eastAsiaTheme="minorHAnsi" w:hAnsi="Garamond"/>
          <w:i/>
          <w:iCs/>
          <w:color w:val="000000"/>
          <w:sz w:val="24"/>
          <w:szCs w:val="24"/>
          <w14:ligatures w14:val="standardContextual"/>
        </w:rPr>
        <w:t xml:space="preserve"> </w:t>
      </w:r>
      <w:r w:rsidRPr="00FB7A5D">
        <w:rPr>
          <w:rFonts w:ascii="Garamond" w:eastAsiaTheme="minorHAnsi" w:hAnsi="Garamond"/>
          <w:i/>
          <w:iCs/>
          <w:color w:val="000000"/>
          <w:sz w:val="24"/>
          <w:szCs w:val="24"/>
          <w14:ligatures w14:val="standardContextual"/>
        </w:rPr>
        <w:t xml:space="preserve">Gjykon </w:t>
      </w:r>
      <w:r w:rsidRPr="00FB7A5D">
        <w:rPr>
          <w:rFonts w:ascii="Garamond" w:eastAsiaTheme="minorHAnsi" w:hAnsi="Garamond"/>
          <w:color w:val="000000"/>
          <w:sz w:val="24"/>
          <w:szCs w:val="24"/>
          <w14:ligatures w14:val="standardContextual"/>
        </w:rPr>
        <w:t xml:space="preserve">se nuk është e nevojshme të shqyrtohen pranueshmëria dhe meritat e ankesave të tjera sipas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 xml:space="preserve">enit 6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1 dhe </w:t>
      </w:r>
      <w:r w:rsidR="003D6454">
        <w:rPr>
          <w:rFonts w:ascii="Garamond" w:eastAsiaTheme="minorHAnsi" w:hAnsi="Garamond"/>
          <w:color w:val="000000"/>
          <w:sz w:val="24"/>
          <w:szCs w:val="24"/>
          <w14:ligatures w14:val="standardContextual"/>
        </w:rPr>
        <w:t>n</w:t>
      </w:r>
      <w:r w:rsidRPr="00FB7A5D">
        <w:rPr>
          <w:rFonts w:ascii="Garamond" w:eastAsiaTheme="minorHAnsi" w:hAnsi="Garamond"/>
          <w:color w:val="000000"/>
          <w:sz w:val="24"/>
          <w:szCs w:val="24"/>
          <w14:ligatures w14:val="standardContextual"/>
        </w:rPr>
        <w:t>enit 8 të Konventës;</w:t>
      </w:r>
    </w:p>
    <w:p w14:paraId="7725F5E3" w14:textId="00FC4865"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i/>
          <w:iCs/>
          <w:color w:val="000000"/>
          <w:sz w:val="24"/>
          <w:szCs w:val="24"/>
          <w14:ligatures w14:val="standardContextual"/>
        </w:rPr>
        <w:t>4.</w:t>
      </w:r>
      <w:r w:rsidR="006917C7" w:rsidRPr="00FB7A5D">
        <w:rPr>
          <w:rFonts w:ascii="Garamond" w:eastAsiaTheme="minorHAnsi" w:hAnsi="Garamond"/>
          <w:i/>
          <w:iCs/>
          <w:color w:val="000000"/>
          <w:sz w:val="24"/>
          <w:szCs w:val="24"/>
          <w14:ligatures w14:val="standardContextual"/>
        </w:rPr>
        <w:t xml:space="preserve"> </w:t>
      </w:r>
      <w:r w:rsidRPr="00FB7A5D">
        <w:rPr>
          <w:rFonts w:ascii="Garamond" w:eastAsiaTheme="minorHAnsi" w:hAnsi="Garamond"/>
          <w:i/>
          <w:iCs/>
          <w:color w:val="000000"/>
          <w:sz w:val="24"/>
          <w:szCs w:val="24"/>
          <w14:ligatures w14:val="standardContextual"/>
        </w:rPr>
        <w:t xml:space="preserve">Gjykon </w:t>
      </w:r>
    </w:p>
    <w:p w14:paraId="06570838" w14:textId="640CD2EB"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a)</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se </w:t>
      </w:r>
      <w:r w:rsidR="003D6454">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 xml:space="preserve">hteti përgjegjës duhet t’i paguajë kërkuesit, brenda tre muajve, 4,700 euro (katër mijë e shtatëqind euro), plus çdo taksë që mund të jetë e tarifueshme për dëmin jopasuror, të konvertuara në monedhën e </w:t>
      </w:r>
      <w:r w:rsidR="003D6454">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htetit përgjegjës në normën e zbatueshme në datën e shlyerjes;</w:t>
      </w:r>
    </w:p>
    <w:p w14:paraId="53E2FE78" w14:textId="09A3B7C5"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b)</w:t>
      </w:r>
      <w:r w:rsidR="006917C7" w:rsidRPr="00FB7A5D">
        <w:rPr>
          <w:rFonts w:ascii="Garamond" w:eastAsiaTheme="minorHAnsi" w:hAnsi="Garamond"/>
          <w:color w:val="000000"/>
          <w:sz w:val="24"/>
          <w:szCs w:val="24"/>
          <w14:ligatures w14:val="standardContextual"/>
        </w:rPr>
        <w:t xml:space="preserve"> </w:t>
      </w:r>
      <w:r w:rsidRPr="00FB7A5D">
        <w:rPr>
          <w:rFonts w:ascii="Garamond" w:eastAsiaTheme="minorHAnsi" w:hAnsi="Garamond"/>
          <w:color w:val="000000"/>
          <w:sz w:val="24"/>
          <w:szCs w:val="24"/>
          <w14:ligatures w14:val="standardContextual"/>
        </w:rPr>
        <w:t xml:space="preserve">se që nga përfundimi i periudhës tremujore të sipërpërmendur deri në shlyerjen e saj, një interes i thjeshtë do të paguhet për shumat e mësipërme në normën e barasvlershme me normën margjinale të huadhënies </w:t>
      </w:r>
      <w:r w:rsidR="003D6454">
        <w:rPr>
          <w:rFonts w:ascii="Garamond" w:eastAsiaTheme="minorHAnsi" w:hAnsi="Garamond"/>
          <w:color w:val="000000"/>
          <w:sz w:val="24"/>
          <w:szCs w:val="24"/>
          <w14:ligatures w14:val="standardContextual"/>
        </w:rPr>
        <w:t>s</w:t>
      </w:r>
      <w:r w:rsidRPr="00FB7A5D">
        <w:rPr>
          <w:rFonts w:ascii="Garamond" w:eastAsiaTheme="minorHAnsi" w:hAnsi="Garamond"/>
          <w:color w:val="000000"/>
          <w:sz w:val="24"/>
          <w:szCs w:val="24"/>
          <w14:ligatures w14:val="standardContextual"/>
        </w:rPr>
        <w:t>ë Bankës Qendrore Evropiane gjatë periudhës së mospagesës plus tre pikë përqindje;</w:t>
      </w:r>
    </w:p>
    <w:p w14:paraId="62A8539E" w14:textId="68CDB59D"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i/>
          <w:iCs/>
          <w:color w:val="000000"/>
          <w:sz w:val="24"/>
          <w:szCs w:val="24"/>
          <w14:ligatures w14:val="standardContextual"/>
        </w:rPr>
        <w:t>5.</w:t>
      </w:r>
      <w:r w:rsidR="006917C7" w:rsidRPr="00FB7A5D">
        <w:rPr>
          <w:rFonts w:ascii="Garamond" w:eastAsiaTheme="minorHAnsi" w:hAnsi="Garamond"/>
          <w:i/>
          <w:iCs/>
          <w:color w:val="000000"/>
          <w:sz w:val="24"/>
          <w:szCs w:val="24"/>
          <w14:ligatures w14:val="standardContextual"/>
        </w:rPr>
        <w:t xml:space="preserve"> </w:t>
      </w:r>
      <w:r w:rsidRPr="00FB7A5D">
        <w:rPr>
          <w:rFonts w:ascii="Garamond" w:eastAsiaTheme="minorHAnsi" w:hAnsi="Garamond"/>
          <w:i/>
          <w:iCs/>
          <w:color w:val="000000"/>
          <w:sz w:val="24"/>
          <w:szCs w:val="24"/>
          <w14:ligatures w14:val="standardContextual"/>
        </w:rPr>
        <w:t xml:space="preserve">Rrëzon </w:t>
      </w:r>
      <w:r w:rsidRPr="00FB7A5D">
        <w:rPr>
          <w:rFonts w:ascii="Garamond" w:eastAsiaTheme="minorHAnsi" w:hAnsi="Garamond"/>
          <w:color w:val="000000"/>
          <w:sz w:val="24"/>
          <w:szCs w:val="24"/>
          <w14:ligatures w14:val="standardContextual"/>
        </w:rPr>
        <w:t>pjesën tjetër të kërkesës së kërkuesit për dëmshpërblim të drejtë.</w:t>
      </w:r>
    </w:p>
    <w:p w14:paraId="31F017FD" w14:textId="76BE808D" w:rsidR="00437626"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 xml:space="preserve">Hartuar në gjuhën angleze dhe njoftuar me shkrim më datë 5 </w:t>
      </w:r>
      <w:r w:rsidR="003D6454">
        <w:rPr>
          <w:rFonts w:ascii="Garamond" w:eastAsiaTheme="minorHAnsi" w:hAnsi="Garamond"/>
          <w:color w:val="000000"/>
          <w:sz w:val="24"/>
          <w:szCs w:val="24"/>
          <w14:ligatures w14:val="standardContextual"/>
        </w:rPr>
        <w:t>d</w:t>
      </w:r>
      <w:r w:rsidRPr="00FB7A5D">
        <w:rPr>
          <w:rFonts w:ascii="Garamond" w:eastAsiaTheme="minorHAnsi" w:hAnsi="Garamond"/>
          <w:color w:val="000000"/>
          <w:sz w:val="24"/>
          <w:szCs w:val="24"/>
          <w14:ligatures w14:val="standardContextual"/>
        </w:rPr>
        <w:t xml:space="preserve">hjetor 2023, sipas </w:t>
      </w:r>
      <w:r w:rsidR="003D6454">
        <w:rPr>
          <w:rFonts w:ascii="Garamond" w:eastAsiaTheme="minorHAnsi" w:hAnsi="Garamond"/>
          <w:color w:val="000000"/>
          <w:sz w:val="24"/>
          <w:szCs w:val="24"/>
          <w14:ligatures w14:val="standardContextual"/>
        </w:rPr>
        <w:t>r</w:t>
      </w:r>
      <w:r w:rsidRPr="00FB7A5D">
        <w:rPr>
          <w:rFonts w:ascii="Garamond" w:eastAsiaTheme="minorHAnsi" w:hAnsi="Garamond"/>
          <w:color w:val="000000"/>
          <w:sz w:val="24"/>
          <w:szCs w:val="24"/>
          <w14:ligatures w14:val="standardContextual"/>
        </w:rPr>
        <w:t xml:space="preserve">regullit 77 </w:t>
      </w:r>
      <w:r w:rsidR="003D6454" w:rsidRPr="00FB7A5D">
        <w:rPr>
          <w:rFonts w:ascii="Times New Roman" w:eastAsiaTheme="minorHAnsi" w:hAnsi="Times New Roman"/>
          <w:color w:val="000000"/>
          <w:sz w:val="24"/>
          <w:szCs w:val="24"/>
          <w14:ligatures w14:val="standardContextual"/>
        </w:rPr>
        <w:t>§§</w:t>
      </w:r>
      <w:r w:rsidRPr="00FB7A5D">
        <w:rPr>
          <w:rFonts w:ascii="Garamond" w:eastAsiaTheme="minorHAnsi" w:hAnsi="Garamond"/>
          <w:color w:val="000000"/>
          <w:sz w:val="24"/>
          <w:szCs w:val="24"/>
          <w14:ligatures w14:val="standardContextual"/>
        </w:rPr>
        <w:t xml:space="preserve"> 2 dhe 3 të Rregullores së Gjykatës. </w:t>
      </w:r>
    </w:p>
    <w:p w14:paraId="055697B0" w14:textId="77777777" w:rsidR="00437626" w:rsidRDefault="0043762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D2E861F" w14:textId="77777777" w:rsidR="00437626" w:rsidRDefault="00437626" w:rsidP="00437626">
      <w:pPr>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r w:rsidRPr="00FB7A5D">
        <w:rPr>
          <w:rFonts w:ascii="Garamond" w:eastAsiaTheme="minorHAnsi" w:hAnsi="Garamond"/>
          <w:color w:val="000000"/>
          <w:sz w:val="24"/>
          <w:szCs w:val="24"/>
          <w14:ligatures w14:val="standardContextual"/>
        </w:rPr>
        <w:t>ZËVENDËSSEKRETARE</w:t>
      </w:r>
      <w:r w:rsidRPr="00437626">
        <w:rPr>
          <w:rFonts w:ascii="Garamond" w:eastAsiaTheme="minorHAnsi" w:hAnsi="Garamond"/>
          <w:b/>
          <w:color w:val="000000"/>
          <w:sz w:val="24"/>
          <w:szCs w:val="24"/>
          <w14:ligatures w14:val="standardContextual"/>
        </w:rPr>
        <w:t xml:space="preserve"> </w:t>
      </w:r>
    </w:p>
    <w:p w14:paraId="735DFCDD" w14:textId="77BA9D39" w:rsidR="00437626" w:rsidRDefault="00437626" w:rsidP="00437626">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FB7A5D">
        <w:rPr>
          <w:rFonts w:ascii="Garamond" w:eastAsiaTheme="minorHAnsi" w:hAnsi="Garamond"/>
          <w:b/>
          <w:color w:val="000000"/>
          <w:sz w:val="24"/>
          <w:szCs w:val="24"/>
          <w14:ligatures w14:val="standardContextual"/>
        </w:rPr>
        <w:t>Olga Chernishova</w:t>
      </w:r>
      <w:r w:rsidRPr="00437626">
        <w:rPr>
          <w:rFonts w:ascii="Garamond" w:eastAsiaTheme="minorHAnsi" w:hAnsi="Garamond"/>
          <w:color w:val="000000"/>
          <w:sz w:val="24"/>
          <w:szCs w:val="24"/>
          <w14:ligatures w14:val="standardContextual"/>
        </w:rPr>
        <w:t xml:space="preserve"> </w:t>
      </w:r>
    </w:p>
    <w:p w14:paraId="62E9BF2E" w14:textId="77777777" w:rsidR="00437626" w:rsidRDefault="00437626" w:rsidP="00437626">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p>
    <w:p w14:paraId="45E32632" w14:textId="3C583315" w:rsidR="00437626" w:rsidRPr="00437626" w:rsidRDefault="00437626" w:rsidP="00437626">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FB7A5D">
        <w:rPr>
          <w:rFonts w:ascii="Garamond" w:eastAsiaTheme="minorHAnsi" w:hAnsi="Garamond"/>
          <w:color w:val="000000"/>
          <w:sz w:val="24"/>
          <w:szCs w:val="24"/>
          <w14:ligatures w14:val="standardContextual"/>
        </w:rPr>
        <w:t>KRYETAR</w:t>
      </w:r>
    </w:p>
    <w:p w14:paraId="4BC64C55" w14:textId="77777777" w:rsidR="00437626" w:rsidRDefault="00437626" w:rsidP="00437626">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FB7A5D">
        <w:rPr>
          <w:rFonts w:ascii="Garamond" w:eastAsiaTheme="minorHAnsi" w:hAnsi="Garamond"/>
          <w:b/>
          <w:color w:val="000000"/>
          <w:sz w:val="24"/>
          <w:szCs w:val="24"/>
          <w14:ligatures w14:val="standardContextual"/>
        </w:rPr>
        <w:t>Georgios A. Serghides</w:t>
      </w:r>
      <w:r w:rsidRPr="00437626">
        <w:rPr>
          <w:rFonts w:ascii="Garamond" w:eastAsiaTheme="minorHAnsi" w:hAnsi="Garamond"/>
          <w:color w:val="000000"/>
          <w:sz w:val="24"/>
          <w:szCs w:val="24"/>
          <w14:ligatures w14:val="standardContextual"/>
        </w:rPr>
        <w:t xml:space="preserve"> </w:t>
      </w:r>
    </w:p>
    <w:p w14:paraId="75BBA0CE" w14:textId="5F81D306" w:rsidR="005531C6" w:rsidRPr="00FB7A5D" w:rsidRDefault="005531C6"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2897748" w14:textId="77777777" w:rsidR="006917C7" w:rsidRPr="00FB7A5D" w:rsidRDefault="006917C7"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A14E2CA" w14:textId="189F8974" w:rsidR="005531C6" w:rsidRPr="00FB7A5D" w:rsidRDefault="001418EC" w:rsidP="006917C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 xml:space="preserve"> </w:t>
      </w:r>
    </w:p>
    <w:p w14:paraId="427C5E10" w14:textId="25DB7DED" w:rsidR="00064021" w:rsidRPr="00FB7A5D" w:rsidRDefault="00064021" w:rsidP="006917C7">
      <w:pPr>
        <w:spacing w:after="0" w:line="240" w:lineRule="auto"/>
        <w:ind w:firstLine="284"/>
        <w:rPr>
          <w:rFonts w:ascii="Garamond" w:hAnsi="Garamond"/>
          <w:sz w:val="24"/>
          <w:szCs w:val="24"/>
        </w:rPr>
      </w:pPr>
    </w:p>
    <w:sectPr w:rsidR="00064021" w:rsidRPr="00FB7A5D" w:rsidSect="00DA0ED1">
      <w:headerReference w:type="default" r:id="rId13"/>
      <w:footerReference w:type="default" r:id="rId14"/>
      <w:type w:val="continuous"/>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E286A" w14:textId="77777777" w:rsidR="00CF4477" w:rsidRDefault="00CF4477">
      <w:pPr>
        <w:spacing w:after="0" w:line="240" w:lineRule="auto"/>
      </w:pPr>
      <w:r>
        <w:separator/>
      </w:r>
    </w:p>
  </w:endnote>
  <w:endnote w:type="continuationSeparator" w:id="0">
    <w:p w14:paraId="11E30478" w14:textId="77777777" w:rsidR="00CF4477" w:rsidRDefault="00CF4477">
      <w:pPr>
        <w:spacing w:after="0" w:line="240" w:lineRule="auto"/>
      </w:pPr>
      <w:r>
        <w:continuationSeparator/>
      </w:r>
    </w:p>
  </w:endnote>
  <w:endnote w:type="continuationNotice" w:id="1">
    <w:p w14:paraId="26E51E3E" w14:textId="77777777" w:rsidR="00CF4477" w:rsidRDefault="00CF44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BC375" w14:textId="77777777" w:rsidR="00CF4477" w:rsidRDefault="00CF4477" w:rsidP="005531C6">
    <w:pPr>
      <w:pStyle w:val="Footer"/>
    </w:pPr>
  </w:p>
  <w:p w14:paraId="1E963274" w14:textId="77777777" w:rsidR="00CF4477" w:rsidRPr="00CC26CB" w:rsidRDefault="00CF4477" w:rsidP="00553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F27E0" w14:textId="77777777" w:rsidR="00CF4477" w:rsidRDefault="00CF4477">
      <w:pPr>
        <w:spacing w:after="0" w:line="240" w:lineRule="auto"/>
      </w:pPr>
      <w:r>
        <w:separator/>
      </w:r>
    </w:p>
  </w:footnote>
  <w:footnote w:type="continuationSeparator" w:id="0">
    <w:p w14:paraId="2313F211" w14:textId="77777777" w:rsidR="00CF4477" w:rsidRDefault="00CF4477">
      <w:pPr>
        <w:spacing w:after="0" w:line="240" w:lineRule="auto"/>
      </w:pPr>
      <w:r>
        <w:continuationSeparator/>
      </w:r>
    </w:p>
  </w:footnote>
  <w:footnote w:type="continuationNotice" w:id="1">
    <w:p w14:paraId="0A0B676A" w14:textId="77777777" w:rsidR="00CF4477" w:rsidRDefault="00CF44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5E3E7" w14:textId="77777777" w:rsidR="00CF4477" w:rsidRDefault="00CF4477">
    <w:pPr>
      <w:pStyle w:val="Header"/>
    </w:pPr>
  </w:p>
  <w:p w14:paraId="19A4CC71" w14:textId="77777777" w:rsidR="00CF4477" w:rsidRDefault="00CF4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264172"/>
    <w:multiLevelType w:val="hybridMultilevel"/>
    <w:tmpl w:val="4AF27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CD35BF"/>
    <w:multiLevelType w:val="hybridMultilevel"/>
    <w:tmpl w:val="8626C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8D6E3A"/>
    <w:multiLevelType w:val="hybridMultilevel"/>
    <w:tmpl w:val="522E3F7A"/>
    <w:lvl w:ilvl="0" w:tplc="39420F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8956A0C"/>
    <w:multiLevelType w:val="hybridMultilevel"/>
    <w:tmpl w:val="41D87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4" w15:restartNumberingAfterBreak="0">
    <w:nsid w:val="134E4D75"/>
    <w:multiLevelType w:val="hybridMultilevel"/>
    <w:tmpl w:val="F6CEC974"/>
    <w:lvl w:ilvl="0" w:tplc="2168F66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052976"/>
    <w:multiLevelType w:val="hybridMultilevel"/>
    <w:tmpl w:val="6D0CD8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7E2918"/>
    <w:multiLevelType w:val="hybridMultilevel"/>
    <w:tmpl w:val="1ADA6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D71CF2"/>
    <w:multiLevelType w:val="hybridMultilevel"/>
    <w:tmpl w:val="18524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769E6"/>
    <w:multiLevelType w:val="hybridMultilevel"/>
    <w:tmpl w:val="76CE2AAA"/>
    <w:lvl w:ilvl="0" w:tplc="8F44AC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184BEF"/>
    <w:multiLevelType w:val="hybridMultilevel"/>
    <w:tmpl w:val="C9CC37BE"/>
    <w:lvl w:ilvl="0" w:tplc="33A81E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4404524"/>
    <w:multiLevelType w:val="hybridMultilevel"/>
    <w:tmpl w:val="2A94E7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4F06C3"/>
    <w:multiLevelType w:val="hybridMultilevel"/>
    <w:tmpl w:val="04BE6E66"/>
    <w:lvl w:ilvl="0" w:tplc="F40AC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A43DD8"/>
    <w:multiLevelType w:val="hybridMultilevel"/>
    <w:tmpl w:val="B9BCEA7C"/>
    <w:lvl w:ilvl="0" w:tplc="8FB825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B84F9C"/>
    <w:multiLevelType w:val="hybridMultilevel"/>
    <w:tmpl w:val="623AC42C"/>
    <w:lvl w:ilvl="0" w:tplc="0F545B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03055A"/>
    <w:multiLevelType w:val="hybridMultilevel"/>
    <w:tmpl w:val="AC7ECC3E"/>
    <w:lvl w:ilvl="0" w:tplc="1938B95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63113F"/>
    <w:multiLevelType w:val="hybridMultilevel"/>
    <w:tmpl w:val="540A651A"/>
    <w:lvl w:ilvl="0" w:tplc="BFCE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774B6D"/>
    <w:multiLevelType w:val="hybridMultilevel"/>
    <w:tmpl w:val="71F4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672804"/>
    <w:multiLevelType w:val="hybridMultilevel"/>
    <w:tmpl w:val="5610F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C0702A"/>
    <w:multiLevelType w:val="hybridMultilevel"/>
    <w:tmpl w:val="C908AB80"/>
    <w:lvl w:ilvl="0" w:tplc="E9C00F1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22502E"/>
    <w:multiLevelType w:val="hybridMultilevel"/>
    <w:tmpl w:val="1D9EA08A"/>
    <w:lvl w:ilvl="0" w:tplc="C70E1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76F7641"/>
    <w:multiLevelType w:val="hybridMultilevel"/>
    <w:tmpl w:val="A2BEBB48"/>
    <w:lvl w:ilvl="0" w:tplc="64E044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81721B7"/>
    <w:multiLevelType w:val="hybridMultilevel"/>
    <w:tmpl w:val="66BA5250"/>
    <w:lvl w:ilvl="0" w:tplc="6E0C3B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1C743B"/>
    <w:multiLevelType w:val="hybridMultilevel"/>
    <w:tmpl w:val="4B7C4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4C7AE8"/>
    <w:multiLevelType w:val="hybridMultilevel"/>
    <w:tmpl w:val="63ECE7C2"/>
    <w:lvl w:ilvl="0" w:tplc="AE5450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9F5F55"/>
    <w:multiLevelType w:val="hybridMultilevel"/>
    <w:tmpl w:val="6248FC3A"/>
    <w:lvl w:ilvl="0" w:tplc="BDF884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A90062"/>
    <w:multiLevelType w:val="hybridMultilevel"/>
    <w:tmpl w:val="D8F48306"/>
    <w:lvl w:ilvl="0" w:tplc="FE247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15:restartNumberingAfterBreak="0">
    <w:nsid w:val="68084D10"/>
    <w:multiLevelType w:val="hybridMultilevel"/>
    <w:tmpl w:val="901AB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547293"/>
    <w:multiLevelType w:val="hybridMultilevel"/>
    <w:tmpl w:val="F70AFEF2"/>
    <w:lvl w:ilvl="0" w:tplc="2E664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1"/>
  </w:num>
  <w:num w:numId="4">
    <w:abstractNumId w:val="27"/>
  </w:num>
  <w:num w:numId="5">
    <w:abstractNumId w:val="16"/>
  </w:num>
  <w:num w:numId="6">
    <w:abstractNumId w:val="15"/>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4"/>
  </w:num>
  <w:num w:numId="16">
    <w:abstractNumId w:val="26"/>
  </w:num>
  <w:num w:numId="17">
    <w:abstractNumId w:val="37"/>
  </w:num>
  <w:num w:numId="18">
    <w:abstractNumId w:val="36"/>
  </w:num>
  <w:num w:numId="19">
    <w:abstractNumId w:val="43"/>
  </w:num>
  <w:num w:numId="20">
    <w:abstractNumId w:val="9"/>
  </w:num>
  <w:num w:numId="21">
    <w:abstractNumId w:val="33"/>
  </w:num>
  <w:num w:numId="22">
    <w:abstractNumId w:val="28"/>
  </w:num>
  <w:num w:numId="23">
    <w:abstractNumId w:val="29"/>
  </w:num>
  <w:num w:numId="24">
    <w:abstractNumId w:val="12"/>
  </w:num>
  <w:num w:numId="25">
    <w:abstractNumId w:val="30"/>
  </w:num>
  <w:num w:numId="26">
    <w:abstractNumId w:val="23"/>
  </w:num>
  <w:num w:numId="27">
    <w:abstractNumId w:val="35"/>
  </w:num>
  <w:num w:numId="28">
    <w:abstractNumId w:val="31"/>
  </w:num>
  <w:num w:numId="29">
    <w:abstractNumId w:val="32"/>
  </w:num>
  <w:num w:numId="30">
    <w:abstractNumId w:val="10"/>
  </w:num>
  <w:num w:numId="31">
    <w:abstractNumId w:val="40"/>
  </w:num>
  <w:num w:numId="32">
    <w:abstractNumId w:val="21"/>
  </w:num>
  <w:num w:numId="33">
    <w:abstractNumId w:val="20"/>
  </w:num>
  <w:num w:numId="34">
    <w:abstractNumId w:val="14"/>
  </w:num>
  <w:num w:numId="35">
    <w:abstractNumId w:val="42"/>
  </w:num>
  <w:num w:numId="36">
    <w:abstractNumId w:val="39"/>
  </w:num>
  <w:num w:numId="37">
    <w:abstractNumId w:val="34"/>
  </w:num>
  <w:num w:numId="38">
    <w:abstractNumId w:val="25"/>
  </w:num>
  <w:num w:numId="39">
    <w:abstractNumId w:val="17"/>
  </w:num>
  <w:num w:numId="40">
    <w:abstractNumId w:val="19"/>
  </w:num>
  <w:num w:numId="41">
    <w:abstractNumId w:val="24"/>
  </w:num>
  <w:num w:numId="42">
    <w:abstractNumId w:val="18"/>
  </w:num>
  <w:num w:numId="43">
    <w:abstractNumId w:val="22"/>
  </w:num>
  <w:num w:numId="44">
    <w:abstractNumId w:val="38"/>
  </w:num>
  <w:num w:numId="4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8E"/>
    <w:rsid w:val="000030B5"/>
    <w:rsid w:val="000225E5"/>
    <w:rsid w:val="000252D1"/>
    <w:rsid w:val="00027B41"/>
    <w:rsid w:val="00037C6E"/>
    <w:rsid w:val="00064021"/>
    <w:rsid w:val="00064AB7"/>
    <w:rsid w:val="000748FA"/>
    <w:rsid w:val="00083643"/>
    <w:rsid w:val="00087C86"/>
    <w:rsid w:val="00096C66"/>
    <w:rsid w:val="000A29BA"/>
    <w:rsid w:val="000A43A3"/>
    <w:rsid w:val="000B0E58"/>
    <w:rsid w:val="000B4046"/>
    <w:rsid w:val="000C0685"/>
    <w:rsid w:val="000E1C87"/>
    <w:rsid w:val="00106EFB"/>
    <w:rsid w:val="001215AA"/>
    <w:rsid w:val="00131D9B"/>
    <w:rsid w:val="00134FB7"/>
    <w:rsid w:val="00135A1C"/>
    <w:rsid w:val="00137962"/>
    <w:rsid w:val="00140A6C"/>
    <w:rsid w:val="001418EC"/>
    <w:rsid w:val="00145F8E"/>
    <w:rsid w:val="001527CB"/>
    <w:rsid w:val="00186066"/>
    <w:rsid w:val="001F4440"/>
    <w:rsid w:val="00225D0B"/>
    <w:rsid w:val="00226064"/>
    <w:rsid w:val="00245C4B"/>
    <w:rsid w:val="002559B0"/>
    <w:rsid w:val="00260C89"/>
    <w:rsid w:val="002712CB"/>
    <w:rsid w:val="0027642E"/>
    <w:rsid w:val="00290052"/>
    <w:rsid w:val="002C305E"/>
    <w:rsid w:val="002C7D02"/>
    <w:rsid w:val="002E16FE"/>
    <w:rsid w:val="0035541D"/>
    <w:rsid w:val="00361F61"/>
    <w:rsid w:val="00365469"/>
    <w:rsid w:val="0037781B"/>
    <w:rsid w:val="003C2674"/>
    <w:rsid w:val="003D6454"/>
    <w:rsid w:val="003E4BE5"/>
    <w:rsid w:val="0040499A"/>
    <w:rsid w:val="00431C7F"/>
    <w:rsid w:val="00434AFE"/>
    <w:rsid w:val="00437626"/>
    <w:rsid w:val="004838D2"/>
    <w:rsid w:val="00485BD7"/>
    <w:rsid w:val="0048726E"/>
    <w:rsid w:val="004951B1"/>
    <w:rsid w:val="004A147C"/>
    <w:rsid w:val="004A5249"/>
    <w:rsid w:val="004B2EA9"/>
    <w:rsid w:val="004C63B5"/>
    <w:rsid w:val="004D36C7"/>
    <w:rsid w:val="004E424A"/>
    <w:rsid w:val="004E4393"/>
    <w:rsid w:val="004F4A31"/>
    <w:rsid w:val="004F785C"/>
    <w:rsid w:val="00503B90"/>
    <w:rsid w:val="005154F1"/>
    <w:rsid w:val="005423F9"/>
    <w:rsid w:val="00552097"/>
    <w:rsid w:val="005531C6"/>
    <w:rsid w:val="005A1F23"/>
    <w:rsid w:val="005D3FCA"/>
    <w:rsid w:val="005E627C"/>
    <w:rsid w:val="005F424E"/>
    <w:rsid w:val="00605046"/>
    <w:rsid w:val="0063604E"/>
    <w:rsid w:val="00637D4F"/>
    <w:rsid w:val="00641B5F"/>
    <w:rsid w:val="006474C8"/>
    <w:rsid w:val="00652D56"/>
    <w:rsid w:val="00665A1F"/>
    <w:rsid w:val="00666E22"/>
    <w:rsid w:val="00674F0C"/>
    <w:rsid w:val="006917C7"/>
    <w:rsid w:val="006C697A"/>
    <w:rsid w:val="006F3120"/>
    <w:rsid w:val="0072391A"/>
    <w:rsid w:val="0074535E"/>
    <w:rsid w:val="00793D7D"/>
    <w:rsid w:val="007A60A6"/>
    <w:rsid w:val="007B102C"/>
    <w:rsid w:val="007B259E"/>
    <w:rsid w:val="007B2BD1"/>
    <w:rsid w:val="007B3A8D"/>
    <w:rsid w:val="007D4C8C"/>
    <w:rsid w:val="007E3123"/>
    <w:rsid w:val="007F7D16"/>
    <w:rsid w:val="00843544"/>
    <w:rsid w:val="00850EB2"/>
    <w:rsid w:val="00851A8F"/>
    <w:rsid w:val="008659D0"/>
    <w:rsid w:val="00880379"/>
    <w:rsid w:val="0088781E"/>
    <w:rsid w:val="008A74AF"/>
    <w:rsid w:val="008C7CBF"/>
    <w:rsid w:val="008F2622"/>
    <w:rsid w:val="009049A5"/>
    <w:rsid w:val="00914B39"/>
    <w:rsid w:val="00915CF9"/>
    <w:rsid w:val="00922355"/>
    <w:rsid w:val="00943352"/>
    <w:rsid w:val="00957266"/>
    <w:rsid w:val="00962BA7"/>
    <w:rsid w:val="00973D46"/>
    <w:rsid w:val="00980E02"/>
    <w:rsid w:val="00990A66"/>
    <w:rsid w:val="009F7A92"/>
    <w:rsid w:val="00A15AFA"/>
    <w:rsid w:val="00A16037"/>
    <w:rsid w:val="00A250EC"/>
    <w:rsid w:val="00A440EF"/>
    <w:rsid w:val="00A65515"/>
    <w:rsid w:val="00A704B3"/>
    <w:rsid w:val="00A75655"/>
    <w:rsid w:val="00A9719E"/>
    <w:rsid w:val="00AA1CA3"/>
    <w:rsid w:val="00AB558E"/>
    <w:rsid w:val="00AC6C75"/>
    <w:rsid w:val="00AE5EB7"/>
    <w:rsid w:val="00AE7861"/>
    <w:rsid w:val="00AF2863"/>
    <w:rsid w:val="00AF2DB3"/>
    <w:rsid w:val="00B229C3"/>
    <w:rsid w:val="00B2321A"/>
    <w:rsid w:val="00B53130"/>
    <w:rsid w:val="00B531B1"/>
    <w:rsid w:val="00B620E5"/>
    <w:rsid w:val="00B720B5"/>
    <w:rsid w:val="00B754C6"/>
    <w:rsid w:val="00B80630"/>
    <w:rsid w:val="00B83924"/>
    <w:rsid w:val="00BA3B98"/>
    <w:rsid w:val="00BB07C3"/>
    <w:rsid w:val="00BD5601"/>
    <w:rsid w:val="00BE3DA5"/>
    <w:rsid w:val="00BF2AFC"/>
    <w:rsid w:val="00BF7F42"/>
    <w:rsid w:val="00C0694E"/>
    <w:rsid w:val="00C32853"/>
    <w:rsid w:val="00C51A2E"/>
    <w:rsid w:val="00C525C3"/>
    <w:rsid w:val="00C54E1A"/>
    <w:rsid w:val="00C87041"/>
    <w:rsid w:val="00CA1562"/>
    <w:rsid w:val="00CA7BF2"/>
    <w:rsid w:val="00CB7404"/>
    <w:rsid w:val="00CD416E"/>
    <w:rsid w:val="00CF1D98"/>
    <w:rsid w:val="00CF4477"/>
    <w:rsid w:val="00CF70D5"/>
    <w:rsid w:val="00D170FE"/>
    <w:rsid w:val="00D40807"/>
    <w:rsid w:val="00D42859"/>
    <w:rsid w:val="00D6689F"/>
    <w:rsid w:val="00D733A8"/>
    <w:rsid w:val="00D92F88"/>
    <w:rsid w:val="00DA0ED1"/>
    <w:rsid w:val="00DA52DB"/>
    <w:rsid w:val="00DE3136"/>
    <w:rsid w:val="00E045F8"/>
    <w:rsid w:val="00E14E63"/>
    <w:rsid w:val="00E17AC4"/>
    <w:rsid w:val="00E20EE5"/>
    <w:rsid w:val="00E269F8"/>
    <w:rsid w:val="00E33E04"/>
    <w:rsid w:val="00E54608"/>
    <w:rsid w:val="00E57AF1"/>
    <w:rsid w:val="00E6238A"/>
    <w:rsid w:val="00E76076"/>
    <w:rsid w:val="00E85CC1"/>
    <w:rsid w:val="00EA2233"/>
    <w:rsid w:val="00EC0BE6"/>
    <w:rsid w:val="00EE7D9A"/>
    <w:rsid w:val="00EF2CBB"/>
    <w:rsid w:val="00EF4A39"/>
    <w:rsid w:val="00EF69FB"/>
    <w:rsid w:val="00F10DF9"/>
    <w:rsid w:val="00F3722B"/>
    <w:rsid w:val="00F52420"/>
    <w:rsid w:val="00F56AC9"/>
    <w:rsid w:val="00F660B4"/>
    <w:rsid w:val="00F72B7F"/>
    <w:rsid w:val="00F96081"/>
    <w:rsid w:val="00F96872"/>
    <w:rsid w:val="00FB7A5D"/>
    <w:rsid w:val="00FD64B0"/>
    <w:rsid w:val="00FE24F0"/>
    <w:rsid w:val="00FF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665"/>
  <w15:chartTrackingRefBased/>
  <w15:docId w15:val="{B0A3DA79-4B6F-436C-AB6D-5683EBBE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5AA"/>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1215AA"/>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1215AA"/>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1215AA"/>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1215AA"/>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1215AA"/>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1215AA"/>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1215AA"/>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1215AA"/>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1215AA"/>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AA"/>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1215AA"/>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1215AA"/>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1215AA"/>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1215AA"/>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1215AA"/>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1215AA"/>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1215AA"/>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1215AA"/>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1215AA"/>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1215AA"/>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1215AA"/>
    <w:rPr>
      <w:color w:val="0000FF"/>
      <w:u w:val="single"/>
    </w:rPr>
  </w:style>
  <w:style w:type="paragraph" w:styleId="ListParagraph">
    <w:name w:val="List Paragraph"/>
    <w:basedOn w:val="Normal"/>
    <w:uiPriority w:val="34"/>
    <w:qFormat/>
    <w:rsid w:val="001215AA"/>
    <w:pPr>
      <w:ind w:left="720"/>
      <w:contextualSpacing/>
    </w:pPr>
  </w:style>
  <w:style w:type="paragraph" w:styleId="BalloonText">
    <w:name w:val="Balloon Text"/>
    <w:basedOn w:val="Normal"/>
    <w:link w:val="BalloonTextChar"/>
    <w:uiPriority w:val="99"/>
    <w:semiHidden/>
    <w:unhideWhenUsed/>
    <w:rsid w:val="001215A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1215AA"/>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1215AA"/>
    <w:pPr>
      <w:spacing w:after="0" w:line="240" w:lineRule="auto"/>
    </w:pPr>
    <w:rPr>
      <w:rFonts w:ascii="Calibri" w:eastAsia="Times New Roman" w:hAnsi="Calibri" w:cs="Times New Roman"/>
      <w:kern w:val="0"/>
      <w14:ligatures w14:val="none"/>
    </w:rPr>
  </w:style>
  <w:style w:type="paragraph" w:customStyle="1" w:styleId="Default">
    <w:name w:val="Default"/>
    <w:rsid w:val="001215AA"/>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1215AA"/>
    <w:rPr>
      <w:sz w:val="20"/>
      <w:szCs w:val="20"/>
    </w:rPr>
  </w:style>
  <w:style w:type="character" w:customStyle="1" w:styleId="FootnoteTextChar">
    <w:name w:val="Footnote Text Char"/>
    <w:basedOn w:val="DefaultParagraphFont"/>
    <w:link w:val="FootnoteText"/>
    <w:uiPriority w:val="99"/>
    <w:semiHidden/>
    <w:rsid w:val="001215AA"/>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1215AA"/>
    <w:rPr>
      <w:vertAlign w:val="superscript"/>
    </w:rPr>
  </w:style>
  <w:style w:type="table" w:styleId="TableGrid">
    <w:name w:val="Table Grid"/>
    <w:basedOn w:val="TableNormal"/>
    <w:uiPriority w:val="59"/>
    <w:rsid w:val="001215A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1215AA"/>
    <w:rPr>
      <w:i/>
      <w:iCs/>
      <w:smallCaps/>
      <w:spacing w:val="5"/>
    </w:rPr>
  </w:style>
  <w:style w:type="paragraph" w:customStyle="1" w:styleId="ECHRHeader">
    <w:name w:val="ECHR_Header"/>
    <w:aliases w:val="Ju_Header"/>
    <w:basedOn w:val="Header"/>
    <w:uiPriority w:val="4"/>
    <w:qFormat/>
    <w:rsid w:val="001215AA"/>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1215AA"/>
  </w:style>
  <w:style w:type="character" w:styleId="Strong">
    <w:name w:val="Strong"/>
    <w:uiPriority w:val="99"/>
    <w:qFormat/>
    <w:rsid w:val="001215AA"/>
    <w:rPr>
      <w:b/>
      <w:bCs/>
    </w:rPr>
  </w:style>
  <w:style w:type="character" w:customStyle="1" w:styleId="NoSpacingChar">
    <w:name w:val="No Spacing Char"/>
    <w:link w:val="NoSpacing"/>
    <w:uiPriority w:val="1"/>
    <w:rsid w:val="001215AA"/>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1215AA"/>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1215AA"/>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1215AA"/>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1215AA"/>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1215AA"/>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1215AA"/>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1215AA"/>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1215AA"/>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1215AA"/>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1215AA"/>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1215AA"/>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1215AA"/>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1215AA"/>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1215AA"/>
    <w:rPr>
      <w:vanish w:val="0"/>
      <w:color w:val="auto"/>
      <w:sz w:val="14"/>
      <w:bdr w:val="none" w:sz="0" w:space="0" w:color="auto"/>
      <w:shd w:val="clear" w:color="auto" w:fill="BEE5FF"/>
    </w:rPr>
  </w:style>
  <w:style w:type="paragraph" w:customStyle="1" w:styleId="JuLista">
    <w:name w:val="Ju_List_a"/>
    <w:basedOn w:val="JuList"/>
    <w:uiPriority w:val="28"/>
    <w:qFormat/>
    <w:rsid w:val="001215AA"/>
    <w:pPr>
      <w:ind w:left="346" w:firstLine="0"/>
    </w:pPr>
  </w:style>
  <w:style w:type="paragraph" w:customStyle="1" w:styleId="JuListi">
    <w:name w:val="Ju_List_i"/>
    <w:basedOn w:val="Normal"/>
    <w:next w:val="JuLista"/>
    <w:uiPriority w:val="28"/>
    <w:qFormat/>
    <w:rsid w:val="001215AA"/>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1215AA"/>
    <w:rPr>
      <w:caps w:val="0"/>
      <w:smallCaps/>
    </w:rPr>
  </w:style>
  <w:style w:type="paragraph" w:customStyle="1" w:styleId="JuParaSub">
    <w:name w:val="Ju_Para_Sub"/>
    <w:basedOn w:val="ECHRPara"/>
    <w:uiPriority w:val="13"/>
    <w:qFormat/>
    <w:rsid w:val="001215AA"/>
    <w:pPr>
      <w:ind w:left="284"/>
    </w:pPr>
  </w:style>
  <w:style w:type="paragraph" w:customStyle="1" w:styleId="ECHRHeading1">
    <w:name w:val="ECHR_Heading_1"/>
    <w:aliases w:val="Ju_H_I_Roman"/>
    <w:basedOn w:val="Heading1"/>
    <w:next w:val="ECHRPara"/>
    <w:uiPriority w:val="19"/>
    <w:qFormat/>
    <w:rsid w:val="001215AA"/>
  </w:style>
  <w:style w:type="paragraph" w:customStyle="1" w:styleId="ECHRHeading2">
    <w:name w:val="ECHR_Heading_2"/>
    <w:aliases w:val="Ju_H_A"/>
    <w:basedOn w:val="Heading2"/>
    <w:next w:val="ECHRPara"/>
    <w:uiPriority w:val="20"/>
    <w:qFormat/>
    <w:rsid w:val="001215AA"/>
  </w:style>
  <w:style w:type="paragraph" w:customStyle="1" w:styleId="ECHRHeading3">
    <w:name w:val="ECHR_Heading_3"/>
    <w:aliases w:val="Ju_H_1."/>
    <w:basedOn w:val="Heading3"/>
    <w:next w:val="ECHRPara"/>
    <w:uiPriority w:val="21"/>
    <w:qFormat/>
    <w:rsid w:val="001215AA"/>
  </w:style>
  <w:style w:type="paragraph" w:customStyle="1" w:styleId="ECHRHeading4">
    <w:name w:val="ECHR_Heading_4"/>
    <w:aliases w:val="Ju_H_a"/>
    <w:basedOn w:val="Heading4"/>
    <w:next w:val="ECHRPara"/>
    <w:uiPriority w:val="22"/>
    <w:qFormat/>
    <w:rsid w:val="001215AA"/>
  </w:style>
  <w:style w:type="paragraph" w:customStyle="1" w:styleId="ECHRHeading5">
    <w:name w:val="ECHR_Heading_5"/>
    <w:aliases w:val="Ju_H_i"/>
    <w:basedOn w:val="Heading5"/>
    <w:next w:val="ECHRPara"/>
    <w:uiPriority w:val="23"/>
    <w:qFormat/>
    <w:rsid w:val="001215AA"/>
  </w:style>
  <w:style w:type="paragraph" w:customStyle="1" w:styleId="ECHRHeading6">
    <w:name w:val="ECHR_Heading_6"/>
    <w:aliases w:val="Ju_H_alpha"/>
    <w:basedOn w:val="Heading6"/>
    <w:next w:val="ECHRPara"/>
    <w:uiPriority w:val="24"/>
    <w:qFormat/>
    <w:rsid w:val="001215AA"/>
  </w:style>
  <w:style w:type="paragraph" w:customStyle="1" w:styleId="ECHRHeading7">
    <w:name w:val="ECHR_Heading_7"/>
    <w:aliases w:val="Ju_H_–"/>
    <w:basedOn w:val="Heading7"/>
    <w:next w:val="ECHRPara"/>
    <w:uiPriority w:val="25"/>
    <w:qFormat/>
    <w:rsid w:val="001215AA"/>
  </w:style>
  <w:style w:type="paragraph" w:customStyle="1" w:styleId="JuParaLast">
    <w:name w:val="Ju_Para_Last"/>
    <w:basedOn w:val="Normal"/>
    <w:next w:val="ECHRPara"/>
    <w:uiPriority w:val="30"/>
    <w:qFormat/>
    <w:rsid w:val="001215AA"/>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1215AA"/>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1215AA"/>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1215AA"/>
    <w:pPr>
      <w:ind w:left="567"/>
    </w:pPr>
  </w:style>
  <w:style w:type="paragraph" w:customStyle="1" w:styleId="JuTitle">
    <w:name w:val="Ju_Title"/>
    <w:basedOn w:val="Normal"/>
    <w:next w:val="ECHRPara"/>
    <w:uiPriority w:val="3"/>
    <w:semiHidden/>
    <w:qFormat/>
    <w:rsid w:val="001215AA"/>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1215AA"/>
    <w:rPr>
      <w:i/>
      <w:iCs/>
    </w:rPr>
  </w:style>
  <w:style w:type="paragraph" w:customStyle="1" w:styleId="OpiH1">
    <w:name w:val="Opi_H_1"/>
    <w:basedOn w:val="ECHRHeading2"/>
    <w:uiPriority w:val="42"/>
    <w:qFormat/>
    <w:rsid w:val="001215AA"/>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1215AA"/>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1215AA"/>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1215AA"/>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1215AA"/>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1215AA"/>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1215AA"/>
    <w:rPr>
      <w:b/>
      <w:bCs/>
      <w:i/>
      <w:iCs/>
      <w:spacing w:val="10"/>
      <w:bdr w:val="none" w:sz="0" w:space="0" w:color="auto"/>
      <w:shd w:val="clear" w:color="auto" w:fill="auto"/>
    </w:rPr>
  </w:style>
  <w:style w:type="character" w:styleId="IntenseEmphasis">
    <w:name w:val="Intense Emphasis"/>
    <w:uiPriority w:val="99"/>
    <w:qFormat/>
    <w:rsid w:val="001215AA"/>
    <w:rPr>
      <w:b/>
      <w:bCs/>
    </w:rPr>
  </w:style>
  <w:style w:type="paragraph" w:styleId="IntenseQuote">
    <w:name w:val="Intense Quote"/>
    <w:basedOn w:val="Normal"/>
    <w:next w:val="Normal"/>
    <w:link w:val="IntenseQuoteChar"/>
    <w:uiPriority w:val="99"/>
    <w:qFormat/>
    <w:rsid w:val="001215AA"/>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1215AA"/>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1215AA"/>
    <w:rPr>
      <w:smallCaps/>
      <w:spacing w:val="5"/>
      <w:u w:val="single"/>
    </w:rPr>
  </w:style>
  <w:style w:type="table" w:customStyle="1" w:styleId="LtrTableAddress">
    <w:name w:val="Ltr_Table_Addres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1215AA"/>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1215AA"/>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1215AA"/>
    <w:rPr>
      <w:smallCaps/>
    </w:rPr>
  </w:style>
  <w:style w:type="paragraph" w:styleId="TOC1">
    <w:name w:val="toc 1"/>
    <w:basedOn w:val="Normal"/>
    <w:next w:val="Normal"/>
    <w:autoRedefine/>
    <w:uiPriority w:val="99"/>
    <w:semiHidden/>
    <w:rsid w:val="001215AA"/>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1215AA"/>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1215AA"/>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1215AA"/>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1215AA"/>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1215AA"/>
    <w:pPr>
      <w:keepNext/>
      <w:spacing w:before="240" w:after="60"/>
    </w:pPr>
    <w:rPr>
      <w:rFonts w:ascii="Calibri Light" w:hAnsi="Calibri Light"/>
      <w:kern w:val="32"/>
      <w:sz w:val="32"/>
      <w:szCs w:val="32"/>
    </w:rPr>
  </w:style>
  <w:style w:type="table" w:customStyle="1" w:styleId="UGTable">
    <w:name w:val="UG_Table"/>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1215AA"/>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15AA"/>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1215AA"/>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1215AA"/>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1215AA"/>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1215AA"/>
    <w:pPr>
      <w:numPr>
        <w:numId w:val="4"/>
      </w:numPr>
    </w:pPr>
  </w:style>
  <w:style w:type="paragraph" w:customStyle="1" w:styleId="ECHRPara">
    <w:name w:val="ECHR_Para"/>
    <w:aliases w:val="Ju_Para"/>
    <w:basedOn w:val="Normal"/>
    <w:link w:val="ECHRParaChar"/>
    <w:uiPriority w:val="12"/>
    <w:qFormat/>
    <w:rsid w:val="001215AA"/>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1215AA"/>
    <w:pPr>
      <w:numPr>
        <w:numId w:val="5"/>
      </w:numPr>
    </w:pPr>
  </w:style>
  <w:style w:type="table" w:customStyle="1" w:styleId="ECHRTableSimpleBox">
    <w:name w:val="ECHR_Table_Simple_Box"/>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1215AA"/>
    <w:pPr>
      <w:numPr>
        <w:numId w:val="6"/>
      </w:numPr>
    </w:pPr>
  </w:style>
  <w:style w:type="table" w:customStyle="1" w:styleId="ECHRTableForInternalUse">
    <w:name w:val="ECHR_Table_For_Internal_Use"/>
    <w:basedOn w:val="TableNormal"/>
    <w:uiPriority w:val="99"/>
    <w:rsid w:val="001215AA"/>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1215AA"/>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1215AA"/>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215AA"/>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1215AA"/>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15AA"/>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1215AA"/>
    <w:rPr>
      <w:sz w:val="18"/>
    </w:rPr>
  </w:style>
  <w:style w:type="paragraph" w:styleId="ListBullet">
    <w:name w:val="List Bullet"/>
    <w:basedOn w:val="Normal"/>
    <w:uiPriority w:val="99"/>
    <w:semiHidden/>
    <w:rsid w:val="001215AA"/>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1215AA"/>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1215AA"/>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1215AA"/>
    <w:pPr>
      <w:spacing w:after="0"/>
      <w:ind w:firstLine="360"/>
    </w:pPr>
  </w:style>
  <w:style w:type="character" w:customStyle="1" w:styleId="BodyTextFirstIndentChar">
    <w:name w:val="Body Text First Indent Char"/>
    <w:basedOn w:val="BodyTextChar"/>
    <w:link w:val="BodyTextFirs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1215AA"/>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1215AA"/>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1215AA"/>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1215AA"/>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1215AA"/>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1215AA"/>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1215AA"/>
    <w:rPr>
      <w:sz w:val="16"/>
      <w:szCs w:val="16"/>
    </w:rPr>
  </w:style>
  <w:style w:type="paragraph" w:styleId="CommentText">
    <w:name w:val="annotation text"/>
    <w:basedOn w:val="Normal"/>
    <w:link w:val="CommentTextChar"/>
    <w:uiPriority w:val="99"/>
    <w:semiHidden/>
    <w:rsid w:val="001215AA"/>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1215AA"/>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1215AA"/>
    <w:rPr>
      <w:b/>
      <w:bCs/>
    </w:rPr>
  </w:style>
  <w:style w:type="character" w:customStyle="1" w:styleId="CommentSubjectChar">
    <w:name w:val="Comment Subject Char"/>
    <w:basedOn w:val="CommentTextChar"/>
    <w:link w:val="CommentSubject"/>
    <w:uiPriority w:val="99"/>
    <w:semiHidden/>
    <w:rsid w:val="001215AA"/>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1215AA"/>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1215AA"/>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1215AA"/>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1215AA"/>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1215AA"/>
    <w:rPr>
      <w:vertAlign w:val="superscript"/>
    </w:rPr>
  </w:style>
  <w:style w:type="paragraph" w:styleId="EndnoteText">
    <w:name w:val="endnote text"/>
    <w:basedOn w:val="Normal"/>
    <w:link w:val="EndnoteTextChar"/>
    <w:uiPriority w:val="99"/>
    <w:semiHidden/>
    <w:rsid w:val="001215AA"/>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1215AA"/>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1215AA"/>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1215AA"/>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1215AA"/>
    <w:rPr>
      <w:color w:val="7030A0"/>
      <w:u w:val="single"/>
    </w:rPr>
  </w:style>
  <w:style w:type="character" w:styleId="HTMLAcronym">
    <w:name w:val="HTML Acronym"/>
    <w:basedOn w:val="DefaultParagraphFont"/>
    <w:uiPriority w:val="99"/>
    <w:semiHidden/>
    <w:rsid w:val="001215AA"/>
  </w:style>
  <w:style w:type="paragraph" w:styleId="HTMLAddress">
    <w:name w:val="HTML Address"/>
    <w:basedOn w:val="Normal"/>
    <w:link w:val="HTMLAddressChar"/>
    <w:uiPriority w:val="99"/>
    <w:semiHidden/>
    <w:rsid w:val="001215AA"/>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1215AA"/>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1215AA"/>
    <w:rPr>
      <w:i/>
      <w:iCs/>
    </w:rPr>
  </w:style>
  <w:style w:type="character" w:styleId="HTMLCode">
    <w:name w:val="HTML Code"/>
    <w:uiPriority w:val="99"/>
    <w:semiHidden/>
    <w:rsid w:val="001215AA"/>
    <w:rPr>
      <w:rFonts w:ascii="Consolas" w:hAnsi="Consolas" w:cs="Consolas"/>
      <w:sz w:val="20"/>
      <w:szCs w:val="20"/>
    </w:rPr>
  </w:style>
  <w:style w:type="character" w:styleId="HTMLDefinition">
    <w:name w:val="HTML Definition"/>
    <w:uiPriority w:val="99"/>
    <w:semiHidden/>
    <w:rsid w:val="001215AA"/>
    <w:rPr>
      <w:i/>
      <w:iCs/>
    </w:rPr>
  </w:style>
  <w:style w:type="character" w:styleId="HTMLKeyboard">
    <w:name w:val="HTML Keyboard"/>
    <w:uiPriority w:val="99"/>
    <w:semiHidden/>
    <w:rsid w:val="001215AA"/>
    <w:rPr>
      <w:rFonts w:ascii="Consolas" w:hAnsi="Consolas" w:cs="Consolas"/>
      <w:sz w:val="20"/>
      <w:szCs w:val="20"/>
    </w:rPr>
  </w:style>
  <w:style w:type="paragraph" w:styleId="HTMLPreformatted">
    <w:name w:val="HTML Preformatted"/>
    <w:basedOn w:val="Normal"/>
    <w:link w:val="HTMLPreformattedChar"/>
    <w:uiPriority w:val="99"/>
    <w:semiHidden/>
    <w:rsid w:val="001215AA"/>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1215AA"/>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1215AA"/>
    <w:rPr>
      <w:rFonts w:ascii="Consolas" w:hAnsi="Consolas" w:cs="Consolas"/>
      <w:sz w:val="24"/>
      <w:szCs w:val="24"/>
    </w:rPr>
  </w:style>
  <w:style w:type="character" w:styleId="HTMLTypewriter">
    <w:name w:val="HTML Typewriter"/>
    <w:uiPriority w:val="99"/>
    <w:semiHidden/>
    <w:rsid w:val="001215AA"/>
    <w:rPr>
      <w:rFonts w:ascii="Consolas" w:hAnsi="Consolas" w:cs="Consolas"/>
      <w:sz w:val="20"/>
      <w:szCs w:val="20"/>
    </w:rPr>
  </w:style>
  <w:style w:type="character" w:styleId="HTMLVariable">
    <w:name w:val="HTML Variable"/>
    <w:uiPriority w:val="99"/>
    <w:semiHidden/>
    <w:rsid w:val="001215AA"/>
    <w:rPr>
      <w:i/>
      <w:iCs/>
    </w:rPr>
  </w:style>
  <w:style w:type="paragraph" w:styleId="Index1">
    <w:name w:val="index 1"/>
    <w:basedOn w:val="Normal"/>
    <w:next w:val="Normal"/>
    <w:autoRedefine/>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1215AA"/>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1215AA"/>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1215AA"/>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1215AA"/>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1215AA"/>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1215AA"/>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1215AA"/>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1215AA"/>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1215AA"/>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215AA"/>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1215AA"/>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1215AA"/>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1215AA"/>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1215AA"/>
  </w:style>
  <w:style w:type="paragraph" w:styleId="List">
    <w:name w:val="List"/>
    <w:basedOn w:val="Normal"/>
    <w:uiPriority w:val="99"/>
    <w:semiHidden/>
    <w:rsid w:val="001215AA"/>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1215AA"/>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1215AA"/>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1215AA"/>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1215AA"/>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1215AA"/>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1215AA"/>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1215AA"/>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1215AA"/>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1215AA"/>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1215AA"/>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1215AA"/>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1215AA"/>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1215AA"/>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1215AA"/>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1215AA"/>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1215AA"/>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1215AA"/>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1215A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1215AA"/>
    <w:rPr>
      <w:rFonts w:ascii="Consolas" w:eastAsia="MS Mincho" w:hAnsi="Consolas" w:cs="Consolas"/>
      <w:kern w:val="0"/>
      <w:sz w:val="20"/>
      <w:szCs w:val="20"/>
      <w14:ligatures w14:val="none"/>
    </w:rPr>
  </w:style>
  <w:style w:type="table" w:styleId="MediumGrid1">
    <w:name w:val="Medium Grid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15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1215AA"/>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1215AA"/>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1215AA"/>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1215AA"/>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1215AA"/>
    <w:rPr>
      <w:color w:val="auto"/>
      <w:bdr w:val="none" w:sz="0" w:space="0" w:color="auto"/>
      <w:shd w:val="clear" w:color="auto" w:fill="DFDFDF"/>
    </w:rPr>
  </w:style>
  <w:style w:type="paragraph" w:styleId="PlainText">
    <w:name w:val="Plain Text"/>
    <w:basedOn w:val="Normal"/>
    <w:link w:val="PlainTextChar"/>
    <w:uiPriority w:val="99"/>
    <w:semiHidden/>
    <w:rsid w:val="001215AA"/>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1215AA"/>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1215AA"/>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1215AA"/>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15AA"/>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15AA"/>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1215AA"/>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15AA"/>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1215AA"/>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1215AA"/>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1215AA"/>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1215AA"/>
  </w:style>
  <w:style w:type="paragraph" w:customStyle="1" w:styleId="OpiParaSub">
    <w:name w:val="Opi_Para_Sub"/>
    <w:basedOn w:val="JuParaSub"/>
    <w:uiPriority w:val="47"/>
    <w:qFormat/>
    <w:rsid w:val="001215AA"/>
  </w:style>
  <w:style w:type="paragraph" w:customStyle="1" w:styleId="ECHRFooter">
    <w:name w:val="ECHR_Footer"/>
    <w:aliases w:val="Footer_ECHR"/>
    <w:basedOn w:val="Footer"/>
    <w:uiPriority w:val="57"/>
    <w:semiHidden/>
    <w:rsid w:val="001215AA"/>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1215AA"/>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1215AA"/>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1215AA"/>
  </w:style>
  <w:style w:type="paragraph" w:customStyle="1" w:styleId="OpiQuotSub">
    <w:name w:val="Opi_Quot_Sub"/>
    <w:basedOn w:val="JuQuotSub"/>
    <w:uiPriority w:val="49"/>
    <w:qFormat/>
    <w:rsid w:val="001215AA"/>
  </w:style>
  <w:style w:type="paragraph" w:customStyle="1" w:styleId="OpiTranslation">
    <w:name w:val="Opi_Translation"/>
    <w:basedOn w:val="Normal"/>
    <w:next w:val="OpiPara"/>
    <w:uiPriority w:val="40"/>
    <w:qFormat/>
    <w:rsid w:val="001215AA"/>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1215AA"/>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1215AA"/>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1215AA"/>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1">
    <w:name w:val="x_s1"/>
    <w:rsid w:val="001215AA"/>
  </w:style>
  <w:style w:type="paragraph" w:customStyle="1" w:styleId="xp2">
    <w:name w:val="x_p2"/>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2">
    <w:name w:val="x_s2"/>
    <w:rsid w:val="0012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5905">
      <w:bodyDiv w:val="1"/>
      <w:marLeft w:val="0"/>
      <w:marRight w:val="0"/>
      <w:marTop w:val="0"/>
      <w:marBottom w:val="0"/>
      <w:divBdr>
        <w:top w:val="none" w:sz="0" w:space="0" w:color="auto"/>
        <w:left w:val="none" w:sz="0" w:space="0" w:color="auto"/>
        <w:bottom w:val="none" w:sz="0" w:space="0" w:color="auto"/>
        <w:right w:val="none" w:sz="0" w:space="0" w:color="auto"/>
      </w:divBdr>
    </w:div>
    <w:div w:id="1735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837DDF2D0984F6F8088B5671B0765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8706-18</Nr_x002e__x0020_akti>
    <Data_x0020_e_x0020_Krijimit xmlns="0e656187-b300-4fb0-8bf4-3a50f872073c">2024-01-04T10:44:56Z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Çështja Osmani kundër Shqipërisë (Kërkesa nr. 8706/18)</Titulli>
    <Modifikuesi xmlns="0e656187-b300-4fb0-8bf4-3a50f872073c">Suada.Daci</Modifikuesi>
    <Nr_x002e__x0020_prot_x0020_QBZ xmlns="0e656187-b300-4fb0-8bf4-3a50f872073c">3/1</Nr_x002e__x0020_prot_x0020_QBZ>
    <Data_x0020_e_x0020_Modifikimit xmlns="0e656187-b300-4fb0-8bf4-3a50f872073c">2024-01-04T11:31:24Z</Data_x0020_e_x0020_Modifikimit>
    <Dekretuar xmlns="0e656187-b300-4fb0-8bf4-3a50f872073c">false</Dekretuar>
    <Data xmlns="0e656187-b300-4fb0-8bf4-3a50f872073c">2023-12-05T00:00:00Z</Data>
    <Nr_x002e__x0020_protokolli_x0020_i_x0020_aktit xmlns="0e656187-b300-4fb0-8bf4-3a50f872073c">7005/1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37DDF2D0984F6F8088B5671B0765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E0748-ED41-48CF-80DC-E7ADDC023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EF95DD1-8AA2-4CD7-8BEF-63F77DE8A870}">
  <ds:schemaRefs>
    <ds:schemaRef ds:uri="http://purl.org/dc/terms/"/>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85419651-B265-4F15-BDE9-F3BCD188C8CD}">
  <ds:schemaRefs>
    <ds:schemaRef ds:uri="http://schemas.microsoft.com/sharepoint/v3/contenttype/forms"/>
  </ds:schemaRefs>
</ds:datastoreItem>
</file>

<file path=customXml/itemProps4.xml><?xml version="1.0" encoding="utf-8"?>
<ds:datastoreItem xmlns:ds="http://schemas.openxmlformats.org/officeDocument/2006/customXml" ds:itemID="{05CE2801-09C6-44E6-8186-0859E49C2BA0}">
  <ds:schemaRefs>
    <ds:schemaRef ds:uri="http://schemas.microsoft.com/sharepoint/v3/contenttype/forms"/>
  </ds:schemaRefs>
</ds:datastoreItem>
</file>

<file path=customXml/itemProps5.xml><?xml version="1.0" encoding="utf-8"?>
<ds:datastoreItem xmlns:ds="http://schemas.openxmlformats.org/officeDocument/2006/customXml" ds:itemID="{35B4E2D9-FAB8-4F8A-A52A-9D1EE8D01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8E1BE7-358A-44CF-9D1C-C7079D2B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2776</Words>
  <Characters>15828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Çështja Osmani kundër Shqipërisë (Kërkesa nr. 8706/18)</vt:lpstr>
    </vt:vector>
  </TitlesOfParts>
  <Company/>
  <LinksUpToDate>false</LinksUpToDate>
  <CharactersWithSpaces>18567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Osmani kundër Shqipërisë (Kërkesa nr. 8706/18)</dc:title>
  <dc:creator>Mirela Prifti</dc:creator>
  <cp:lastModifiedBy>Fjora Cahani</cp:lastModifiedBy>
  <cp:revision>10</cp:revision>
  <dcterms:created xsi:type="dcterms:W3CDTF">2024-01-04T09:37:00Z</dcterms:created>
  <dcterms:modified xsi:type="dcterms:W3CDTF">2024-01-04T12:20:00Z</dcterms:modified>
</cp:coreProperties>
</file>