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900D57" w14:textId="6CFB0EC6" w:rsidR="00491075" w:rsidRPr="00DE770B" w:rsidRDefault="00491075" w:rsidP="0094300D">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DE770B">
        <w:rPr>
          <w:rFonts w:ascii="Garamond" w:hAnsi="Garamond"/>
          <w:color w:val="000000"/>
          <w:lang w:val="sq-AL"/>
        </w:rPr>
        <w:t>GJYKATA E</w:t>
      </w:r>
      <w:r w:rsidR="005E51B0">
        <w:rPr>
          <w:rFonts w:ascii="Garamond" w:hAnsi="Garamond"/>
          <w:color w:val="000000"/>
          <w:lang w:val="sq-AL"/>
        </w:rPr>
        <w:t>V</w:t>
      </w:r>
      <w:r w:rsidRPr="00DE770B">
        <w:rPr>
          <w:rFonts w:ascii="Garamond" w:hAnsi="Garamond"/>
          <w:color w:val="000000"/>
          <w:lang w:val="sq-AL"/>
        </w:rPr>
        <w:t>ROPIANE E TË DREJTAVE TË NJERIUT</w:t>
      </w:r>
      <w:r w:rsidRPr="00DE770B">
        <w:rPr>
          <w:rFonts w:ascii="Garamond" w:eastAsiaTheme="minorHAnsi" w:hAnsi="Garamond"/>
          <w:color w:val="000000"/>
          <w:sz w:val="24"/>
          <w:szCs w:val="24"/>
          <w:lang w:val="sq-AL"/>
          <w14:ligatures w14:val="standardContextual"/>
        </w:rPr>
        <w:t xml:space="preserve"> </w:t>
      </w:r>
    </w:p>
    <w:p w14:paraId="1AC472E0" w14:textId="77777777" w:rsidR="00491075" w:rsidRPr="00DE770B" w:rsidRDefault="00491075" w:rsidP="0094300D">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6FA8B7A8" w14:textId="7F5C80C1" w:rsidR="0094300D" w:rsidRPr="00DE770B" w:rsidRDefault="0094300D" w:rsidP="0094300D">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SEKSIONI I TRETË</w:t>
      </w:r>
    </w:p>
    <w:p w14:paraId="659F8577" w14:textId="70C76C41" w:rsidR="0094300D" w:rsidRPr="002004BC" w:rsidRDefault="002004BC" w:rsidP="0094300D">
      <w:pPr>
        <w:autoSpaceDE w:val="0"/>
        <w:autoSpaceDN w:val="0"/>
        <w:adjustRightInd w:val="0"/>
        <w:spacing w:after="0" w:line="240" w:lineRule="auto"/>
        <w:ind w:firstLine="284"/>
        <w:jc w:val="center"/>
        <w:rPr>
          <w:rFonts w:ascii="Garamond" w:eastAsiaTheme="minorHAnsi" w:hAnsi="Garamond"/>
          <w:i/>
          <w:iCs/>
          <w:color w:val="000000"/>
          <w:sz w:val="24"/>
          <w:szCs w:val="24"/>
          <w:lang w:val="sq-AL"/>
          <w14:ligatures w14:val="standardContextual"/>
        </w:rPr>
      </w:pPr>
      <w:r w:rsidRPr="002004BC">
        <w:rPr>
          <w:rFonts w:ascii="Garamond" w:eastAsiaTheme="minorHAnsi" w:hAnsi="Garamond"/>
          <w:i/>
          <w:iCs/>
          <w:color w:val="000000"/>
          <w:sz w:val="24"/>
          <w:szCs w:val="24"/>
          <w:lang w:val="sq-AL"/>
          <w14:ligatures w14:val="standardContextual"/>
        </w:rPr>
        <w:t xml:space="preserve">Çështja kalemi kundër </w:t>
      </w:r>
      <w:r w:rsidR="006A5CD7" w:rsidRPr="002004BC">
        <w:rPr>
          <w:rFonts w:ascii="Garamond" w:eastAsiaTheme="minorHAnsi" w:hAnsi="Garamond"/>
          <w:i/>
          <w:iCs/>
          <w:color w:val="000000"/>
          <w:sz w:val="24"/>
          <w:szCs w:val="24"/>
          <w:lang w:val="sq-AL"/>
          <w14:ligatures w14:val="standardContextual"/>
        </w:rPr>
        <w:t>Shqipërisë</w:t>
      </w:r>
    </w:p>
    <w:p w14:paraId="33D008E9" w14:textId="71C47A59" w:rsidR="0094300D" w:rsidRPr="00DE770B" w:rsidRDefault="0094300D" w:rsidP="0094300D">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DE770B">
        <w:rPr>
          <w:rFonts w:ascii="Garamond" w:eastAsiaTheme="minorHAnsi" w:hAnsi="Garamond"/>
          <w:i/>
          <w:iCs/>
          <w:color w:val="000000"/>
          <w:sz w:val="24"/>
          <w:szCs w:val="24"/>
          <w:lang w:val="sq-AL"/>
          <w14:ligatures w14:val="standardContextual"/>
        </w:rPr>
        <w:t>(</w:t>
      </w:r>
      <w:r w:rsidR="002004BC" w:rsidRPr="00DE770B">
        <w:rPr>
          <w:rFonts w:ascii="Garamond" w:eastAsiaTheme="minorHAnsi" w:hAnsi="Garamond"/>
          <w:i/>
          <w:iCs/>
          <w:color w:val="000000"/>
          <w:sz w:val="24"/>
          <w:szCs w:val="24"/>
          <w:lang w:val="sq-AL"/>
          <w14:ligatures w14:val="standardContextual"/>
        </w:rPr>
        <w:t xml:space="preserve">kërkesa </w:t>
      </w:r>
      <w:r w:rsidRPr="00DE770B">
        <w:rPr>
          <w:rFonts w:ascii="Garamond" w:eastAsiaTheme="minorHAnsi" w:hAnsi="Garamond"/>
          <w:i/>
          <w:iCs/>
          <w:color w:val="000000"/>
          <w:sz w:val="24"/>
          <w:szCs w:val="24"/>
          <w:lang w:val="sq-AL"/>
          <w14:ligatures w14:val="standardContextual"/>
        </w:rPr>
        <w:t>nr. 59222/15)</w:t>
      </w:r>
    </w:p>
    <w:p w14:paraId="4EF2B4F3" w14:textId="77777777" w:rsidR="0094300D" w:rsidRPr="00DE770B" w:rsidRDefault="0094300D" w:rsidP="0094300D">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2F660D4C" w14:textId="6F606329" w:rsidR="0094300D" w:rsidRPr="00DE770B" w:rsidRDefault="0094300D" w:rsidP="0094300D">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VENDIM</w:t>
      </w:r>
    </w:p>
    <w:p w14:paraId="72FDEBE3" w14:textId="77777777" w:rsidR="0094300D" w:rsidRPr="00DE770B" w:rsidRDefault="0094300D" w:rsidP="0094300D">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STRASBURG</w:t>
      </w:r>
    </w:p>
    <w:p w14:paraId="124F4D91" w14:textId="18D46379" w:rsidR="0094300D" w:rsidRPr="00DE770B" w:rsidRDefault="0094300D" w:rsidP="0094300D">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11 </w:t>
      </w:r>
      <w:r w:rsidR="008858D3" w:rsidRPr="00DE770B">
        <w:rPr>
          <w:rFonts w:ascii="Garamond" w:eastAsiaTheme="minorHAnsi" w:hAnsi="Garamond"/>
          <w:color w:val="000000"/>
          <w:sz w:val="24"/>
          <w:szCs w:val="24"/>
          <w:lang w:val="sq-AL"/>
          <w14:ligatures w14:val="standardContextual"/>
        </w:rPr>
        <w:t xml:space="preserve">qershor </w:t>
      </w:r>
      <w:r w:rsidRPr="00DE770B">
        <w:rPr>
          <w:rFonts w:ascii="Garamond" w:eastAsiaTheme="minorHAnsi" w:hAnsi="Garamond"/>
          <w:color w:val="000000"/>
          <w:sz w:val="24"/>
          <w:szCs w:val="24"/>
          <w:lang w:val="sq-AL"/>
          <w14:ligatures w14:val="standardContextual"/>
        </w:rPr>
        <w:t>2024</w:t>
      </w:r>
    </w:p>
    <w:p w14:paraId="14985A20" w14:textId="5E508B1C" w:rsidR="0094300D" w:rsidRPr="00DE770B" w:rsidRDefault="0094300D" w:rsidP="0094300D">
      <w:pPr>
        <w:autoSpaceDE w:val="0"/>
        <w:autoSpaceDN w:val="0"/>
        <w:adjustRightInd w:val="0"/>
        <w:spacing w:after="0" w:line="240" w:lineRule="auto"/>
        <w:ind w:firstLine="284"/>
        <w:jc w:val="center"/>
        <w:rPr>
          <w:rFonts w:ascii="Garamond" w:eastAsiaTheme="minorHAnsi" w:hAnsi="Garamond"/>
          <w:i/>
          <w:iCs/>
          <w:color w:val="000000"/>
          <w:sz w:val="24"/>
          <w:szCs w:val="24"/>
          <w:lang w:val="sq-AL"/>
          <w14:ligatures w14:val="standardContextual"/>
        </w:rPr>
      </w:pPr>
      <w:r w:rsidRPr="00DE770B">
        <w:rPr>
          <w:rFonts w:ascii="Garamond" w:eastAsiaTheme="minorHAnsi" w:hAnsi="Garamond"/>
          <w:i/>
          <w:iCs/>
          <w:color w:val="000000"/>
          <w:sz w:val="24"/>
          <w:szCs w:val="24"/>
          <w:lang w:val="sq-AL"/>
          <w14:ligatures w14:val="standardContextual"/>
        </w:rPr>
        <w:t>Ky vendim është i formës së prerë, por mund të bëhet subjekt i rishikimit redaktues.</w:t>
      </w:r>
    </w:p>
    <w:p w14:paraId="1B197792" w14:textId="77777777" w:rsidR="0094300D" w:rsidRPr="00DE770B" w:rsidRDefault="0094300D" w:rsidP="0094300D">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p>
    <w:p w14:paraId="597294C8" w14:textId="7F8FF60C" w:rsidR="0094300D" w:rsidRPr="00DE770B" w:rsidRDefault="0094300D" w:rsidP="0094300D">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DE770B">
        <w:rPr>
          <w:rFonts w:ascii="Garamond" w:eastAsiaTheme="minorHAnsi" w:hAnsi="Garamond"/>
          <w:b/>
          <w:bCs/>
          <w:color w:val="000000"/>
          <w:sz w:val="24"/>
          <w:szCs w:val="24"/>
          <w:lang w:val="sq-AL"/>
          <w14:ligatures w14:val="standardContextual"/>
        </w:rPr>
        <w:t xml:space="preserve">Në çështjen </w:t>
      </w:r>
      <w:r w:rsidRPr="008858D3">
        <w:rPr>
          <w:rFonts w:ascii="Garamond" w:eastAsiaTheme="minorHAnsi" w:hAnsi="Garamond"/>
          <w:b/>
          <w:bCs/>
          <w:i/>
          <w:iCs/>
          <w:color w:val="000000"/>
          <w:sz w:val="24"/>
          <w:szCs w:val="24"/>
          <w:lang w:val="sq-AL"/>
          <w14:ligatures w14:val="standardContextual"/>
        </w:rPr>
        <w:t>Kalemi kundër Shqipërisë,</w:t>
      </w:r>
    </w:p>
    <w:p w14:paraId="1BC2B046" w14:textId="4C7AA455"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Gjykata Evropiane e të Drejtave të Njeriut (Seksioni i Tretë), e mbledhur si një Komitet i përbërë nga: </w:t>
      </w:r>
    </w:p>
    <w:p w14:paraId="5177643F" w14:textId="32355A44" w:rsidR="0094300D" w:rsidRPr="00DE770B" w:rsidRDefault="0094300D" w:rsidP="0094300D">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Ioannis Ktistakis,</w:t>
      </w:r>
      <w:r w:rsidRPr="00DE770B">
        <w:rPr>
          <w:rFonts w:ascii="Garamond" w:eastAsiaTheme="minorHAnsi" w:hAnsi="Garamond"/>
          <w:i/>
          <w:iCs/>
          <w:color w:val="000000"/>
          <w:sz w:val="24"/>
          <w:szCs w:val="24"/>
          <w:lang w:val="sq-AL"/>
          <w14:ligatures w14:val="standardContextual"/>
        </w:rPr>
        <w:t xml:space="preserve"> </w:t>
      </w:r>
      <w:r w:rsidR="008858D3" w:rsidRPr="00DE770B">
        <w:rPr>
          <w:rFonts w:ascii="Garamond" w:eastAsiaTheme="minorHAnsi" w:hAnsi="Garamond"/>
          <w:i/>
          <w:iCs/>
          <w:color w:val="000000"/>
          <w:sz w:val="24"/>
          <w:szCs w:val="24"/>
          <w:lang w:val="sq-AL"/>
          <w14:ligatures w14:val="standardContextual"/>
        </w:rPr>
        <w:t>kryetar</w:t>
      </w:r>
      <w:r w:rsidRPr="00DE770B">
        <w:rPr>
          <w:rFonts w:ascii="Garamond" w:eastAsiaTheme="minorHAnsi" w:hAnsi="Garamond"/>
          <w:i/>
          <w:iCs/>
          <w:color w:val="000000"/>
          <w:sz w:val="24"/>
          <w:szCs w:val="24"/>
          <w:lang w:val="sq-AL"/>
          <w14:ligatures w14:val="standardContextual"/>
        </w:rPr>
        <w:t>,</w:t>
      </w:r>
    </w:p>
    <w:p w14:paraId="6C4D93EF" w14:textId="794BF418" w:rsidR="0094300D" w:rsidRPr="00DE770B" w:rsidRDefault="0094300D" w:rsidP="0094300D">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Darian Pavli,</w:t>
      </w:r>
    </w:p>
    <w:p w14:paraId="773129DD" w14:textId="71E03187" w:rsidR="0094300D" w:rsidRPr="00DE770B" w:rsidRDefault="0094300D" w:rsidP="0094300D">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Andreas Zünd, </w:t>
      </w:r>
      <w:r w:rsidRPr="00DE770B">
        <w:rPr>
          <w:rFonts w:ascii="Garamond" w:eastAsiaTheme="minorHAnsi" w:hAnsi="Garamond"/>
          <w:i/>
          <w:iCs/>
          <w:color w:val="000000"/>
          <w:sz w:val="24"/>
          <w:szCs w:val="24"/>
          <w:lang w:val="sq-AL"/>
          <w14:ligatures w14:val="standardContextual"/>
        </w:rPr>
        <w:t xml:space="preserve">gjyqtarë </w:t>
      </w:r>
    </w:p>
    <w:p w14:paraId="341FEECF" w14:textId="78AB355A" w:rsidR="0094300D" w:rsidRPr="00DE770B" w:rsidRDefault="0094300D" w:rsidP="0094300D">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dhe Olga Chernishova, </w:t>
      </w:r>
      <w:r w:rsidR="008858D3" w:rsidRPr="00DE770B">
        <w:rPr>
          <w:rFonts w:ascii="Garamond" w:eastAsiaTheme="minorHAnsi" w:hAnsi="Garamond"/>
          <w:i/>
          <w:iCs/>
          <w:color w:val="000000"/>
          <w:sz w:val="24"/>
          <w:szCs w:val="24"/>
          <w:lang w:val="sq-AL"/>
          <w14:ligatures w14:val="standardContextual"/>
        </w:rPr>
        <w:t xml:space="preserve">zëvendëssekretare </w:t>
      </w:r>
      <w:r w:rsidRPr="00DE770B">
        <w:rPr>
          <w:rFonts w:ascii="Garamond" w:eastAsiaTheme="minorHAnsi" w:hAnsi="Garamond"/>
          <w:i/>
          <w:iCs/>
          <w:color w:val="000000"/>
          <w:sz w:val="24"/>
          <w:szCs w:val="24"/>
          <w:lang w:val="sq-AL"/>
          <w14:ligatures w14:val="standardContextual"/>
        </w:rPr>
        <w:t>e Seksionit,</w:t>
      </w:r>
      <w:r w:rsidRPr="00DE770B">
        <w:rPr>
          <w:rFonts w:ascii="Garamond" w:eastAsiaTheme="minorHAnsi" w:hAnsi="Garamond"/>
          <w:color w:val="000000"/>
          <w:sz w:val="24"/>
          <w:szCs w:val="24"/>
          <w:lang w:val="sq-AL"/>
          <w14:ligatures w14:val="standardContextual"/>
        </w:rPr>
        <w:t xml:space="preserve"> </w:t>
      </w:r>
    </w:p>
    <w:p w14:paraId="481947DA" w14:textId="709065BF" w:rsidR="0094300D" w:rsidRPr="00DE770B" w:rsidRDefault="008858D3" w:rsidP="0094300D">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duke </w:t>
      </w:r>
      <w:r w:rsidR="0094300D" w:rsidRPr="00DE770B">
        <w:rPr>
          <w:rFonts w:ascii="Garamond" w:eastAsiaTheme="minorHAnsi" w:hAnsi="Garamond"/>
          <w:color w:val="000000"/>
          <w:sz w:val="24"/>
          <w:szCs w:val="24"/>
          <w:lang w:val="sq-AL"/>
          <w14:ligatures w14:val="standardContextual"/>
        </w:rPr>
        <w:t xml:space="preserve">pasur në konsideratë: </w:t>
      </w:r>
    </w:p>
    <w:p w14:paraId="0CE64912" w14:textId="10947C0E" w:rsidR="0094300D" w:rsidRPr="00DE770B" w:rsidRDefault="0094300D" w:rsidP="009B53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kërkesën (nr. 59222/15) kundër Republikës së Shqipërisë depozituar në Gjykatë sipas </w:t>
      </w:r>
      <w:r w:rsidR="009B5393" w:rsidRPr="00DE770B">
        <w:rPr>
          <w:rFonts w:ascii="Garamond" w:eastAsiaTheme="minorHAnsi" w:hAnsi="Garamond"/>
          <w:color w:val="000000"/>
          <w:sz w:val="24"/>
          <w:szCs w:val="24"/>
          <w:lang w:val="sq-AL"/>
          <w14:ligatures w14:val="standardContextual"/>
        </w:rPr>
        <w:t xml:space="preserve">nenit </w:t>
      </w:r>
      <w:r w:rsidRPr="00DE770B">
        <w:rPr>
          <w:rFonts w:ascii="Garamond" w:eastAsiaTheme="minorHAnsi" w:hAnsi="Garamond"/>
          <w:color w:val="000000"/>
          <w:sz w:val="24"/>
          <w:szCs w:val="24"/>
          <w:lang w:val="sq-AL"/>
          <w14:ligatures w14:val="standardContextual"/>
        </w:rPr>
        <w:t xml:space="preserve">34 të Konventës për Mbrojtjen e të Drejtave të Njeriut dhe Lirive Themelore (“Konventa”) më 26 </w:t>
      </w:r>
      <w:r w:rsidR="009B5393" w:rsidRPr="00DE770B">
        <w:rPr>
          <w:rFonts w:ascii="Garamond" w:eastAsiaTheme="minorHAnsi" w:hAnsi="Garamond"/>
          <w:color w:val="000000"/>
          <w:sz w:val="24"/>
          <w:szCs w:val="24"/>
          <w:lang w:val="sq-AL"/>
          <w14:ligatures w14:val="standardContextual"/>
        </w:rPr>
        <w:t xml:space="preserve">nëntor </w:t>
      </w:r>
      <w:r w:rsidRPr="00DE770B">
        <w:rPr>
          <w:rFonts w:ascii="Garamond" w:eastAsiaTheme="minorHAnsi" w:hAnsi="Garamond"/>
          <w:color w:val="000000"/>
          <w:sz w:val="24"/>
          <w:szCs w:val="24"/>
          <w:lang w:val="sq-AL"/>
          <w14:ligatures w14:val="standardContextual"/>
        </w:rPr>
        <w:t xml:space="preserve">2015 nga tre shtetas shqiptarë, detajet e të cilëve janë listuar në tabelën bashkëlidhur (“kërkuesit”), të përfaqësuar nga </w:t>
      </w:r>
      <w:r w:rsidR="009B5393">
        <w:rPr>
          <w:rFonts w:ascii="Garamond" w:eastAsiaTheme="minorHAnsi" w:hAnsi="Garamond"/>
          <w:color w:val="000000"/>
          <w:sz w:val="24"/>
          <w:szCs w:val="24"/>
          <w:lang w:val="sq-AL"/>
          <w14:ligatures w14:val="standardContextual"/>
        </w:rPr>
        <w:t>znj</w:t>
      </w:r>
      <w:r w:rsidRPr="00DE770B">
        <w:rPr>
          <w:rFonts w:ascii="Garamond" w:eastAsiaTheme="minorHAnsi" w:hAnsi="Garamond"/>
          <w:color w:val="000000"/>
          <w:sz w:val="24"/>
          <w:szCs w:val="24"/>
          <w:lang w:val="sq-AL"/>
          <w14:ligatures w14:val="standardContextual"/>
        </w:rPr>
        <w:t xml:space="preserve">. S. Mëneri, një avokate e cila e ushtron profesionin në Tiranë; </w:t>
      </w:r>
    </w:p>
    <w:p w14:paraId="798DE6F7" w14:textId="322854C8" w:rsidR="0094300D" w:rsidRPr="00DE770B" w:rsidRDefault="0094300D" w:rsidP="009B539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 vendimin për t’i njoftuar kërkesën </w:t>
      </w:r>
      <w:r w:rsidR="009B5393" w:rsidRPr="00DE770B">
        <w:rPr>
          <w:rFonts w:ascii="Garamond" w:eastAsiaTheme="minorHAnsi" w:hAnsi="Garamond"/>
          <w:color w:val="000000"/>
          <w:sz w:val="24"/>
          <w:szCs w:val="24"/>
          <w:lang w:val="sq-AL"/>
          <w14:ligatures w14:val="standardContextual"/>
        </w:rPr>
        <w:t xml:space="preserve">qeverisë </w:t>
      </w:r>
      <w:r w:rsidRPr="00DE770B">
        <w:rPr>
          <w:rFonts w:ascii="Garamond" w:eastAsiaTheme="minorHAnsi" w:hAnsi="Garamond"/>
          <w:color w:val="000000"/>
          <w:sz w:val="24"/>
          <w:szCs w:val="24"/>
          <w:lang w:val="sq-AL"/>
          <w14:ligatures w14:val="standardContextual"/>
        </w:rPr>
        <w:t xml:space="preserve">shqiptare (“Qeveria”), e përfaqësuar nga </w:t>
      </w:r>
      <w:r w:rsidR="009B5393">
        <w:rPr>
          <w:rFonts w:ascii="Garamond" w:eastAsiaTheme="minorHAnsi" w:hAnsi="Garamond"/>
          <w:color w:val="000000"/>
          <w:sz w:val="24"/>
          <w:szCs w:val="24"/>
          <w:lang w:val="sq-AL"/>
          <w14:ligatures w14:val="standardContextual"/>
        </w:rPr>
        <w:t>znj</w:t>
      </w:r>
      <w:r w:rsidRPr="00DE770B">
        <w:rPr>
          <w:rFonts w:ascii="Garamond" w:eastAsiaTheme="minorHAnsi" w:hAnsi="Garamond"/>
          <w:color w:val="000000"/>
          <w:sz w:val="24"/>
          <w:szCs w:val="24"/>
          <w:lang w:val="sq-AL"/>
          <w14:ligatures w14:val="standardContextual"/>
        </w:rPr>
        <w:t xml:space="preserve">. B. Lilo, dhe në vijim nga </w:t>
      </w:r>
      <w:r w:rsidR="009B5393" w:rsidRPr="00DE770B">
        <w:rPr>
          <w:rFonts w:ascii="Garamond" w:eastAsiaTheme="minorHAnsi" w:hAnsi="Garamond"/>
          <w:color w:val="000000"/>
          <w:sz w:val="24"/>
          <w:szCs w:val="24"/>
          <w:lang w:val="sq-AL"/>
          <w14:ligatures w14:val="standardContextual"/>
        </w:rPr>
        <w:t>z</w:t>
      </w:r>
      <w:r w:rsidRPr="00DE770B">
        <w:rPr>
          <w:rFonts w:ascii="Garamond" w:eastAsiaTheme="minorHAnsi" w:hAnsi="Garamond"/>
          <w:color w:val="000000"/>
          <w:sz w:val="24"/>
          <w:szCs w:val="24"/>
          <w:lang w:val="sq-AL"/>
          <w14:ligatures w14:val="standardContextual"/>
        </w:rPr>
        <w:t xml:space="preserve">. O. Moçka, Avokati i Përgjithshëm i Shtetit; </w:t>
      </w:r>
    </w:p>
    <w:p w14:paraId="53E2911C" w14:textId="7EA47726" w:rsidR="0094300D" w:rsidRPr="00DE770B" w:rsidRDefault="0094300D" w:rsidP="0094300D">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vërejtjet e palëve;</w:t>
      </w:r>
    </w:p>
    <w:p w14:paraId="35E5B0EB" w14:textId="055EF94A" w:rsidR="0094300D" w:rsidRPr="00DE770B" w:rsidRDefault="009B5393" w:rsidP="0094300D">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pasi </w:t>
      </w:r>
      <w:r w:rsidR="0094300D" w:rsidRPr="00DE770B">
        <w:rPr>
          <w:rFonts w:ascii="Garamond" w:eastAsiaTheme="minorHAnsi" w:hAnsi="Garamond"/>
          <w:color w:val="000000"/>
          <w:sz w:val="24"/>
          <w:szCs w:val="24"/>
          <w:lang w:val="sq-AL"/>
          <w14:ligatures w14:val="standardContextual"/>
        </w:rPr>
        <w:t xml:space="preserve">diskutoi me dyer të mbyllura më 21 </w:t>
      </w:r>
      <w:r w:rsidRPr="00DE770B">
        <w:rPr>
          <w:rFonts w:ascii="Garamond" w:eastAsiaTheme="minorHAnsi" w:hAnsi="Garamond"/>
          <w:color w:val="000000"/>
          <w:sz w:val="24"/>
          <w:szCs w:val="24"/>
          <w:lang w:val="sq-AL"/>
          <w14:ligatures w14:val="standardContextual"/>
        </w:rPr>
        <w:t xml:space="preserve">maj </w:t>
      </w:r>
      <w:r w:rsidR="0094300D" w:rsidRPr="00DE770B">
        <w:rPr>
          <w:rFonts w:ascii="Garamond" w:eastAsiaTheme="minorHAnsi" w:hAnsi="Garamond"/>
          <w:color w:val="000000"/>
          <w:sz w:val="24"/>
          <w:szCs w:val="24"/>
          <w:lang w:val="sq-AL"/>
          <w14:ligatures w14:val="standardContextual"/>
        </w:rPr>
        <w:t>2024,</w:t>
      </w:r>
    </w:p>
    <w:p w14:paraId="47C107BB" w14:textId="75B52B0C" w:rsidR="0094300D" w:rsidRPr="00DE770B" w:rsidRDefault="009B5393" w:rsidP="0094300D">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shpall </w:t>
      </w:r>
      <w:r w:rsidR="0094300D" w:rsidRPr="00DE770B">
        <w:rPr>
          <w:rFonts w:ascii="Garamond" w:eastAsiaTheme="minorHAnsi" w:hAnsi="Garamond"/>
          <w:color w:val="000000"/>
          <w:sz w:val="24"/>
          <w:szCs w:val="24"/>
          <w:lang w:val="sq-AL"/>
          <w14:ligatures w14:val="standardContextual"/>
        </w:rPr>
        <w:t>vendimin e mëposhtëm, i cili u miratua në po atë datë:</w:t>
      </w:r>
    </w:p>
    <w:p w14:paraId="40232155" w14:textId="3045C4EE"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LËNDA E ÇËSHTJES</w:t>
      </w:r>
    </w:p>
    <w:p w14:paraId="6ECC36E2" w14:textId="63E47AD1"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1. Kërkuesit zotëronin bashkërisht 1,031 metër katrorë tokë. Në vitin 2010, Bashkia e Durrësit autorizoi asfaltimin e një rruge publike që shtrihej në një pjesë të asaj toke (622 metër katrorë). Kjo detyrë u përfundua nga një kompani private. Duke iu referuar, ndër të tjera, </w:t>
      </w:r>
      <w:r w:rsidR="00A017C4" w:rsidRPr="00DE770B">
        <w:rPr>
          <w:rFonts w:ascii="Garamond" w:eastAsiaTheme="minorHAnsi" w:hAnsi="Garamond"/>
          <w:color w:val="000000"/>
          <w:sz w:val="24"/>
          <w:szCs w:val="24"/>
          <w:lang w:val="sq-AL"/>
          <w14:ligatures w14:val="standardContextual"/>
        </w:rPr>
        <w:t xml:space="preserve">neneve </w:t>
      </w:r>
      <w:r w:rsidRPr="00DE770B">
        <w:rPr>
          <w:rFonts w:ascii="Garamond" w:eastAsiaTheme="minorHAnsi" w:hAnsi="Garamond"/>
          <w:color w:val="000000"/>
          <w:sz w:val="24"/>
          <w:szCs w:val="24"/>
          <w:lang w:val="sq-AL"/>
          <w14:ligatures w14:val="standardContextual"/>
        </w:rPr>
        <w:t>199</w:t>
      </w:r>
      <w:r w:rsidR="00A017C4">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203 të Kodit Civil, kërkuesit e parë dhe të dytë i kaluan procedurat në Gjykatën e Rrethit Durrës. Me anë të vendimit të datës 21 </w:t>
      </w:r>
      <w:r w:rsidR="00AA5C79" w:rsidRPr="00DE770B">
        <w:rPr>
          <w:rFonts w:ascii="Garamond" w:eastAsiaTheme="minorHAnsi" w:hAnsi="Garamond"/>
          <w:color w:val="000000"/>
          <w:sz w:val="24"/>
          <w:szCs w:val="24"/>
          <w:lang w:val="sq-AL"/>
          <w14:ligatures w14:val="standardContextual"/>
        </w:rPr>
        <w:t xml:space="preserve">shtator </w:t>
      </w:r>
      <w:r w:rsidRPr="00DE770B">
        <w:rPr>
          <w:rFonts w:ascii="Garamond" w:eastAsiaTheme="minorHAnsi" w:hAnsi="Garamond"/>
          <w:color w:val="000000"/>
          <w:sz w:val="24"/>
          <w:szCs w:val="24"/>
          <w:lang w:val="sq-AL"/>
          <w14:ligatures w14:val="standardContextual"/>
        </w:rPr>
        <w:t xml:space="preserve">2011, kjo gjykatë urdhëroi bashkinë dhe kompaninë që të lironin dhe t’i kthenit paditësve (kërkuesit e parë dhe të dytë) parcelën, të hiqnin të gjitha ndryshimet e bëra në të dhe ta rikthenin në gjendjen e saj funksionale fillestare. Më 30 </w:t>
      </w:r>
      <w:r w:rsidR="00AA5C79" w:rsidRPr="00DE770B">
        <w:rPr>
          <w:rFonts w:ascii="Garamond" w:eastAsiaTheme="minorHAnsi" w:hAnsi="Garamond"/>
          <w:color w:val="000000"/>
          <w:sz w:val="24"/>
          <w:szCs w:val="24"/>
          <w:lang w:val="sq-AL"/>
          <w14:ligatures w14:val="standardContextual"/>
        </w:rPr>
        <w:t xml:space="preserve">qershor </w:t>
      </w:r>
      <w:r w:rsidRPr="00DE770B">
        <w:rPr>
          <w:rFonts w:ascii="Garamond" w:eastAsiaTheme="minorHAnsi" w:hAnsi="Garamond"/>
          <w:color w:val="000000"/>
          <w:sz w:val="24"/>
          <w:szCs w:val="24"/>
          <w:lang w:val="sq-AL"/>
          <w14:ligatures w14:val="standardContextual"/>
        </w:rPr>
        <w:t xml:space="preserve">2014, Gjykata Administrative e Apelit Tiranë la në fuqi vendimin. Në </w:t>
      </w:r>
      <w:r w:rsidR="00A21A18" w:rsidRPr="00DE770B">
        <w:rPr>
          <w:rFonts w:ascii="Garamond" w:eastAsiaTheme="minorHAnsi" w:hAnsi="Garamond"/>
          <w:color w:val="000000"/>
          <w:sz w:val="24"/>
          <w:szCs w:val="24"/>
          <w:lang w:val="sq-AL"/>
          <w14:ligatures w14:val="standardContextual"/>
        </w:rPr>
        <w:t xml:space="preserve">tetor </w:t>
      </w:r>
      <w:r w:rsidRPr="00DE770B">
        <w:rPr>
          <w:rFonts w:ascii="Garamond" w:eastAsiaTheme="minorHAnsi" w:hAnsi="Garamond"/>
          <w:color w:val="000000"/>
          <w:sz w:val="24"/>
          <w:szCs w:val="24"/>
          <w:lang w:val="sq-AL"/>
          <w14:ligatures w14:val="standardContextual"/>
        </w:rPr>
        <w:t xml:space="preserve">2014 u lëshua një urdhër-ekzekutimi. </w:t>
      </w:r>
    </w:p>
    <w:p w14:paraId="2B6278DC" w14:textId="30B8572B"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2. Rezulton se palët e tjera private, në atë periudhë të ndryshme kohore, kishin ngritur ndërtesa në trotuare, duke cenuar pjesë të tjera të tokës së kërkuesve. Rezulton se kërkuesit nuk paraqitën ndonjë pretendim për këtë aspekt në ndonjë gjykatë. </w:t>
      </w:r>
    </w:p>
    <w:p w14:paraId="7BC35407" w14:textId="2508360F"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3. Kërkuesit depozituan ankesa në mbështetje të </w:t>
      </w:r>
      <w:r w:rsidR="00F07A47" w:rsidRPr="00DE770B">
        <w:rPr>
          <w:rFonts w:ascii="Garamond" w:eastAsiaTheme="minorHAnsi" w:hAnsi="Garamond"/>
          <w:color w:val="000000"/>
          <w:sz w:val="24"/>
          <w:szCs w:val="24"/>
          <w:lang w:val="sq-AL"/>
          <w14:ligatures w14:val="standardContextual"/>
        </w:rPr>
        <w:t xml:space="preserve">nenit </w:t>
      </w:r>
      <w:r w:rsidRPr="00DE770B">
        <w:rPr>
          <w:rFonts w:ascii="Garamond" w:eastAsiaTheme="minorHAnsi" w:hAnsi="Garamond"/>
          <w:color w:val="000000"/>
          <w:sz w:val="24"/>
          <w:szCs w:val="24"/>
          <w:lang w:val="sq-AL"/>
          <w14:ligatures w14:val="standardContextual"/>
        </w:rPr>
        <w:t xml:space="preserve">6 të Konventës dhe </w:t>
      </w:r>
      <w:r w:rsidR="00F07A47" w:rsidRPr="00DE770B">
        <w:rPr>
          <w:rFonts w:ascii="Garamond" w:eastAsiaTheme="minorHAnsi" w:hAnsi="Garamond"/>
          <w:color w:val="000000"/>
          <w:sz w:val="24"/>
          <w:szCs w:val="24"/>
          <w:lang w:val="sq-AL"/>
          <w14:ligatures w14:val="standardContextual"/>
        </w:rPr>
        <w:t xml:space="preserve">nenit </w:t>
      </w:r>
      <w:r w:rsidRPr="00DE770B">
        <w:rPr>
          <w:rFonts w:ascii="Garamond" w:eastAsiaTheme="minorHAnsi" w:hAnsi="Garamond"/>
          <w:color w:val="000000"/>
          <w:sz w:val="24"/>
          <w:szCs w:val="24"/>
          <w:lang w:val="sq-AL"/>
          <w14:ligatures w14:val="standardContextual"/>
        </w:rPr>
        <w:t xml:space="preserve">1 të Protokollit </w:t>
      </w:r>
      <w:r w:rsidR="0092142F" w:rsidRPr="00DE770B">
        <w:rPr>
          <w:rFonts w:ascii="Garamond" w:eastAsiaTheme="minorHAnsi" w:hAnsi="Garamond"/>
          <w:color w:val="000000"/>
          <w:sz w:val="24"/>
          <w:szCs w:val="24"/>
          <w:lang w:val="sq-AL"/>
          <w14:ligatures w14:val="standardContextual"/>
        </w:rPr>
        <w:t>nr</w:t>
      </w:r>
      <w:r w:rsidRPr="00DE770B">
        <w:rPr>
          <w:rFonts w:ascii="Garamond" w:eastAsiaTheme="minorHAnsi" w:hAnsi="Garamond"/>
          <w:color w:val="000000"/>
          <w:sz w:val="24"/>
          <w:szCs w:val="24"/>
          <w:lang w:val="sq-AL"/>
          <w14:ligatures w14:val="standardContextual"/>
        </w:rPr>
        <w:t xml:space="preserve">. 1 të Konventës, së bashku me </w:t>
      </w:r>
      <w:r w:rsidR="0092142F" w:rsidRPr="00DE770B">
        <w:rPr>
          <w:rFonts w:ascii="Garamond" w:eastAsiaTheme="minorHAnsi" w:hAnsi="Garamond"/>
          <w:color w:val="000000"/>
          <w:sz w:val="24"/>
          <w:szCs w:val="24"/>
          <w:lang w:val="sq-AL"/>
          <w14:ligatures w14:val="standardContextual"/>
        </w:rPr>
        <w:t xml:space="preserve">nenin </w:t>
      </w:r>
      <w:r w:rsidRPr="00DE770B">
        <w:rPr>
          <w:rFonts w:ascii="Garamond" w:eastAsiaTheme="minorHAnsi" w:hAnsi="Garamond"/>
          <w:color w:val="000000"/>
          <w:sz w:val="24"/>
          <w:szCs w:val="24"/>
          <w:lang w:val="sq-AL"/>
          <w14:ligatures w14:val="standardContextual"/>
        </w:rPr>
        <w:t xml:space="preserve">13 të Konventës, për moszbatimin e vendimit të përmendur më sipër. </w:t>
      </w:r>
    </w:p>
    <w:p w14:paraId="5043F51D" w14:textId="6DB32440"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VLERËSIMI I GJYKATËS </w:t>
      </w:r>
    </w:p>
    <w:p w14:paraId="2A1722E4" w14:textId="135A1D54"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I. PRETENDIMI PËR SHKELJE TË NENIT 6 TË KONVENTËS DHE NENIT 1 TË PROTOKOLLIT NR. 1 TË KONVENTËS</w:t>
      </w:r>
    </w:p>
    <w:p w14:paraId="519F8D98" w14:textId="44448B8E" w:rsidR="0094300D" w:rsidRPr="00DE770B" w:rsidRDefault="0094300D" w:rsidP="0094300D">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DE770B">
        <w:rPr>
          <w:rFonts w:ascii="Garamond" w:eastAsiaTheme="minorHAnsi" w:hAnsi="Garamond"/>
          <w:b/>
          <w:bCs/>
          <w:color w:val="000000"/>
          <w:sz w:val="24"/>
          <w:szCs w:val="24"/>
          <w:lang w:val="sq-AL"/>
          <w14:ligatures w14:val="standardContextual"/>
        </w:rPr>
        <w:t xml:space="preserve">A. Fusha e veprimit e ankesave </w:t>
      </w:r>
    </w:p>
    <w:p w14:paraId="7107CEF7" w14:textId="715133C9"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4. Fusha e veprimit e një çështje</w:t>
      </w:r>
      <w:r w:rsidR="00010137">
        <w:rPr>
          <w:rFonts w:ascii="Garamond" w:eastAsiaTheme="minorHAnsi" w:hAnsi="Garamond"/>
          <w:color w:val="000000"/>
          <w:sz w:val="24"/>
          <w:szCs w:val="24"/>
          <w:lang w:val="sq-AL"/>
          <w14:ligatures w14:val="standardContextual"/>
        </w:rPr>
        <w:t>je,</w:t>
      </w:r>
      <w:r w:rsidRPr="00DE770B">
        <w:rPr>
          <w:rFonts w:ascii="Garamond" w:eastAsiaTheme="minorHAnsi" w:hAnsi="Garamond"/>
          <w:color w:val="000000"/>
          <w:sz w:val="24"/>
          <w:szCs w:val="24"/>
          <w:lang w:val="sq-AL"/>
          <w14:ligatures w14:val="standardContextual"/>
        </w:rPr>
        <w:t xml:space="preserve"> referuar në Gjykatë në ushtrim të së drejtës për kërkesë individuale përcaktohet nga “ankesa” e kërkuesit ose “padia” (shih </w:t>
      </w:r>
      <w:r w:rsidRPr="00DE770B">
        <w:rPr>
          <w:rFonts w:ascii="Garamond" w:eastAsiaTheme="minorHAnsi" w:hAnsi="Garamond"/>
          <w:i/>
          <w:iCs/>
          <w:color w:val="000000"/>
          <w:sz w:val="24"/>
          <w:szCs w:val="24"/>
          <w:lang w:val="sq-AL"/>
          <w14:ligatures w14:val="standardContextual"/>
        </w:rPr>
        <w:t xml:space="preserve">Grosam kundër Republikës së Çekisë </w:t>
      </w:r>
      <w:r w:rsidRPr="00DE770B">
        <w:rPr>
          <w:rFonts w:ascii="Garamond" w:eastAsiaTheme="minorHAnsi" w:hAnsi="Garamond"/>
          <w:color w:val="000000"/>
          <w:sz w:val="24"/>
          <w:szCs w:val="24"/>
          <w:lang w:val="sq-AL"/>
          <w14:ligatures w14:val="standardContextual"/>
        </w:rPr>
        <w:t xml:space="preserve">[DHM], nr. 19750/13, § 51, 1 </w:t>
      </w:r>
      <w:r w:rsidR="00010137" w:rsidRPr="00DE770B">
        <w:rPr>
          <w:rFonts w:ascii="Garamond" w:eastAsiaTheme="minorHAnsi" w:hAnsi="Garamond"/>
          <w:color w:val="000000"/>
          <w:sz w:val="24"/>
          <w:szCs w:val="24"/>
          <w:lang w:val="sq-AL"/>
          <w14:ligatures w14:val="standardContextual"/>
        </w:rPr>
        <w:t xml:space="preserve">qershor </w:t>
      </w:r>
      <w:r w:rsidRPr="00DE770B">
        <w:rPr>
          <w:rFonts w:ascii="Garamond" w:eastAsiaTheme="minorHAnsi" w:hAnsi="Garamond"/>
          <w:color w:val="000000"/>
          <w:sz w:val="24"/>
          <w:szCs w:val="24"/>
          <w:lang w:val="sq-AL"/>
          <w14:ligatures w14:val="standardContextual"/>
        </w:rPr>
        <w:t xml:space="preserve">2023, dhe </w:t>
      </w:r>
      <w:r w:rsidRPr="00DE770B">
        <w:rPr>
          <w:rFonts w:ascii="Garamond" w:eastAsiaTheme="minorHAnsi" w:hAnsi="Garamond"/>
          <w:i/>
          <w:iCs/>
          <w:color w:val="000000"/>
          <w:sz w:val="24"/>
          <w:szCs w:val="24"/>
          <w:lang w:val="sq-AL"/>
          <w14:ligatures w14:val="standardContextual"/>
        </w:rPr>
        <w:t>Gashi dhe Gina kundër Shqipërisë</w:t>
      </w:r>
      <w:r w:rsidRPr="00DE770B">
        <w:rPr>
          <w:rFonts w:ascii="Garamond" w:eastAsiaTheme="minorHAnsi" w:hAnsi="Garamond"/>
          <w:color w:val="000000"/>
          <w:sz w:val="24"/>
          <w:szCs w:val="24"/>
          <w:lang w:val="sq-AL"/>
          <w14:ligatures w14:val="standardContextual"/>
        </w:rPr>
        <w:t xml:space="preserve">, nr. 29943/18, §§ 75, dhe 79, 4 </w:t>
      </w:r>
      <w:r w:rsidR="00010137" w:rsidRPr="00DE770B">
        <w:rPr>
          <w:rFonts w:ascii="Garamond" w:eastAsiaTheme="minorHAnsi" w:hAnsi="Garamond"/>
          <w:color w:val="000000"/>
          <w:sz w:val="24"/>
          <w:szCs w:val="24"/>
          <w:lang w:val="sq-AL"/>
          <w14:ligatures w14:val="standardContextual"/>
        </w:rPr>
        <w:t xml:space="preserve">prill </w:t>
      </w:r>
      <w:r w:rsidRPr="00DE770B">
        <w:rPr>
          <w:rFonts w:ascii="Garamond" w:eastAsiaTheme="minorHAnsi" w:hAnsi="Garamond"/>
          <w:color w:val="000000"/>
          <w:sz w:val="24"/>
          <w:szCs w:val="24"/>
          <w:lang w:val="sq-AL"/>
          <w14:ligatures w14:val="standardContextual"/>
        </w:rPr>
        <w:t xml:space="preserve">2023). Në çështjen konkrete, ankesat e paraqitura në formularin e kërkesës nga avokati i kërkuesve në </w:t>
      </w:r>
      <w:r w:rsidR="00010137" w:rsidRPr="00DE770B">
        <w:rPr>
          <w:rFonts w:ascii="Garamond" w:eastAsiaTheme="minorHAnsi" w:hAnsi="Garamond"/>
          <w:color w:val="000000"/>
          <w:sz w:val="24"/>
          <w:szCs w:val="24"/>
          <w:lang w:val="sq-AL"/>
          <w14:ligatures w14:val="standardContextual"/>
        </w:rPr>
        <w:t xml:space="preserve">nëntor </w:t>
      </w:r>
      <w:r w:rsidRPr="00DE770B">
        <w:rPr>
          <w:rFonts w:ascii="Garamond" w:eastAsiaTheme="minorHAnsi" w:hAnsi="Garamond"/>
          <w:color w:val="000000"/>
          <w:sz w:val="24"/>
          <w:szCs w:val="24"/>
          <w:lang w:val="sq-AL"/>
          <w14:ligatures w14:val="standardContextual"/>
        </w:rPr>
        <w:t xml:space="preserve">2015 kishte të bënte me pretendimin për shkelje të </w:t>
      </w:r>
      <w:r w:rsidR="00010137" w:rsidRPr="00DE770B">
        <w:rPr>
          <w:rFonts w:ascii="Garamond" w:eastAsiaTheme="minorHAnsi" w:hAnsi="Garamond"/>
          <w:color w:val="000000"/>
          <w:sz w:val="24"/>
          <w:szCs w:val="24"/>
          <w:lang w:val="sq-AL"/>
          <w14:ligatures w14:val="standardContextual"/>
        </w:rPr>
        <w:t xml:space="preserve">nenit </w:t>
      </w:r>
      <w:r w:rsidRPr="00DE770B">
        <w:rPr>
          <w:rFonts w:ascii="Garamond" w:eastAsiaTheme="minorHAnsi" w:hAnsi="Garamond"/>
          <w:color w:val="000000"/>
          <w:sz w:val="24"/>
          <w:szCs w:val="24"/>
          <w:lang w:val="sq-AL"/>
          <w14:ligatures w14:val="standardContextual"/>
        </w:rPr>
        <w:t xml:space="preserve">6 të Konventës dhe </w:t>
      </w:r>
      <w:r w:rsidR="00010137" w:rsidRPr="00DE770B">
        <w:rPr>
          <w:rFonts w:ascii="Garamond" w:eastAsiaTheme="minorHAnsi" w:hAnsi="Garamond"/>
          <w:color w:val="000000"/>
          <w:sz w:val="24"/>
          <w:szCs w:val="24"/>
          <w:lang w:val="sq-AL"/>
          <w14:ligatures w14:val="standardContextual"/>
        </w:rPr>
        <w:t xml:space="preserve">nenit </w:t>
      </w:r>
      <w:r w:rsidRPr="00DE770B">
        <w:rPr>
          <w:rFonts w:ascii="Garamond" w:eastAsiaTheme="minorHAnsi" w:hAnsi="Garamond"/>
          <w:color w:val="000000"/>
          <w:sz w:val="24"/>
          <w:szCs w:val="24"/>
          <w:lang w:val="sq-AL"/>
          <w14:ligatures w14:val="standardContextual"/>
        </w:rPr>
        <w:t xml:space="preserve">1 të </w:t>
      </w:r>
      <w:r w:rsidR="00010137" w:rsidRPr="00DE770B">
        <w:rPr>
          <w:rFonts w:ascii="Garamond" w:eastAsiaTheme="minorHAnsi" w:hAnsi="Garamond"/>
          <w:color w:val="000000"/>
          <w:sz w:val="24"/>
          <w:szCs w:val="24"/>
          <w:lang w:val="sq-AL"/>
          <w14:ligatures w14:val="standardContextual"/>
        </w:rPr>
        <w:t xml:space="preserve">protokollit nr. </w:t>
      </w:r>
      <w:r w:rsidRPr="00DE770B">
        <w:rPr>
          <w:rFonts w:ascii="Garamond" w:eastAsiaTheme="minorHAnsi" w:hAnsi="Garamond"/>
          <w:color w:val="000000"/>
          <w:sz w:val="24"/>
          <w:szCs w:val="24"/>
          <w:lang w:val="sq-AL"/>
          <w14:ligatures w14:val="standardContextual"/>
        </w:rPr>
        <w:t xml:space="preserve">1 të Konventës për moszbatimin në atë periudhë të </w:t>
      </w:r>
      <w:r w:rsidRPr="00DE770B">
        <w:rPr>
          <w:rFonts w:ascii="Garamond" w:eastAsiaTheme="minorHAnsi" w:hAnsi="Garamond"/>
          <w:color w:val="000000"/>
          <w:sz w:val="24"/>
          <w:szCs w:val="24"/>
          <w:lang w:val="sq-AL"/>
          <w14:ligatures w14:val="standardContextual"/>
        </w:rPr>
        <w:lastRenderedPageBreak/>
        <w:t xml:space="preserve">vendimit të datës 21 </w:t>
      </w:r>
      <w:r w:rsidR="00D4461F" w:rsidRPr="00DE770B">
        <w:rPr>
          <w:rFonts w:ascii="Garamond" w:eastAsiaTheme="minorHAnsi" w:hAnsi="Garamond"/>
          <w:color w:val="000000"/>
          <w:sz w:val="24"/>
          <w:szCs w:val="24"/>
          <w:lang w:val="sq-AL"/>
          <w14:ligatures w14:val="standardContextual"/>
        </w:rPr>
        <w:t xml:space="preserve">shtator </w:t>
      </w:r>
      <w:r w:rsidRPr="00DE770B">
        <w:rPr>
          <w:rFonts w:ascii="Garamond" w:eastAsiaTheme="minorHAnsi" w:hAnsi="Garamond"/>
          <w:color w:val="000000"/>
          <w:sz w:val="24"/>
          <w:szCs w:val="24"/>
          <w:lang w:val="sq-AL"/>
          <w14:ligatures w14:val="standardContextual"/>
        </w:rPr>
        <w:t xml:space="preserve">2011, që ishte lënë në fuqi dhe ishte bërë i formës së prerë më 30 </w:t>
      </w:r>
      <w:r w:rsidR="00D4461F" w:rsidRPr="00DE770B">
        <w:rPr>
          <w:rFonts w:ascii="Garamond" w:eastAsiaTheme="minorHAnsi" w:hAnsi="Garamond"/>
          <w:color w:val="000000"/>
          <w:sz w:val="24"/>
          <w:szCs w:val="24"/>
          <w:lang w:val="sq-AL"/>
          <w14:ligatures w14:val="standardContextual"/>
        </w:rPr>
        <w:t xml:space="preserve">qershor </w:t>
      </w:r>
      <w:r w:rsidRPr="00DE770B">
        <w:rPr>
          <w:rFonts w:ascii="Garamond" w:eastAsiaTheme="minorHAnsi" w:hAnsi="Garamond"/>
          <w:color w:val="000000"/>
          <w:sz w:val="24"/>
          <w:szCs w:val="24"/>
          <w:lang w:val="sq-AL"/>
          <w14:ligatures w14:val="standardContextual"/>
        </w:rPr>
        <w:t xml:space="preserve">2014. Në këtë mënyrë, pretendimet kishin të bënin periudhën pas asaj date, më konkretisht pas lëshimit të urdhër-ekzekutimit në </w:t>
      </w:r>
      <w:r w:rsidR="00D4461F" w:rsidRPr="00DE770B">
        <w:rPr>
          <w:rFonts w:ascii="Garamond" w:eastAsiaTheme="minorHAnsi" w:hAnsi="Garamond"/>
          <w:color w:val="000000"/>
          <w:sz w:val="24"/>
          <w:szCs w:val="24"/>
          <w:lang w:val="sq-AL"/>
          <w14:ligatures w14:val="standardContextual"/>
        </w:rPr>
        <w:t xml:space="preserve">tetor </w:t>
      </w:r>
      <w:r w:rsidRPr="00DE770B">
        <w:rPr>
          <w:rFonts w:ascii="Garamond" w:eastAsiaTheme="minorHAnsi" w:hAnsi="Garamond"/>
          <w:color w:val="000000"/>
          <w:sz w:val="24"/>
          <w:szCs w:val="24"/>
          <w:lang w:val="sq-AL"/>
          <w14:ligatures w14:val="standardContextual"/>
        </w:rPr>
        <w:t xml:space="preserve">2014. </w:t>
      </w:r>
    </w:p>
    <w:p w14:paraId="539BD643" w14:textId="6DAD7005"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5. Nuk u ngritën pyetje për faktin se vendimi mbeti në fuqi për sa i përket rikthimit efektivisht të kapacitetit të kërkuesve për të rimarrë në pronësi dhe për të përdorur tokën e tyre. Në parashtrimet e bëra </w:t>
      </w:r>
      <w:r w:rsidR="00D4461F">
        <w:rPr>
          <w:rFonts w:ascii="Garamond" w:eastAsiaTheme="minorHAnsi" w:hAnsi="Garamond"/>
          <w:color w:val="000000"/>
          <w:sz w:val="24"/>
          <w:szCs w:val="24"/>
          <w:lang w:val="sq-AL"/>
          <w14:ligatures w14:val="standardContextual"/>
        </w:rPr>
        <w:t>m</w:t>
      </w:r>
      <w:r w:rsidRPr="00DE770B">
        <w:rPr>
          <w:rFonts w:ascii="Garamond" w:eastAsiaTheme="minorHAnsi" w:hAnsi="Garamond"/>
          <w:color w:val="000000"/>
          <w:sz w:val="24"/>
          <w:szCs w:val="24"/>
          <w:lang w:val="sq-AL"/>
          <w14:ligatures w14:val="standardContextual"/>
        </w:rPr>
        <w:t>ë 2021</w:t>
      </w:r>
      <w:r w:rsidR="00D4461F">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2023, kërkuesit pretenduan, sidoqoftë, se tashmë nuk ekzistonte më një perspektivë realiste për të pasur sukses në përfitimin nga ai vendim. Ata iu referuan periudhës së papërcaktuar, pasi kishin depozituar kërkesën konkrete pranë Gjykatës në </w:t>
      </w:r>
      <w:r w:rsidR="002707CA" w:rsidRPr="00DE770B">
        <w:rPr>
          <w:rFonts w:ascii="Garamond" w:eastAsiaTheme="minorHAnsi" w:hAnsi="Garamond"/>
          <w:color w:val="000000"/>
          <w:sz w:val="24"/>
          <w:szCs w:val="24"/>
          <w:lang w:val="sq-AL"/>
          <w14:ligatures w14:val="standardContextual"/>
        </w:rPr>
        <w:t xml:space="preserve">nëntor </w:t>
      </w:r>
      <w:r w:rsidRPr="00DE770B">
        <w:rPr>
          <w:rFonts w:ascii="Garamond" w:eastAsiaTheme="minorHAnsi" w:hAnsi="Garamond"/>
          <w:color w:val="000000"/>
          <w:sz w:val="24"/>
          <w:szCs w:val="24"/>
          <w:lang w:val="sq-AL"/>
          <w14:ligatures w14:val="standardContextual"/>
        </w:rPr>
        <w:t xml:space="preserve">2015, si edhe ndërtimeve të ndryshme të autorizuara dhe të ngritura rreth zonës së shtruar me trotuar, duke përfshirë periudhën përpara datës 1 </w:t>
      </w:r>
      <w:r w:rsidR="002707CA" w:rsidRPr="00DE770B">
        <w:rPr>
          <w:rFonts w:ascii="Garamond" w:eastAsiaTheme="minorHAnsi" w:hAnsi="Garamond"/>
          <w:color w:val="000000"/>
          <w:sz w:val="24"/>
          <w:szCs w:val="24"/>
          <w:lang w:val="sq-AL"/>
          <w14:ligatures w14:val="standardContextual"/>
        </w:rPr>
        <w:t xml:space="preserve">qershor </w:t>
      </w:r>
      <w:r w:rsidRPr="00DE770B">
        <w:rPr>
          <w:rFonts w:ascii="Garamond" w:eastAsiaTheme="minorHAnsi" w:hAnsi="Garamond"/>
          <w:color w:val="000000"/>
          <w:sz w:val="24"/>
          <w:szCs w:val="24"/>
          <w:lang w:val="sq-AL"/>
          <w14:ligatures w14:val="standardContextual"/>
        </w:rPr>
        <w:t>2014</w:t>
      </w:r>
      <w:r w:rsidR="002707CA">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kur vendimi u bë i formës së prerë. Sidoqoftë, vërehet se as kërkuesit dhe as debitori</w:t>
      </w:r>
      <w:r w:rsidR="00141C9F">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ët në vendim dhe as ndonjë autoritet publik kompetent nuk përfitonin ndonjë formë zëvendësuese për metodën e zbatimit të përcaktuar në vendim. Gjithashtu, asnjë nga gjykatat nuk vendosnin se në një pikë të caktuar vendimi ishte bërë i moszbatueshëm. Kjo gjë nuk është mënjanuar dhe mbetet në fuqi (shih </w:t>
      </w:r>
      <w:r w:rsidRPr="00DE770B">
        <w:rPr>
          <w:rFonts w:ascii="Garamond" w:eastAsiaTheme="minorHAnsi" w:hAnsi="Garamond"/>
          <w:i/>
          <w:iCs/>
          <w:color w:val="000000"/>
          <w:sz w:val="24"/>
          <w:szCs w:val="24"/>
          <w:lang w:val="sq-AL"/>
          <w14:ligatures w14:val="standardContextual"/>
        </w:rPr>
        <w:t>Voronkov kundër Rusisë</w:t>
      </w:r>
      <w:r w:rsidRPr="00DE770B">
        <w:rPr>
          <w:rFonts w:ascii="Garamond" w:eastAsiaTheme="minorHAnsi" w:hAnsi="Garamond"/>
          <w:color w:val="000000"/>
          <w:sz w:val="24"/>
          <w:szCs w:val="24"/>
          <w:lang w:val="sq-AL"/>
          <w14:ligatures w14:val="standardContextual"/>
        </w:rPr>
        <w:t xml:space="preserve">, nr. 39678/03, § 36, 30 </w:t>
      </w:r>
      <w:r w:rsidR="00141C9F" w:rsidRPr="00DE770B">
        <w:rPr>
          <w:rFonts w:ascii="Garamond" w:eastAsiaTheme="minorHAnsi" w:hAnsi="Garamond"/>
          <w:color w:val="000000"/>
          <w:sz w:val="24"/>
          <w:szCs w:val="24"/>
          <w:lang w:val="sq-AL"/>
          <w14:ligatures w14:val="standardContextual"/>
        </w:rPr>
        <w:t xml:space="preserve">korrik </w:t>
      </w:r>
      <w:r w:rsidRPr="00DE770B">
        <w:rPr>
          <w:rFonts w:ascii="Garamond" w:eastAsiaTheme="minorHAnsi" w:hAnsi="Garamond"/>
          <w:color w:val="000000"/>
          <w:sz w:val="24"/>
          <w:szCs w:val="24"/>
          <w:lang w:val="sq-AL"/>
          <w14:ligatures w14:val="standardContextual"/>
        </w:rPr>
        <w:t>2015, dhe çështjet e cituara në këtë vendim). Kërkuesit vijojnë të kenë titullin e pronësisë</w:t>
      </w:r>
      <w:r w:rsidR="00DA547D" w:rsidRPr="00DE770B">
        <w:rPr>
          <w:rFonts w:ascii="Garamond" w:eastAsiaTheme="minorHAnsi" w:hAnsi="Garamond"/>
          <w:color w:val="000000"/>
          <w:sz w:val="24"/>
          <w:szCs w:val="24"/>
          <w:lang w:val="sq-AL"/>
          <w14:ligatures w14:val="standardContextual"/>
        </w:rPr>
        <w:t xml:space="preserve"> </w:t>
      </w:r>
      <w:r w:rsidRPr="00DE770B">
        <w:rPr>
          <w:rFonts w:ascii="Garamond" w:eastAsiaTheme="minorHAnsi" w:hAnsi="Garamond"/>
          <w:color w:val="000000"/>
          <w:sz w:val="24"/>
          <w:szCs w:val="24"/>
          <w:lang w:val="sq-AL"/>
          <w14:ligatures w14:val="standardContextual"/>
        </w:rPr>
        <w:t>ndaj tokës në fjalë. Në këtë mënyrë, Gjykata do të procedojë mbi prezumimin</w:t>
      </w:r>
      <w:r w:rsidR="00141C9F">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se vendimi mund të ishte zbatuar sipas urdhrit, në periudhën nga muaji </w:t>
      </w:r>
      <w:r w:rsidR="00141C9F" w:rsidRPr="00DE770B">
        <w:rPr>
          <w:rFonts w:ascii="Garamond" w:eastAsiaTheme="minorHAnsi" w:hAnsi="Garamond"/>
          <w:color w:val="000000"/>
          <w:sz w:val="24"/>
          <w:szCs w:val="24"/>
          <w:lang w:val="sq-AL"/>
          <w14:ligatures w14:val="standardContextual"/>
        </w:rPr>
        <w:t xml:space="preserve">tetor </w:t>
      </w:r>
      <w:r w:rsidRPr="00DE770B">
        <w:rPr>
          <w:rFonts w:ascii="Garamond" w:eastAsiaTheme="minorHAnsi" w:hAnsi="Garamond"/>
          <w:color w:val="000000"/>
          <w:sz w:val="24"/>
          <w:szCs w:val="24"/>
          <w:lang w:val="sq-AL"/>
          <w14:ligatures w14:val="standardContextual"/>
        </w:rPr>
        <w:t xml:space="preserve">2014 dhe </w:t>
      </w:r>
      <w:r w:rsidR="00141C9F" w:rsidRPr="00DE770B">
        <w:rPr>
          <w:rFonts w:ascii="Garamond" w:eastAsiaTheme="minorHAnsi" w:hAnsi="Garamond"/>
          <w:color w:val="000000"/>
          <w:sz w:val="24"/>
          <w:szCs w:val="24"/>
          <w:lang w:val="sq-AL"/>
          <w14:ligatures w14:val="standardContextual"/>
        </w:rPr>
        <w:t xml:space="preserve">nëntor </w:t>
      </w:r>
      <w:r w:rsidRPr="00DE770B">
        <w:rPr>
          <w:rFonts w:ascii="Garamond" w:eastAsiaTheme="minorHAnsi" w:hAnsi="Garamond"/>
          <w:color w:val="000000"/>
          <w:sz w:val="24"/>
          <w:szCs w:val="24"/>
          <w:lang w:val="sq-AL"/>
          <w14:ligatures w14:val="standardContextual"/>
        </w:rPr>
        <w:t xml:space="preserve">2015, dhe në vijim. </w:t>
      </w:r>
    </w:p>
    <w:p w14:paraId="1C779DFC" w14:textId="12FE9F28"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6. Gjithashtu, pas komunikimit të</w:t>
      </w:r>
      <w:r w:rsidR="00DA547D" w:rsidRPr="00DE770B">
        <w:rPr>
          <w:rFonts w:ascii="Garamond" w:eastAsiaTheme="minorHAnsi" w:hAnsi="Garamond"/>
          <w:color w:val="000000"/>
          <w:sz w:val="24"/>
          <w:szCs w:val="24"/>
          <w:lang w:val="sq-AL"/>
          <w14:ligatures w14:val="standardContextual"/>
        </w:rPr>
        <w:t xml:space="preserve"> </w:t>
      </w:r>
      <w:r w:rsidRPr="00DE770B">
        <w:rPr>
          <w:rFonts w:ascii="Garamond" w:eastAsiaTheme="minorHAnsi" w:hAnsi="Garamond"/>
          <w:color w:val="000000"/>
          <w:sz w:val="24"/>
          <w:szCs w:val="24"/>
          <w:lang w:val="sq-AL"/>
          <w14:ligatures w14:val="standardContextual"/>
        </w:rPr>
        <w:t xml:space="preserve">ankesave pranë Qeverisë së paditur, </w:t>
      </w:r>
      <w:r w:rsidR="00141C9F">
        <w:rPr>
          <w:rFonts w:ascii="Garamond" w:eastAsiaTheme="minorHAnsi" w:hAnsi="Garamond"/>
          <w:color w:val="000000"/>
          <w:sz w:val="24"/>
          <w:szCs w:val="24"/>
          <w:lang w:val="sq-AL"/>
          <w14:ligatures w14:val="standardContextual"/>
        </w:rPr>
        <w:t>m</w:t>
      </w:r>
      <w:r w:rsidRPr="00DE770B">
        <w:rPr>
          <w:rFonts w:ascii="Garamond" w:eastAsiaTheme="minorHAnsi" w:hAnsi="Garamond"/>
          <w:color w:val="000000"/>
          <w:sz w:val="24"/>
          <w:szCs w:val="24"/>
          <w:lang w:val="sq-AL"/>
          <w14:ligatures w14:val="standardContextual"/>
        </w:rPr>
        <w:t>ë 2021</w:t>
      </w:r>
      <w:r w:rsidR="00141C9F">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2023, kërkuesit parashtruan</w:t>
      </w:r>
      <w:r w:rsidR="00141C9F">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se ata</w:t>
      </w:r>
      <w:r w:rsidR="00141C9F">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i</w:t>
      </w:r>
      <w:r w:rsidR="00141C9F">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ishin bërë viktima të një “shpronësimi </w:t>
      </w:r>
      <w:r w:rsidRPr="00DE770B">
        <w:rPr>
          <w:rFonts w:ascii="Garamond" w:eastAsiaTheme="minorHAnsi" w:hAnsi="Garamond"/>
          <w:i/>
          <w:iCs/>
          <w:color w:val="000000"/>
          <w:sz w:val="24"/>
          <w:szCs w:val="24"/>
          <w:lang w:val="sq-AL"/>
          <w14:ligatures w14:val="standardContextual"/>
        </w:rPr>
        <w:t>de facto</w:t>
      </w:r>
      <w:r w:rsidRPr="00DE770B">
        <w:rPr>
          <w:rFonts w:ascii="Garamond" w:eastAsiaTheme="minorHAnsi" w:hAnsi="Garamond"/>
          <w:color w:val="000000"/>
          <w:sz w:val="24"/>
          <w:szCs w:val="24"/>
          <w:lang w:val="sq-AL"/>
          <w14:ligatures w14:val="standardContextual"/>
        </w:rPr>
        <w:t>”</w:t>
      </w:r>
      <w:r w:rsidR="00141C9F">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që kishte ndikuar negativisht në kapacitetin e tyre për të ushtruar pronësinë e tyre ndaj asaj toke, për shembull, duke e transferuar titullin e pronësisë te palë të tjera me anë të shitjes ose një transaksioni tjetër</w:t>
      </w:r>
      <w:r w:rsidR="00141C9F">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dhe ii</w:t>
      </w:r>
      <w:r w:rsidR="00141C9F">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kishin pësuar dëmtime të tjera në lidhje me vlerën e tregut të pronës së tyre. Gjykata konstaton, së pari, se parashtrimet synonin të vërtetonin pretendimin e tyre për kompensim të drejtë sipas </w:t>
      </w:r>
      <w:r w:rsidR="00141C9F" w:rsidRPr="00DE770B">
        <w:rPr>
          <w:rFonts w:ascii="Garamond" w:eastAsiaTheme="minorHAnsi" w:hAnsi="Garamond"/>
          <w:color w:val="000000"/>
          <w:sz w:val="24"/>
          <w:szCs w:val="24"/>
          <w:lang w:val="sq-AL"/>
          <w14:ligatures w14:val="standardContextual"/>
        </w:rPr>
        <w:t xml:space="preserve">nenit </w:t>
      </w:r>
      <w:r w:rsidRPr="00DE770B">
        <w:rPr>
          <w:rFonts w:ascii="Garamond" w:eastAsiaTheme="minorHAnsi" w:hAnsi="Garamond"/>
          <w:color w:val="000000"/>
          <w:sz w:val="24"/>
          <w:szCs w:val="24"/>
          <w:lang w:val="sq-AL"/>
          <w14:ligatures w14:val="standardContextual"/>
        </w:rPr>
        <w:t>41 të Konventës</w:t>
      </w:r>
      <w:r w:rsidR="00141C9F">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në lidhje me ankesat fillestare (shih paragrafin 4 më sipër dhe paragrafin 16 më poshtë). Së dyti, për sa i përket ankesës së veçantë të kërkuesve për kufizimet ndaj të drejtave të tyre ndaj pronës, kjo gjë nuk është një shtjellim i ankesave të bëra në vitin 2015, dhe është jashtë fushës së veprimit të çështjes konkrete, që iu komunikua Qeverisë së paditur në vitin 2021. Asgjë nuk i ndalonte kërkuesit që të ndryshonin në mënyrë të menjëhershme, në periudhën midis vitit 2015 dhe 2021, kërkesën e tyre që ishte pezull në Gjykatë, në lidhje me rrethanat dhe procedurat aktuale. Për çdo rast, </w:t>
      </w:r>
      <w:r w:rsidR="00141C9F">
        <w:rPr>
          <w:rFonts w:ascii="Garamond" w:eastAsiaTheme="minorHAnsi" w:hAnsi="Garamond"/>
          <w:color w:val="000000"/>
          <w:sz w:val="24"/>
          <w:szCs w:val="24"/>
          <w:lang w:val="sq-AL"/>
          <w14:ligatures w14:val="standardContextual"/>
        </w:rPr>
        <w:t xml:space="preserve">u </w:t>
      </w:r>
      <w:r w:rsidRPr="00DE770B">
        <w:rPr>
          <w:rFonts w:ascii="Garamond" w:eastAsiaTheme="minorHAnsi" w:hAnsi="Garamond"/>
          <w:color w:val="000000"/>
          <w:sz w:val="24"/>
          <w:szCs w:val="24"/>
          <w:lang w:val="sq-AL"/>
          <w14:ligatures w14:val="standardContextual"/>
        </w:rPr>
        <w:t xml:space="preserve">takonte kërkuesve që të paraqisnin një kërkesë të re pranë Gjykatës për këtë aspekt, në përputhje me kriteret e pranueshmërisë dhe </w:t>
      </w:r>
      <w:r w:rsidR="00477CBA" w:rsidRPr="00DE770B">
        <w:rPr>
          <w:rFonts w:ascii="Garamond" w:eastAsiaTheme="minorHAnsi" w:hAnsi="Garamond"/>
          <w:color w:val="000000"/>
          <w:sz w:val="24"/>
          <w:szCs w:val="24"/>
          <w:lang w:val="sq-AL"/>
          <w14:ligatures w14:val="standardContextual"/>
        </w:rPr>
        <w:t>rregull</w:t>
      </w:r>
      <w:r w:rsidR="00477CBA">
        <w:rPr>
          <w:rFonts w:ascii="Garamond" w:eastAsiaTheme="minorHAnsi" w:hAnsi="Garamond"/>
          <w:color w:val="000000"/>
          <w:sz w:val="24"/>
          <w:szCs w:val="24"/>
          <w:lang w:val="sq-AL"/>
          <w14:ligatures w14:val="standardContextual"/>
        </w:rPr>
        <w:t>ë</w:t>
      </w:r>
      <w:r w:rsidR="00477CBA" w:rsidRPr="00DE770B">
        <w:rPr>
          <w:rFonts w:ascii="Garamond" w:eastAsiaTheme="minorHAnsi" w:hAnsi="Garamond"/>
          <w:color w:val="000000"/>
          <w:sz w:val="24"/>
          <w:szCs w:val="24"/>
          <w:lang w:val="sq-AL"/>
          <w14:ligatures w14:val="standardContextual"/>
        </w:rPr>
        <w:t xml:space="preserve">n </w:t>
      </w:r>
      <w:r w:rsidRPr="00DE770B">
        <w:rPr>
          <w:rFonts w:ascii="Garamond" w:eastAsiaTheme="minorHAnsi" w:hAnsi="Garamond"/>
          <w:color w:val="000000"/>
          <w:sz w:val="24"/>
          <w:szCs w:val="24"/>
          <w:lang w:val="sq-AL"/>
          <w14:ligatures w14:val="standardContextual"/>
        </w:rPr>
        <w:t xml:space="preserve">47 të Rregullores së Gjykatës. </w:t>
      </w:r>
    </w:p>
    <w:p w14:paraId="33F497A0" w14:textId="50B1218D"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7. Gjykata ka juridiksion të shqyrtojë vetëm pranueshmërinë dhe meritat e ankesave fillestare (shih paragrafin 4 më sipër). </w:t>
      </w:r>
    </w:p>
    <w:p w14:paraId="766FCB24" w14:textId="5FA6CFA5" w:rsidR="0094300D" w:rsidRPr="00DE770B" w:rsidRDefault="0094300D" w:rsidP="0094300D">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DE770B">
        <w:rPr>
          <w:rFonts w:ascii="Garamond" w:eastAsiaTheme="minorHAnsi" w:hAnsi="Garamond"/>
          <w:b/>
          <w:bCs/>
          <w:color w:val="000000"/>
          <w:sz w:val="24"/>
          <w:szCs w:val="24"/>
          <w:lang w:val="sq-AL"/>
          <w14:ligatures w14:val="standardContextual"/>
        </w:rPr>
        <w:t xml:space="preserve">B. Pranueshmëria (në lidhje me moszbatimin e vendimit të datës 21 </w:t>
      </w:r>
      <w:r w:rsidR="0075426D" w:rsidRPr="00DE770B">
        <w:rPr>
          <w:rFonts w:ascii="Garamond" w:eastAsiaTheme="minorHAnsi" w:hAnsi="Garamond"/>
          <w:b/>
          <w:bCs/>
          <w:color w:val="000000"/>
          <w:sz w:val="24"/>
          <w:szCs w:val="24"/>
          <w:lang w:val="sq-AL"/>
          <w14:ligatures w14:val="standardContextual"/>
        </w:rPr>
        <w:t xml:space="preserve">shtator </w:t>
      </w:r>
      <w:r w:rsidRPr="00DE770B">
        <w:rPr>
          <w:rFonts w:ascii="Garamond" w:eastAsiaTheme="minorHAnsi" w:hAnsi="Garamond"/>
          <w:b/>
          <w:bCs/>
          <w:color w:val="000000"/>
          <w:sz w:val="24"/>
          <w:szCs w:val="24"/>
          <w:lang w:val="sq-AL"/>
          <w14:ligatures w14:val="standardContextual"/>
        </w:rPr>
        <w:t>2011)</w:t>
      </w:r>
    </w:p>
    <w:p w14:paraId="261C3EE8" w14:textId="4501B942" w:rsidR="0094300D" w:rsidRPr="00A03677" w:rsidRDefault="0094300D" w:rsidP="0094300D">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DE770B">
        <w:rPr>
          <w:rFonts w:ascii="Garamond" w:eastAsiaTheme="minorHAnsi" w:hAnsi="Garamond"/>
          <w:i/>
          <w:iCs/>
          <w:color w:val="000000"/>
          <w:sz w:val="24"/>
          <w:szCs w:val="24"/>
          <w:lang w:val="sq-AL"/>
          <w14:ligatures w14:val="standardContextual"/>
        </w:rPr>
        <w:t xml:space="preserve">1. Pajtueshmëria </w:t>
      </w:r>
      <w:r w:rsidRPr="00A03677">
        <w:rPr>
          <w:rFonts w:ascii="Garamond" w:eastAsiaTheme="minorHAnsi" w:hAnsi="Garamond"/>
          <w:i/>
          <w:iCs/>
          <w:color w:val="000000"/>
          <w:sz w:val="24"/>
          <w:szCs w:val="24"/>
          <w:lang w:val="sq-AL"/>
          <w14:ligatures w14:val="standardContextual"/>
        </w:rPr>
        <w:t>ratione personae dhe materiae</w:t>
      </w:r>
    </w:p>
    <w:p w14:paraId="12A54361" w14:textId="1D78CC2D"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8. Qeveria argumenton se kërkuesja e tretë (Flora Kalemi) nuk kishte qenë palë në procedurat gjyqësore dhe në këtë mënyrë nuk ishte në pozitën që të ankohej për moszbatimin e vendimit të formës së prerë të dhënë në ato procedura. Kërkuesja e tretë argumentoi se sipas nenit 200 (d) të Kodit Civil bashkëpronarët mund të kërkonin rikthimin e pjesës së tyre</w:t>
      </w:r>
      <w:r w:rsidR="0075426D">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si edhe të gjësë së zotëruar bashkërisht, që duhej t’i rikthehej të gjithë bashkëpronarëve. </w:t>
      </w:r>
    </w:p>
    <w:p w14:paraId="69169EE0" w14:textId="02B16279"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0A256D">
        <w:rPr>
          <w:rFonts w:ascii="Garamond" w:eastAsiaTheme="minorHAnsi" w:hAnsi="Garamond"/>
          <w:color w:val="000000"/>
          <w:sz w:val="24"/>
          <w:szCs w:val="24"/>
          <w:lang w:val="sq-AL"/>
          <w14:ligatures w14:val="standardContextual"/>
        </w:rPr>
        <w:t>9. Kërkuesit e parë dhe të dytë i ndoqën procedurat gjyqësore nën emrin e tyre</w:t>
      </w:r>
      <w:r w:rsidR="00766E93">
        <w:rPr>
          <w:rFonts w:ascii="Garamond" w:eastAsiaTheme="minorHAnsi" w:hAnsi="Garamond"/>
          <w:color w:val="000000"/>
          <w:sz w:val="24"/>
          <w:szCs w:val="24"/>
          <w:lang w:val="sq-AL"/>
          <w14:ligatures w14:val="standardContextual"/>
        </w:rPr>
        <w:t>,</w:t>
      </w:r>
      <w:r w:rsidRPr="000A256D">
        <w:rPr>
          <w:rFonts w:ascii="Garamond" w:eastAsiaTheme="minorHAnsi" w:hAnsi="Garamond"/>
          <w:color w:val="000000"/>
          <w:sz w:val="24"/>
          <w:szCs w:val="24"/>
          <w:lang w:val="sq-AL"/>
          <w14:ligatures w14:val="standardContextual"/>
        </w:rPr>
        <w:t xml:space="preserve"> me qëllimin për të mbrojtur të drejtat e tyre të pronësisë. Nuk rezulton se ata vepruan në emër të kërkueses së tretë. Nuk është e qartë nëse ata bënë ndonjë parashtrim specifik</w:t>
      </w:r>
      <w:r w:rsidR="00766E93">
        <w:rPr>
          <w:rFonts w:ascii="Garamond" w:eastAsiaTheme="minorHAnsi" w:hAnsi="Garamond"/>
          <w:color w:val="000000"/>
          <w:sz w:val="24"/>
          <w:szCs w:val="24"/>
          <w:lang w:val="sq-AL"/>
          <w14:ligatures w14:val="standardContextual"/>
        </w:rPr>
        <w:t>,</w:t>
      </w:r>
      <w:r w:rsidRPr="000A256D">
        <w:rPr>
          <w:rFonts w:ascii="Garamond" w:eastAsiaTheme="minorHAnsi" w:hAnsi="Garamond"/>
          <w:color w:val="000000"/>
          <w:sz w:val="24"/>
          <w:szCs w:val="24"/>
          <w:lang w:val="sq-AL"/>
          <w14:ligatures w14:val="standardContextual"/>
        </w:rPr>
        <w:t xml:space="preserve"> në lidhje me </w:t>
      </w:r>
      <w:r w:rsidR="00766E93" w:rsidRPr="000A256D">
        <w:rPr>
          <w:rFonts w:ascii="Garamond" w:eastAsiaTheme="minorHAnsi" w:hAnsi="Garamond"/>
          <w:color w:val="000000"/>
          <w:sz w:val="24"/>
          <w:szCs w:val="24"/>
          <w:lang w:val="sq-AL"/>
          <w14:ligatures w14:val="standardContextual"/>
        </w:rPr>
        <w:t xml:space="preserve">nenin </w:t>
      </w:r>
      <w:r w:rsidRPr="000A256D">
        <w:rPr>
          <w:rFonts w:ascii="Garamond" w:eastAsiaTheme="minorHAnsi" w:hAnsi="Garamond"/>
          <w:color w:val="000000"/>
          <w:sz w:val="24"/>
          <w:szCs w:val="24"/>
          <w:lang w:val="sq-AL"/>
          <w14:ligatures w14:val="standardContextual"/>
        </w:rPr>
        <w:t xml:space="preserve">200 të Kodit Civil. Kërkuesja e tretë nuk u përfshi as në procedurat si palë e interesuar dhe as si ndërhyrëse (krahaso me </w:t>
      </w:r>
      <w:r w:rsidRPr="000A256D">
        <w:rPr>
          <w:rFonts w:ascii="Garamond" w:eastAsiaTheme="minorHAnsi" w:hAnsi="Garamond"/>
          <w:i/>
          <w:iCs/>
          <w:color w:val="000000"/>
          <w:sz w:val="24"/>
          <w:szCs w:val="24"/>
          <w:lang w:val="sq-AL"/>
          <w14:ligatures w14:val="standardContextual"/>
        </w:rPr>
        <w:t>Mullai dhe të Tjerë kundër Shqipërisë</w:t>
      </w:r>
      <w:r w:rsidRPr="000A256D">
        <w:rPr>
          <w:rFonts w:ascii="Garamond" w:eastAsiaTheme="minorHAnsi" w:hAnsi="Garamond"/>
          <w:color w:val="000000"/>
          <w:sz w:val="24"/>
          <w:szCs w:val="24"/>
          <w:lang w:val="sq-AL"/>
          <w14:ligatures w14:val="standardContextual"/>
        </w:rPr>
        <w:t xml:space="preserve">, nr. 9074/07, §§ 65, 100, 102 dhe 109, 23 </w:t>
      </w:r>
      <w:r w:rsidR="00766E93" w:rsidRPr="000A256D">
        <w:rPr>
          <w:rFonts w:ascii="Garamond" w:eastAsiaTheme="minorHAnsi" w:hAnsi="Garamond"/>
          <w:color w:val="000000"/>
          <w:sz w:val="24"/>
          <w:szCs w:val="24"/>
          <w:lang w:val="sq-AL"/>
          <w14:ligatures w14:val="standardContextual"/>
        </w:rPr>
        <w:t xml:space="preserve">mars </w:t>
      </w:r>
      <w:r w:rsidRPr="000A256D">
        <w:rPr>
          <w:rFonts w:ascii="Garamond" w:eastAsiaTheme="minorHAnsi" w:hAnsi="Garamond"/>
          <w:color w:val="000000"/>
          <w:sz w:val="24"/>
          <w:szCs w:val="24"/>
          <w:lang w:val="sq-AL"/>
          <w14:ligatures w14:val="standardContextual"/>
        </w:rPr>
        <w:t>2010). Teksa</w:t>
      </w:r>
      <w:r w:rsidRPr="00DE770B">
        <w:rPr>
          <w:rFonts w:ascii="Garamond" w:eastAsiaTheme="minorHAnsi" w:hAnsi="Garamond"/>
          <w:color w:val="000000"/>
          <w:sz w:val="24"/>
          <w:szCs w:val="24"/>
          <w:lang w:val="sq-AL"/>
          <w14:ligatures w14:val="standardContextual"/>
        </w:rPr>
        <w:t xml:space="preserve"> të tre kërkuesit zotëronin një truall prej 1,031 met</w:t>
      </w:r>
      <w:r w:rsidR="00766E93">
        <w:rPr>
          <w:rFonts w:ascii="Garamond" w:eastAsiaTheme="minorHAnsi" w:hAnsi="Garamond"/>
          <w:color w:val="000000"/>
          <w:sz w:val="24"/>
          <w:szCs w:val="24"/>
          <w:lang w:val="sq-AL"/>
          <w14:ligatures w14:val="standardContextual"/>
        </w:rPr>
        <w:t>ra</w:t>
      </w:r>
      <w:r w:rsidRPr="00DE770B">
        <w:rPr>
          <w:rFonts w:ascii="Garamond" w:eastAsiaTheme="minorHAnsi" w:hAnsi="Garamond"/>
          <w:color w:val="000000"/>
          <w:sz w:val="24"/>
          <w:szCs w:val="24"/>
          <w:lang w:val="sq-AL"/>
          <w14:ligatures w14:val="standardContextual"/>
        </w:rPr>
        <w:t xml:space="preserve"> katrorë</w:t>
      </w:r>
      <w:r w:rsidR="0023631E">
        <w:rPr>
          <w:rFonts w:ascii="Garamond" w:eastAsiaTheme="minorHAnsi" w:hAnsi="Garamond"/>
          <w:color w:val="000000"/>
          <w:sz w:val="24"/>
          <w:szCs w:val="24"/>
          <w:lang w:val="sq-AL"/>
          <w14:ligatures w14:val="standardContextual"/>
        </w:rPr>
        <w:t>sh</w:t>
      </w:r>
      <w:r w:rsidRPr="00DE770B">
        <w:rPr>
          <w:rFonts w:ascii="Garamond" w:eastAsiaTheme="minorHAnsi" w:hAnsi="Garamond"/>
          <w:color w:val="000000"/>
          <w:sz w:val="24"/>
          <w:szCs w:val="24"/>
          <w:lang w:val="sq-AL"/>
          <w14:ligatures w14:val="standardContextual"/>
        </w:rPr>
        <w:t>, gjetjet e gjykatave vend</w:t>
      </w:r>
      <w:r w:rsidR="0023631E">
        <w:rPr>
          <w:rFonts w:ascii="Garamond" w:eastAsiaTheme="minorHAnsi" w:hAnsi="Garamond"/>
          <w:color w:val="000000"/>
          <w:sz w:val="24"/>
          <w:szCs w:val="24"/>
          <w:lang w:val="sq-AL"/>
          <w14:ligatures w14:val="standardContextual"/>
        </w:rPr>
        <w:t>ë</w:t>
      </w:r>
      <w:r w:rsidRPr="00DE770B">
        <w:rPr>
          <w:rFonts w:ascii="Garamond" w:eastAsiaTheme="minorHAnsi" w:hAnsi="Garamond"/>
          <w:color w:val="000000"/>
          <w:sz w:val="24"/>
          <w:szCs w:val="24"/>
          <w:lang w:val="sq-AL"/>
          <w14:ligatures w14:val="standardContextual"/>
        </w:rPr>
        <w:t>se kishin të bënin vetëm për një parcelë me një sipërfaqe prej 622 met</w:t>
      </w:r>
      <w:r w:rsidR="0023631E">
        <w:rPr>
          <w:rFonts w:ascii="Garamond" w:eastAsiaTheme="minorHAnsi" w:hAnsi="Garamond"/>
          <w:color w:val="000000"/>
          <w:sz w:val="24"/>
          <w:szCs w:val="24"/>
          <w:lang w:val="sq-AL"/>
          <w14:ligatures w14:val="standardContextual"/>
        </w:rPr>
        <w:t>ra</w:t>
      </w:r>
      <w:r w:rsidRPr="00DE770B">
        <w:rPr>
          <w:rFonts w:ascii="Garamond" w:eastAsiaTheme="minorHAnsi" w:hAnsi="Garamond"/>
          <w:color w:val="000000"/>
          <w:sz w:val="24"/>
          <w:szCs w:val="24"/>
          <w:lang w:val="sq-AL"/>
          <w14:ligatures w14:val="standardContextual"/>
        </w:rPr>
        <w:t xml:space="preserve"> katrorë</w:t>
      </w:r>
      <w:r w:rsidR="0023631E">
        <w:rPr>
          <w:rFonts w:ascii="Garamond" w:eastAsiaTheme="minorHAnsi" w:hAnsi="Garamond"/>
          <w:color w:val="000000"/>
          <w:sz w:val="24"/>
          <w:szCs w:val="24"/>
          <w:lang w:val="sq-AL"/>
          <w14:ligatures w14:val="standardContextual"/>
        </w:rPr>
        <w:t>sh,</w:t>
      </w:r>
      <w:r w:rsidRPr="00DE770B">
        <w:rPr>
          <w:rFonts w:ascii="Garamond" w:eastAsiaTheme="minorHAnsi" w:hAnsi="Garamond"/>
          <w:color w:val="000000"/>
          <w:sz w:val="24"/>
          <w:szCs w:val="24"/>
          <w:lang w:val="sq-AL"/>
          <w14:ligatures w14:val="standardContextual"/>
        </w:rPr>
        <w:t xml:space="preserve"> që duhej t’i kthehej paditësve (kërkuesi i parë dhe i dytë). Nuk është provuar në mënyrë bindëse se interesat pronësor</w:t>
      </w:r>
      <w:r w:rsidR="0023631E">
        <w:rPr>
          <w:rFonts w:ascii="Garamond" w:eastAsiaTheme="minorHAnsi" w:hAnsi="Garamond"/>
          <w:color w:val="000000"/>
          <w:sz w:val="24"/>
          <w:szCs w:val="24"/>
          <w:lang w:val="sq-AL"/>
          <w14:ligatures w14:val="standardContextual"/>
        </w:rPr>
        <w:t>ë</w:t>
      </w:r>
      <w:r w:rsidRPr="00DE770B">
        <w:rPr>
          <w:rFonts w:ascii="Garamond" w:eastAsiaTheme="minorHAnsi" w:hAnsi="Garamond"/>
          <w:color w:val="000000"/>
          <w:sz w:val="24"/>
          <w:szCs w:val="24"/>
          <w:lang w:val="sq-AL"/>
          <w14:ligatures w14:val="standardContextual"/>
        </w:rPr>
        <w:t xml:space="preserve"> të kërkueses së tretë ndikoheshin në mënyrë të drejtpërdrejtë nga moszbatimi i vendimit të datës 21 </w:t>
      </w:r>
      <w:r w:rsidR="0023631E" w:rsidRPr="00DE770B">
        <w:rPr>
          <w:rFonts w:ascii="Garamond" w:eastAsiaTheme="minorHAnsi" w:hAnsi="Garamond"/>
          <w:color w:val="000000"/>
          <w:sz w:val="24"/>
          <w:szCs w:val="24"/>
          <w:lang w:val="sq-AL"/>
          <w14:ligatures w14:val="standardContextual"/>
        </w:rPr>
        <w:t xml:space="preserve">shtator </w:t>
      </w:r>
      <w:r w:rsidRPr="00DE770B">
        <w:rPr>
          <w:rFonts w:ascii="Garamond" w:eastAsiaTheme="minorHAnsi" w:hAnsi="Garamond"/>
          <w:color w:val="000000"/>
          <w:sz w:val="24"/>
          <w:szCs w:val="24"/>
          <w:lang w:val="sq-AL"/>
          <w14:ligatures w14:val="standardContextual"/>
        </w:rPr>
        <w:t>2011</w:t>
      </w:r>
      <w:r w:rsidR="0023631E">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në lidhje me atë parcelë. Në vijim, ankesat e kërkueses së tretë nuk janë të pajtueshme </w:t>
      </w:r>
      <w:r w:rsidRPr="00DE770B">
        <w:rPr>
          <w:rFonts w:ascii="Garamond" w:eastAsiaTheme="minorHAnsi" w:hAnsi="Garamond"/>
          <w:i/>
          <w:iCs/>
          <w:color w:val="000000"/>
          <w:sz w:val="24"/>
          <w:szCs w:val="24"/>
          <w:lang w:val="sq-AL"/>
          <w14:ligatures w14:val="standardContextual"/>
        </w:rPr>
        <w:t>ratione personae</w:t>
      </w:r>
      <w:r w:rsidRPr="00DE770B">
        <w:rPr>
          <w:rFonts w:ascii="Garamond" w:eastAsiaTheme="minorHAnsi" w:hAnsi="Garamond"/>
          <w:color w:val="000000"/>
          <w:sz w:val="24"/>
          <w:szCs w:val="24"/>
          <w:lang w:val="sq-AL"/>
          <w14:ligatures w14:val="standardContextual"/>
        </w:rPr>
        <w:t xml:space="preserve"> dhe </w:t>
      </w:r>
      <w:r w:rsidRPr="00DE770B">
        <w:rPr>
          <w:rFonts w:ascii="Garamond" w:eastAsiaTheme="minorHAnsi" w:hAnsi="Garamond"/>
          <w:i/>
          <w:iCs/>
          <w:color w:val="000000"/>
          <w:sz w:val="24"/>
          <w:szCs w:val="24"/>
          <w:lang w:val="sq-AL"/>
          <w14:ligatures w14:val="standardContextual"/>
        </w:rPr>
        <w:t xml:space="preserve">materiae </w:t>
      </w:r>
      <w:r w:rsidRPr="00DE770B">
        <w:rPr>
          <w:rFonts w:ascii="Garamond" w:eastAsiaTheme="minorHAnsi" w:hAnsi="Garamond"/>
          <w:color w:val="000000"/>
          <w:sz w:val="24"/>
          <w:szCs w:val="24"/>
          <w:lang w:val="sq-AL"/>
          <w14:ligatures w14:val="standardContextual"/>
        </w:rPr>
        <w:t xml:space="preserve">dhe duhet të rrëzohen në përputhje me </w:t>
      </w:r>
      <w:r w:rsidR="0023631E" w:rsidRPr="00DE770B">
        <w:rPr>
          <w:rFonts w:ascii="Garamond" w:eastAsiaTheme="minorHAnsi" w:hAnsi="Garamond"/>
          <w:color w:val="000000"/>
          <w:sz w:val="24"/>
          <w:szCs w:val="24"/>
          <w:lang w:val="sq-AL"/>
          <w14:ligatures w14:val="standardContextual"/>
        </w:rPr>
        <w:t xml:space="preserve">nenin </w:t>
      </w:r>
      <w:r w:rsidRPr="00DE770B">
        <w:rPr>
          <w:rFonts w:ascii="Garamond" w:eastAsiaTheme="minorHAnsi" w:hAnsi="Garamond"/>
          <w:color w:val="000000"/>
          <w:sz w:val="24"/>
          <w:szCs w:val="24"/>
          <w:lang w:val="sq-AL"/>
          <w14:ligatures w14:val="standardContextual"/>
        </w:rPr>
        <w:t xml:space="preserve">35 §§ 3 (a) dhe 4 të Konventës. </w:t>
      </w:r>
    </w:p>
    <w:p w14:paraId="7B214443" w14:textId="11C93B22"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i/>
          <w:iCs/>
          <w:color w:val="000000"/>
          <w:sz w:val="24"/>
          <w:szCs w:val="24"/>
          <w:lang w:val="sq-AL"/>
          <w14:ligatures w14:val="standardContextual"/>
        </w:rPr>
        <w:t>2. Shterimi i mjeteve vend</w:t>
      </w:r>
      <w:r w:rsidR="0023631E">
        <w:rPr>
          <w:rFonts w:ascii="Garamond" w:eastAsiaTheme="minorHAnsi" w:hAnsi="Garamond"/>
          <w:i/>
          <w:iCs/>
          <w:color w:val="000000"/>
          <w:sz w:val="24"/>
          <w:szCs w:val="24"/>
          <w:lang w:val="sq-AL"/>
          <w14:ligatures w14:val="standardContextual"/>
        </w:rPr>
        <w:t>ë</w:t>
      </w:r>
      <w:r w:rsidRPr="00DE770B">
        <w:rPr>
          <w:rFonts w:ascii="Garamond" w:eastAsiaTheme="minorHAnsi" w:hAnsi="Garamond"/>
          <w:i/>
          <w:iCs/>
          <w:color w:val="000000"/>
          <w:sz w:val="24"/>
          <w:szCs w:val="24"/>
          <w:lang w:val="sq-AL"/>
          <w14:ligatures w14:val="standardContextual"/>
        </w:rPr>
        <w:t xml:space="preserve">se </w:t>
      </w:r>
    </w:p>
    <w:p w14:paraId="4644C463" w14:textId="77777777" w:rsidR="0094300D" w:rsidRPr="00DE770B" w:rsidRDefault="0094300D" w:rsidP="0094300D">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p>
    <w:p w14:paraId="572EE228" w14:textId="013BD0BF"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10. Në parashtrimet e tyre të vitit 2024, Qeveria argumentoi se në procedurat fillestare, me kërkesë të kërkuesve, gjykatat kishin ndërprerë shqyrtimin e kërkesës pasurore. Sipas gjetjeve në paragrafët 4</w:t>
      </w:r>
      <w:r w:rsidR="002124D3">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7 më sipër, Gjykata konstaton se ky argument nuk lidhet me ankesat që janë nën fushën e veprimit të çështjes konkrete (për moszbatimin e vendimit përfundimtar të datës 21 </w:t>
      </w:r>
      <w:r w:rsidR="0023631E" w:rsidRPr="00DE770B">
        <w:rPr>
          <w:rFonts w:ascii="Garamond" w:eastAsiaTheme="minorHAnsi" w:hAnsi="Garamond"/>
          <w:color w:val="000000"/>
          <w:sz w:val="24"/>
          <w:szCs w:val="24"/>
          <w:lang w:val="sq-AL"/>
          <w14:ligatures w14:val="standardContextual"/>
        </w:rPr>
        <w:t xml:space="preserve">shtator </w:t>
      </w:r>
      <w:r w:rsidRPr="00DE770B">
        <w:rPr>
          <w:rFonts w:ascii="Garamond" w:eastAsiaTheme="minorHAnsi" w:hAnsi="Garamond"/>
          <w:color w:val="000000"/>
          <w:sz w:val="24"/>
          <w:szCs w:val="24"/>
          <w:lang w:val="sq-AL"/>
          <w14:ligatures w14:val="standardContextual"/>
        </w:rPr>
        <w:t xml:space="preserve">2011). </w:t>
      </w:r>
    </w:p>
    <w:p w14:paraId="6A796605" w14:textId="43FDD89E"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i/>
          <w:iCs/>
          <w:color w:val="000000"/>
          <w:sz w:val="24"/>
          <w:szCs w:val="24"/>
          <w:lang w:val="sq-AL"/>
          <w14:ligatures w14:val="standardContextual"/>
        </w:rPr>
        <w:t xml:space="preserve">3. Përfundim </w:t>
      </w:r>
    </w:p>
    <w:p w14:paraId="4A31A9C2" w14:textId="565F5681"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11. Gjykata vëren se ankesat e kërkuesve të parë dhe të dytë nuk janë të pambështetura në fakte ose të papranueshme për ndonjë arsye tjetër. Për këtë arsye, ato duhet të deklarohen të pranueshme. </w:t>
      </w:r>
    </w:p>
    <w:p w14:paraId="36BC23F7" w14:textId="1A558372"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b/>
          <w:bCs/>
          <w:color w:val="000000"/>
          <w:sz w:val="24"/>
          <w:szCs w:val="24"/>
          <w:lang w:val="sq-AL"/>
          <w14:ligatures w14:val="standardContextual"/>
        </w:rPr>
        <w:t xml:space="preserve">C. Meritat </w:t>
      </w:r>
    </w:p>
    <w:p w14:paraId="5F62F94C" w14:textId="35654EA3"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12. Në lidhje me gjetjet në paragrafin 5 më sipër, parimet e zbatueshme dhe </w:t>
      </w:r>
      <w:r w:rsidR="002124D3">
        <w:rPr>
          <w:rFonts w:ascii="Garamond" w:eastAsiaTheme="minorHAnsi" w:hAnsi="Garamond"/>
          <w:color w:val="000000"/>
          <w:sz w:val="24"/>
          <w:szCs w:val="24"/>
          <w:lang w:val="sq-AL"/>
          <w14:ligatures w14:val="standardContextual"/>
        </w:rPr>
        <w:t xml:space="preserve">të </w:t>
      </w:r>
      <w:r w:rsidRPr="00DE770B">
        <w:rPr>
          <w:rFonts w:ascii="Garamond" w:eastAsiaTheme="minorHAnsi" w:hAnsi="Garamond"/>
          <w:color w:val="000000"/>
          <w:sz w:val="24"/>
          <w:szCs w:val="24"/>
          <w:lang w:val="sq-AL"/>
          <w14:ligatures w14:val="standardContextual"/>
        </w:rPr>
        <w:t xml:space="preserve">praktikës gjyqësore përkatëse (shih midis të tjerash, </w:t>
      </w:r>
      <w:r w:rsidRPr="00DE770B">
        <w:rPr>
          <w:rFonts w:ascii="Garamond" w:eastAsiaTheme="minorHAnsi" w:hAnsi="Garamond"/>
          <w:i/>
          <w:iCs/>
          <w:color w:val="000000"/>
          <w:sz w:val="24"/>
          <w:szCs w:val="24"/>
          <w:lang w:val="sq-AL"/>
          <w14:ligatures w14:val="standardContextual"/>
        </w:rPr>
        <w:t xml:space="preserve">Gjyli kundër Shqipërisë, </w:t>
      </w:r>
      <w:r w:rsidRPr="00DE770B">
        <w:rPr>
          <w:rFonts w:ascii="Garamond" w:eastAsiaTheme="minorHAnsi" w:hAnsi="Garamond"/>
          <w:color w:val="000000"/>
          <w:sz w:val="24"/>
          <w:szCs w:val="24"/>
          <w:lang w:val="sq-AL"/>
          <w14:ligatures w14:val="standardContextual"/>
        </w:rPr>
        <w:t xml:space="preserve">nr. 32907/07, §§ 43-47, 29 </w:t>
      </w:r>
      <w:r w:rsidR="002124D3" w:rsidRPr="00DE770B">
        <w:rPr>
          <w:rFonts w:ascii="Garamond" w:eastAsiaTheme="minorHAnsi" w:hAnsi="Garamond"/>
          <w:color w:val="000000"/>
          <w:sz w:val="24"/>
          <w:szCs w:val="24"/>
          <w:lang w:val="sq-AL"/>
          <w14:ligatures w14:val="standardContextual"/>
        </w:rPr>
        <w:t xml:space="preserve">shtator </w:t>
      </w:r>
      <w:r w:rsidRPr="00DE770B">
        <w:rPr>
          <w:rFonts w:ascii="Garamond" w:eastAsiaTheme="minorHAnsi" w:hAnsi="Garamond"/>
          <w:color w:val="000000"/>
          <w:sz w:val="24"/>
          <w:szCs w:val="24"/>
          <w:lang w:val="sq-AL"/>
          <w14:ligatures w14:val="standardContextual"/>
        </w:rPr>
        <w:t xml:space="preserve">2009, dhe </w:t>
      </w:r>
      <w:r w:rsidRPr="00DE770B">
        <w:rPr>
          <w:rFonts w:ascii="Garamond" w:eastAsiaTheme="minorHAnsi" w:hAnsi="Garamond"/>
          <w:i/>
          <w:iCs/>
          <w:color w:val="000000"/>
          <w:sz w:val="24"/>
          <w:szCs w:val="24"/>
          <w:lang w:val="sq-AL"/>
          <w14:ligatures w14:val="standardContextual"/>
        </w:rPr>
        <w:t>Gerasimov dhe të Tjerë kundër Rusisë</w:t>
      </w:r>
      <w:r w:rsidRPr="00DE770B">
        <w:rPr>
          <w:rFonts w:ascii="Garamond" w:eastAsiaTheme="minorHAnsi" w:hAnsi="Garamond"/>
          <w:color w:val="000000"/>
          <w:sz w:val="24"/>
          <w:szCs w:val="24"/>
          <w:lang w:val="sq-AL"/>
          <w14:ligatures w14:val="standardContextual"/>
        </w:rPr>
        <w:t xml:space="preserve">, nr. 29920/05, dhe 10 të tjerë, §§ 167-74, dhe 182-83, 1 </w:t>
      </w:r>
      <w:r w:rsidR="002124D3" w:rsidRPr="00DE770B">
        <w:rPr>
          <w:rFonts w:ascii="Garamond" w:eastAsiaTheme="minorHAnsi" w:hAnsi="Garamond"/>
          <w:color w:val="000000"/>
          <w:sz w:val="24"/>
          <w:szCs w:val="24"/>
          <w:lang w:val="sq-AL"/>
          <w14:ligatures w14:val="standardContextual"/>
        </w:rPr>
        <w:t xml:space="preserve">korrik </w:t>
      </w:r>
      <w:r w:rsidRPr="00DE770B">
        <w:rPr>
          <w:rFonts w:ascii="Garamond" w:eastAsiaTheme="minorHAnsi" w:hAnsi="Garamond"/>
          <w:color w:val="000000"/>
          <w:sz w:val="24"/>
          <w:szCs w:val="24"/>
          <w:lang w:val="sq-AL"/>
          <w14:ligatures w14:val="standardContextual"/>
        </w:rPr>
        <w:t xml:space="preserve">2014), Gjykata gjykon se Shteti i paditur nuk bëri të gjitha përpjekjet për të zbatuar plotësisht dhe brenda afatit vendimin e datës 21 </w:t>
      </w:r>
      <w:r w:rsidR="002124D3" w:rsidRPr="00DE770B">
        <w:rPr>
          <w:rFonts w:ascii="Garamond" w:eastAsiaTheme="minorHAnsi" w:hAnsi="Garamond"/>
          <w:color w:val="000000"/>
          <w:sz w:val="24"/>
          <w:szCs w:val="24"/>
          <w:lang w:val="sq-AL"/>
          <w14:ligatures w14:val="standardContextual"/>
        </w:rPr>
        <w:t xml:space="preserve">shtator </w:t>
      </w:r>
      <w:r w:rsidRPr="00DE770B">
        <w:rPr>
          <w:rFonts w:ascii="Garamond" w:eastAsiaTheme="minorHAnsi" w:hAnsi="Garamond"/>
          <w:color w:val="000000"/>
          <w:sz w:val="24"/>
          <w:szCs w:val="24"/>
          <w:lang w:val="sq-AL"/>
          <w14:ligatures w14:val="standardContextual"/>
        </w:rPr>
        <w:t>2011 të lën</w:t>
      </w:r>
      <w:r w:rsidR="002124D3">
        <w:rPr>
          <w:rFonts w:ascii="Garamond" w:eastAsiaTheme="minorHAnsi" w:hAnsi="Garamond"/>
          <w:color w:val="000000"/>
          <w:sz w:val="24"/>
          <w:szCs w:val="24"/>
          <w:lang w:val="sq-AL"/>
          <w14:ligatures w14:val="standardContextual"/>
        </w:rPr>
        <w:t>a</w:t>
      </w:r>
      <w:r w:rsidRPr="00DE770B">
        <w:rPr>
          <w:rFonts w:ascii="Garamond" w:eastAsiaTheme="minorHAnsi" w:hAnsi="Garamond"/>
          <w:color w:val="000000"/>
          <w:sz w:val="24"/>
          <w:szCs w:val="24"/>
          <w:lang w:val="sq-AL"/>
          <w14:ligatures w14:val="standardContextual"/>
        </w:rPr>
        <w:t xml:space="preserve"> në fuqi në apel më 30 </w:t>
      </w:r>
      <w:r w:rsidR="002124D3" w:rsidRPr="00DE770B">
        <w:rPr>
          <w:rFonts w:ascii="Garamond" w:eastAsiaTheme="minorHAnsi" w:hAnsi="Garamond"/>
          <w:color w:val="000000"/>
          <w:sz w:val="24"/>
          <w:szCs w:val="24"/>
          <w:lang w:val="sq-AL"/>
          <w14:ligatures w14:val="standardContextual"/>
        </w:rPr>
        <w:t xml:space="preserve">qershor </w:t>
      </w:r>
      <w:r w:rsidRPr="00DE770B">
        <w:rPr>
          <w:rFonts w:ascii="Garamond" w:eastAsiaTheme="minorHAnsi" w:hAnsi="Garamond"/>
          <w:color w:val="000000"/>
          <w:sz w:val="24"/>
          <w:szCs w:val="24"/>
          <w:lang w:val="sq-AL"/>
          <w14:ligatures w14:val="standardContextual"/>
        </w:rPr>
        <w:t xml:space="preserve">2014, si në </w:t>
      </w:r>
      <w:r w:rsidR="002124D3" w:rsidRPr="00DE770B">
        <w:rPr>
          <w:rFonts w:ascii="Garamond" w:eastAsiaTheme="minorHAnsi" w:hAnsi="Garamond"/>
          <w:color w:val="000000"/>
          <w:sz w:val="24"/>
          <w:szCs w:val="24"/>
          <w:lang w:val="sq-AL"/>
          <w14:ligatures w14:val="standardContextual"/>
        </w:rPr>
        <w:t xml:space="preserve">tetor </w:t>
      </w:r>
      <w:r w:rsidRPr="00DE770B">
        <w:rPr>
          <w:rFonts w:ascii="Garamond" w:eastAsiaTheme="minorHAnsi" w:hAnsi="Garamond"/>
          <w:color w:val="000000"/>
          <w:sz w:val="24"/>
          <w:szCs w:val="24"/>
          <w:lang w:val="sq-AL"/>
          <w14:ligatures w14:val="standardContextual"/>
        </w:rPr>
        <w:t xml:space="preserve">2014 dhe në </w:t>
      </w:r>
      <w:r w:rsidR="002124D3" w:rsidRPr="00DE770B">
        <w:rPr>
          <w:rFonts w:ascii="Garamond" w:eastAsiaTheme="minorHAnsi" w:hAnsi="Garamond"/>
          <w:color w:val="000000"/>
          <w:sz w:val="24"/>
          <w:szCs w:val="24"/>
          <w:lang w:val="sq-AL"/>
          <w14:ligatures w14:val="standardContextual"/>
        </w:rPr>
        <w:t xml:space="preserve">nëntor </w:t>
      </w:r>
      <w:r w:rsidRPr="00DE770B">
        <w:rPr>
          <w:rFonts w:ascii="Garamond" w:eastAsiaTheme="minorHAnsi" w:hAnsi="Garamond"/>
          <w:color w:val="000000"/>
          <w:sz w:val="24"/>
          <w:szCs w:val="24"/>
          <w:lang w:val="sq-AL"/>
          <w14:ligatures w14:val="standardContextual"/>
        </w:rPr>
        <w:t xml:space="preserve">2015 dhe në vijim. Qeveria nuk ka argumentuar ndryshe. </w:t>
      </w:r>
    </w:p>
    <w:p w14:paraId="7302B7B1" w14:textId="64D6BE66"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13. Për këtë arsye, është shkelur </w:t>
      </w:r>
      <w:r w:rsidR="002124D3" w:rsidRPr="00DE770B">
        <w:rPr>
          <w:rFonts w:ascii="Garamond" w:eastAsiaTheme="minorHAnsi" w:hAnsi="Garamond"/>
          <w:color w:val="000000"/>
          <w:sz w:val="24"/>
          <w:szCs w:val="24"/>
          <w:lang w:val="sq-AL"/>
          <w14:ligatures w14:val="standardContextual"/>
        </w:rPr>
        <w:t xml:space="preserve">neni </w:t>
      </w:r>
      <w:r w:rsidRPr="00DE770B">
        <w:rPr>
          <w:rFonts w:ascii="Garamond" w:eastAsiaTheme="minorHAnsi" w:hAnsi="Garamond"/>
          <w:color w:val="000000"/>
          <w:sz w:val="24"/>
          <w:szCs w:val="24"/>
          <w:lang w:val="sq-AL"/>
          <w14:ligatures w14:val="standardContextual"/>
        </w:rPr>
        <w:t xml:space="preserve">6 § 1 i Konventës dhe </w:t>
      </w:r>
      <w:r w:rsidR="002124D3" w:rsidRPr="00DE770B">
        <w:rPr>
          <w:rFonts w:ascii="Garamond" w:eastAsiaTheme="minorHAnsi" w:hAnsi="Garamond"/>
          <w:color w:val="000000"/>
          <w:sz w:val="24"/>
          <w:szCs w:val="24"/>
          <w:lang w:val="sq-AL"/>
          <w14:ligatures w14:val="standardContextual"/>
        </w:rPr>
        <w:t xml:space="preserve">neni </w:t>
      </w:r>
      <w:r w:rsidRPr="00DE770B">
        <w:rPr>
          <w:rFonts w:ascii="Garamond" w:eastAsiaTheme="minorHAnsi" w:hAnsi="Garamond"/>
          <w:color w:val="000000"/>
          <w:sz w:val="24"/>
          <w:szCs w:val="24"/>
          <w:lang w:val="sq-AL"/>
          <w14:ligatures w14:val="standardContextual"/>
        </w:rPr>
        <w:t xml:space="preserve">1 i </w:t>
      </w:r>
      <w:r w:rsidR="002124D3" w:rsidRPr="00DE770B">
        <w:rPr>
          <w:rFonts w:ascii="Garamond" w:eastAsiaTheme="minorHAnsi" w:hAnsi="Garamond"/>
          <w:color w:val="000000"/>
          <w:sz w:val="24"/>
          <w:szCs w:val="24"/>
          <w:lang w:val="sq-AL"/>
          <w14:ligatures w14:val="standardContextual"/>
        </w:rPr>
        <w:t>protokollit nr</w:t>
      </w:r>
      <w:r w:rsidRPr="00DE770B">
        <w:rPr>
          <w:rFonts w:ascii="Garamond" w:eastAsiaTheme="minorHAnsi" w:hAnsi="Garamond"/>
          <w:color w:val="000000"/>
          <w:sz w:val="24"/>
          <w:szCs w:val="24"/>
          <w:lang w:val="sq-AL"/>
          <w14:ligatures w14:val="standardContextual"/>
        </w:rPr>
        <w:t>. 1 të Konventës</w:t>
      </w:r>
      <w:r w:rsidR="002124D3">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në lidhje me kërkuesit e parë dhe të dytë për moszbatimin e vendimit. </w:t>
      </w:r>
    </w:p>
    <w:p w14:paraId="2ABF8484" w14:textId="2C792C9F"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II. PRETENDIMI PËR SHKELJE TË NENIT 13 TË KONVENTËS</w:t>
      </w:r>
      <w:r w:rsidR="00DA547D" w:rsidRPr="00DE770B">
        <w:rPr>
          <w:rFonts w:ascii="Garamond" w:eastAsiaTheme="minorHAnsi" w:hAnsi="Garamond"/>
          <w:color w:val="000000"/>
          <w:sz w:val="24"/>
          <w:szCs w:val="24"/>
          <w:lang w:val="sq-AL"/>
          <w14:ligatures w14:val="standardContextual"/>
        </w:rPr>
        <w:t xml:space="preserve"> </w:t>
      </w:r>
      <w:r w:rsidRPr="00DE770B">
        <w:rPr>
          <w:rFonts w:ascii="Garamond" w:eastAsiaTheme="minorHAnsi" w:hAnsi="Garamond"/>
          <w:color w:val="000000"/>
          <w:sz w:val="24"/>
          <w:szCs w:val="24"/>
          <w:lang w:val="sq-AL"/>
          <w14:ligatures w14:val="standardContextual"/>
        </w:rPr>
        <w:t xml:space="preserve"> </w:t>
      </w:r>
    </w:p>
    <w:p w14:paraId="3B2F276A" w14:textId="0DA65ED5"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14. Duke pasur në konsideratë faktet e çështjes, parashtrimet e palëve dhe gjetjet e saj përmendur më sipër, Gjykata ka shqyrtuar çështjet kryesore ligjore të paraqitura në çështjen konkrete dhe konstaton se nuk është e nevojshme që të jepet një vendim i veçantë për këtë ankesë për sa </w:t>
      </w:r>
      <w:r w:rsidR="002124D3">
        <w:rPr>
          <w:rFonts w:ascii="Garamond" w:eastAsiaTheme="minorHAnsi" w:hAnsi="Garamond"/>
          <w:color w:val="000000"/>
          <w:sz w:val="24"/>
          <w:szCs w:val="24"/>
          <w:lang w:val="sq-AL"/>
          <w14:ligatures w14:val="standardContextual"/>
        </w:rPr>
        <w:t>u</w:t>
      </w:r>
      <w:r w:rsidRPr="00DE770B">
        <w:rPr>
          <w:rFonts w:ascii="Garamond" w:eastAsiaTheme="minorHAnsi" w:hAnsi="Garamond"/>
          <w:color w:val="000000"/>
          <w:sz w:val="24"/>
          <w:szCs w:val="24"/>
          <w:lang w:val="sq-AL"/>
          <w14:ligatures w14:val="standardContextual"/>
        </w:rPr>
        <w:t xml:space="preserve"> përket kërkuesve të parë dhe të dytë (shih </w:t>
      </w:r>
      <w:r w:rsidRPr="00DE770B">
        <w:rPr>
          <w:rFonts w:ascii="Garamond" w:eastAsiaTheme="minorHAnsi" w:hAnsi="Garamond"/>
          <w:i/>
          <w:iCs/>
          <w:color w:val="000000"/>
          <w:sz w:val="24"/>
          <w:szCs w:val="24"/>
          <w:lang w:val="sq-AL"/>
          <w14:ligatures w14:val="standardContextual"/>
        </w:rPr>
        <w:t xml:space="preserve">Qendra për Burimet Ligjore në emër të Valentin Câmpeanu kundër Rumanisë </w:t>
      </w:r>
      <w:r w:rsidRPr="00DE770B">
        <w:rPr>
          <w:rFonts w:ascii="Garamond" w:eastAsiaTheme="minorHAnsi" w:hAnsi="Garamond"/>
          <w:color w:val="000000"/>
          <w:sz w:val="24"/>
          <w:szCs w:val="24"/>
          <w:lang w:val="sq-AL"/>
          <w14:ligatures w14:val="standardContextual"/>
        </w:rPr>
        <w:t>[DHM]</w:t>
      </w:r>
      <w:bookmarkStart w:id="0" w:name="_GoBack"/>
      <w:bookmarkEnd w:id="0"/>
      <w:r w:rsidRPr="00DE770B">
        <w:rPr>
          <w:rFonts w:ascii="Garamond" w:eastAsiaTheme="minorHAnsi" w:hAnsi="Garamond"/>
          <w:color w:val="000000"/>
          <w:sz w:val="24"/>
          <w:szCs w:val="24"/>
          <w:lang w:val="sq-AL"/>
          <w14:ligatures w14:val="standardContextual"/>
        </w:rPr>
        <w:t xml:space="preserve"> nr. 47848/08, § 156, GJEDNJ 2014). </w:t>
      </w:r>
    </w:p>
    <w:p w14:paraId="4266E9C3" w14:textId="1A17156E"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15. Për sa i përket konstatimit në paragrafin 9 më sipër, ankesa e kërkueses së tretë duhet të rrëzohet në përputhje me </w:t>
      </w:r>
      <w:r w:rsidR="00E607F2" w:rsidRPr="00DE770B">
        <w:rPr>
          <w:rFonts w:ascii="Garamond" w:eastAsiaTheme="minorHAnsi" w:hAnsi="Garamond"/>
          <w:color w:val="000000"/>
          <w:sz w:val="24"/>
          <w:szCs w:val="24"/>
          <w:lang w:val="sq-AL"/>
          <w14:ligatures w14:val="standardContextual"/>
        </w:rPr>
        <w:t xml:space="preserve">nenin </w:t>
      </w:r>
      <w:r w:rsidRPr="00DE770B">
        <w:rPr>
          <w:rFonts w:ascii="Garamond" w:eastAsiaTheme="minorHAnsi" w:hAnsi="Garamond"/>
          <w:color w:val="000000"/>
          <w:sz w:val="24"/>
          <w:szCs w:val="24"/>
          <w:lang w:val="sq-AL"/>
          <w14:ligatures w14:val="standardContextual"/>
        </w:rPr>
        <w:t xml:space="preserve">35 §§ 3 (a) dhe 4 të Konventës. </w:t>
      </w:r>
    </w:p>
    <w:p w14:paraId="356C1912" w14:textId="5A54F88F"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ZBATIMI I NENIT 41 TË KONVENTËS</w:t>
      </w:r>
    </w:p>
    <w:p w14:paraId="5AAEA81B" w14:textId="6EFBA0F6"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16. Kërkuesit kërkuan bashkërisht 50,000 euro për dëmin jopasuror dhe në mbështetje të një raporti vlerësimi mbi vlerën e tregut të tokës së tyre, 567,400 euro për shpronësimin e paligjshëm. </w:t>
      </w:r>
    </w:p>
    <w:p w14:paraId="7973FB6E" w14:textId="7BEA29D9"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17. Qeveria argumentoi se përpara gjykatës vend</w:t>
      </w:r>
      <w:r w:rsidR="00A86F23">
        <w:rPr>
          <w:rFonts w:ascii="Garamond" w:eastAsiaTheme="minorHAnsi" w:hAnsi="Garamond"/>
          <w:color w:val="000000"/>
          <w:sz w:val="24"/>
          <w:szCs w:val="24"/>
          <w:lang w:val="sq-AL"/>
          <w14:ligatures w14:val="standardContextual"/>
        </w:rPr>
        <w:t>ë</w:t>
      </w:r>
      <w:r w:rsidRPr="00DE770B">
        <w:rPr>
          <w:rFonts w:ascii="Garamond" w:eastAsiaTheme="minorHAnsi" w:hAnsi="Garamond"/>
          <w:color w:val="000000"/>
          <w:sz w:val="24"/>
          <w:szCs w:val="24"/>
          <w:lang w:val="sq-AL"/>
          <w14:ligatures w14:val="standardContextual"/>
        </w:rPr>
        <w:t>se, kërkuesit kishin tërhequr pretendimin e tyre pasuror dhe në këtë mënyrë, nuk kishin shfrytëzuar mjetet vend</w:t>
      </w:r>
      <w:r w:rsidR="00A86F23">
        <w:rPr>
          <w:rFonts w:ascii="Garamond" w:eastAsiaTheme="minorHAnsi" w:hAnsi="Garamond"/>
          <w:color w:val="000000"/>
          <w:sz w:val="24"/>
          <w:szCs w:val="24"/>
          <w:lang w:val="sq-AL"/>
          <w14:ligatures w14:val="standardContextual"/>
        </w:rPr>
        <w:t>ë</w:t>
      </w:r>
      <w:r w:rsidRPr="00DE770B">
        <w:rPr>
          <w:rFonts w:ascii="Garamond" w:eastAsiaTheme="minorHAnsi" w:hAnsi="Garamond"/>
          <w:color w:val="000000"/>
          <w:sz w:val="24"/>
          <w:szCs w:val="24"/>
          <w:lang w:val="sq-AL"/>
          <w14:ligatures w14:val="standardContextual"/>
        </w:rPr>
        <w:t xml:space="preserve">se. </w:t>
      </w:r>
    </w:p>
    <w:p w14:paraId="7181B32E" w14:textId="7E101177"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18. Gjykata i akordon kërkuesve të parë dhe të dytë së bashku 4,700 euro për dëmin jopasuror</w:t>
      </w:r>
      <w:r w:rsidR="00A86F23">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për shkak të mosekzekutimit të vendimit. </w:t>
      </w:r>
    </w:p>
    <w:p w14:paraId="6EBF4ED9" w14:textId="497AF8C4"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19. Gjykata vlerëson se padia për dëmin pasuror me ndikim në vlerën e tregut të tokës nuk ka lidhje rastësore me fushën e veprimit të çështjes (shih paragrafin 5 më sipër) dhe natyrën dhe fushën e veprimit të</w:t>
      </w:r>
      <w:r w:rsidR="00DA547D" w:rsidRPr="00DE770B">
        <w:rPr>
          <w:rFonts w:ascii="Garamond" w:eastAsiaTheme="minorHAnsi" w:hAnsi="Garamond"/>
          <w:color w:val="000000"/>
          <w:sz w:val="24"/>
          <w:szCs w:val="24"/>
          <w:lang w:val="sq-AL"/>
          <w14:ligatures w14:val="standardContextual"/>
        </w:rPr>
        <w:t xml:space="preserve"> </w:t>
      </w:r>
      <w:r w:rsidRPr="00DE770B">
        <w:rPr>
          <w:rFonts w:ascii="Garamond" w:eastAsiaTheme="minorHAnsi" w:hAnsi="Garamond"/>
          <w:color w:val="000000"/>
          <w:sz w:val="24"/>
          <w:szCs w:val="24"/>
          <w:lang w:val="sq-AL"/>
          <w14:ligatures w14:val="standardContextual"/>
        </w:rPr>
        <w:t>shkeljeve të konstatuara</w:t>
      </w:r>
      <w:r w:rsidR="00A86F23">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në lidhje me moszbatimin e vendimit. Kërkuesit nuk kërkuan shpërblim të drejtë për dëmin pasuror ose humbjen (të tillë si fitimi nga humbja)</w:t>
      </w:r>
      <w:r w:rsidR="00E607F2">
        <w:rPr>
          <w:rFonts w:ascii="Garamond" w:eastAsiaTheme="minorHAnsi" w:hAnsi="Garamond"/>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në lidhje me pamundësinë për të rifituar zotërimin dhe përdorimin efikas në lidhje me tokën që ata zotëronin dhe vijojnë të zotërojnë (shih </w:t>
      </w:r>
      <w:r w:rsidRPr="00DE770B">
        <w:rPr>
          <w:rFonts w:ascii="Garamond" w:eastAsiaTheme="minorHAnsi" w:hAnsi="Garamond"/>
          <w:i/>
          <w:iCs/>
          <w:color w:val="000000"/>
          <w:sz w:val="24"/>
          <w:szCs w:val="24"/>
          <w:lang w:val="sq-AL"/>
          <w14:ligatures w14:val="standardContextual"/>
        </w:rPr>
        <w:t>Orlović dhe të Tjerë kundër Bosnj</w:t>
      </w:r>
      <w:r w:rsidR="00E607F2">
        <w:rPr>
          <w:rFonts w:ascii="Garamond" w:eastAsiaTheme="minorHAnsi" w:hAnsi="Garamond"/>
          <w:i/>
          <w:iCs/>
          <w:color w:val="000000"/>
          <w:sz w:val="24"/>
          <w:szCs w:val="24"/>
          <w:lang w:val="sq-AL"/>
          <w14:ligatures w14:val="standardContextual"/>
        </w:rPr>
        <w:t>ë-</w:t>
      </w:r>
      <w:r w:rsidRPr="00DE770B">
        <w:rPr>
          <w:rFonts w:ascii="Garamond" w:eastAsiaTheme="minorHAnsi" w:hAnsi="Garamond"/>
          <w:i/>
          <w:iCs/>
          <w:color w:val="000000"/>
          <w:sz w:val="24"/>
          <w:szCs w:val="24"/>
          <w:lang w:val="sq-AL"/>
          <w14:ligatures w14:val="standardContextual"/>
        </w:rPr>
        <w:t xml:space="preserve">Hercegovinës, </w:t>
      </w:r>
      <w:r w:rsidRPr="00DE770B">
        <w:rPr>
          <w:rFonts w:ascii="Garamond" w:eastAsiaTheme="minorHAnsi" w:hAnsi="Garamond"/>
          <w:color w:val="000000"/>
          <w:sz w:val="24"/>
          <w:szCs w:val="24"/>
          <w:lang w:val="sq-AL"/>
          <w14:ligatures w14:val="standardContextual"/>
        </w:rPr>
        <w:t xml:space="preserve">nr. 16332/18, § 75, 1 </w:t>
      </w:r>
      <w:r w:rsidR="00A03677" w:rsidRPr="00DE770B">
        <w:rPr>
          <w:rFonts w:ascii="Garamond" w:eastAsiaTheme="minorHAnsi" w:hAnsi="Garamond"/>
          <w:color w:val="000000"/>
          <w:sz w:val="24"/>
          <w:szCs w:val="24"/>
          <w:lang w:val="sq-AL"/>
          <w14:ligatures w14:val="standardContextual"/>
        </w:rPr>
        <w:t xml:space="preserve">tetor </w:t>
      </w:r>
      <w:r w:rsidRPr="00DE770B">
        <w:rPr>
          <w:rFonts w:ascii="Garamond" w:eastAsiaTheme="minorHAnsi" w:hAnsi="Garamond"/>
          <w:color w:val="000000"/>
          <w:sz w:val="24"/>
          <w:szCs w:val="24"/>
          <w:lang w:val="sq-AL"/>
          <w14:ligatures w14:val="standardContextual"/>
        </w:rPr>
        <w:t>2019</w:t>
      </w:r>
      <w:r w:rsidRPr="00A03677">
        <w:rPr>
          <w:rFonts w:ascii="Garamond" w:eastAsiaTheme="minorHAnsi" w:hAnsi="Garamond"/>
          <w:i/>
          <w:iCs/>
          <w:color w:val="000000"/>
          <w:sz w:val="24"/>
          <w:szCs w:val="24"/>
          <w:lang w:val="sq-AL"/>
          <w14:ligatures w14:val="standardContextual"/>
        </w:rPr>
        <w:t>).</w:t>
      </w:r>
      <w:r w:rsidRPr="00DE770B">
        <w:rPr>
          <w:rFonts w:ascii="Garamond" w:eastAsiaTheme="minorHAnsi" w:hAnsi="Garamond"/>
          <w:color w:val="000000"/>
          <w:sz w:val="24"/>
          <w:szCs w:val="24"/>
          <w:lang w:val="sq-AL"/>
          <w14:ligatures w14:val="standardContextual"/>
        </w:rPr>
        <w:t xml:space="preserve"> </w:t>
      </w:r>
    </w:p>
    <w:p w14:paraId="2BEA1654" w14:textId="00F45FA9"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PËR KËTO ARSYE, GJYKATA, NË MËNYRË UNANIME, </w:t>
      </w:r>
    </w:p>
    <w:p w14:paraId="7FF238D0" w14:textId="769D06C5"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i/>
          <w:iCs/>
          <w:color w:val="000000"/>
          <w:sz w:val="24"/>
          <w:szCs w:val="24"/>
          <w:lang w:val="sq-AL"/>
          <w14:ligatures w14:val="standardContextual"/>
        </w:rPr>
        <w:t xml:space="preserve">1. I deklaron </w:t>
      </w:r>
      <w:r w:rsidRPr="00DE770B">
        <w:rPr>
          <w:rFonts w:ascii="Garamond" w:eastAsiaTheme="minorHAnsi" w:hAnsi="Garamond"/>
          <w:color w:val="000000"/>
          <w:sz w:val="24"/>
          <w:szCs w:val="24"/>
          <w:lang w:val="sq-AL"/>
          <w14:ligatures w14:val="standardContextual"/>
        </w:rPr>
        <w:t xml:space="preserve">ankesat në mbështetje të </w:t>
      </w:r>
      <w:r w:rsidR="00E607F2" w:rsidRPr="00DE770B">
        <w:rPr>
          <w:rFonts w:ascii="Garamond" w:eastAsiaTheme="minorHAnsi" w:hAnsi="Garamond"/>
          <w:color w:val="000000"/>
          <w:sz w:val="24"/>
          <w:szCs w:val="24"/>
          <w:lang w:val="sq-AL"/>
          <w14:ligatures w14:val="standardContextual"/>
        </w:rPr>
        <w:t xml:space="preserve">nenit </w:t>
      </w:r>
      <w:r w:rsidRPr="00DE770B">
        <w:rPr>
          <w:rFonts w:ascii="Garamond" w:eastAsiaTheme="minorHAnsi" w:hAnsi="Garamond"/>
          <w:color w:val="000000"/>
          <w:sz w:val="24"/>
          <w:szCs w:val="24"/>
          <w:lang w:val="sq-AL"/>
          <w14:ligatures w14:val="standardContextual"/>
        </w:rPr>
        <w:t xml:space="preserve">6 § 1 të Konventës dhe </w:t>
      </w:r>
      <w:r w:rsidR="00E607F2" w:rsidRPr="00DE770B">
        <w:rPr>
          <w:rFonts w:ascii="Garamond" w:eastAsiaTheme="minorHAnsi" w:hAnsi="Garamond"/>
          <w:color w:val="000000"/>
          <w:sz w:val="24"/>
          <w:szCs w:val="24"/>
          <w:lang w:val="sq-AL"/>
          <w14:ligatures w14:val="standardContextual"/>
        </w:rPr>
        <w:t>nenit 1 të protokollit nr</w:t>
      </w:r>
      <w:r w:rsidRPr="00DE770B">
        <w:rPr>
          <w:rFonts w:ascii="Garamond" w:eastAsiaTheme="minorHAnsi" w:hAnsi="Garamond"/>
          <w:color w:val="000000"/>
          <w:sz w:val="24"/>
          <w:szCs w:val="24"/>
          <w:lang w:val="sq-AL"/>
          <w14:ligatures w14:val="standardContextual"/>
        </w:rPr>
        <w:t>. 1 të Konventës të pranueshme për sa i përket kërkuesit të parë dhe të dytë;</w:t>
      </w:r>
    </w:p>
    <w:p w14:paraId="0A7A8D0F" w14:textId="50486AB6"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i/>
          <w:iCs/>
          <w:color w:val="000000"/>
          <w:sz w:val="24"/>
          <w:szCs w:val="24"/>
          <w:lang w:val="sq-AL"/>
          <w14:ligatures w14:val="standardContextual"/>
        </w:rPr>
        <w:t xml:space="preserve">2. I deklaron </w:t>
      </w:r>
      <w:r w:rsidRPr="00DE770B">
        <w:rPr>
          <w:rFonts w:ascii="Garamond" w:eastAsiaTheme="minorHAnsi" w:hAnsi="Garamond"/>
          <w:color w:val="000000"/>
          <w:sz w:val="24"/>
          <w:szCs w:val="24"/>
          <w:lang w:val="sq-AL"/>
          <w14:ligatures w14:val="standardContextual"/>
        </w:rPr>
        <w:t xml:space="preserve">ankesat e kërkueses së tretë të papranueshme; </w:t>
      </w:r>
    </w:p>
    <w:p w14:paraId="1A8237EB" w14:textId="65D8E1ED"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i/>
          <w:iCs/>
          <w:color w:val="000000"/>
          <w:sz w:val="24"/>
          <w:szCs w:val="24"/>
          <w:lang w:val="sq-AL"/>
          <w14:ligatures w14:val="standardContextual"/>
        </w:rPr>
        <w:t xml:space="preserve">3. Gjykon </w:t>
      </w:r>
      <w:r w:rsidRPr="00DE770B">
        <w:rPr>
          <w:rFonts w:ascii="Garamond" w:eastAsiaTheme="minorHAnsi" w:hAnsi="Garamond"/>
          <w:color w:val="000000"/>
          <w:sz w:val="24"/>
          <w:szCs w:val="24"/>
          <w:lang w:val="sq-AL"/>
          <w14:ligatures w14:val="standardContextual"/>
        </w:rPr>
        <w:t xml:space="preserve">se është shkelur </w:t>
      </w:r>
      <w:r w:rsidR="00E607F2" w:rsidRPr="00DE770B">
        <w:rPr>
          <w:rFonts w:ascii="Garamond" w:eastAsiaTheme="minorHAnsi" w:hAnsi="Garamond"/>
          <w:color w:val="000000"/>
          <w:sz w:val="24"/>
          <w:szCs w:val="24"/>
          <w:lang w:val="sq-AL"/>
          <w14:ligatures w14:val="standardContextual"/>
        </w:rPr>
        <w:t xml:space="preserve">neni </w:t>
      </w:r>
      <w:r w:rsidRPr="00DE770B">
        <w:rPr>
          <w:rFonts w:ascii="Garamond" w:eastAsiaTheme="minorHAnsi" w:hAnsi="Garamond"/>
          <w:color w:val="000000"/>
          <w:sz w:val="24"/>
          <w:szCs w:val="24"/>
          <w:lang w:val="sq-AL"/>
          <w14:ligatures w14:val="standardContextual"/>
        </w:rPr>
        <w:t xml:space="preserve">6 § 1 i Konventës dhe </w:t>
      </w:r>
      <w:r w:rsidR="00E607F2" w:rsidRPr="00DE770B">
        <w:rPr>
          <w:rFonts w:ascii="Garamond" w:eastAsiaTheme="minorHAnsi" w:hAnsi="Garamond"/>
          <w:color w:val="000000"/>
          <w:sz w:val="24"/>
          <w:szCs w:val="24"/>
          <w:lang w:val="sq-AL"/>
          <w14:ligatures w14:val="standardContextual"/>
        </w:rPr>
        <w:t>protokollit n</w:t>
      </w:r>
      <w:r w:rsidRPr="00DE770B">
        <w:rPr>
          <w:rFonts w:ascii="Garamond" w:eastAsiaTheme="minorHAnsi" w:hAnsi="Garamond"/>
          <w:color w:val="000000"/>
          <w:sz w:val="24"/>
          <w:szCs w:val="24"/>
          <w:lang w:val="sq-AL"/>
          <w14:ligatures w14:val="standardContextual"/>
        </w:rPr>
        <w:t xml:space="preserve">r. 1 të Konventës për kërkuesit e parë dhe të dytë, për moszbatimin e vendimit të datës 21 </w:t>
      </w:r>
      <w:r w:rsidR="00E607F2" w:rsidRPr="00DE770B">
        <w:rPr>
          <w:rFonts w:ascii="Garamond" w:eastAsiaTheme="minorHAnsi" w:hAnsi="Garamond"/>
          <w:color w:val="000000"/>
          <w:sz w:val="24"/>
          <w:szCs w:val="24"/>
          <w:lang w:val="sq-AL"/>
          <w14:ligatures w14:val="standardContextual"/>
        </w:rPr>
        <w:t xml:space="preserve">shtator </w:t>
      </w:r>
      <w:r w:rsidRPr="00DE770B">
        <w:rPr>
          <w:rFonts w:ascii="Garamond" w:eastAsiaTheme="minorHAnsi" w:hAnsi="Garamond"/>
          <w:color w:val="000000"/>
          <w:sz w:val="24"/>
          <w:szCs w:val="24"/>
          <w:lang w:val="sq-AL"/>
          <w14:ligatures w14:val="standardContextual"/>
        </w:rPr>
        <w:t xml:space="preserve">2011, të lënë në fuqi më 30 </w:t>
      </w:r>
      <w:r w:rsidR="00E607F2" w:rsidRPr="00DE770B">
        <w:rPr>
          <w:rFonts w:ascii="Garamond" w:eastAsiaTheme="minorHAnsi" w:hAnsi="Garamond"/>
          <w:color w:val="000000"/>
          <w:sz w:val="24"/>
          <w:szCs w:val="24"/>
          <w:lang w:val="sq-AL"/>
          <w14:ligatures w14:val="standardContextual"/>
        </w:rPr>
        <w:t xml:space="preserve">qershor </w:t>
      </w:r>
      <w:r w:rsidRPr="00DE770B">
        <w:rPr>
          <w:rFonts w:ascii="Garamond" w:eastAsiaTheme="minorHAnsi" w:hAnsi="Garamond"/>
          <w:color w:val="000000"/>
          <w:sz w:val="24"/>
          <w:szCs w:val="24"/>
          <w:lang w:val="sq-AL"/>
          <w14:ligatures w14:val="standardContextual"/>
        </w:rPr>
        <w:t xml:space="preserve">2014; </w:t>
      </w:r>
    </w:p>
    <w:p w14:paraId="10A7E015" w14:textId="4C603D41"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4.</w:t>
      </w:r>
      <w:r w:rsidR="00DA547D" w:rsidRPr="00DE770B">
        <w:rPr>
          <w:rFonts w:ascii="Garamond" w:eastAsiaTheme="minorHAnsi" w:hAnsi="Garamond"/>
          <w:color w:val="000000"/>
          <w:sz w:val="24"/>
          <w:szCs w:val="24"/>
          <w:lang w:val="sq-AL"/>
          <w14:ligatures w14:val="standardContextual"/>
        </w:rPr>
        <w:t xml:space="preserve"> </w:t>
      </w:r>
      <w:r w:rsidRPr="00DE770B">
        <w:rPr>
          <w:rFonts w:ascii="Garamond" w:eastAsiaTheme="minorHAnsi" w:hAnsi="Garamond"/>
          <w:i/>
          <w:iCs/>
          <w:color w:val="000000"/>
          <w:sz w:val="24"/>
          <w:szCs w:val="24"/>
          <w:lang w:val="sq-AL"/>
          <w14:ligatures w14:val="standardContextual"/>
        </w:rPr>
        <w:t>Gjykon</w:t>
      </w:r>
      <w:r w:rsidR="00E607F2">
        <w:rPr>
          <w:rFonts w:ascii="Garamond" w:eastAsiaTheme="minorHAnsi" w:hAnsi="Garamond"/>
          <w:i/>
          <w:iCs/>
          <w:color w:val="000000"/>
          <w:sz w:val="24"/>
          <w:szCs w:val="24"/>
          <w:lang w:val="sq-AL"/>
          <w14:ligatures w14:val="standardContextual"/>
        </w:rPr>
        <w:t>,</w:t>
      </w:r>
      <w:r w:rsidRPr="00DE770B">
        <w:rPr>
          <w:rFonts w:ascii="Garamond" w:eastAsiaTheme="minorHAnsi" w:hAnsi="Garamond"/>
          <w:i/>
          <w:iCs/>
          <w:color w:val="000000"/>
          <w:sz w:val="24"/>
          <w:szCs w:val="24"/>
          <w:lang w:val="sq-AL"/>
          <w14:ligatures w14:val="standardContextual"/>
        </w:rPr>
        <w:t xml:space="preserve"> </w:t>
      </w:r>
      <w:r w:rsidRPr="00DE770B">
        <w:rPr>
          <w:rFonts w:ascii="Garamond" w:eastAsiaTheme="minorHAnsi" w:hAnsi="Garamond"/>
          <w:color w:val="000000"/>
          <w:sz w:val="24"/>
          <w:szCs w:val="24"/>
          <w:lang w:val="sq-AL"/>
          <w14:ligatures w14:val="standardContextual"/>
        </w:rPr>
        <w:t>se nuk është e nevojshme të shqyrtohet pjesa e mbetur e ankesave;</w:t>
      </w:r>
    </w:p>
    <w:p w14:paraId="134C3177" w14:textId="231ABFA1"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i/>
          <w:iCs/>
          <w:color w:val="000000"/>
          <w:sz w:val="24"/>
          <w:szCs w:val="24"/>
          <w:lang w:val="sq-AL"/>
          <w14:ligatures w14:val="standardContextual"/>
        </w:rPr>
        <w:t>5. Gjykon</w:t>
      </w:r>
      <w:r w:rsidR="00E607F2">
        <w:rPr>
          <w:rFonts w:ascii="Garamond" w:eastAsiaTheme="minorHAnsi" w:hAnsi="Garamond"/>
          <w:i/>
          <w:iCs/>
          <w:color w:val="000000"/>
          <w:sz w:val="24"/>
          <w:szCs w:val="24"/>
          <w:lang w:val="sq-AL"/>
          <w14:ligatures w14:val="standardContextual"/>
        </w:rPr>
        <w:t>:</w:t>
      </w:r>
    </w:p>
    <w:p w14:paraId="6D125FAB" w14:textId="10DC34A4"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a) se </w:t>
      </w:r>
      <w:r w:rsidR="00E607F2" w:rsidRPr="00DE770B">
        <w:rPr>
          <w:rFonts w:ascii="Garamond" w:eastAsiaTheme="minorHAnsi" w:hAnsi="Garamond"/>
          <w:color w:val="000000"/>
          <w:sz w:val="24"/>
          <w:szCs w:val="24"/>
          <w:lang w:val="sq-AL"/>
          <w14:ligatures w14:val="standardContextual"/>
        </w:rPr>
        <w:t xml:space="preserve">shteti </w:t>
      </w:r>
      <w:r w:rsidRPr="00DE770B">
        <w:rPr>
          <w:rFonts w:ascii="Garamond" w:eastAsiaTheme="minorHAnsi" w:hAnsi="Garamond"/>
          <w:color w:val="000000"/>
          <w:sz w:val="24"/>
          <w:szCs w:val="24"/>
          <w:lang w:val="sq-AL"/>
          <w14:ligatures w14:val="standardContextual"/>
        </w:rPr>
        <w:t>përgjegjës duhet t’</w:t>
      </w:r>
      <w:r w:rsidR="00E607F2">
        <w:rPr>
          <w:rFonts w:ascii="Garamond" w:eastAsiaTheme="minorHAnsi" w:hAnsi="Garamond"/>
          <w:color w:val="000000"/>
          <w:sz w:val="24"/>
          <w:szCs w:val="24"/>
          <w:lang w:val="sq-AL"/>
          <w14:ligatures w14:val="standardContextual"/>
        </w:rPr>
        <w:t>u</w:t>
      </w:r>
      <w:r w:rsidRPr="00DE770B">
        <w:rPr>
          <w:rFonts w:ascii="Garamond" w:eastAsiaTheme="minorHAnsi" w:hAnsi="Garamond"/>
          <w:color w:val="000000"/>
          <w:sz w:val="24"/>
          <w:szCs w:val="24"/>
          <w:lang w:val="sq-AL"/>
          <w14:ligatures w14:val="standardContextual"/>
        </w:rPr>
        <w:t xml:space="preserve"> paguajë kërkuesve të parë dhe të dytë së bashku, brenda tre muajve, 4,700 euro (katër mijë e shtatëqind euro) plus çdo taksë të tarifueshme për dëmin jopasuror, shumë që duhet të konvertohet në monedhën e Shtetit të paditur në normën e zbatueshme në datën e shlyerjes; </w:t>
      </w:r>
    </w:p>
    <w:p w14:paraId="74ED2139" w14:textId="11F4AFAE"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lastRenderedPageBreak/>
        <w:t xml:space="preserve">b) se që prej përfundimit të periudhës tremujore të përmendur më sipër deri në shlyerje, për shumën e mësipërme duhet të paguhet interes i thjeshtë, në normën e barabartë me normën margjinale të huadhënies të Bankës Qendrore Evropiane gjatë periudhës së mosshlyerjes së pagesës plus tre pikë përqindje. </w:t>
      </w:r>
    </w:p>
    <w:p w14:paraId="1D24BDA4" w14:textId="2371E6A2" w:rsidR="0094300D" w:rsidRPr="00DE770B" w:rsidRDefault="0094300D" w:rsidP="00450F78">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i/>
          <w:iCs/>
          <w:color w:val="000000"/>
          <w:sz w:val="24"/>
          <w:szCs w:val="24"/>
          <w:lang w:val="sq-AL"/>
          <w14:ligatures w14:val="standardContextual"/>
        </w:rPr>
        <w:t xml:space="preserve">6. Rrëzon </w:t>
      </w:r>
      <w:r w:rsidRPr="00DE770B">
        <w:rPr>
          <w:rFonts w:ascii="Garamond" w:eastAsiaTheme="minorHAnsi" w:hAnsi="Garamond"/>
          <w:color w:val="000000"/>
          <w:sz w:val="24"/>
          <w:szCs w:val="24"/>
          <w:lang w:val="sq-AL"/>
          <w14:ligatures w14:val="standardContextual"/>
        </w:rPr>
        <w:t xml:space="preserve">pjesën tjetër të pretendimit të kërkuesve për shpërblim të drejtë. </w:t>
      </w:r>
    </w:p>
    <w:p w14:paraId="2318492A" w14:textId="03D3F694" w:rsidR="0094300D" w:rsidRPr="00DE770B" w:rsidRDefault="0094300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 xml:space="preserve">Hartuar në gjuhën angleze dhe njoftuar me shkrim më datë 11 </w:t>
      </w:r>
      <w:r w:rsidR="007A0F88" w:rsidRPr="00DE770B">
        <w:rPr>
          <w:rFonts w:ascii="Garamond" w:eastAsiaTheme="minorHAnsi" w:hAnsi="Garamond"/>
          <w:color w:val="000000"/>
          <w:sz w:val="24"/>
          <w:szCs w:val="24"/>
          <w:lang w:val="sq-AL"/>
          <w14:ligatures w14:val="standardContextual"/>
        </w:rPr>
        <w:t xml:space="preserve">qershor </w:t>
      </w:r>
      <w:r w:rsidRPr="00DE770B">
        <w:rPr>
          <w:rFonts w:ascii="Garamond" w:eastAsiaTheme="minorHAnsi" w:hAnsi="Garamond"/>
          <w:color w:val="000000"/>
          <w:sz w:val="24"/>
          <w:szCs w:val="24"/>
          <w:lang w:val="sq-AL"/>
          <w14:ligatures w14:val="standardContextual"/>
        </w:rPr>
        <w:t xml:space="preserve">2024, sipas </w:t>
      </w:r>
      <w:r w:rsidR="00E607F2" w:rsidRPr="00DE770B">
        <w:rPr>
          <w:rFonts w:ascii="Garamond" w:eastAsiaTheme="minorHAnsi" w:hAnsi="Garamond"/>
          <w:color w:val="000000"/>
          <w:sz w:val="24"/>
          <w:szCs w:val="24"/>
          <w:lang w:val="sq-AL"/>
          <w14:ligatures w14:val="standardContextual"/>
        </w:rPr>
        <w:t>rregull</w:t>
      </w:r>
      <w:r w:rsidR="00E607F2">
        <w:rPr>
          <w:rFonts w:ascii="Garamond" w:eastAsiaTheme="minorHAnsi" w:hAnsi="Garamond"/>
          <w:color w:val="000000"/>
          <w:sz w:val="24"/>
          <w:szCs w:val="24"/>
          <w:lang w:val="sq-AL"/>
          <w14:ligatures w14:val="standardContextual"/>
        </w:rPr>
        <w:t>ës</w:t>
      </w:r>
      <w:r w:rsidR="00E607F2" w:rsidRPr="00DE770B">
        <w:rPr>
          <w:rFonts w:ascii="Garamond" w:eastAsiaTheme="minorHAnsi" w:hAnsi="Garamond"/>
          <w:color w:val="000000"/>
          <w:sz w:val="24"/>
          <w:szCs w:val="24"/>
          <w:lang w:val="sq-AL"/>
          <w14:ligatures w14:val="standardContextual"/>
        </w:rPr>
        <w:t xml:space="preserve"> </w:t>
      </w:r>
      <w:r w:rsidRPr="00DE770B">
        <w:rPr>
          <w:rFonts w:ascii="Garamond" w:eastAsiaTheme="minorHAnsi" w:hAnsi="Garamond"/>
          <w:color w:val="000000"/>
          <w:sz w:val="24"/>
          <w:szCs w:val="24"/>
          <w:lang w:val="sq-AL"/>
          <w14:ligatures w14:val="standardContextual"/>
        </w:rPr>
        <w:t xml:space="preserve">77 §§ 2 dhe 3 të Rregullores së Gjykatës. </w:t>
      </w:r>
    </w:p>
    <w:p w14:paraId="7FE0082E" w14:textId="77777777" w:rsidR="00DA547D" w:rsidRPr="00DE770B" w:rsidRDefault="00DA547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9"/>
        <w:gridCol w:w="1934"/>
      </w:tblGrid>
      <w:tr w:rsidR="00DA547D" w:rsidRPr="00DE770B" w14:paraId="0101CDF7" w14:textId="77777777" w:rsidTr="001C7A26">
        <w:trPr>
          <w:jc w:val="center"/>
        </w:trPr>
        <w:tc>
          <w:tcPr>
            <w:tcW w:w="0" w:type="auto"/>
          </w:tcPr>
          <w:p w14:paraId="3D3CDDBE" w14:textId="1C266CC1" w:rsidR="00DA547D" w:rsidRPr="009B0581" w:rsidRDefault="00DA547D" w:rsidP="0094300D">
            <w:pPr>
              <w:autoSpaceDE w:val="0"/>
              <w:autoSpaceDN w:val="0"/>
              <w:adjustRightInd w:val="0"/>
              <w:spacing w:after="0" w:line="240" w:lineRule="auto"/>
              <w:jc w:val="both"/>
              <w:rPr>
                <w:rFonts w:ascii="Garamond" w:eastAsiaTheme="minorHAnsi" w:hAnsi="Garamond"/>
                <w:b/>
                <w:bCs/>
                <w:color w:val="000000"/>
                <w:sz w:val="24"/>
                <w:szCs w:val="24"/>
                <w:lang w:val="sq-AL"/>
                <w14:ligatures w14:val="standardContextual"/>
              </w:rPr>
            </w:pPr>
            <w:r w:rsidRPr="009B0581">
              <w:rPr>
                <w:rFonts w:ascii="Garamond" w:eastAsiaTheme="minorHAnsi" w:hAnsi="Garamond"/>
                <w:b/>
                <w:bCs/>
                <w:color w:val="000000"/>
                <w:sz w:val="24"/>
                <w:szCs w:val="24"/>
                <w:lang w:val="sq-AL"/>
                <w14:ligatures w14:val="standardContextual"/>
              </w:rPr>
              <w:t>Olga Chernishova</w:t>
            </w:r>
          </w:p>
        </w:tc>
        <w:tc>
          <w:tcPr>
            <w:tcW w:w="0" w:type="auto"/>
          </w:tcPr>
          <w:p w14:paraId="6313932B" w14:textId="211361D4" w:rsidR="00DA547D" w:rsidRPr="009B0581" w:rsidRDefault="00DA547D" w:rsidP="00DA547D">
            <w:pPr>
              <w:autoSpaceDE w:val="0"/>
              <w:autoSpaceDN w:val="0"/>
              <w:adjustRightInd w:val="0"/>
              <w:spacing w:after="0" w:line="240" w:lineRule="auto"/>
              <w:jc w:val="both"/>
              <w:rPr>
                <w:rFonts w:ascii="Garamond" w:eastAsiaTheme="minorHAnsi" w:hAnsi="Garamond"/>
                <w:b/>
                <w:bCs/>
                <w:color w:val="000000"/>
                <w:sz w:val="24"/>
                <w:szCs w:val="24"/>
                <w:lang w:val="sq-AL"/>
                <w14:ligatures w14:val="standardContextual"/>
              </w:rPr>
            </w:pPr>
            <w:r w:rsidRPr="009B0581">
              <w:rPr>
                <w:rFonts w:ascii="Garamond" w:eastAsiaTheme="minorHAnsi" w:hAnsi="Garamond"/>
                <w:b/>
                <w:bCs/>
                <w:color w:val="000000"/>
                <w:sz w:val="24"/>
                <w:szCs w:val="24"/>
                <w:lang w:val="sq-AL"/>
                <w14:ligatures w14:val="standardContextual"/>
              </w:rPr>
              <w:t>Ioannis Ktistakis</w:t>
            </w:r>
          </w:p>
        </w:tc>
      </w:tr>
      <w:tr w:rsidR="00DA547D" w:rsidRPr="00DE770B" w14:paraId="084AEDCA" w14:textId="77777777" w:rsidTr="001C7A26">
        <w:trPr>
          <w:jc w:val="center"/>
        </w:trPr>
        <w:tc>
          <w:tcPr>
            <w:tcW w:w="0" w:type="auto"/>
          </w:tcPr>
          <w:p w14:paraId="3D471B14" w14:textId="73C90197" w:rsidR="00DA547D" w:rsidRPr="00DE770B" w:rsidRDefault="009B0581" w:rsidP="0094300D">
            <w:pPr>
              <w:autoSpaceDE w:val="0"/>
              <w:autoSpaceDN w:val="0"/>
              <w:adjustRightInd w:val="0"/>
              <w:spacing w:after="0" w:line="240" w:lineRule="auto"/>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ZËVENDËSSEKRETARE</w:t>
            </w:r>
          </w:p>
        </w:tc>
        <w:tc>
          <w:tcPr>
            <w:tcW w:w="0" w:type="auto"/>
          </w:tcPr>
          <w:p w14:paraId="6BE69765" w14:textId="61BA2B69" w:rsidR="00DA547D" w:rsidRPr="00DE770B" w:rsidRDefault="009B0581" w:rsidP="0094300D">
            <w:pPr>
              <w:autoSpaceDE w:val="0"/>
              <w:autoSpaceDN w:val="0"/>
              <w:adjustRightInd w:val="0"/>
              <w:spacing w:after="0" w:line="240" w:lineRule="auto"/>
              <w:jc w:val="both"/>
              <w:rPr>
                <w:rFonts w:ascii="Garamond" w:eastAsiaTheme="minorHAnsi" w:hAnsi="Garamond"/>
                <w:color w:val="000000"/>
                <w:sz w:val="24"/>
                <w:szCs w:val="24"/>
                <w:lang w:val="sq-AL"/>
                <w14:ligatures w14:val="standardContextual"/>
              </w:rPr>
            </w:pPr>
            <w:r w:rsidRPr="00DE770B">
              <w:rPr>
                <w:rFonts w:ascii="Garamond" w:eastAsiaTheme="minorHAnsi" w:hAnsi="Garamond"/>
                <w:color w:val="000000"/>
                <w:sz w:val="24"/>
                <w:szCs w:val="24"/>
                <w:lang w:val="sq-AL"/>
                <w14:ligatures w14:val="standardContextual"/>
              </w:rPr>
              <w:t>KRYETAR</w:t>
            </w:r>
          </w:p>
        </w:tc>
      </w:tr>
    </w:tbl>
    <w:p w14:paraId="463DBDD2" w14:textId="77777777" w:rsidR="00DA547D" w:rsidRPr="00DE770B" w:rsidRDefault="00DA547D" w:rsidP="0094300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2B17DD77" w14:textId="77777777" w:rsidR="00C32853" w:rsidRPr="00DE770B" w:rsidRDefault="00C32853" w:rsidP="0094300D">
      <w:pPr>
        <w:pStyle w:val="ECHRDecisionBody"/>
        <w:ind w:firstLine="284"/>
        <w:jc w:val="center"/>
        <w:rPr>
          <w:rFonts w:ascii="Garamond" w:hAnsi="Garamond"/>
          <w:b/>
          <w:bCs/>
          <w:iCs/>
          <w:szCs w:val="24"/>
          <w:lang w:val="sq-AL"/>
        </w:rPr>
      </w:pPr>
      <w:r w:rsidRPr="00A04D33">
        <w:rPr>
          <w:rFonts w:ascii="Garamond" w:hAnsi="Garamond"/>
          <w:iCs/>
          <w:szCs w:val="24"/>
          <w:lang w:val="sq-AL"/>
        </w:rPr>
        <w:t>SHTOJCË</w:t>
      </w:r>
    </w:p>
    <w:p w14:paraId="5E624822" w14:textId="0C55C874" w:rsidR="00C32853" w:rsidRPr="00DE770B" w:rsidRDefault="001C7A26" w:rsidP="001C7A26">
      <w:pPr>
        <w:pStyle w:val="ECHRDecisionBody"/>
        <w:ind w:firstLine="284"/>
        <w:rPr>
          <w:rFonts w:ascii="Garamond" w:hAnsi="Garamond"/>
          <w:iCs/>
          <w:szCs w:val="24"/>
          <w:lang w:val="sq-AL"/>
        </w:rPr>
      </w:pPr>
      <w:r w:rsidRPr="00DE770B">
        <w:rPr>
          <w:rFonts w:ascii="Garamond" w:hAnsi="Garamond"/>
          <w:iCs/>
          <w:szCs w:val="24"/>
          <w:lang w:val="sq-AL"/>
        </w:rPr>
        <w:t>Lista e kërkuesve</w:t>
      </w:r>
    </w:p>
    <w:tbl>
      <w:tblPr>
        <w:tblStyle w:val="TableGrid"/>
        <w:tblW w:w="9214" w:type="dxa"/>
        <w:tblInd w:w="137" w:type="dxa"/>
        <w:tblLook w:val="04A0" w:firstRow="1" w:lastRow="0" w:firstColumn="1" w:lastColumn="0" w:noHBand="0" w:noVBand="1"/>
      </w:tblPr>
      <w:tblGrid>
        <w:gridCol w:w="541"/>
        <w:gridCol w:w="2719"/>
        <w:gridCol w:w="1418"/>
        <w:gridCol w:w="2126"/>
        <w:gridCol w:w="2410"/>
      </w:tblGrid>
      <w:tr w:rsidR="00A43F20" w:rsidRPr="002627D1" w14:paraId="7BDDFEDC" w14:textId="77777777" w:rsidTr="00DE770B">
        <w:trPr>
          <w:trHeight w:val="343"/>
        </w:trPr>
        <w:tc>
          <w:tcPr>
            <w:tcW w:w="541" w:type="dxa"/>
            <w:vAlign w:val="center"/>
          </w:tcPr>
          <w:p w14:paraId="45037334" w14:textId="3364BAF0" w:rsidR="00A43F20" w:rsidRPr="002627D1" w:rsidRDefault="00A43F20" w:rsidP="00DE770B">
            <w:pPr>
              <w:pStyle w:val="ECHRDecisionBody"/>
              <w:jc w:val="center"/>
              <w:rPr>
                <w:rFonts w:ascii="Garamond" w:hAnsi="Garamond"/>
                <w:b/>
                <w:bCs/>
                <w:iCs/>
                <w:sz w:val="20"/>
                <w:lang w:val="sq-AL"/>
              </w:rPr>
            </w:pPr>
            <w:r w:rsidRPr="002627D1">
              <w:rPr>
                <w:rFonts w:ascii="Garamond" w:hAnsi="Garamond"/>
                <w:b/>
                <w:bCs/>
                <w:iCs/>
                <w:sz w:val="20"/>
                <w:lang w:val="sq-AL"/>
              </w:rPr>
              <w:t>Nr.</w:t>
            </w:r>
          </w:p>
        </w:tc>
        <w:tc>
          <w:tcPr>
            <w:tcW w:w="2719" w:type="dxa"/>
            <w:vAlign w:val="center"/>
          </w:tcPr>
          <w:p w14:paraId="0BF2C738" w14:textId="62709944" w:rsidR="00A43F20" w:rsidRPr="002627D1" w:rsidRDefault="00A43F20" w:rsidP="009B0581">
            <w:pPr>
              <w:pStyle w:val="ECHRDecisionBody"/>
              <w:jc w:val="center"/>
              <w:rPr>
                <w:rFonts w:ascii="Garamond" w:hAnsi="Garamond"/>
                <w:b/>
                <w:bCs/>
                <w:iCs/>
                <w:sz w:val="20"/>
                <w:lang w:val="sq-AL"/>
              </w:rPr>
            </w:pPr>
            <w:r w:rsidRPr="002627D1">
              <w:rPr>
                <w:rFonts w:ascii="Garamond" w:hAnsi="Garamond"/>
                <w:b/>
                <w:bCs/>
                <w:iCs/>
                <w:sz w:val="20"/>
                <w:lang w:val="sq-AL"/>
              </w:rPr>
              <w:t>Emri i kërkuesit</w:t>
            </w:r>
          </w:p>
        </w:tc>
        <w:tc>
          <w:tcPr>
            <w:tcW w:w="1418" w:type="dxa"/>
            <w:vAlign w:val="center"/>
          </w:tcPr>
          <w:p w14:paraId="089088EB" w14:textId="0FFD8A7E" w:rsidR="00A43F20" w:rsidRPr="002627D1" w:rsidRDefault="00A43F20" w:rsidP="00DE770B">
            <w:pPr>
              <w:pStyle w:val="ECHRDecisionBody"/>
              <w:jc w:val="center"/>
              <w:rPr>
                <w:rFonts w:ascii="Garamond" w:hAnsi="Garamond"/>
                <w:b/>
                <w:bCs/>
                <w:iCs/>
                <w:sz w:val="20"/>
                <w:lang w:val="sq-AL"/>
              </w:rPr>
            </w:pPr>
            <w:r w:rsidRPr="002627D1">
              <w:rPr>
                <w:rFonts w:ascii="Garamond" w:hAnsi="Garamond"/>
                <w:b/>
                <w:bCs/>
                <w:iCs/>
                <w:sz w:val="20"/>
                <w:lang w:val="sq-AL"/>
              </w:rPr>
              <w:t>Viti i lindjes</w:t>
            </w:r>
          </w:p>
        </w:tc>
        <w:tc>
          <w:tcPr>
            <w:tcW w:w="2126" w:type="dxa"/>
            <w:vAlign w:val="center"/>
          </w:tcPr>
          <w:p w14:paraId="1CCE5432" w14:textId="320062B8" w:rsidR="00A43F20" w:rsidRPr="002627D1" w:rsidRDefault="00A43F20" w:rsidP="00DE770B">
            <w:pPr>
              <w:pStyle w:val="ECHRDecisionBody"/>
              <w:jc w:val="center"/>
              <w:rPr>
                <w:rFonts w:ascii="Garamond" w:hAnsi="Garamond"/>
                <w:b/>
                <w:bCs/>
                <w:iCs/>
                <w:sz w:val="20"/>
                <w:lang w:val="sq-AL"/>
              </w:rPr>
            </w:pPr>
            <w:r w:rsidRPr="002627D1">
              <w:rPr>
                <w:rFonts w:ascii="Garamond" w:hAnsi="Garamond"/>
                <w:b/>
                <w:bCs/>
                <w:iCs/>
                <w:sz w:val="20"/>
                <w:lang w:val="sq-AL"/>
              </w:rPr>
              <w:t>Komb</w:t>
            </w:r>
            <w:r w:rsidR="00771F88" w:rsidRPr="002627D1">
              <w:rPr>
                <w:rFonts w:ascii="Garamond" w:hAnsi="Garamond"/>
                <w:b/>
                <w:bCs/>
                <w:iCs/>
                <w:sz w:val="20"/>
                <w:lang w:val="sq-AL"/>
              </w:rPr>
              <w:t>ë</w:t>
            </w:r>
            <w:r w:rsidRPr="002627D1">
              <w:rPr>
                <w:rFonts w:ascii="Garamond" w:hAnsi="Garamond"/>
                <w:b/>
                <w:bCs/>
                <w:iCs/>
                <w:sz w:val="20"/>
                <w:lang w:val="sq-AL"/>
              </w:rPr>
              <w:t>sia</w:t>
            </w:r>
          </w:p>
        </w:tc>
        <w:tc>
          <w:tcPr>
            <w:tcW w:w="2410" w:type="dxa"/>
            <w:vAlign w:val="center"/>
          </w:tcPr>
          <w:p w14:paraId="79970C5D" w14:textId="53D7F047" w:rsidR="00A43F20" w:rsidRPr="002627D1" w:rsidRDefault="00A43F20" w:rsidP="00DE770B">
            <w:pPr>
              <w:pStyle w:val="ECHRDecisionBody"/>
              <w:jc w:val="center"/>
              <w:rPr>
                <w:rFonts w:ascii="Garamond" w:hAnsi="Garamond"/>
                <w:b/>
                <w:bCs/>
                <w:iCs/>
                <w:sz w:val="20"/>
                <w:lang w:val="sq-AL"/>
              </w:rPr>
            </w:pPr>
            <w:r w:rsidRPr="002627D1">
              <w:rPr>
                <w:rFonts w:ascii="Garamond" w:hAnsi="Garamond"/>
                <w:b/>
                <w:bCs/>
                <w:iCs/>
                <w:sz w:val="20"/>
                <w:lang w:val="sq-AL"/>
              </w:rPr>
              <w:t>Vendbanimi</w:t>
            </w:r>
          </w:p>
        </w:tc>
      </w:tr>
      <w:tr w:rsidR="00A43F20" w:rsidRPr="002627D1" w14:paraId="6CA77332" w14:textId="77777777" w:rsidTr="00A43F20">
        <w:tc>
          <w:tcPr>
            <w:tcW w:w="541" w:type="dxa"/>
          </w:tcPr>
          <w:p w14:paraId="14D0D637" w14:textId="06AA76D3"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1</w:t>
            </w:r>
          </w:p>
        </w:tc>
        <w:tc>
          <w:tcPr>
            <w:tcW w:w="2719" w:type="dxa"/>
          </w:tcPr>
          <w:p w14:paraId="3D986BA0" w14:textId="693E6A99" w:rsidR="00A43F20" w:rsidRPr="002627D1" w:rsidRDefault="00A43F20" w:rsidP="00DA547D">
            <w:pPr>
              <w:pStyle w:val="ECHRDecisionBody"/>
              <w:jc w:val="center"/>
              <w:rPr>
                <w:rFonts w:ascii="Garamond" w:hAnsi="Garamond"/>
                <w:b/>
                <w:bCs/>
                <w:iCs/>
                <w:sz w:val="20"/>
                <w:lang w:val="sq-AL"/>
              </w:rPr>
            </w:pPr>
            <w:r w:rsidRPr="002627D1">
              <w:rPr>
                <w:rFonts w:ascii="Garamond" w:hAnsi="Garamond"/>
                <w:iCs/>
                <w:sz w:val="20"/>
                <w:lang w:val="sq-AL"/>
              </w:rPr>
              <w:t xml:space="preserve">Spiro </w:t>
            </w:r>
            <w:r w:rsidR="00DE770B" w:rsidRPr="002627D1">
              <w:rPr>
                <w:rFonts w:ascii="Garamond" w:hAnsi="Garamond"/>
                <w:iCs/>
                <w:sz w:val="20"/>
                <w:lang w:val="sq-AL"/>
              </w:rPr>
              <w:t>Kalemi</w:t>
            </w:r>
          </w:p>
        </w:tc>
        <w:tc>
          <w:tcPr>
            <w:tcW w:w="1418" w:type="dxa"/>
          </w:tcPr>
          <w:p w14:paraId="008A059C" w14:textId="5B12F63D"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1937</w:t>
            </w:r>
          </w:p>
        </w:tc>
        <w:tc>
          <w:tcPr>
            <w:tcW w:w="2126" w:type="dxa"/>
          </w:tcPr>
          <w:p w14:paraId="115D2861" w14:textId="4BFEC726"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Shqiptar</w:t>
            </w:r>
          </w:p>
        </w:tc>
        <w:tc>
          <w:tcPr>
            <w:tcW w:w="2410" w:type="dxa"/>
          </w:tcPr>
          <w:p w14:paraId="60C2137C" w14:textId="2421224E"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Rom</w:t>
            </w:r>
            <w:r w:rsidR="00F0078D" w:rsidRPr="002627D1">
              <w:rPr>
                <w:rFonts w:ascii="Garamond" w:hAnsi="Garamond"/>
                <w:iCs/>
                <w:sz w:val="20"/>
                <w:lang w:val="sq-AL"/>
              </w:rPr>
              <w:t>ë</w:t>
            </w:r>
            <w:r w:rsidRPr="002627D1">
              <w:rPr>
                <w:rFonts w:ascii="Garamond" w:hAnsi="Garamond"/>
                <w:iCs/>
                <w:sz w:val="20"/>
                <w:lang w:val="sq-AL"/>
              </w:rPr>
              <w:t xml:space="preserve"> </w:t>
            </w:r>
          </w:p>
        </w:tc>
      </w:tr>
      <w:tr w:rsidR="00A43F20" w:rsidRPr="002627D1" w14:paraId="0D0A1356" w14:textId="77777777" w:rsidTr="00A43F20">
        <w:tc>
          <w:tcPr>
            <w:tcW w:w="541" w:type="dxa"/>
          </w:tcPr>
          <w:p w14:paraId="32943675" w14:textId="24543643"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2</w:t>
            </w:r>
          </w:p>
        </w:tc>
        <w:tc>
          <w:tcPr>
            <w:tcW w:w="2719" w:type="dxa"/>
          </w:tcPr>
          <w:p w14:paraId="7AFA01EA" w14:textId="44BDE583"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 xml:space="preserve">Dorina </w:t>
            </w:r>
            <w:r w:rsidR="00DE770B" w:rsidRPr="002627D1">
              <w:rPr>
                <w:rFonts w:ascii="Garamond" w:hAnsi="Garamond"/>
                <w:iCs/>
                <w:sz w:val="20"/>
                <w:lang w:val="sq-AL"/>
              </w:rPr>
              <w:t>Kalemi</w:t>
            </w:r>
          </w:p>
        </w:tc>
        <w:tc>
          <w:tcPr>
            <w:tcW w:w="1418" w:type="dxa"/>
          </w:tcPr>
          <w:p w14:paraId="64285EEC" w14:textId="57A16A95"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1957</w:t>
            </w:r>
          </w:p>
        </w:tc>
        <w:tc>
          <w:tcPr>
            <w:tcW w:w="2126" w:type="dxa"/>
          </w:tcPr>
          <w:p w14:paraId="7BCE79BE" w14:textId="3C6BEC54"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 xml:space="preserve">Shqiptare </w:t>
            </w:r>
          </w:p>
        </w:tc>
        <w:tc>
          <w:tcPr>
            <w:tcW w:w="2410" w:type="dxa"/>
          </w:tcPr>
          <w:p w14:paraId="3B217173" w14:textId="0C385F60"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Tiran</w:t>
            </w:r>
            <w:r w:rsidR="00771F88" w:rsidRPr="002627D1">
              <w:rPr>
                <w:rFonts w:ascii="Garamond" w:hAnsi="Garamond"/>
                <w:iCs/>
                <w:sz w:val="20"/>
                <w:lang w:val="sq-AL"/>
              </w:rPr>
              <w:t>ë</w:t>
            </w:r>
            <w:r w:rsidRPr="002627D1">
              <w:rPr>
                <w:rFonts w:ascii="Garamond" w:hAnsi="Garamond"/>
                <w:iCs/>
                <w:sz w:val="20"/>
                <w:lang w:val="sq-AL"/>
              </w:rPr>
              <w:t xml:space="preserve"> </w:t>
            </w:r>
          </w:p>
        </w:tc>
      </w:tr>
      <w:tr w:rsidR="00A43F20" w:rsidRPr="002627D1" w14:paraId="05ABA136" w14:textId="77777777" w:rsidTr="00A43F20">
        <w:tc>
          <w:tcPr>
            <w:tcW w:w="541" w:type="dxa"/>
          </w:tcPr>
          <w:p w14:paraId="7D7DAA2A" w14:textId="4DB2712B"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3</w:t>
            </w:r>
          </w:p>
        </w:tc>
        <w:tc>
          <w:tcPr>
            <w:tcW w:w="2719" w:type="dxa"/>
          </w:tcPr>
          <w:p w14:paraId="58F5FA0D" w14:textId="5BDC6AF7"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 xml:space="preserve">Flora </w:t>
            </w:r>
            <w:r w:rsidR="00DE770B" w:rsidRPr="002627D1">
              <w:rPr>
                <w:rFonts w:ascii="Garamond" w:hAnsi="Garamond"/>
                <w:iCs/>
                <w:sz w:val="20"/>
                <w:lang w:val="sq-AL"/>
              </w:rPr>
              <w:t>Kalemi</w:t>
            </w:r>
          </w:p>
        </w:tc>
        <w:tc>
          <w:tcPr>
            <w:tcW w:w="1418" w:type="dxa"/>
          </w:tcPr>
          <w:p w14:paraId="6F86BB08" w14:textId="5FF436DA"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1923</w:t>
            </w:r>
          </w:p>
        </w:tc>
        <w:tc>
          <w:tcPr>
            <w:tcW w:w="2126" w:type="dxa"/>
          </w:tcPr>
          <w:p w14:paraId="1EC21AD8" w14:textId="32E5298C"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Shqiptare</w:t>
            </w:r>
          </w:p>
        </w:tc>
        <w:tc>
          <w:tcPr>
            <w:tcW w:w="2410" w:type="dxa"/>
          </w:tcPr>
          <w:p w14:paraId="178C8A8A" w14:textId="0E701C55" w:rsidR="00A43F20" w:rsidRPr="002627D1" w:rsidRDefault="00A43F20" w:rsidP="00DA547D">
            <w:pPr>
              <w:pStyle w:val="ECHRDecisionBody"/>
              <w:jc w:val="center"/>
              <w:rPr>
                <w:rFonts w:ascii="Garamond" w:hAnsi="Garamond"/>
                <w:iCs/>
                <w:sz w:val="20"/>
                <w:lang w:val="sq-AL"/>
              </w:rPr>
            </w:pPr>
            <w:r w:rsidRPr="002627D1">
              <w:rPr>
                <w:rFonts w:ascii="Garamond" w:hAnsi="Garamond"/>
                <w:iCs/>
                <w:sz w:val="20"/>
                <w:lang w:val="sq-AL"/>
              </w:rPr>
              <w:t>Tiran</w:t>
            </w:r>
            <w:r w:rsidR="00771F88" w:rsidRPr="002627D1">
              <w:rPr>
                <w:rFonts w:ascii="Garamond" w:hAnsi="Garamond"/>
                <w:iCs/>
                <w:sz w:val="20"/>
                <w:lang w:val="sq-AL"/>
              </w:rPr>
              <w:t>ë</w:t>
            </w:r>
            <w:r w:rsidRPr="002627D1">
              <w:rPr>
                <w:rFonts w:ascii="Garamond" w:hAnsi="Garamond"/>
                <w:iCs/>
                <w:sz w:val="20"/>
                <w:lang w:val="sq-AL"/>
              </w:rPr>
              <w:t xml:space="preserve"> </w:t>
            </w:r>
          </w:p>
        </w:tc>
      </w:tr>
    </w:tbl>
    <w:p w14:paraId="02380225" w14:textId="77777777" w:rsidR="00F660B4" w:rsidRPr="00DE770B" w:rsidRDefault="00F660B4" w:rsidP="00DA547D">
      <w:pPr>
        <w:spacing w:after="0" w:line="240" w:lineRule="auto"/>
        <w:ind w:firstLine="284"/>
        <w:rPr>
          <w:rFonts w:ascii="Garamond" w:hAnsi="Garamond"/>
          <w:sz w:val="24"/>
          <w:szCs w:val="24"/>
          <w:lang w:val="sq-AL"/>
        </w:rPr>
      </w:pPr>
    </w:p>
    <w:sectPr w:rsidR="00F660B4" w:rsidRPr="00DE770B" w:rsidSect="00A43F20">
      <w:headerReference w:type="default" r:id="rId13"/>
      <w:footerReference w:type="default" r:id="rId14"/>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B0650" w14:textId="77777777" w:rsidR="00DE770B" w:rsidRDefault="00DE770B">
      <w:pPr>
        <w:spacing w:after="0" w:line="240" w:lineRule="auto"/>
      </w:pPr>
      <w:r>
        <w:separator/>
      </w:r>
    </w:p>
  </w:endnote>
  <w:endnote w:type="continuationSeparator" w:id="0">
    <w:p w14:paraId="417EFE8C" w14:textId="77777777" w:rsidR="00DE770B" w:rsidRDefault="00DE770B">
      <w:pPr>
        <w:spacing w:after="0" w:line="240" w:lineRule="auto"/>
      </w:pPr>
      <w:r>
        <w:continuationSeparator/>
      </w:r>
    </w:p>
  </w:endnote>
  <w:endnote w:type="continuationNotice" w:id="1">
    <w:p w14:paraId="2AFD0405" w14:textId="77777777" w:rsidR="00DE770B" w:rsidRDefault="00DE77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63274" w14:textId="77777777" w:rsidR="00DE770B" w:rsidRPr="0094300D" w:rsidRDefault="00DE770B" w:rsidP="009430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9D75F3" w14:textId="77777777" w:rsidR="00DE770B" w:rsidRDefault="00DE770B">
      <w:pPr>
        <w:spacing w:after="0" w:line="240" w:lineRule="auto"/>
      </w:pPr>
      <w:r>
        <w:separator/>
      </w:r>
    </w:p>
  </w:footnote>
  <w:footnote w:type="continuationSeparator" w:id="0">
    <w:p w14:paraId="6B3054A3" w14:textId="77777777" w:rsidR="00DE770B" w:rsidRDefault="00DE770B">
      <w:pPr>
        <w:spacing w:after="0" w:line="240" w:lineRule="auto"/>
      </w:pPr>
      <w:r>
        <w:continuationSeparator/>
      </w:r>
    </w:p>
  </w:footnote>
  <w:footnote w:type="continuationNotice" w:id="1">
    <w:p w14:paraId="0483D98B" w14:textId="77777777" w:rsidR="00DE770B" w:rsidRDefault="00DE77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A4CC71" w14:textId="77777777" w:rsidR="00DE770B" w:rsidRPr="0094300D" w:rsidRDefault="00DE770B" w:rsidP="009430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5264172"/>
    <w:multiLevelType w:val="hybridMultilevel"/>
    <w:tmpl w:val="4AF27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CD35BF"/>
    <w:multiLevelType w:val="hybridMultilevel"/>
    <w:tmpl w:val="8626C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956A0C"/>
    <w:multiLevelType w:val="hybridMultilevel"/>
    <w:tmpl w:val="41D872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3" w15:restartNumberingAfterBreak="0">
    <w:nsid w:val="134E4D75"/>
    <w:multiLevelType w:val="hybridMultilevel"/>
    <w:tmpl w:val="2264B940"/>
    <w:lvl w:ilvl="0" w:tplc="855EF3F6">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7955452"/>
    <w:multiLevelType w:val="hybridMultilevel"/>
    <w:tmpl w:val="DC58C86A"/>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CD769E6"/>
    <w:multiLevelType w:val="hybridMultilevel"/>
    <w:tmpl w:val="76CE2AAA"/>
    <w:lvl w:ilvl="0" w:tplc="8F44AC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184BEF"/>
    <w:multiLevelType w:val="hybridMultilevel"/>
    <w:tmpl w:val="C9CC37BE"/>
    <w:lvl w:ilvl="0" w:tplc="33A81E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44F06C3"/>
    <w:multiLevelType w:val="hybridMultilevel"/>
    <w:tmpl w:val="04BE6E66"/>
    <w:lvl w:ilvl="0" w:tplc="F40AC9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BF25D8"/>
    <w:multiLevelType w:val="hybridMultilevel"/>
    <w:tmpl w:val="3C6C439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FB121C8"/>
    <w:multiLevelType w:val="hybridMultilevel"/>
    <w:tmpl w:val="9B3CD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703055A"/>
    <w:multiLevelType w:val="hybridMultilevel"/>
    <w:tmpl w:val="AC7ECC3E"/>
    <w:lvl w:ilvl="0" w:tplc="1938B95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63113F"/>
    <w:multiLevelType w:val="hybridMultilevel"/>
    <w:tmpl w:val="540A651A"/>
    <w:lvl w:ilvl="0" w:tplc="BFCED0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774B6D"/>
    <w:multiLevelType w:val="hybridMultilevel"/>
    <w:tmpl w:val="71F40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672804"/>
    <w:multiLevelType w:val="hybridMultilevel"/>
    <w:tmpl w:val="5610F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C0702A"/>
    <w:multiLevelType w:val="hybridMultilevel"/>
    <w:tmpl w:val="C908AB80"/>
    <w:lvl w:ilvl="0" w:tplc="E9C00F1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E57188"/>
    <w:multiLevelType w:val="hybridMultilevel"/>
    <w:tmpl w:val="24727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22502E"/>
    <w:multiLevelType w:val="hybridMultilevel"/>
    <w:tmpl w:val="1D9EA08A"/>
    <w:lvl w:ilvl="0" w:tplc="C70E1C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81721B7"/>
    <w:multiLevelType w:val="hybridMultilevel"/>
    <w:tmpl w:val="66BA5250"/>
    <w:lvl w:ilvl="0" w:tplc="6E0C3B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B1E68B4"/>
    <w:multiLevelType w:val="hybridMultilevel"/>
    <w:tmpl w:val="11DA2F4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5C1C743B"/>
    <w:multiLevelType w:val="hybridMultilevel"/>
    <w:tmpl w:val="4B7C4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FF00E4"/>
    <w:multiLevelType w:val="hybridMultilevel"/>
    <w:tmpl w:val="0EEA6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625141"/>
    <w:multiLevelType w:val="hybridMultilevel"/>
    <w:tmpl w:val="AF74997C"/>
    <w:lvl w:ilvl="0" w:tplc="A628B6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A90062"/>
    <w:multiLevelType w:val="hybridMultilevel"/>
    <w:tmpl w:val="D8F48306"/>
    <w:lvl w:ilvl="0" w:tplc="FE2474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7" w15:restartNumberingAfterBreak="0">
    <w:nsid w:val="6D547293"/>
    <w:multiLevelType w:val="hybridMultilevel"/>
    <w:tmpl w:val="F70AFEF2"/>
    <w:lvl w:ilvl="0" w:tplc="2E664D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051ACA"/>
    <w:multiLevelType w:val="hybridMultilevel"/>
    <w:tmpl w:val="C998483E"/>
    <w:lvl w:ilvl="0" w:tplc="9C98E96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77555188"/>
    <w:multiLevelType w:val="hybridMultilevel"/>
    <w:tmpl w:val="6458EB16"/>
    <w:lvl w:ilvl="0" w:tplc="4D7CF6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6"/>
  </w:num>
  <w:num w:numId="4">
    <w:abstractNumId w:val="22"/>
  </w:num>
  <w:num w:numId="5">
    <w:abstractNumId w:val="16"/>
  </w:num>
  <w:num w:numId="6">
    <w:abstractNumId w:val="15"/>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39"/>
  </w:num>
  <w:num w:numId="16">
    <w:abstractNumId w:val="21"/>
  </w:num>
  <w:num w:numId="17">
    <w:abstractNumId w:val="33"/>
  </w:num>
  <w:num w:numId="18">
    <w:abstractNumId w:val="32"/>
  </w:num>
  <w:num w:numId="19">
    <w:abstractNumId w:val="37"/>
  </w:num>
  <w:num w:numId="20">
    <w:abstractNumId w:val="9"/>
  </w:num>
  <w:num w:numId="21">
    <w:abstractNumId w:val="29"/>
  </w:num>
  <w:num w:numId="22">
    <w:abstractNumId w:val="23"/>
  </w:num>
  <w:num w:numId="23">
    <w:abstractNumId w:val="24"/>
  </w:num>
  <w:num w:numId="24">
    <w:abstractNumId w:val="11"/>
  </w:num>
  <w:num w:numId="25">
    <w:abstractNumId w:val="25"/>
  </w:num>
  <w:num w:numId="26">
    <w:abstractNumId w:val="19"/>
  </w:num>
  <w:num w:numId="27">
    <w:abstractNumId w:val="30"/>
  </w:num>
  <w:num w:numId="28">
    <w:abstractNumId w:val="26"/>
  </w:num>
  <w:num w:numId="29">
    <w:abstractNumId w:val="27"/>
  </w:num>
  <w:num w:numId="30">
    <w:abstractNumId w:val="10"/>
  </w:num>
  <w:num w:numId="31">
    <w:abstractNumId w:val="35"/>
  </w:num>
  <w:num w:numId="32">
    <w:abstractNumId w:val="18"/>
  </w:num>
  <w:num w:numId="33">
    <w:abstractNumId w:val="17"/>
  </w:num>
  <w:num w:numId="34">
    <w:abstractNumId w:val="13"/>
  </w:num>
  <w:num w:numId="35">
    <w:abstractNumId w:val="28"/>
  </w:num>
  <w:num w:numId="36">
    <w:abstractNumId w:val="34"/>
  </w:num>
  <w:num w:numId="37">
    <w:abstractNumId w:val="40"/>
  </w:num>
  <w:num w:numId="38">
    <w:abstractNumId w:val="20"/>
  </w:num>
  <w:num w:numId="39">
    <w:abstractNumId w:val="38"/>
  </w:num>
  <w:num w:numId="40">
    <w:abstractNumId w:val="14"/>
  </w:num>
  <w:num w:numId="41">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58E"/>
    <w:rsid w:val="000030B5"/>
    <w:rsid w:val="00010137"/>
    <w:rsid w:val="000252D1"/>
    <w:rsid w:val="00027B41"/>
    <w:rsid w:val="000627FA"/>
    <w:rsid w:val="00064021"/>
    <w:rsid w:val="00064AB7"/>
    <w:rsid w:val="000748FA"/>
    <w:rsid w:val="0008192C"/>
    <w:rsid w:val="00083643"/>
    <w:rsid w:val="000A256D"/>
    <w:rsid w:val="000A43A3"/>
    <w:rsid w:val="000B0E58"/>
    <w:rsid w:val="000B4046"/>
    <w:rsid w:val="000C0685"/>
    <w:rsid w:val="000C1D45"/>
    <w:rsid w:val="000E1C87"/>
    <w:rsid w:val="001215AA"/>
    <w:rsid w:val="00131D9B"/>
    <w:rsid w:val="00134FB7"/>
    <w:rsid w:val="00136A9E"/>
    <w:rsid w:val="00137962"/>
    <w:rsid w:val="00141C9F"/>
    <w:rsid w:val="0014545E"/>
    <w:rsid w:val="00145F8E"/>
    <w:rsid w:val="00153AA4"/>
    <w:rsid w:val="001938DD"/>
    <w:rsid w:val="001A20F7"/>
    <w:rsid w:val="001C7A26"/>
    <w:rsid w:val="001D0C50"/>
    <w:rsid w:val="001D75FF"/>
    <w:rsid w:val="001F4440"/>
    <w:rsid w:val="002004BC"/>
    <w:rsid w:val="002124D3"/>
    <w:rsid w:val="00225D0B"/>
    <w:rsid w:val="00232225"/>
    <w:rsid w:val="0023631E"/>
    <w:rsid w:val="00245C4B"/>
    <w:rsid w:val="002479AE"/>
    <w:rsid w:val="0026211F"/>
    <w:rsid w:val="002627D1"/>
    <w:rsid w:val="002707CA"/>
    <w:rsid w:val="002712CB"/>
    <w:rsid w:val="0027642E"/>
    <w:rsid w:val="00290052"/>
    <w:rsid w:val="002C305E"/>
    <w:rsid w:val="002C7D02"/>
    <w:rsid w:val="002D7BF0"/>
    <w:rsid w:val="002E16FE"/>
    <w:rsid w:val="002F2B6C"/>
    <w:rsid w:val="0035541D"/>
    <w:rsid w:val="00361F61"/>
    <w:rsid w:val="00365469"/>
    <w:rsid w:val="0037781B"/>
    <w:rsid w:val="00431036"/>
    <w:rsid w:val="00431C7F"/>
    <w:rsid w:val="00450F78"/>
    <w:rsid w:val="004605C3"/>
    <w:rsid w:val="004776F3"/>
    <w:rsid w:val="00477CBA"/>
    <w:rsid w:val="0048364C"/>
    <w:rsid w:val="004838D2"/>
    <w:rsid w:val="00485BD7"/>
    <w:rsid w:val="00491075"/>
    <w:rsid w:val="00491AC4"/>
    <w:rsid w:val="004A5249"/>
    <w:rsid w:val="004B2EA9"/>
    <w:rsid w:val="004C63B5"/>
    <w:rsid w:val="004D36C7"/>
    <w:rsid w:val="004E424A"/>
    <w:rsid w:val="004F4A31"/>
    <w:rsid w:val="004F785C"/>
    <w:rsid w:val="00503B90"/>
    <w:rsid w:val="005154F1"/>
    <w:rsid w:val="005423F9"/>
    <w:rsid w:val="005A1F23"/>
    <w:rsid w:val="005A6312"/>
    <w:rsid w:val="005E51B0"/>
    <w:rsid w:val="005F424E"/>
    <w:rsid w:val="00601E1A"/>
    <w:rsid w:val="00605046"/>
    <w:rsid w:val="006071A5"/>
    <w:rsid w:val="0063604E"/>
    <w:rsid w:val="006474C8"/>
    <w:rsid w:val="00665A1F"/>
    <w:rsid w:val="00666E22"/>
    <w:rsid w:val="00674F0C"/>
    <w:rsid w:val="006A5CD7"/>
    <w:rsid w:val="006E5265"/>
    <w:rsid w:val="006F3120"/>
    <w:rsid w:val="0072391A"/>
    <w:rsid w:val="0074535E"/>
    <w:rsid w:val="0075426D"/>
    <w:rsid w:val="00755010"/>
    <w:rsid w:val="00766E93"/>
    <w:rsid w:val="00771F88"/>
    <w:rsid w:val="00793D7D"/>
    <w:rsid w:val="007A0F88"/>
    <w:rsid w:val="007A60A6"/>
    <w:rsid w:val="007B259E"/>
    <w:rsid w:val="007B2BD1"/>
    <w:rsid w:val="007C0F0D"/>
    <w:rsid w:val="007E3123"/>
    <w:rsid w:val="007F7D16"/>
    <w:rsid w:val="00820335"/>
    <w:rsid w:val="00843544"/>
    <w:rsid w:val="008659D0"/>
    <w:rsid w:val="00876C7F"/>
    <w:rsid w:val="008858D3"/>
    <w:rsid w:val="0089291C"/>
    <w:rsid w:val="00897BB1"/>
    <w:rsid w:val="008C3E05"/>
    <w:rsid w:val="008F2622"/>
    <w:rsid w:val="008F7CB5"/>
    <w:rsid w:val="009049A5"/>
    <w:rsid w:val="00914B39"/>
    <w:rsid w:val="00915CF9"/>
    <w:rsid w:val="0092142F"/>
    <w:rsid w:val="0094300D"/>
    <w:rsid w:val="00973D46"/>
    <w:rsid w:val="00980E02"/>
    <w:rsid w:val="009B0581"/>
    <w:rsid w:val="009B5393"/>
    <w:rsid w:val="009F7A92"/>
    <w:rsid w:val="00A017C4"/>
    <w:rsid w:val="00A03677"/>
    <w:rsid w:val="00A04D33"/>
    <w:rsid w:val="00A15AFA"/>
    <w:rsid w:val="00A21A18"/>
    <w:rsid w:val="00A250EC"/>
    <w:rsid w:val="00A43F20"/>
    <w:rsid w:val="00A440EF"/>
    <w:rsid w:val="00A65515"/>
    <w:rsid w:val="00A704B3"/>
    <w:rsid w:val="00A75655"/>
    <w:rsid w:val="00A86F23"/>
    <w:rsid w:val="00A9719E"/>
    <w:rsid w:val="00AA1CA3"/>
    <w:rsid w:val="00AA5C79"/>
    <w:rsid w:val="00AB558E"/>
    <w:rsid w:val="00AC6C75"/>
    <w:rsid w:val="00AE7861"/>
    <w:rsid w:val="00AF2863"/>
    <w:rsid w:val="00B047A7"/>
    <w:rsid w:val="00B229C3"/>
    <w:rsid w:val="00B2321A"/>
    <w:rsid w:val="00B233CC"/>
    <w:rsid w:val="00B720B5"/>
    <w:rsid w:val="00B754C6"/>
    <w:rsid w:val="00B7775D"/>
    <w:rsid w:val="00B80630"/>
    <w:rsid w:val="00BA3B98"/>
    <w:rsid w:val="00BB07C3"/>
    <w:rsid w:val="00BD409D"/>
    <w:rsid w:val="00BE3DA5"/>
    <w:rsid w:val="00C033DB"/>
    <w:rsid w:val="00C0694E"/>
    <w:rsid w:val="00C314D7"/>
    <w:rsid w:val="00C31A81"/>
    <w:rsid w:val="00C32853"/>
    <w:rsid w:val="00C51A2E"/>
    <w:rsid w:val="00C70F1C"/>
    <w:rsid w:val="00CA7BF2"/>
    <w:rsid w:val="00CB677A"/>
    <w:rsid w:val="00CD416E"/>
    <w:rsid w:val="00CF1D98"/>
    <w:rsid w:val="00CF70D5"/>
    <w:rsid w:val="00D170FE"/>
    <w:rsid w:val="00D40807"/>
    <w:rsid w:val="00D40D5F"/>
    <w:rsid w:val="00D42859"/>
    <w:rsid w:val="00D4461F"/>
    <w:rsid w:val="00D4580B"/>
    <w:rsid w:val="00D92F88"/>
    <w:rsid w:val="00DA52DB"/>
    <w:rsid w:val="00DA547D"/>
    <w:rsid w:val="00DC6349"/>
    <w:rsid w:val="00DE770B"/>
    <w:rsid w:val="00DF38F1"/>
    <w:rsid w:val="00E10A28"/>
    <w:rsid w:val="00E17AC4"/>
    <w:rsid w:val="00E269F8"/>
    <w:rsid w:val="00E54608"/>
    <w:rsid w:val="00E57AF1"/>
    <w:rsid w:val="00E607F2"/>
    <w:rsid w:val="00E74B65"/>
    <w:rsid w:val="00E76076"/>
    <w:rsid w:val="00EA2233"/>
    <w:rsid w:val="00EC0BE6"/>
    <w:rsid w:val="00EC6537"/>
    <w:rsid w:val="00EF4A39"/>
    <w:rsid w:val="00EF69FB"/>
    <w:rsid w:val="00F0078D"/>
    <w:rsid w:val="00F033EC"/>
    <w:rsid w:val="00F07A47"/>
    <w:rsid w:val="00F247A3"/>
    <w:rsid w:val="00F3722B"/>
    <w:rsid w:val="00F52420"/>
    <w:rsid w:val="00F660B4"/>
    <w:rsid w:val="00F72B7F"/>
    <w:rsid w:val="00FD64B0"/>
    <w:rsid w:val="00FE24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A0665"/>
  <w15:chartTrackingRefBased/>
  <w15:docId w15:val="{B0A3DA79-4B6F-436C-AB6D-5683EBBE4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15AA"/>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1215AA"/>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1215AA"/>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1215AA"/>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1215AA"/>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1215AA"/>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1215AA"/>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1215AA"/>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1215AA"/>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1215AA"/>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5AA"/>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1215AA"/>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1215AA"/>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1215AA"/>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1215AA"/>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1215AA"/>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1215AA"/>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1215AA"/>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1215AA"/>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1215AA"/>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1215AA"/>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99"/>
    <w:unhideWhenUsed/>
    <w:rsid w:val="001215AA"/>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99"/>
    <w:rsid w:val="001215AA"/>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1215AA"/>
    <w:rPr>
      <w:color w:val="0000FF"/>
      <w:u w:val="single"/>
    </w:rPr>
  </w:style>
  <w:style w:type="paragraph" w:styleId="ListParagraph">
    <w:name w:val="List Paragraph"/>
    <w:basedOn w:val="Normal"/>
    <w:uiPriority w:val="34"/>
    <w:qFormat/>
    <w:rsid w:val="001215AA"/>
    <w:pPr>
      <w:ind w:left="720"/>
      <w:contextualSpacing/>
    </w:pPr>
  </w:style>
  <w:style w:type="paragraph" w:styleId="BalloonText">
    <w:name w:val="Balloon Text"/>
    <w:basedOn w:val="Normal"/>
    <w:link w:val="BalloonTextChar"/>
    <w:uiPriority w:val="99"/>
    <w:semiHidden/>
    <w:unhideWhenUsed/>
    <w:rsid w:val="001215AA"/>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1215AA"/>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1"/>
    <w:qFormat/>
    <w:rsid w:val="001215AA"/>
    <w:pPr>
      <w:spacing w:after="0" w:line="240" w:lineRule="auto"/>
    </w:pPr>
    <w:rPr>
      <w:rFonts w:ascii="Calibri" w:eastAsia="Times New Roman" w:hAnsi="Calibri" w:cs="Times New Roman"/>
      <w:kern w:val="0"/>
      <w14:ligatures w14:val="none"/>
    </w:rPr>
  </w:style>
  <w:style w:type="paragraph" w:customStyle="1" w:styleId="Default">
    <w:name w:val="Default"/>
    <w:rsid w:val="001215AA"/>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1215AA"/>
    <w:rPr>
      <w:sz w:val="20"/>
      <w:szCs w:val="20"/>
    </w:rPr>
  </w:style>
  <w:style w:type="character" w:customStyle="1" w:styleId="FootnoteTextChar">
    <w:name w:val="Footnote Text Char"/>
    <w:basedOn w:val="DefaultParagraphFont"/>
    <w:link w:val="FootnoteText"/>
    <w:uiPriority w:val="99"/>
    <w:semiHidden/>
    <w:rsid w:val="001215AA"/>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1215AA"/>
    <w:rPr>
      <w:vertAlign w:val="superscript"/>
    </w:rPr>
  </w:style>
  <w:style w:type="table" w:styleId="TableGrid">
    <w:name w:val="Table Grid"/>
    <w:basedOn w:val="TableNormal"/>
    <w:uiPriority w:val="59"/>
    <w:rsid w:val="001215AA"/>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1215AA"/>
    <w:rPr>
      <w:i/>
      <w:iCs/>
      <w:smallCaps/>
      <w:spacing w:val="5"/>
    </w:rPr>
  </w:style>
  <w:style w:type="paragraph" w:customStyle="1" w:styleId="ECHRHeader">
    <w:name w:val="ECHR_Header"/>
    <w:aliases w:val="Ju_Header"/>
    <w:basedOn w:val="Header"/>
    <w:uiPriority w:val="4"/>
    <w:qFormat/>
    <w:rsid w:val="001215AA"/>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1215AA"/>
  </w:style>
  <w:style w:type="character" w:styleId="Strong">
    <w:name w:val="Strong"/>
    <w:uiPriority w:val="99"/>
    <w:qFormat/>
    <w:rsid w:val="001215AA"/>
    <w:rPr>
      <w:b/>
      <w:bCs/>
    </w:rPr>
  </w:style>
  <w:style w:type="character" w:customStyle="1" w:styleId="NoSpacingChar">
    <w:name w:val="No Spacing Char"/>
    <w:link w:val="NoSpacing"/>
    <w:uiPriority w:val="1"/>
    <w:rsid w:val="001215AA"/>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1215AA"/>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1215AA"/>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1215AA"/>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1215AA"/>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1215AA"/>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1215AA"/>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1215AA"/>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1215AA"/>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1215AA"/>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1215AA"/>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1215AA"/>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1215AA"/>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1215AA"/>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1215AA"/>
    <w:rPr>
      <w:vanish w:val="0"/>
      <w:color w:val="auto"/>
      <w:sz w:val="14"/>
      <w:bdr w:val="none" w:sz="0" w:space="0" w:color="auto"/>
      <w:shd w:val="clear" w:color="auto" w:fill="BEE5FF"/>
    </w:rPr>
  </w:style>
  <w:style w:type="paragraph" w:customStyle="1" w:styleId="JuLista">
    <w:name w:val="Ju_List_a"/>
    <w:basedOn w:val="JuList"/>
    <w:uiPriority w:val="28"/>
    <w:qFormat/>
    <w:rsid w:val="001215AA"/>
    <w:pPr>
      <w:ind w:left="346" w:firstLine="0"/>
    </w:pPr>
  </w:style>
  <w:style w:type="paragraph" w:customStyle="1" w:styleId="JuListi">
    <w:name w:val="Ju_List_i"/>
    <w:basedOn w:val="Normal"/>
    <w:next w:val="JuLista"/>
    <w:uiPriority w:val="28"/>
    <w:qFormat/>
    <w:rsid w:val="001215AA"/>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1215AA"/>
    <w:rPr>
      <w:caps w:val="0"/>
      <w:smallCaps/>
    </w:rPr>
  </w:style>
  <w:style w:type="paragraph" w:customStyle="1" w:styleId="JuParaSub">
    <w:name w:val="Ju_Para_Sub"/>
    <w:basedOn w:val="ECHRPara"/>
    <w:uiPriority w:val="13"/>
    <w:qFormat/>
    <w:rsid w:val="001215AA"/>
    <w:pPr>
      <w:ind w:left="284"/>
    </w:pPr>
  </w:style>
  <w:style w:type="paragraph" w:customStyle="1" w:styleId="ECHRHeading1">
    <w:name w:val="ECHR_Heading_1"/>
    <w:aliases w:val="Ju_H_I_Roman"/>
    <w:basedOn w:val="Heading1"/>
    <w:next w:val="ECHRPara"/>
    <w:uiPriority w:val="19"/>
    <w:qFormat/>
    <w:rsid w:val="001215AA"/>
  </w:style>
  <w:style w:type="paragraph" w:customStyle="1" w:styleId="ECHRHeading2">
    <w:name w:val="ECHR_Heading_2"/>
    <w:aliases w:val="Ju_H_A"/>
    <w:basedOn w:val="Heading2"/>
    <w:next w:val="ECHRPara"/>
    <w:uiPriority w:val="20"/>
    <w:qFormat/>
    <w:rsid w:val="001215AA"/>
  </w:style>
  <w:style w:type="paragraph" w:customStyle="1" w:styleId="ECHRHeading3">
    <w:name w:val="ECHR_Heading_3"/>
    <w:aliases w:val="Ju_H_1."/>
    <w:basedOn w:val="Heading3"/>
    <w:next w:val="ECHRPara"/>
    <w:uiPriority w:val="21"/>
    <w:qFormat/>
    <w:rsid w:val="001215AA"/>
  </w:style>
  <w:style w:type="paragraph" w:customStyle="1" w:styleId="ECHRHeading4">
    <w:name w:val="ECHR_Heading_4"/>
    <w:aliases w:val="Ju_H_a"/>
    <w:basedOn w:val="Heading4"/>
    <w:next w:val="ECHRPara"/>
    <w:uiPriority w:val="22"/>
    <w:qFormat/>
    <w:rsid w:val="001215AA"/>
  </w:style>
  <w:style w:type="paragraph" w:customStyle="1" w:styleId="ECHRHeading5">
    <w:name w:val="ECHR_Heading_5"/>
    <w:aliases w:val="Ju_H_i"/>
    <w:basedOn w:val="Heading5"/>
    <w:next w:val="ECHRPara"/>
    <w:uiPriority w:val="23"/>
    <w:qFormat/>
    <w:rsid w:val="001215AA"/>
  </w:style>
  <w:style w:type="paragraph" w:customStyle="1" w:styleId="ECHRHeading6">
    <w:name w:val="ECHR_Heading_6"/>
    <w:aliases w:val="Ju_H_alpha"/>
    <w:basedOn w:val="Heading6"/>
    <w:next w:val="ECHRPara"/>
    <w:uiPriority w:val="24"/>
    <w:qFormat/>
    <w:rsid w:val="001215AA"/>
  </w:style>
  <w:style w:type="paragraph" w:customStyle="1" w:styleId="ECHRHeading7">
    <w:name w:val="ECHR_Heading_7"/>
    <w:aliases w:val="Ju_H_–"/>
    <w:basedOn w:val="Heading7"/>
    <w:next w:val="ECHRPara"/>
    <w:uiPriority w:val="25"/>
    <w:qFormat/>
    <w:rsid w:val="001215AA"/>
  </w:style>
  <w:style w:type="paragraph" w:customStyle="1" w:styleId="JuParaLast">
    <w:name w:val="Ju_Para_Last"/>
    <w:basedOn w:val="Normal"/>
    <w:next w:val="ECHRPara"/>
    <w:uiPriority w:val="30"/>
    <w:qFormat/>
    <w:rsid w:val="001215AA"/>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uiPriority w:val="11"/>
    <w:qFormat/>
    <w:rsid w:val="001215AA"/>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1215AA"/>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1215AA"/>
    <w:pPr>
      <w:ind w:left="567"/>
    </w:pPr>
  </w:style>
  <w:style w:type="paragraph" w:customStyle="1" w:styleId="JuTitle">
    <w:name w:val="Ju_Title"/>
    <w:basedOn w:val="Normal"/>
    <w:next w:val="ECHRPara"/>
    <w:uiPriority w:val="3"/>
    <w:semiHidden/>
    <w:qFormat/>
    <w:rsid w:val="001215AA"/>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1215AA"/>
    <w:rPr>
      <w:i/>
      <w:iCs/>
    </w:rPr>
  </w:style>
  <w:style w:type="paragraph" w:customStyle="1" w:styleId="OpiH1">
    <w:name w:val="Opi_H_1"/>
    <w:basedOn w:val="ECHRHeading2"/>
    <w:uiPriority w:val="42"/>
    <w:qFormat/>
    <w:rsid w:val="001215AA"/>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1215AA"/>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1215AA"/>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1215AA"/>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1215AA"/>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1215AA"/>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1215AA"/>
    <w:rPr>
      <w:b/>
      <w:bCs/>
      <w:i/>
      <w:iCs/>
      <w:spacing w:val="10"/>
      <w:bdr w:val="none" w:sz="0" w:space="0" w:color="auto"/>
      <w:shd w:val="clear" w:color="auto" w:fill="auto"/>
    </w:rPr>
  </w:style>
  <w:style w:type="character" w:styleId="IntenseEmphasis">
    <w:name w:val="Intense Emphasis"/>
    <w:uiPriority w:val="99"/>
    <w:qFormat/>
    <w:rsid w:val="001215AA"/>
    <w:rPr>
      <w:b/>
      <w:bCs/>
    </w:rPr>
  </w:style>
  <w:style w:type="paragraph" w:styleId="IntenseQuote">
    <w:name w:val="Intense Quote"/>
    <w:basedOn w:val="Normal"/>
    <w:next w:val="Normal"/>
    <w:link w:val="IntenseQuoteChar"/>
    <w:uiPriority w:val="99"/>
    <w:qFormat/>
    <w:rsid w:val="001215AA"/>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1215AA"/>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1215AA"/>
    <w:rPr>
      <w:smallCaps/>
      <w:spacing w:val="5"/>
      <w:u w:val="single"/>
    </w:rPr>
  </w:style>
  <w:style w:type="table" w:customStyle="1" w:styleId="LtrTableAddress">
    <w:name w:val="Ltr_Table_Address"/>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1215AA"/>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1215AA"/>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1215AA"/>
    <w:rPr>
      <w:smallCaps/>
    </w:rPr>
  </w:style>
  <w:style w:type="paragraph" w:styleId="TOC1">
    <w:name w:val="toc 1"/>
    <w:basedOn w:val="Normal"/>
    <w:next w:val="Normal"/>
    <w:autoRedefine/>
    <w:uiPriority w:val="99"/>
    <w:semiHidden/>
    <w:rsid w:val="001215AA"/>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1215AA"/>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1215AA"/>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1215AA"/>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1215AA"/>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1215AA"/>
    <w:pPr>
      <w:keepNext/>
      <w:spacing w:before="240" w:after="60"/>
    </w:pPr>
    <w:rPr>
      <w:rFonts w:ascii="Calibri Light" w:hAnsi="Calibri Light"/>
      <w:kern w:val="32"/>
      <w:sz w:val="32"/>
      <w:szCs w:val="32"/>
    </w:rPr>
  </w:style>
  <w:style w:type="table" w:customStyle="1" w:styleId="UGTable">
    <w:name w:val="UG_Table"/>
    <w:basedOn w:val="TableNormal"/>
    <w:uiPriority w:val="99"/>
    <w:rsid w:val="001215AA"/>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1215AA"/>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1215AA"/>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1215AA"/>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1215AA"/>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1215AA"/>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1215AA"/>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1215AA"/>
    <w:pPr>
      <w:numPr>
        <w:numId w:val="4"/>
      </w:numPr>
    </w:pPr>
  </w:style>
  <w:style w:type="paragraph" w:customStyle="1" w:styleId="ECHRPara">
    <w:name w:val="ECHR_Para"/>
    <w:aliases w:val="Ju_Para"/>
    <w:basedOn w:val="Normal"/>
    <w:link w:val="ECHRParaChar"/>
    <w:uiPriority w:val="12"/>
    <w:qFormat/>
    <w:rsid w:val="001215AA"/>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1215AA"/>
    <w:pPr>
      <w:numPr>
        <w:numId w:val="5"/>
      </w:numPr>
    </w:pPr>
  </w:style>
  <w:style w:type="table" w:customStyle="1" w:styleId="ECHRTableSimpleBox">
    <w:name w:val="ECHR_Table_Simple_Box"/>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1215AA"/>
    <w:pPr>
      <w:numPr>
        <w:numId w:val="6"/>
      </w:numPr>
    </w:pPr>
  </w:style>
  <w:style w:type="table" w:customStyle="1" w:styleId="ECHRTableForInternalUse">
    <w:name w:val="ECHR_Table_For_Internal_Use"/>
    <w:basedOn w:val="TableNormal"/>
    <w:uiPriority w:val="99"/>
    <w:rsid w:val="001215AA"/>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1215AA"/>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1215AA"/>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1215AA"/>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1215AA"/>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1215AA"/>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1215AA"/>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215AA"/>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1215AA"/>
    <w:rPr>
      <w:sz w:val="18"/>
    </w:rPr>
  </w:style>
  <w:style w:type="paragraph" w:styleId="ListBullet">
    <w:name w:val="List Bullet"/>
    <w:basedOn w:val="Normal"/>
    <w:uiPriority w:val="99"/>
    <w:semiHidden/>
    <w:rsid w:val="001215AA"/>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1215AA"/>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1215AA"/>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1215AA"/>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1215AA"/>
    <w:pPr>
      <w:spacing w:after="0"/>
      <w:ind w:firstLine="360"/>
    </w:pPr>
  </w:style>
  <w:style w:type="character" w:customStyle="1" w:styleId="BodyTextFirstIndentChar">
    <w:name w:val="Body Text First Indent Char"/>
    <w:basedOn w:val="BodyTextChar"/>
    <w:link w:val="BodyTextFirstIndent"/>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1215AA"/>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1215AA"/>
    <w:pPr>
      <w:spacing w:after="0"/>
      <w:ind w:left="360" w:firstLine="360"/>
    </w:pPr>
  </w:style>
  <w:style w:type="character" w:customStyle="1" w:styleId="BodyTextFirstIndent2Char">
    <w:name w:val="Body Text First Indent 2 Char"/>
    <w:basedOn w:val="BodyTextIndentChar"/>
    <w:link w:val="BodyTextFirstIndent2"/>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1215AA"/>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1215AA"/>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1215AA"/>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1215AA"/>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1215AA"/>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1215AA"/>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1215AA"/>
    <w:rPr>
      <w:sz w:val="16"/>
      <w:szCs w:val="16"/>
    </w:rPr>
  </w:style>
  <w:style w:type="paragraph" w:styleId="CommentText">
    <w:name w:val="annotation text"/>
    <w:basedOn w:val="Normal"/>
    <w:link w:val="CommentTextChar"/>
    <w:uiPriority w:val="99"/>
    <w:semiHidden/>
    <w:rsid w:val="001215AA"/>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1215AA"/>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1215AA"/>
    <w:rPr>
      <w:b/>
      <w:bCs/>
    </w:rPr>
  </w:style>
  <w:style w:type="character" w:customStyle="1" w:styleId="CommentSubjectChar">
    <w:name w:val="Comment Subject Char"/>
    <w:basedOn w:val="CommentTextChar"/>
    <w:link w:val="CommentSubject"/>
    <w:uiPriority w:val="99"/>
    <w:semiHidden/>
    <w:rsid w:val="001215AA"/>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1215AA"/>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1215AA"/>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1215AA"/>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1215AA"/>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1215AA"/>
    <w:rPr>
      <w:vertAlign w:val="superscript"/>
    </w:rPr>
  </w:style>
  <w:style w:type="paragraph" w:styleId="EndnoteText">
    <w:name w:val="endnote text"/>
    <w:basedOn w:val="Normal"/>
    <w:link w:val="EndnoteTextChar"/>
    <w:uiPriority w:val="99"/>
    <w:semiHidden/>
    <w:rsid w:val="001215AA"/>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1215AA"/>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1215AA"/>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1215AA"/>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1215AA"/>
    <w:rPr>
      <w:color w:val="7030A0"/>
      <w:u w:val="single"/>
    </w:rPr>
  </w:style>
  <w:style w:type="character" w:styleId="HTMLAcronym">
    <w:name w:val="HTML Acronym"/>
    <w:basedOn w:val="DefaultParagraphFont"/>
    <w:uiPriority w:val="99"/>
    <w:semiHidden/>
    <w:rsid w:val="001215AA"/>
  </w:style>
  <w:style w:type="paragraph" w:styleId="HTMLAddress">
    <w:name w:val="HTML Address"/>
    <w:basedOn w:val="Normal"/>
    <w:link w:val="HTMLAddressChar"/>
    <w:uiPriority w:val="99"/>
    <w:semiHidden/>
    <w:rsid w:val="001215AA"/>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1215AA"/>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1215AA"/>
    <w:rPr>
      <w:i/>
      <w:iCs/>
    </w:rPr>
  </w:style>
  <w:style w:type="character" w:styleId="HTMLCode">
    <w:name w:val="HTML Code"/>
    <w:uiPriority w:val="99"/>
    <w:semiHidden/>
    <w:rsid w:val="001215AA"/>
    <w:rPr>
      <w:rFonts w:ascii="Consolas" w:hAnsi="Consolas" w:cs="Consolas"/>
      <w:sz w:val="20"/>
      <w:szCs w:val="20"/>
    </w:rPr>
  </w:style>
  <w:style w:type="character" w:styleId="HTMLDefinition">
    <w:name w:val="HTML Definition"/>
    <w:uiPriority w:val="99"/>
    <w:semiHidden/>
    <w:rsid w:val="001215AA"/>
    <w:rPr>
      <w:i/>
      <w:iCs/>
    </w:rPr>
  </w:style>
  <w:style w:type="character" w:styleId="HTMLKeyboard">
    <w:name w:val="HTML Keyboard"/>
    <w:uiPriority w:val="99"/>
    <w:semiHidden/>
    <w:rsid w:val="001215AA"/>
    <w:rPr>
      <w:rFonts w:ascii="Consolas" w:hAnsi="Consolas" w:cs="Consolas"/>
      <w:sz w:val="20"/>
      <w:szCs w:val="20"/>
    </w:rPr>
  </w:style>
  <w:style w:type="paragraph" w:styleId="HTMLPreformatted">
    <w:name w:val="HTML Preformatted"/>
    <w:basedOn w:val="Normal"/>
    <w:link w:val="HTMLPreformattedChar"/>
    <w:uiPriority w:val="99"/>
    <w:semiHidden/>
    <w:rsid w:val="001215AA"/>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1215AA"/>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1215AA"/>
    <w:rPr>
      <w:rFonts w:ascii="Consolas" w:hAnsi="Consolas" w:cs="Consolas"/>
      <w:sz w:val="24"/>
      <w:szCs w:val="24"/>
    </w:rPr>
  </w:style>
  <w:style w:type="character" w:styleId="HTMLTypewriter">
    <w:name w:val="HTML Typewriter"/>
    <w:uiPriority w:val="99"/>
    <w:semiHidden/>
    <w:rsid w:val="001215AA"/>
    <w:rPr>
      <w:rFonts w:ascii="Consolas" w:hAnsi="Consolas" w:cs="Consolas"/>
      <w:sz w:val="20"/>
      <w:szCs w:val="20"/>
    </w:rPr>
  </w:style>
  <w:style w:type="character" w:styleId="HTMLVariable">
    <w:name w:val="HTML Variable"/>
    <w:uiPriority w:val="99"/>
    <w:semiHidden/>
    <w:rsid w:val="001215AA"/>
    <w:rPr>
      <w:i/>
      <w:iCs/>
    </w:rPr>
  </w:style>
  <w:style w:type="paragraph" w:styleId="Index1">
    <w:name w:val="index 1"/>
    <w:basedOn w:val="Normal"/>
    <w:next w:val="Normal"/>
    <w:autoRedefine/>
    <w:uiPriority w:val="99"/>
    <w:semiHidden/>
    <w:rsid w:val="001215AA"/>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1215AA"/>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1215AA"/>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1215AA"/>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1215AA"/>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1215AA"/>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1215AA"/>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1215AA"/>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1215AA"/>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1215AA"/>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1215AA"/>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1215AA"/>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1215AA"/>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1215AA"/>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1215AA"/>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1215AA"/>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1215AA"/>
  </w:style>
  <w:style w:type="paragraph" w:styleId="List">
    <w:name w:val="List"/>
    <w:basedOn w:val="Normal"/>
    <w:uiPriority w:val="99"/>
    <w:semiHidden/>
    <w:rsid w:val="001215AA"/>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1215AA"/>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1215AA"/>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1215AA"/>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1215AA"/>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1215AA"/>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1215AA"/>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1215AA"/>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1215AA"/>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1215AA"/>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1215AA"/>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1215AA"/>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1215AA"/>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1215AA"/>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1215AA"/>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1215AA"/>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1215AA"/>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1215AA"/>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1215A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1215AA"/>
    <w:rPr>
      <w:rFonts w:ascii="Consolas" w:eastAsia="MS Mincho" w:hAnsi="Consolas" w:cs="Consolas"/>
      <w:kern w:val="0"/>
      <w:sz w:val="20"/>
      <w:szCs w:val="20"/>
      <w14:ligatures w14:val="none"/>
    </w:rPr>
  </w:style>
  <w:style w:type="table" w:styleId="MediumGrid1">
    <w:name w:val="Medium Grid 1"/>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215A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1215AA"/>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1215AA"/>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1215AA"/>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1215AA"/>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1215AA"/>
    <w:rPr>
      <w:color w:val="auto"/>
      <w:bdr w:val="none" w:sz="0" w:space="0" w:color="auto"/>
      <w:shd w:val="clear" w:color="auto" w:fill="DFDFDF"/>
    </w:rPr>
  </w:style>
  <w:style w:type="paragraph" w:styleId="PlainText">
    <w:name w:val="Plain Text"/>
    <w:basedOn w:val="Normal"/>
    <w:link w:val="PlainTextChar"/>
    <w:uiPriority w:val="99"/>
    <w:semiHidden/>
    <w:rsid w:val="001215AA"/>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1215AA"/>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1215AA"/>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1215AA"/>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1215AA"/>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215AA"/>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215AA"/>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215AA"/>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1215AA"/>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215AA"/>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1215AA"/>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1215AA"/>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1215AA"/>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1215AA"/>
  </w:style>
  <w:style w:type="paragraph" w:customStyle="1" w:styleId="OpiParaSub">
    <w:name w:val="Opi_Para_Sub"/>
    <w:basedOn w:val="JuParaSub"/>
    <w:uiPriority w:val="47"/>
    <w:qFormat/>
    <w:rsid w:val="001215AA"/>
  </w:style>
  <w:style w:type="paragraph" w:customStyle="1" w:styleId="ECHRFooter">
    <w:name w:val="ECHR_Footer"/>
    <w:aliases w:val="Footer_ECHR"/>
    <w:basedOn w:val="Footer"/>
    <w:uiPriority w:val="57"/>
    <w:semiHidden/>
    <w:rsid w:val="001215AA"/>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1215AA"/>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1215AA"/>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1215AA"/>
  </w:style>
  <w:style w:type="paragraph" w:customStyle="1" w:styleId="OpiQuotSub">
    <w:name w:val="Opi_Quot_Sub"/>
    <w:basedOn w:val="JuQuotSub"/>
    <w:uiPriority w:val="49"/>
    <w:qFormat/>
    <w:rsid w:val="001215AA"/>
  </w:style>
  <w:style w:type="paragraph" w:customStyle="1" w:styleId="OpiTranslation">
    <w:name w:val="Opi_Translation"/>
    <w:basedOn w:val="Normal"/>
    <w:next w:val="OpiPara"/>
    <w:uiPriority w:val="40"/>
    <w:qFormat/>
    <w:rsid w:val="001215AA"/>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1215AA"/>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1215AA"/>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1215AA"/>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1215AA"/>
    <w:pPr>
      <w:spacing w:before="100" w:beforeAutospacing="1" w:after="100" w:afterAutospacing="1" w:line="240" w:lineRule="auto"/>
    </w:pPr>
    <w:rPr>
      <w:rFonts w:ascii="Times New Roman" w:hAnsi="Times New Roman"/>
      <w:sz w:val="24"/>
      <w:szCs w:val="24"/>
    </w:rPr>
  </w:style>
  <w:style w:type="character" w:customStyle="1" w:styleId="xs1">
    <w:name w:val="x_s1"/>
    <w:rsid w:val="001215AA"/>
  </w:style>
  <w:style w:type="paragraph" w:customStyle="1" w:styleId="xp2">
    <w:name w:val="x_p2"/>
    <w:basedOn w:val="Normal"/>
    <w:rsid w:val="001215AA"/>
    <w:pPr>
      <w:spacing w:before="100" w:beforeAutospacing="1" w:after="100" w:afterAutospacing="1" w:line="240" w:lineRule="auto"/>
    </w:pPr>
    <w:rPr>
      <w:rFonts w:ascii="Times New Roman" w:hAnsi="Times New Roman"/>
      <w:sz w:val="24"/>
      <w:szCs w:val="24"/>
    </w:rPr>
  </w:style>
  <w:style w:type="character" w:customStyle="1" w:styleId="xs2">
    <w:name w:val="x_s2"/>
    <w:rsid w:val="00121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615905">
      <w:bodyDiv w:val="1"/>
      <w:marLeft w:val="0"/>
      <w:marRight w:val="0"/>
      <w:marTop w:val="0"/>
      <w:marBottom w:val="0"/>
      <w:divBdr>
        <w:top w:val="none" w:sz="0" w:space="0" w:color="auto"/>
        <w:left w:val="none" w:sz="0" w:space="0" w:color="auto"/>
        <w:bottom w:val="none" w:sz="0" w:space="0" w:color="auto"/>
        <w:right w:val="none" w:sz="0" w:space="0" w:color="auto"/>
      </w:divBdr>
    </w:div>
    <w:div w:id="173593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8C431E603464899A0B482538B25AB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59222-15</Nr_x002e__x0020_akti>
    <Data_x0020_e_x0020_Krijimit xmlns="0e656187-b300-4fb0-8bf4-3a50f872073c">2024-07-11T10:29:43Z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2024-07-10T00:00:00Z</Date_x0020_protokolli>
    <Titulli xmlns="0e656187-b300-4fb0-8bf4-3a50f872073c">Çështja Kalemii kundër Shqipërisë (kërkesa nr. 59222/15)</Titulli>
    <Modifikuesi xmlns="0e656187-b300-4fb0-8bf4-3a50f872073c">nevila.samarxhi</Modifikuesi>
    <Nr_x002e__x0020_prot_x0020_QBZ xmlns="0e656187-b300-4fb0-8bf4-3a50f872073c">1234/1</Nr_x002e__x0020_prot_x0020_QBZ>
    <Data_x0020_e_x0020_Modifikimit xmlns="0e656187-b300-4fb0-8bf4-3a50f872073c">2024-07-11T10:55:37Z</Data_x0020_e_x0020_Modifikimit>
    <Dekretuar xmlns="0e656187-b300-4fb0-8bf4-3a50f872073c">false</Dekretuar>
    <Data xmlns="0e656187-b300-4fb0-8bf4-3a50f872073c">2024-06-11T00:00:00Z</Data>
    <Nr_x002e__x0020_protokolli_x0020_i_x0020_aktit xmlns="0e656187-b300-4fb0-8bf4-3a50f872073c">3460/1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8C431E603464899A0B482538B25AB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BA7D8-23F8-4E9F-B438-6BBEA589D0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666C11B-5CA8-486D-9577-5F816ECD95D5}">
  <ds:schemaRefs>
    <ds:schemaRef ds:uri="http://purl.org/dc/elements/1.1/"/>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A8995ABD-3518-4A80-8DF3-A690740FAF65}">
  <ds:schemaRefs>
    <ds:schemaRef ds:uri="http://schemas.microsoft.com/sharepoint/v3/contenttype/forms"/>
  </ds:schemaRefs>
</ds:datastoreItem>
</file>

<file path=customXml/itemProps4.xml><?xml version="1.0" encoding="utf-8"?>
<ds:datastoreItem xmlns:ds="http://schemas.openxmlformats.org/officeDocument/2006/customXml" ds:itemID="{CDA02795-FB80-4472-B06E-9B26B7C7252B}">
  <ds:schemaRefs>
    <ds:schemaRef ds:uri="http://schemas.microsoft.com/sharepoint/v3/contenttype/forms"/>
  </ds:schemaRefs>
</ds:datastoreItem>
</file>

<file path=customXml/itemProps5.xml><?xml version="1.0" encoding="utf-8"?>
<ds:datastoreItem xmlns:ds="http://schemas.openxmlformats.org/officeDocument/2006/customXml" ds:itemID="{FD82606B-749E-4658-B57E-C1578151C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C687AA7-8A94-424D-B540-F971B8C20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1913</Words>
  <Characters>10909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Çështja Kalemii kundër Shqipërisë (kërkesa nr. 59222/15)</vt:lpstr>
    </vt:vector>
  </TitlesOfParts>
  <Company/>
  <LinksUpToDate>false</LinksUpToDate>
  <CharactersWithSpaces>12797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Kalemii kundër Shqipërisë (kërkesa nr. 59222/15)</dc:title>
  <dc:creator>Mirela Prifti</dc:creator>
  <cp:lastModifiedBy>Alma Lisaku</cp:lastModifiedBy>
  <cp:revision>40</cp:revision>
  <cp:lastPrinted>2024-06-28T08:12:00Z</cp:lastPrinted>
  <dcterms:created xsi:type="dcterms:W3CDTF">2024-07-11T09:31:00Z</dcterms:created>
  <dcterms:modified xsi:type="dcterms:W3CDTF">2024-07-12T08:55:00Z</dcterms:modified>
</cp:coreProperties>
</file>