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6681A" w14:textId="5BEB6561" w:rsidR="00D80187" w:rsidRPr="005B44E6" w:rsidRDefault="00D80187" w:rsidP="00D80187">
      <w:pPr>
        <w:spacing w:after="0" w:line="240" w:lineRule="auto"/>
        <w:ind w:firstLine="284"/>
        <w:jc w:val="center"/>
        <w:rPr>
          <w:rFonts w:ascii="Garamond" w:hAnsi="Garamond"/>
          <w:sz w:val="24"/>
          <w:szCs w:val="24"/>
        </w:rPr>
      </w:pPr>
      <w:r w:rsidRPr="005B44E6">
        <w:rPr>
          <w:rFonts w:ascii="Garamond" w:hAnsi="Garamond"/>
          <w:sz w:val="24"/>
          <w:szCs w:val="24"/>
        </w:rPr>
        <w:t>GJYKATA E</w:t>
      </w:r>
      <w:r w:rsidR="00F61B5A">
        <w:rPr>
          <w:rFonts w:ascii="Garamond" w:hAnsi="Garamond"/>
          <w:sz w:val="24"/>
          <w:szCs w:val="24"/>
        </w:rPr>
        <w:t>V</w:t>
      </w:r>
      <w:r w:rsidRPr="005B44E6">
        <w:rPr>
          <w:rFonts w:ascii="Garamond" w:hAnsi="Garamond"/>
          <w:sz w:val="24"/>
          <w:szCs w:val="24"/>
        </w:rPr>
        <w:t>ROPIANE E TË DREJTAVE TË NJERIUT</w:t>
      </w:r>
    </w:p>
    <w:p w14:paraId="37F4741A" w14:textId="77777777" w:rsidR="00D80187" w:rsidRPr="00634E8D" w:rsidRDefault="00D80187" w:rsidP="00D80187">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634E8D">
        <w:rPr>
          <w:rFonts w:ascii="Garamond" w:hAnsi="Garamond" w:cs="Times New Roman"/>
          <w:color w:val="000000"/>
          <w:sz w:val="24"/>
          <w:szCs w:val="24"/>
          <w:lang w:val="sq-AL"/>
        </w:rPr>
        <w:t>SEKSIONI I TRETË</w:t>
      </w:r>
    </w:p>
    <w:p w14:paraId="553F8CCB" w14:textId="77777777" w:rsidR="00D80187" w:rsidRDefault="00D80187" w:rsidP="00D80187">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DD2F636" w14:textId="05055B17" w:rsidR="00D80187" w:rsidRPr="00D80187" w:rsidRDefault="00D80187" w:rsidP="00D80187">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D80187">
        <w:rPr>
          <w:rFonts w:ascii="Garamond" w:hAnsi="Garamond" w:cs="Times New Roman"/>
          <w:b/>
          <w:bCs/>
          <w:color w:val="000000"/>
          <w:sz w:val="24"/>
          <w:szCs w:val="24"/>
          <w:lang w:val="sq-AL"/>
        </w:rPr>
        <w:t xml:space="preserve">ÇËSHTJA MAÇI </w:t>
      </w:r>
      <w:r w:rsidR="00F61B5A" w:rsidRPr="00D80187">
        <w:rPr>
          <w:rFonts w:ascii="Garamond" w:hAnsi="Garamond" w:cs="Times New Roman"/>
          <w:b/>
          <w:bCs/>
          <w:color w:val="000000"/>
          <w:sz w:val="24"/>
          <w:szCs w:val="24"/>
          <w:lang w:val="sq-AL"/>
        </w:rPr>
        <w:t xml:space="preserve">KUNDËR </w:t>
      </w:r>
      <w:r w:rsidRPr="00D80187">
        <w:rPr>
          <w:rFonts w:ascii="Garamond" w:hAnsi="Garamond" w:cs="Times New Roman"/>
          <w:b/>
          <w:bCs/>
          <w:color w:val="000000"/>
          <w:sz w:val="24"/>
          <w:szCs w:val="24"/>
          <w:lang w:val="sq-AL"/>
        </w:rPr>
        <w:t>SHQIPËRISË</w:t>
      </w:r>
    </w:p>
    <w:p w14:paraId="113C4438" w14:textId="77777777" w:rsidR="00D80187" w:rsidRPr="00D80187" w:rsidRDefault="00D80187" w:rsidP="00D80187">
      <w:pPr>
        <w:tabs>
          <w:tab w:val="right" w:pos="7920"/>
        </w:tabs>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D80187">
        <w:rPr>
          <w:rFonts w:ascii="Garamond" w:hAnsi="Garamond" w:cs="Times New Roman"/>
          <w:i/>
          <w:iCs/>
          <w:color w:val="000000"/>
          <w:sz w:val="24"/>
          <w:szCs w:val="24"/>
          <w:lang w:val="sq-AL"/>
        </w:rPr>
        <w:t>(Kërkesa nr. 21051/10)</w:t>
      </w:r>
    </w:p>
    <w:p w14:paraId="5011E093" w14:textId="77777777" w:rsidR="00D80187" w:rsidRPr="00D80187" w:rsidRDefault="00D80187" w:rsidP="00D80187">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CB87A89" w14:textId="77777777" w:rsidR="00D80187" w:rsidRPr="00D80187" w:rsidRDefault="00D80187" w:rsidP="00D8018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80187">
        <w:rPr>
          <w:rFonts w:ascii="Garamond" w:hAnsi="Garamond" w:cs="Times New Roman"/>
          <w:color w:val="000000"/>
          <w:sz w:val="24"/>
          <w:szCs w:val="24"/>
          <w:lang w:val="sq-AL"/>
        </w:rPr>
        <w:t>VENDIM</w:t>
      </w:r>
    </w:p>
    <w:p w14:paraId="2C41CF55" w14:textId="77777777" w:rsidR="00D80187" w:rsidRPr="00D80187" w:rsidRDefault="00D80187" w:rsidP="00D80187">
      <w:pPr>
        <w:autoSpaceDE w:val="0"/>
        <w:autoSpaceDN w:val="0"/>
        <w:adjustRightInd w:val="0"/>
        <w:spacing w:after="0" w:line="240" w:lineRule="auto"/>
        <w:ind w:firstLine="284"/>
        <w:jc w:val="center"/>
        <w:rPr>
          <w:rFonts w:ascii="Garamond" w:hAnsi="Garamond" w:cs="Calibri"/>
          <w:i/>
          <w:iCs/>
          <w:color w:val="000000"/>
          <w:sz w:val="24"/>
          <w:szCs w:val="24"/>
          <w:lang w:val="sq-AL"/>
        </w:rPr>
      </w:pPr>
    </w:p>
    <w:p w14:paraId="73BBC97E" w14:textId="77777777" w:rsidR="00D80187" w:rsidRPr="00D80187" w:rsidRDefault="00D80187" w:rsidP="00D8018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80187">
        <w:rPr>
          <w:rFonts w:ascii="Garamond" w:hAnsi="Garamond" w:cs="Times New Roman"/>
          <w:color w:val="000000"/>
          <w:sz w:val="24"/>
          <w:szCs w:val="24"/>
          <w:lang w:val="sq-AL"/>
        </w:rPr>
        <w:t>STRASBURG</w:t>
      </w:r>
    </w:p>
    <w:p w14:paraId="062DC9E8" w14:textId="77777777" w:rsidR="00D80187" w:rsidRPr="00D80187" w:rsidRDefault="00D80187" w:rsidP="00D80187">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D80187">
        <w:rPr>
          <w:rFonts w:ascii="Garamond" w:hAnsi="Garamond" w:cs="Times New Roman"/>
          <w:color w:val="000000"/>
          <w:sz w:val="24"/>
          <w:szCs w:val="24"/>
          <w:lang w:val="sq-AL"/>
        </w:rPr>
        <w:t>4 korrik 2024</w:t>
      </w:r>
    </w:p>
    <w:p w14:paraId="25A788BF" w14:textId="77777777" w:rsidR="00D80187" w:rsidRPr="00D80187" w:rsidRDefault="00D80187" w:rsidP="00D80187">
      <w:pPr>
        <w:autoSpaceDE w:val="0"/>
        <w:autoSpaceDN w:val="0"/>
        <w:adjustRightInd w:val="0"/>
        <w:spacing w:after="0" w:line="240" w:lineRule="auto"/>
        <w:ind w:firstLine="284"/>
        <w:jc w:val="center"/>
        <w:rPr>
          <w:rFonts w:ascii="Garamond" w:hAnsi="Garamond" w:cs="Calibri"/>
          <w:color w:val="000000"/>
          <w:sz w:val="24"/>
          <w:szCs w:val="24"/>
          <w:lang w:val="sq-AL"/>
        </w:rPr>
      </w:pPr>
    </w:p>
    <w:p w14:paraId="2735DB75" w14:textId="77777777" w:rsidR="00D80187" w:rsidRPr="00D80187" w:rsidRDefault="00D80187" w:rsidP="00D80187">
      <w:pPr>
        <w:autoSpaceDE w:val="0"/>
        <w:autoSpaceDN w:val="0"/>
        <w:adjustRightInd w:val="0"/>
        <w:spacing w:after="0" w:line="240" w:lineRule="auto"/>
        <w:ind w:firstLine="284"/>
        <w:rPr>
          <w:rFonts w:ascii="Garamond" w:hAnsi="Garamond" w:cs="Calibri"/>
          <w:color w:val="000000"/>
          <w:sz w:val="24"/>
          <w:szCs w:val="24"/>
          <w:lang w:val="sq-AL"/>
        </w:rPr>
      </w:pPr>
      <w:r w:rsidRPr="00D80187">
        <w:rPr>
          <w:rFonts w:ascii="Garamond" w:hAnsi="Garamond" w:cs="Calibri"/>
          <w:i/>
          <w:iCs/>
          <w:color w:val="000000"/>
          <w:sz w:val="24"/>
          <w:szCs w:val="24"/>
          <w:lang w:val="sq-AL"/>
        </w:rPr>
        <w:t>Ky është vendim përfundimtar, por mund t’i nënshtrohet rishikimit redaktorial.</w:t>
      </w:r>
    </w:p>
    <w:p w14:paraId="5830E9B3" w14:textId="77777777" w:rsidR="00D80187" w:rsidRPr="00D80187" w:rsidRDefault="00D80187" w:rsidP="00D80187">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80187">
        <w:rPr>
          <w:rFonts w:ascii="Garamond" w:hAnsi="Garamond" w:cs="Times New Roman"/>
          <w:b/>
          <w:bCs/>
          <w:color w:val="000000"/>
          <w:sz w:val="24"/>
          <w:szCs w:val="24"/>
          <w:lang w:val="sq-AL"/>
        </w:rPr>
        <w:t>Në çështjen Maçi kundër Shqipërisë,</w:t>
      </w:r>
    </w:p>
    <w:p w14:paraId="67825BD4" w14:textId="113203BF"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Gjykata E</w:t>
      </w:r>
      <w:r w:rsidR="00F61B5A">
        <w:rPr>
          <w:rFonts w:ascii="Garamond" w:hAnsi="Garamond" w:cs="Times New Roman"/>
          <w:color w:val="000000"/>
          <w:sz w:val="24"/>
          <w:szCs w:val="24"/>
          <w:lang w:val="sq-AL"/>
        </w:rPr>
        <w:t>v</w:t>
      </w:r>
      <w:r w:rsidRPr="00D80187">
        <w:rPr>
          <w:rFonts w:ascii="Garamond" w:hAnsi="Garamond" w:cs="Times New Roman"/>
          <w:color w:val="000000"/>
          <w:sz w:val="24"/>
          <w:szCs w:val="24"/>
          <w:lang w:val="sq-AL"/>
        </w:rPr>
        <w:t>ropiane e të Drejtave të Njeriut (Seksioni i Tretë), e mbledhur si Komitet i përbërë nga:</w:t>
      </w:r>
    </w:p>
    <w:p w14:paraId="0F09D220" w14:textId="3999EB2F" w:rsidR="00D80187" w:rsidRPr="00D80187" w:rsidRDefault="00D80187" w:rsidP="00D8018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 Peeter Roosma</w:t>
      </w:r>
      <w:r w:rsidRPr="00D80187">
        <w:rPr>
          <w:rFonts w:ascii="Garamond" w:hAnsi="Garamond" w:cs="Times New Roman"/>
          <w:i/>
          <w:iCs/>
          <w:color w:val="000000"/>
          <w:sz w:val="24"/>
          <w:szCs w:val="24"/>
          <w:lang w:val="sq-AL"/>
        </w:rPr>
        <w:t xml:space="preserve">, </w:t>
      </w:r>
      <w:r w:rsidR="00F61B5A" w:rsidRPr="00D80187">
        <w:rPr>
          <w:rFonts w:ascii="Garamond" w:hAnsi="Garamond" w:cs="Times New Roman"/>
          <w:i/>
          <w:iCs/>
          <w:color w:val="000000"/>
          <w:sz w:val="24"/>
          <w:szCs w:val="24"/>
          <w:lang w:val="sq-AL"/>
        </w:rPr>
        <w:t>president</w:t>
      </w:r>
      <w:r w:rsidRPr="00D80187">
        <w:rPr>
          <w:rFonts w:ascii="Garamond" w:hAnsi="Garamond" w:cs="Times New Roman"/>
          <w:color w:val="000000"/>
          <w:sz w:val="24"/>
          <w:szCs w:val="24"/>
          <w:lang w:val="sq-AL"/>
        </w:rPr>
        <w:t>,</w:t>
      </w:r>
    </w:p>
    <w:p w14:paraId="06CEBDA4" w14:textId="7BA6B975" w:rsidR="00D80187" w:rsidRPr="00D80187" w:rsidRDefault="00D80187" w:rsidP="00D8018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 Andreas Zünd,</w:t>
      </w:r>
    </w:p>
    <w:p w14:paraId="444DEFE7" w14:textId="31F12ECF" w:rsidR="00D80187" w:rsidRPr="00D80187" w:rsidRDefault="00D80187" w:rsidP="00D8018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 Oddný Mjöll Arnardóttir</w:t>
      </w:r>
      <w:r w:rsidRPr="00D80187">
        <w:rPr>
          <w:rFonts w:ascii="Garamond" w:hAnsi="Garamond" w:cs="Times New Roman"/>
          <w:i/>
          <w:iCs/>
          <w:color w:val="000000"/>
          <w:sz w:val="24"/>
          <w:szCs w:val="24"/>
          <w:lang w:val="sq-AL"/>
        </w:rPr>
        <w:t>, gjyqtarë</w:t>
      </w:r>
      <w:r w:rsidRPr="00D80187">
        <w:rPr>
          <w:rFonts w:ascii="Garamond" w:hAnsi="Garamond" w:cs="Times New Roman"/>
          <w:color w:val="000000"/>
          <w:sz w:val="24"/>
          <w:szCs w:val="24"/>
          <w:lang w:val="sq-AL"/>
        </w:rPr>
        <w:t>,</w:t>
      </w:r>
    </w:p>
    <w:p w14:paraId="7CF95B03" w14:textId="6E01BE6A" w:rsidR="00D80187" w:rsidRPr="00D80187" w:rsidRDefault="00D80187" w:rsidP="00D80187">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dhe Viktoriya Maradudina, </w:t>
      </w:r>
      <w:r w:rsidR="00F61B5A" w:rsidRPr="00D80187">
        <w:rPr>
          <w:rFonts w:ascii="Garamond" w:hAnsi="Garamond" w:cs="Times New Roman"/>
          <w:i/>
          <w:iCs/>
          <w:color w:val="000000"/>
          <w:sz w:val="24"/>
          <w:szCs w:val="24"/>
          <w:lang w:val="sq-AL"/>
        </w:rPr>
        <w:t xml:space="preserve">zëvendëskancelare </w:t>
      </w:r>
      <w:r w:rsidRPr="00D80187">
        <w:rPr>
          <w:rFonts w:ascii="Garamond" w:hAnsi="Garamond" w:cs="Times New Roman"/>
          <w:i/>
          <w:iCs/>
          <w:color w:val="000000"/>
          <w:sz w:val="24"/>
          <w:szCs w:val="24"/>
          <w:lang w:val="sq-AL"/>
        </w:rPr>
        <w:t>në detyrë e Seksionit,</w:t>
      </w:r>
    </w:p>
    <w:p w14:paraId="05258A17" w14:textId="77777777"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Pas diskutimit me dyer të mbyllura më 13 qershor 2024,</w:t>
      </w:r>
    </w:p>
    <w:p w14:paraId="0C2F3B8C" w14:textId="77777777"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merr vendimin e mëposhtëm, i cili miratohet po në atë datë:</w:t>
      </w:r>
    </w:p>
    <w:p w14:paraId="0B0C1D44" w14:textId="11FBAE5F"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olor w:val="000000"/>
          <w:sz w:val="24"/>
          <w:szCs w:val="24"/>
          <w:lang w:val="sq-AL"/>
        </w:rPr>
        <w:t xml:space="preserve"> </w:t>
      </w:r>
      <w:r w:rsidRPr="00D80187">
        <w:rPr>
          <w:rFonts w:ascii="Garamond" w:hAnsi="Garamond" w:cs="Times New Roman"/>
          <w:caps/>
          <w:color w:val="000000"/>
          <w:sz w:val="24"/>
          <w:szCs w:val="24"/>
          <w:lang w:val="sq-AL"/>
        </w:rPr>
        <w:t>PROCEDURA</w:t>
      </w:r>
    </w:p>
    <w:p w14:paraId="6ACB5E0B" w14:textId="187FB41F"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1.</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Çështja e ka origjinën nga një kërkesë kundër Shqipërisë depozituar në Gjykatë sipas nenit 34 të Konventës për Mbrojtjen e të Drejtave dhe Lirive Themelore të Njeriut (“Konventa”) më 9 prill 2010.</w:t>
      </w:r>
    </w:p>
    <w:p w14:paraId="16E3A982" w14:textId="5471E789"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Qeveria Shqiptare (“Qeveria”) u njoftua për kërkesën.</w:t>
      </w:r>
    </w:p>
    <w:p w14:paraId="36EAAE14" w14:textId="353EF8CC"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aps/>
          <w:color w:val="000000"/>
          <w:sz w:val="24"/>
          <w:szCs w:val="24"/>
          <w:lang w:val="sq-AL"/>
        </w:rPr>
      </w:pPr>
      <w:r w:rsidRPr="00D80187">
        <w:rPr>
          <w:rFonts w:ascii="Garamond" w:hAnsi="Garamond" w:cs="Calibri"/>
          <w:color w:val="000000"/>
          <w:sz w:val="24"/>
          <w:szCs w:val="24"/>
          <w:lang w:val="sq-AL"/>
        </w:rPr>
        <w:t xml:space="preserve"> </w:t>
      </w:r>
      <w:r w:rsidRPr="00D80187">
        <w:rPr>
          <w:rFonts w:ascii="Garamond" w:hAnsi="Garamond" w:cs="Calibri"/>
          <w:caps/>
          <w:color w:val="000000"/>
          <w:sz w:val="24"/>
          <w:szCs w:val="24"/>
          <w:lang w:val="sq-AL"/>
        </w:rPr>
        <w:t>FAKTET</w:t>
      </w:r>
    </w:p>
    <w:p w14:paraId="6425048A" w14:textId="2C97A0D3"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3.</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Detajet e kërkuesve dhe informacion në lidhje me kërkesën jepen në tabelën bashkëngjitur.</w:t>
      </w:r>
    </w:p>
    <w:p w14:paraId="7B2C02B6" w14:textId="53F2D155"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4.</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Kërkuesit janë trashëgimtarë të z. SH.M. Ata ankohen për mosekzekutimin e vendimeve të brendshme në favor të paraardhësit të tyre.</w:t>
      </w:r>
    </w:p>
    <w:p w14:paraId="6271057D" w14:textId="3CD27070"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aps/>
          <w:color w:val="000000"/>
          <w:sz w:val="24"/>
          <w:szCs w:val="24"/>
          <w:lang w:val="sq-AL"/>
        </w:rPr>
        <w:t>I. Vendim 1996</w:t>
      </w:r>
    </w:p>
    <w:p w14:paraId="24EC728A" w14:textId="7F00A1C7"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5.</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Më 5 nëntor 1996, Komisioni i Kthimit dhe Kompensimit të Pronave Tiranë konstatoi se z. </w:t>
      </w:r>
      <w:r w:rsidR="00F61B5A" w:rsidRPr="00D80187">
        <w:rPr>
          <w:rFonts w:ascii="Garamond" w:hAnsi="Garamond" w:cs="Times New Roman"/>
          <w:color w:val="000000"/>
          <w:sz w:val="24"/>
          <w:szCs w:val="24"/>
          <w:lang w:val="sq-AL"/>
        </w:rPr>
        <w:t>SH</w:t>
      </w:r>
      <w:r w:rsidRPr="00D80187">
        <w:rPr>
          <w:rFonts w:ascii="Garamond" w:hAnsi="Garamond" w:cs="Times New Roman"/>
          <w:color w:val="000000"/>
          <w:sz w:val="24"/>
          <w:szCs w:val="24"/>
          <w:lang w:val="sq-AL"/>
        </w:rPr>
        <w:t xml:space="preserve">.M. ishte ish-pronar i një parcele toke që i ishte konfiskuar gjatë komunizmit (“Vendimi 1996”) (shihni, për një kontekst të përgjithshëm, </w:t>
      </w:r>
      <w:r w:rsidRPr="00D80187">
        <w:rPr>
          <w:rFonts w:ascii="Garamond" w:hAnsi="Garamond" w:cs="Times New Roman"/>
          <w:i/>
          <w:iCs/>
          <w:color w:val="000000"/>
          <w:sz w:val="24"/>
          <w:szCs w:val="24"/>
          <w:lang w:val="sq-AL"/>
        </w:rPr>
        <w:t>Beshiri dhe të tjerë kundër Shqipërisë</w:t>
      </w:r>
      <w:r w:rsidRPr="00D80187">
        <w:rPr>
          <w:rFonts w:ascii="Garamond" w:hAnsi="Garamond" w:cs="Times New Roman"/>
          <w:color w:val="000000"/>
          <w:sz w:val="24"/>
          <w:szCs w:val="24"/>
          <w:lang w:val="sq-AL"/>
        </w:rPr>
        <w:t> (vendim) nr. 29026/06 dhe 11 të tjerë, §§ 2-4, 17 mars 2020 me referenca të mëtejshme). Mbështetur në një raport në terren nga nëpunësit e tij, Komisioni konstatoi se në parcelën e tokës ishte ndërtuar një ndërtesë dykatëshe dhe një rrugë.</w:t>
      </w:r>
    </w:p>
    <w:p w14:paraId="1DF2E1B7" w14:textId="680F8497"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6.</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Sipas paragrafit </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a</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të dispozitivit të </w:t>
      </w:r>
      <w:r w:rsidR="00F61B5A" w:rsidRPr="00D80187">
        <w:rPr>
          <w:rFonts w:ascii="Garamond" w:hAnsi="Garamond" w:cs="Calibri"/>
          <w:color w:val="000000"/>
          <w:sz w:val="24"/>
          <w:szCs w:val="24"/>
          <w:lang w:val="sq-AL"/>
        </w:rPr>
        <w:t xml:space="preserve">vendimit </w:t>
      </w:r>
      <w:r w:rsidRPr="00D80187">
        <w:rPr>
          <w:rFonts w:ascii="Garamond" w:hAnsi="Garamond" w:cs="Calibri"/>
          <w:color w:val="000000"/>
          <w:sz w:val="24"/>
          <w:szCs w:val="24"/>
          <w:lang w:val="sq-AL"/>
        </w:rPr>
        <w:t xml:space="preserve">të vitit 1996, Komisioni i ktheu z. </w:t>
      </w:r>
      <w:r w:rsidR="00F61B5A"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 të drejtën e pronësisë mbi një të tretën e truallit ku ishte ndërtuar objekti dhe i dha të drejtën për të shtuar një kat, katin e tretë të ndërtesës. Ai urdhëroi</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gjithashtu</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që pronësia e z. </w:t>
      </w:r>
      <w:r w:rsidR="00F61B5A"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 të regjistrohej në regjistrin e tokave në Zyrën e Regjistrimit të Pasurive të Paluajtshme (“ZRPP”).</w:t>
      </w:r>
    </w:p>
    <w:p w14:paraId="09C9EB32" w14:textId="60FFE65E"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7.</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Sipas pikës </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b</w:t>
      </w:r>
      <w:r w:rsidR="00F61B5A">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të dispozitivit të të njëjtit vendim, Komisioni vendosi që z. </w:t>
      </w:r>
      <w:r w:rsidR="00F61B5A"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 duhet të marrë kompensim për pjesën e mbetur të parcelës së tokës në një nga mënyrat e parashikuara në ligj.</w:t>
      </w:r>
    </w:p>
    <w:p w14:paraId="22509C1B" w14:textId="063361B1"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8.</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Në mungesë të ankimit, </w:t>
      </w:r>
      <w:r w:rsidR="00F61B5A" w:rsidRPr="00D80187">
        <w:rPr>
          <w:rFonts w:ascii="Garamond" w:hAnsi="Garamond" w:cs="Calibri"/>
          <w:color w:val="000000"/>
          <w:sz w:val="24"/>
          <w:szCs w:val="24"/>
          <w:lang w:val="sq-AL"/>
        </w:rPr>
        <w:t xml:space="preserve">vendimi </w:t>
      </w:r>
      <w:r w:rsidRPr="00D80187">
        <w:rPr>
          <w:rFonts w:ascii="Garamond" w:hAnsi="Garamond" w:cs="Calibri"/>
          <w:color w:val="000000"/>
          <w:sz w:val="24"/>
          <w:szCs w:val="24"/>
          <w:lang w:val="sq-AL"/>
        </w:rPr>
        <w:t>i vitit 1996 mori formë të prerë më 5 dhjetor 1996.</w:t>
      </w:r>
    </w:p>
    <w:p w14:paraId="09818177" w14:textId="05DE391F"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aps/>
          <w:color w:val="000000"/>
          <w:sz w:val="24"/>
          <w:szCs w:val="24"/>
          <w:lang w:val="sq-AL"/>
        </w:rPr>
        <w:t>II. Vendim 2004</w:t>
      </w:r>
    </w:p>
    <w:p w14:paraId="48507AE9" w14:textId="797523B3"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9.</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Në një datë të pacaktuar z. </w:t>
      </w:r>
      <w:r w:rsidR="00F61B5A" w:rsidRPr="00D80187">
        <w:rPr>
          <w:rFonts w:ascii="Garamond" w:hAnsi="Garamond" w:cs="Times New Roman"/>
          <w:color w:val="000000"/>
          <w:sz w:val="24"/>
          <w:szCs w:val="24"/>
          <w:lang w:val="sq-AL"/>
        </w:rPr>
        <w:t>SH</w:t>
      </w:r>
      <w:r w:rsidRPr="00D80187">
        <w:rPr>
          <w:rFonts w:ascii="Garamond" w:hAnsi="Garamond" w:cs="Times New Roman"/>
          <w:color w:val="000000"/>
          <w:sz w:val="24"/>
          <w:szCs w:val="24"/>
          <w:lang w:val="sq-AL"/>
        </w:rPr>
        <w:t>.M. depozitoi një padi në Gjykatën e Rrethit Tiranë kundër Ministrisë së Ekonomisë, Bashkisë së Tiranës dhe ZRPP-së, duke kërkuar që gjykata të caktojë kufijtë e saktë të truallit që ai kishte në pronësi.</w:t>
      </w:r>
    </w:p>
    <w:p w14:paraId="52881DD3" w14:textId="6862FC2D"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lastRenderedPageBreak/>
        <w:t>10.</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Gjykata urdhëroi një akt ekspertizë ku ishte përcaktuar dhe përshkruar parcela në fjalë dhe kufijtë e saj. Prona kufizohej, në veçanti, me një pronë publike, të cilën fillimisht </w:t>
      </w:r>
      <w:r w:rsidR="00C907BF" w:rsidRPr="00D80187">
        <w:rPr>
          <w:rFonts w:ascii="Garamond" w:hAnsi="Garamond" w:cs="Calibri"/>
          <w:color w:val="000000"/>
          <w:sz w:val="24"/>
          <w:szCs w:val="24"/>
          <w:lang w:val="sq-AL"/>
        </w:rPr>
        <w:t xml:space="preserve">shteti </w:t>
      </w:r>
      <w:r w:rsidRPr="00D80187">
        <w:rPr>
          <w:rFonts w:ascii="Garamond" w:hAnsi="Garamond" w:cs="Calibri"/>
          <w:color w:val="000000"/>
          <w:sz w:val="24"/>
          <w:szCs w:val="24"/>
          <w:lang w:val="sq-AL"/>
        </w:rPr>
        <w:t>e quante “shesh publik” dhe, në parashtrimet e tyre të fundit, “rrugë publike”.</w:t>
      </w:r>
    </w:p>
    <w:p w14:paraId="4AED180B" w14:textId="2B664607"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11.</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Pronësia e z. </w:t>
      </w:r>
      <w:r w:rsidR="00F61B5A"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 u konfirmua me një certifikatë pronësie të vitit 1994. Sipërfaqja e përgjithshme e parcelës, sipas akt ekspertizës, ishte 720 m</w:t>
      </w:r>
      <w:r w:rsidRPr="00F61B5A">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Bashkia dhe ZRPP</w:t>
      </w:r>
      <w:r w:rsidR="00F61B5A">
        <w:rPr>
          <w:rFonts w:ascii="Garamond" w:hAnsi="Garamond" w:cs="Calibri"/>
          <w:color w:val="000000"/>
          <w:sz w:val="24"/>
          <w:szCs w:val="24"/>
          <w:lang w:val="sq-AL"/>
        </w:rPr>
        <w:t>-ja</w:t>
      </w:r>
      <w:r w:rsidRPr="00D80187">
        <w:rPr>
          <w:rFonts w:ascii="Garamond" w:hAnsi="Garamond" w:cs="Calibri"/>
          <w:color w:val="000000"/>
          <w:sz w:val="24"/>
          <w:szCs w:val="24"/>
          <w:lang w:val="sq-AL"/>
        </w:rPr>
        <w:t xml:space="preserve"> pranuan pretendimin. Ministria e Ekonomisë nuk ka shprehur asnjë qëndrim.</w:t>
      </w:r>
    </w:p>
    <w:p w14:paraId="04C04986" w14:textId="3C368EE7"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12.</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Më 27 prill 2004, gjykata la në fuqi pretendimin e z. SH.M dhe urdhëroi ZRPP</w:t>
      </w:r>
      <w:r w:rsidR="00845C48">
        <w:rPr>
          <w:rFonts w:ascii="Garamond" w:hAnsi="Garamond" w:cs="Calibri"/>
          <w:color w:val="000000"/>
          <w:sz w:val="24"/>
          <w:szCs w:val="24"/>
          <w:lang w:val="sq-AL"/>
        </w:rPr>
        <w:t>-në</w:t>
      </w:r>
      <w:r w:rsidRPr="00D80187">
        <w:rPr>
          <w:rFonts w:ascii="Garamond" w:hAnsi="Garamond" w:cs="Calibri"/>
          <w:color w:val="000000"/>
          <w:sz w:val="24"/>
          <w:szCs w:val="24"/>
          <w:lang w:val="sq-AL"/>
        </w:rPr>
        <w:t xml:space="preserve"> që të regjistrojë pronësinë e tij</w:t>
      </w:r>
      <w:r w:rsidR="00845C48">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siç përshkruhet në akt ekspertizë (“Vendim 2004”).</w:t>
      </w:r>
    </w:p>
    <w:p w14:paraId="5FD13FE4" w14:textId="5F5F8B03"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13.</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Më 17 maj 2004 z. </w:t>
      </w:r>
      <w:r w:rsidR="00845C48"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 xml:space="preserve">.M. vdiq dhe kërkuesit u njohën nga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e si trashëgimtarët e tij.</w:t>
      </w:r>
    </w:p>
    <w:p w14:paraId="798D0017" w14:textId="612D628E"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14.</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Më 3 qershor 2004, vendimi i vitit 2004 mori formë të prerë. Pothuajse dy javë më vonë e njëjta gjykatë lëshoi një urdhër ekzekutimi.</w:t>
      </w:r>
    </w:p>
    <w:p w14:paraId="314972A2" w14:textId="2976BE56"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15.</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Në një datë të pacaktuar, ZRPP-ja informoi kërkuesit se kishte regjistruar në emrin e tyre 591 m</w:t>
      </w:r>
      <w:r w:rsidRPr="00CB38F9">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xml:space="preserve"> nga 720 m</w:t>
      </w:r>
      <w:r w:rsidRPr="00CB38F9">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xml:space="preserve"> të parcelës.</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Për sa i përket 129 m</w:t>
      </w:r>
      <w:r w:rsidRPr="00CB38F9">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xml:space="preserve"> të mbetura nga 720 m</w:t>
      </w:r>
      <w:r w:rsidRPr="00CB38F9">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sipas ZRPP-së, ato ishin pjesë e sheshit publik në pronësi të Bashkisë së Tiranës dhe për rrjedhojë nuk ishin pjesë e pronës së kërkuesve. U shpreh që eksperti i caktuar nga gjykata kishte bërë një gabim gjatë matjes së parcelës.</w:t>
      </w:r>
    </w:p>
    <w:p w14:paraId="69BF897D" w14:textId="7CD1BAAF"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16.</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ZRPP-ja i kërkoi Zyrës së Avokatit të Shtetit të fillonte procesin për shfuqizimin e pronësisë të kërkuesve në pjesën që mbulon ato 129 m</w:t>
      </w:r>
      <w:r w:rsidRPr="00CB38F9">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Avokati i Shtetit ia ka përcjellë këtë kërkesë Bashkisë së Tiranës</w:t>
      </w:r>
      <w:r w:rsidR="00306EE4">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duke i kërkuar fillimin e procesit në fjalë. Bashkia u përgjigj që i takonte Avokatit të Shtetit që të fillonte procesin. Në vitin 2023, Avokati i Shtetit u shpreh se ata po shqyrtonin mundësinë e fillimit të procesit ligjor për të kundërshtuar vendimin e vitit 2004.</w:t>
      </w:r>
    </w:p>
    <w:p w14:paraId="740A7C0A" w14:textId="3391FA4D"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aps/>
          <w:color w:val="000000"/>
          <w:sz w:val="24"/>
          <w:szCs w:val="24"/>
          <w:lang w:val="sq-AL"/>
        </w:rPr>
      </w:pPr>
      <w:r w:rsidRPr="00D80187">
        <w:rPr>
          <w:rFonts w:ascii="Garamond" w:hAnsi="Garamond" w:cs="Calibri"/>
          <w:color w:val="000000"/>
          <w:sz w:val="24"/>
          <w:szCs w:val="24"/>
          <w:lang w:val="sq-AL"/>
        </w:rPr>
        <w:t xml:space="preserve"> </w:t>
      </w:r>
      <w:r w:rsidRPr="00D80187">
        <w:rPr>
          <w:rFonts w:ascii="Garamond" w:hAnsi="Garamond" w:cs="Calibri"/>
          <w:caps/>
          <w:color w:val="000000"/>
          <w:sz w:val="24"/>
          <w:szCs w:val="24"/>
          <w:lang w:val="sq-AL"/>
        </w:rPr>
        <w:t>LEGJISLACIONI</w:t>
      </w:r>
    </w:p>
    <w:p w14:paraId="51458098" w14:textId="5B950265"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aps/>
          <w:color w:val="000000"/>
          <w:sz w:val="24"/>
          <w:szCs w:val="24"/>
          <w:lang w:val="sq-AL"/>
        </w:rPr>
        <w:t xml:space="preserve">I. SHKELJA E PRETENDUAR E PARAGRAFIT 1 TË NENIT 6 TË KONVENTËS DHE NENIT 1 TË PROTOKOLLIT </w:t>
      </w:r>
      <w:r w:rsidR="00125C50" w:rsidRPr="00D80187">
        <w:rPr>
          <w:rFonts w:ascii="Garamond" w:hAnsi="Garamond" w:cs="Times New Roman"/>
          <w:color w:val="000000"/>
          <w:sz w:val="24"/>
          <w:szCs w:val="24"/>
          <w:lang w:val="sq-AL"/>
        </w:rPr>
        <w:t>NR</w:t>
      </w:r>
      <w:r w:rsidRPr="00D80187">
        <w:rPr>
          <w:rFonts w:ascii="Garamond" w:hAnsi="Garamond" w:cs="Times New Roman"/>
          <w:caps/>
          <w:color w:val="000000"/>
          <w:sz w:val="24"/>
          <w:szCs w:val="24"/>
          <w:lang w:val="sq-AL"/>
        </w:rPr>
        <w:t>. 1 PËR MOSEKZEKUTIMIN E VENDIMEVE PËRFUNDIMTARE</w:t>
      </w:r>
    </w:p>
    <w:p w14:paraId="726335E3" w14:textId="6266EBE9"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17.</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Kërkuesit u ankuan më së shumti për mosekzekutimin e dy vendimeve të brendshme: </w:t>
      </w:r>
      <w:r w:rsidR="00125C50" w:rsidRPr="00D80187">
        <w:rPr>
          <w:rFonts w:ascii="Garamond" w:hAnsi="Garamond" w:cs="Times New Roman"/>
          <w:color w:val="000000"/>
          <w:sz w:val="24"/>
          <w:szCs w:val="24"/>
          <w:lang w:val="sq-AL"/>
        </w:rPr>
        <w:t xml:space="preserve">vendimi </w:t>
      </w:r>
      <w:r w:rsidRPr="00D80187">
        <w:rPr>
          <w:rFonts w:ascii="Garamond" w:hAnsi="Garamond" w:cs="Times New Roman"/>
          <w:color w:val="000000"/>
          <w:sz w:val="24"/>
          <w:szCs w:val="24"/>
          <w:lang w:val="sq-AL"/>
        </w:rPr>
        <w:t xml:space="preserve">1996 dhe </w:t>
      </w:r>
      <w:r w:rsidR="00125C50" w:rsidRPr="00D80187">
        <w:rPr>
          <w:rFonts w:ascii="Garamond" w:hAnsi="Garamond" w:cs="Times New Roman"/>
          <w:color w:val="000000"/>
          <w:sz w:val="24"/>
          <w:szCs w:val="24"/>
          <w:lang w:val="sq-AL"/>
        </w:rPr>
        <w:t xml:space="preserve">vendimi </w:t>
      </w:r>
      <w:r w:rsidRPr="00D80187">
        <w:rPr>
          <w:rFonts w:ascii="Garamond" w:hAnsi="Garamond" w:cs="Times New Roman"/>
          <w:color w:val="000000"/>
          <w:sz w:val="24"/>
          <w:szCs w:val="24"/>
          <w:lang w:val="sq-AL"/>
        </w:rPr>
        <w:t xml:space="preserve">2004 (shihni më sipër). Ata u bazuan në paragrafin 1 të nenit 6 të Konventës dhe në nenin 1 të </w:t>
      </w:r>
      <w:r w:rsidR="00125C50" w:rsidRPr="00D80187">
        <w:rPr>
          <w:rFonts w:ascii="Garamond" w:hAnsi="Garamond" w:cs="Times New Roman"/>
          <w:color w:val="000000"/>
          <w:sz w:val="24"/>
          <w:szCs w:val="24"/>
          <w:lang w:val="sq-AL"/>
        </w:rPr>
        <w:t xml:space="preserve">protokollit </w:t>
      </w:r>
      <w:r w:rsidRPr="00D80187">
        <w:rPr>
          <w:rFonts w:ascii="Garamond" w:hAnsi="Garamond" w:cs="Times New Roman"/>
          <w:color w:val="000000"/>
          <w:sz w:val="24"/>
          <w:szCs w:val="24"/>
          <w:lang w:val="sq-AL"/>
        </w:rPr>
        <w:t>nr.</w:t>
      </w:r>
      <w:r w:rsidR="00125C50">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1.</w:t>
      </w:r>
    </w:p>
    <w:p w14:paraId="63172A2B" w14:textId="634A7AF7"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18.</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Gjykata thekson që ekzekutimi i një vendimi të dhënë nga një</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gjykatë duhet të konsiderohet pjesë e pandarë e “seancës gjyqësore” për qëllime të paragrafit 1 të nenit 6. Gjithashtu ajo i referohet praktikës gjyqësore në lidhje me mosekzekutimin ose ekzekutimin me vonesë të vendimeve të brendshme të formës së prerë (shihni </w:t>
      </w:r>
      <w:r w:rsidRPr="00D80187">
        <w:rPr>
          <w:rFonts w:ascii="Garamond" w:hAnsi="Garamond" w:cs="Calibri"/>
          <w:i/>
          <w:iCs/>
          <w:color w:val="000000"/>
          <w:sz w:val="24"/>
          <w:szCs w:val="24"/>
          <w:lang w:val="sq-AL"/>
        </w:rPr>
        <w:t>Hornsby kundër Greqisë</w:t>
      </w:r>
      <w:r w:rsidRPr="00D80187">
        <w:rPr>
          <w:rFonts w:ascii="Garamond" w:hAnsi="Garamond" w:cs="Calibri"/>
          <w:color w:val="000000"/>
          <w:sz w:val="24"/>
          <w:szCs w:val="24"/>
          <w:lang w:val="sq-AL"/>
        </w:rPr>
        <w:t>, nr. 18357/91, 40, </w:t>
      </w:r>
      <w:r w:rsidRPr="00D80187">
        <w:rPr>
          <w:rFonts w:ascii="Garamond" w:hAnsi="Garamond" w:cs="Calibri"/>
          <w:i/>
          <w:iCs/>
          <w:color w:val="000000"/>
          <w:sz w:val="24"/>
          <w:szCs w:val="24"/>
          <w:lang w:val="sq-AL"/>
        </w:rPr>
        <w:t xml:space="preserve">Raporte të </w:t>
      </w:r>
      <w:r w:rsidR="00F711F6" w:rsidRPr="00D80187">
        <w:rPr>
          <w:rFonts w:ascii="Garamond" w:hAnsi="Garamond" w:cs="Calibri"/>
          <w:i/>
          <w:iCs/>
          <w:color w:val="000000"/>
          <w:sz w:val="24"/>
          <w:szCs w:val="24"/>
          <w:lang w:val="sq-AL"/>
        </w:rPr>
        <w:t>vendimeve</w:t>
      </w:r>
      <w:r w:rsidR="00F711F6" w:rsidRPr="00D80187">
        <w:rPr>
          <w:rFonts w:ascii="Garamond" w:hAnsi="Garamond" w:cs="Calibri"/>
          <w:color w:val="000000"/>
          <w:sz w:val="24"/>
          <w:szCs w:val="24"/>
          <w:lang w:val="sq-AL"/>
        </w:rPr>
        <w:t> </w:t>
      </w:r>
      <w:r w:rsidRPr="00D80187">
        <w:rPr>
          <w:rFonts w:ascii="Garamond" w:hAnsi="Garamond" w:cs="Calibri"/>
          <w:color w:val="000000"/>
          <w:sz w:val="24"/>
          <w:szCs w:val="24"/>
          <w:lang w:val="sq-AL"/>
        </w:rPr>
        <w:t>1997 II).</w:t>
      </w:r>
    </w:p>
    <w:p w14:paraId="0AB99242" w14:textId="2553CCD6"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19.</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Në çështjet kryesuese </w:t>
      </w:r>
      <w:r w:rsidRPr="00D80187">
        <w:rPr>
          <w:rFonts w:ascii="Garamond" w:hAnsi="Garamond" w:cs="Calibri"/>
          <w:i/>
          <w:iCs/>
          <w:color w:val="000000"/>
          <w:sz w:val="24"/>
          <w:szCs w:val="24"/>
          <w:lang w:val="sq-AL"/>
        </w:rPr>
        <w:t xml:space="preserve">Qufaj Co Sh.p.k. kundër Shqipërisë </w:t>
      </w:r>
      <w:r w:rsidRPr="00D80187">
        <w:rPr>
          <w:rFonts w:ascii="Garamond" w:hAnsi="Garamond" w:cs="Calibri"/>
          <w:color w:val="000000"/>
          <w:sz w:val="24"/>
          <w:szCs w:val="24"/>
          <w:lang w:val="sq-AL"/>
        </w:rPr>
        <w:t>(nr. 54268/00, §§ 38</w:t>
      </w:r>
      <w:r w:rsidR="00F711F6">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45, 18 nëntor 2004) dhe </w:t>
      </w:r>
      <w:r w:rsidRPr="00D80187">
        <w:rPr>
          <w:rFonts w:ascii="Garamond" w:hAnsi="Garamond" w:cs="Calibri"/>
          <w:i/>
          <w:iCs/>
          <w:color w:val="000000"/>
          <w:sz w:val="24"/>
          <w:szCs w:val="24"/>
          <w:lang w:val="sq-AL"/>
        </w:rPr>
        <w:t>Gjyli kundër Shqipërisë</w:t>
      </w:r>
      <w:r w:rsidRPr="00D80187">
        <w:rPr>
          <w:rFonts w:ascii="Garamond" w:hAnsi="Garamond" w:cs="Calibri"/>
          <w:color w:val="000000"/>
          <w:sz w:val="24"/>
          <w:szCs w:val="24"/>
          <w:lang w:val="sq-AL"/>
        </w:rPr>
        <w:t xml:space="preserve"> (nr. 32907/07, §§ 55</w:t>
      </w:r>
      <w:r w:rsidR="00F711F6">
        <w:rPr>
          <w:rFonts w:ascii="Garamond" w:hAnsi="Garamond" w:cs="Calibri"/>
          <w:color w:val="000000"/>
          <w:sz w:val="24"/>
          <w:szCs w:val="24"/>
          <w:lang w:val="sq-AL"/>
        </w:rPr>
        <w:t>–</w:t>
      </w:r>
      <w:r w:rsidRPr="00D80187">
        <w:rPr>
          <w:rFonts w:ascii="Garamond" w:hAnsi="Garamond" w:cs="Calibri"/>
          <w:color w:val="000000"/>
          <w:sz w:val="24"/>
          <w:szCs w:val="24"/>
          <w:lang w:val="sq-AL"/>
        </w:rPr>
        <w:t>61, 29 shtator 2009), Gjykata tashmë ka gjetur shkelje në lidhje me probleme të ngjashme me ato në këtë çështje.</w:t>
      </w:r>
    </w:p>
    <w:p w14:paraId="0C2CB144" w14:textId="46BFCDBF"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20.</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Gjithashtu, Gjykata i referohet çështjes </w:t>
      </w:r>
      <w:r w:rsidRPr="00D80187">
        <w:rPr>
          <w:rFonts w:ascii="Garamond" w:hAnsi="Garamond" w:cs="Calibri"/>
          <w:i/>
          <w:iCs/>
          <w:color w:val="000000"/>
          <w:sz w:val="24"/>
          <w:szCs w:val="24"/>
          <w:lang w:val="sq-AL"/>
        </w:rPr>
        <w:t xml:space="preserve">Beshiri dhe të tjerë kundër Shqipërisë </w:t>
      </w:r>
      <w:r w:rsidRPr="00D80187">
        <w:rPr>
          <w:rFonts w:ascii="Garamond" w:hAnsi="Garamond" w:cs="Calibri"/>
          <w:color w:val="000000"/>
          <w:sz w:val="24"/>
          <w:szCs w:val="24"/>
          <w:lang w:val="sq-AL"/>
        </w:rPr>
        <w:t>(vendim) (cituar më sipër, §§ 2</w:t>
      </w:r>
      <w:r w:rsidR="00CB09EF">
        <w:rPr>
          <w:rFonts w:ascii="Garamond" w:hAnsi="Garamond" w:cs="Calibri"/>
          <w:color w:val="000000"/>
          <w:sz w:val="24"/>
          <w:szCs w:val="24"/>
          <w:lang w:val="sq-AL"/>
        </w:rPr>
        <w:t>–</w:t>
      </w:r>
      <w:r w:rsidRPr="00D80187">
        <w:rPr>
          <w:rFonts w:ascii="Garamond" w:hAnsi="Garamond" w:cs="Calibri"/>
          <w:color w:val="000000"/>
          <w:sz w:val="24"/>
          <w:szCs w:val="24"/>
          <w:lang w:val="sq-AL"/>
        </w:rPr>
        <w:t>4 dhe 215)</w:t>
      </w:r>
      <w:r w:rsidR="00FA4E59">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që kishte të bënte me mosekzekutimin e zgjatur të vendimeve të komisioneve të kthimit të pronave që urdhëronin kompensimin</w:t>
      </w:r>
      <w:r w:rsidR="00FA4E59">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në përputhje me ligjin dhe që trajtonin</w:t>
      </w:r>
      <w:r w:rsidR="00FA4E59">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gjithashtu efektivitetin e një mjeti të ri të miratuar në bazë të ligjit për pronat të vitit 2015 për ankime të ngjashme.</w:t>
      </w:r>
    </w:p>
    <w:p w14:paraId="29993587" w14:textId="5B9504F0"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80187">
        <w:rPr>
          <w:rFonts w:ascii="Garamond" w:hAnsi="Garamond" w:cs="Times New Roman"/>
          <w:b/>
          <w:bCs/>
          <w:color w:val="000000"/>
          <w:sz w:val="24"/>
          <w:szCs w:val="24"/>
          <w:lang w:val="sq-AL"/>
        </w:rPr>
        <w:t>A. Vendim 1996</w:t>
      </w:r>
    </w:p>
    <w:p w14:paraId="75A73BE1" w14:textId="22D52E71"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80187">
        <w:rPr>
          <w:rFonts w:ascii="Garamond" w:hAnsi="Garamond" w:cs="Times New Roman"/>
          <w:i/>
          <w:iCs/>
          <w:color w:val="000000"/>
          <w:sz w:val="24"/>
          <w:szCs w:val="24"/>
          <w:lang w:val="sq-AL"/>
        </w:rPr>
        <w:t>1. E drejta e pronësisë mbi një të tretën e tokës</w:t>
      </w:r>
    </w:p>
    <w:p w14:paraId="2BB11DA7" w14:textId="251E5679"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21.</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Kur trajtoi atë pjesë të dispozitivit të </w:t>
      </w:r>
      <w:r w:rsidR="00FA4E59" w:rsidRPr="00D80187">
        <w:rPr>
          <w:rFonts w:ascii="Garamond" w:hAnsi="Garamond" w:cs="Times New Roman"/>
          <w:color w:val="000000"/>
          <w:sz w:val="24"/>
          <w:szCs w:val="24"/>
          <w:lang w:val="sq-AL"/>
        </w:rPr>
        <w:t xml:space="preserve">vendimit </w:t>
      </w:r>
      <w:r w:rsidRPr="00D80187">
        <w:rPr>
          <w:rFonts w:ascii="Garamond" w:hAnsi="Garamond" w:cs="Times New Roman"/>
          <w:color w:val="000000"/>
          <w:sz w:val="24"/>
          <w:szCs w:val="24"/>
          <w:lang w:val="sq-AL"/>
        </w:rPr>
        <w:t xml:space="preserve">të vitit 1996 (shihni paragrafin 6 më sipër), Qeveria fillimisht parashtroi se kërkuesit nuk i kishin kërkuar ZRPP-së që të shtonte në regjistrin e tokës të drejtat e tyre të pronës, të përcaktuara me vendimin e vitit 1996. Nëse do ta kishin bërë këtë, ZRPP-ja ishte e përgatitur të zbatonte </w:t>
      </w:r>
      <w:r w:rsidR="00FA4E59" w:rsidRPr="00D80187">
        <w:rPr>
          <w:rFonts w:ascii="Garamond" w:hAnsi="Garamond" w:cs="Times New Roman"/>
          <w:color w:val="000000"/>
          <w:sz w:val="24"/>
          <w:szCs w:val="24"/>
          <w:lang w:val="sq-AL"/>
        </w:rPr>
        <w:t xml:space="preserve">vendimin </w:t>
      </w:r>
      <w:r w:rsidRPr="00D80187">
        <w:rPr>
          <w:rFonts w:ascii="Garamond" w:hAnsi="Garamond" w:cs="Times New Roman"/>
          <w:color w:val="000000"/>
          <w:sz w:val="24"/>
          <w:szCs w:val="24"/>
          <w:lang w:val="sq-AL"/>
        </w:rPr>
        <w:t>e vitit 1996.</w:t>
      </w:r>
    </w:p>
    <w:p w14:paraId="44CB4D56" w14:textId="36F9A932" w:rsidR="00D80187" w:rsidRPr="00D80187" w:rsidRDefault="00D80187" w:rsidP="00FA4E59">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lastRenderedPageBreak/>
        <w:t>22.</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Gjykata vëren në këtë drejtim se dosja e çështjes përmban një sërë kërkesash nga kërkuesit drejtuar ZRPP-së që kërkojnë regjistrimin në fjalë. Prandaj, kundërshtimi i Qeverisë rrëzohet.</w:t>
      </w:r>
    </w:p>
    <w:p w14:paraId="4662A286" w14:textId="3E5AEE31"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23.</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Nga ana tjetër, Qeveria parashtroi se ZRPP-ja nuk mund të regjistronte në regjistrin e tokës pronësinë e kërkuesve mbi parcelën e tokës sepse kjo do të binte ndesh me të drejtat e pronësisë së banorëve të objektit në fjalë, të cilët kishin blerë apartamentet e tyre nga autoritetet shtetërore dhe ishin </w:t>
      </w:r>
      <w:r w:rsidRPr="00D80187">
        <w:rPr>
          <w:rFonts w:ascii="Garamond" w:hAnsi="Garamond" w:cs="Calibri"/>
          <w:i/>
          <w:iCs/>
          <w:color w:val="000000"/>
          <w:sz w:val="24"/>
          <w:szCs w:val="24"/>
          <w:lang w:val="sq-AL"/>
        </w:rPr>
        <w:t>ex lege</w:t>
      </w:r>
      <w:r w:rsidRPr="00D80187">
        <w:rPr>
          <w:rFonts w:ascii="Garamond" w:hAnsi="Garamond" w:cs="Calibri"/>
          <w:color w:val="000000"/>
          <w:sz w:val="24"/>
          <w:szCs w:val="24"/>
          <w:lang w:val="sq-AL"/>
        </w:rPr>
        <w:t xml:space="preserve"> bashkë pronarët e tokës ngjitur. Qeveria parashtroi se </w:t>
      </w:r>
      <w:r w:rsidR="00FA4E59">
        <w:rPr>
          <w:rFonts w:ascii="Garamond" w:hAnsi="Garamond" w:cs="Calibri"/>
          <w:color w:val="000000"/>
          <w:sz w:val="24"/>
          <w:szCs w:val="24"/>
          <w:lang w:val="sq-AL"/>
        </w:rPr>
        <w:t>u</w:t>
      </w:r>
      <w:r w:rsidRPr="00D80187">
        <w:rPr>
          <w:rFonts w:ascii="Garamond" w:hAnsi="Garamond" w:cs="Calibri"/>
          <w:color w:val="000000"/>
          <w:sz w:val="24"/>
          <w:szCs w:val="24"/>
          <w:lang w:val="sq-AL"/>
        </w:rPr>
        <w:t xml:space="preserve"> takonte kërkuesve që të procedonin ligjërisht kundër ZRPP-së dhe banorëve të godinës për të zgjidhur konfliktin e pretenduar. Në situatën e mosfillimit të këtij procedimi, kërkuesit nuk i kishin shteruar mjetet e brendshme juridike.</w:t>
      </w:r>
    </w:p>
    <w:p w14:paraId="5101D70E" w14:textId="23FECD18"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24.</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Gjykata pranon se pronësia e kërkuesve mbi pjesën e truallit ku ishte ndërtuar objekti dykatësh zbeh pronësinë e banorëve të ndërtesës në të njëjtën pjesë të truallit. Megjithatë,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e nuk bënë asnjë përpjekje për t’u konsultuar me banorët e objektit për të konfirmuar qëndrimin e tyre për këtë çështje. Supozimi që banorët e objektit kundërshtojnë </w:t>
      </w:r>
      <w:r w:rsidR="00305178" w:rsidRPr="00D80187">
        <w:rPr>
          <w:rFonts w:ascii="Garamond" w:hAnsi="Garamond" w:cs="Calibri"/>
          <w:color w:val="000000"/>
          <w:sz w:val="24"/>
          <w:szCs w:val="24"/>
          <w:lang w:val="sq-AL"/>
        </w:rPr>
        <w:t xml:space="preserve">vendimin </w:t>
      </w:r>
      <w:r w:rsidRPr="00D80187">
        <w:rPr>
          <w:rFonts w:ascii="Garamond" w:hAnsi="Garamond" w:cs="Calibri"/>
          <w:color w:val="000000"/>
          <w:sz w:val="24"/>
          <w:szCs w:val="24"/>
          <w:lang w:val="sq-AL"/>
        </w:rPr>
        <w:t xml:space="preserve">e vitit 1996 nuk mbështetet në asnjë dokument. Në fakt, një konflikt ndërmjet të drejtave të pronës së kërkuesve dhe atyre të banorëve të objektit mund të ketë ekzistuar ose jo, për aq sa thelbi i pronësisë së këtyre të fundit mund të kufizohej vetëm tek apartamentet e tyre individuale. Nuk i takon Gjykatës të vendosë si gjykatë e shkallës së parë për çështjen se si duhet të balancohen të drejtat e kërkuesve kundrejt atyre të banorëve të objektit, sepse ky detyrim bie mbi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e.</w:t>
      </w:r>
    </w:p>
    <w:p w14:paraId="4EA40EE6" w14:textId="11ACDAB3"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25.</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Edhe duke supozuar se një mosmarrëveshje do të lindte në kontekstin e sugjeruar nga qeveria, kjo mosmarrëveshje do të duket si rezultat i transferimit të gabuar të të drejtave të pronësisë nga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e mbi të njëjtin objekt tek individë të ndryshëm privatë, pa marrë parasysh të drejtat e të gjitha palëve të prekura nga veprimet e tyre. Qeveria nuk ka sqaruar se cili transferim ka ndodhur i pari dhe se si janë marrë parasysh, nëse janë marrë, të drejtat e palës tjetër. Në këtë kontekst, </w:t>
      </w:r>
      <w:r w:rsidR="00C907BF" w:rsidRPr="00D80187">
        <w:rPr>
          <w:rFonts w:ascii="Garamond" w:hAnsi="Garamond" w:cs="Calibri"/>
          <w:color w:val="000000"/>
          <w:sz w:val="24"/>
          <w:szCs w:val="24"/>
          <w:lang w:val="sq-AL"/>
        </w:rPr>
        <w:t xml:space="preserve">shteti </w:t>
      </w:r>
      <w:r w:rsidRPr="00D80187">
        <w:rPr>
          <w:rFonts w:ascii="Garamond" w:hAnsi="Garamond" w:cs="Calibri"/>
          <w:color w:val="000000"/>
          <w:sz w:val="24"/>
          <w:szCs w:val="24"/>
          <w:lang w:val="sq-AL"/>
        </w:rPr>
        <w:t>i paditur nuk mund të zhvishet automatikisht nga përgjegjësitë e tij për të zbatuar vendimin përfundimtar në favor të kërkuesve me një pretendim të thjeshtë se ata kanë nxjerrë vendime kontradiktore për të njëjtin</w:t>
      </w:r>
      <w:r w:rsidR="00F61B5A">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objekt.</w:t>
      </w:r>
    </w:p>
    <w:p w14:paraId="06DC6D18" w14:textId="6A7D8886"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26.</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Në kontekstin specifik të çështjes në fjalë, Gjykata hedh poshtë pretendimin e Qeverisë për mosshterim dhe e gjen të pranueshme këtë pjesë të ankimit të kërkuesve.</w:t>
      </w:r>
    </w:p>
    <w:p w14:paraId="5151D589" w14:textId="1AD436E2"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27.</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Duke pasur parasysh parimet e përgjithshme të Gjykatës në këtë çështje (shihni paragrafët 18</w:t>
      </w:r>
      <w:r w:rsidR="00305178">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19 më sipër), Gjykata vëren më tej se Qeveria nuk tregoi që kishte bërë të gjitha përpjekjet e nevojshme për të zbatuar plotësisht dhe në kohën e duhur paragrafin </w:t>
      </w:r>
      <w:r w:rsidR="005C24CE">
        <w:rPr>
          <w:rFonts w:ascii="Garamond" w:hAnsi="Garamond" w:cs="Calibri"/>
          <w:color w:val="000000"/>
          <w:sz w:val="24"/>
          <w:szCs w:val="24"/>
          <w:lang w:val="sq-AL"/>
        </w:rPr>
        <w:t>“</w:t>
      </w:r>
      <w:r w:rsidRPr="00D80187">
        <w:rPr>
          <w:rFonts w:ascii="Garamond" w:hAnsi="Garamond" w:cs="Calibri"/>
          <w:color w:val="000000"/>
          <w:sz w:val="24"/>
          <w:szCs w:val="24"/>
          <w:lang w:val="sq-AL"/>
        </w:rPr>
        <w:t>a</w:t>
      </w:r>
      <w:r w:rsidR="005C24CE">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të dispozitivit të </w:t>
      </w:r>
      <w:r w:rsidR="005C24CE" w:rsidRPr="00D80187">
        <w:rPr>
          <w:rFonts w:ascii="Garamond" w:hAnsi="Garamond" w:cs="Calibri"/>
          <w:color w:val="000000"/>
          <w:sz w:val="24"/>
          <w:szCs w:val="24"/>
          <w:lang w:val="sq-AL"/>
        </w:rPr>
        <w:t xml:space="preserve">vendimit </w:t>
      </w:r>
      <w:r w:rsidRPr="00D80187">
        <w:rPr>
          <w:rFonts w:ascii="Garamond" w:hAnsi="Garamond" w:cs="Calibri"/>
          <w:color w:val="000000"/>
          <w:sz w:val="24"/>
          <w:szCs w:val="24"/>
          <w:lang w:val="sq-AL"/>
        </w:rPr>
        <w:t>të vitit 1996.</w:t>
      </w:r>
    </w:p>
    <w:p w14:paraId="4B79BBDD" w14:textId="7447950B"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D80187">
        <w:rPr>
          <w:rFonts w:ascii="Garamond" w:hAnsi="Garamond" w:cs="Times New Roman"/>
          <w:i/>
          <w:iCs/>
          <w:color w:val="000000"/>
          <w:sz w:val="24"/>
          <w:szCs w:val="24"/>
          <w:lang w:val="sq-AL"/>
        </w:rPr>
        <w:t>2.</w:t>
      </w:r>
      <w:r>
        <w:rPr>
          <w:rFonts w:ascii="Garamond" w:hAnsi="Garamond" w:cs="Times New Roman"/>
          <w:i/>
          <w:iCs/>
          <w:color w:val="000000"/>
          <w:sz w:val="24"/>
          <w:szCs w:val="24"/>
          <w:lang w:val="sq-AL"/>
        </w:rPr>
        <w:t xml:space="preserve"> </w:t>
      </w:r>
      <w:r w:rsidRPr="00D80187">
        <w:rPr>
          <w:rFonts w:ascii="Garamond" w:hAnsi="Garamond" w:cs="Times New Roman"/>
          <w:i/>
          <w:iCs/>
          <w:color w:val="000000"/>
          <w:sz w:val="24"/>
          <w:szCs w:val="24"/>
          <w:lang w:val="sq-AL"/>
        </w:rPr>
        <w:t>Kompensimi</w:t>
      </w:r>
    </w:p>
    <w:p w14:paraId="1828F7FC" w14:textId="62131F7B"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28.</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Në lidhje me klauzolën e vendimit të vitit 1996 që duhet të sigurohet një kompensim për pjesën e mbetur të pronës së z. </w:t>
      </w:r>
      <w:r w:rsidR="005C24CE" w:rsidRPr="00D80187">
        <w:rPr>
          <w:rFonts w:ascii="Garamond" w:hAnsi="Garamond" w:cs="Times New Roman"/>
          <w:color w:val="000000"/>
          <w:sz w:val="24"/>
          <w:szCs w:val="24"/>
          <w:lang w:val="sq-AL"/>
        </w:rPr>
        <w:t>SH</w:t>
      </w:r>
      <w:r w:rsidRPr="00D80187">
        <w:rPr>
          <w:rFonts w:ascii="Garamond" w:hAnsi="Garamond" w:cs="Times New Roman"/>
          <w:color w:val="000000"/>
          <w:sz w:val="24"/>
          <w:szCs w:val="24"/>
          <w:lang w:val="sq-AL"/>
        </w:rPr>
        <w:t xml:space="preserve">.M (shihni paragrafin 7 më sipër), Qeveria parashtroi që sipas </w:t>
      </w:r>
      <w:r w:rsidR="009E5CF4" w:rsidRPr="00D80187">
        <w:rPr>
          <w:rFonts w:ascii="Garamond" w:hAnsi="Garamond" w:cs="Times New Roman"/>
          <w:color w:val="000000"/>
          <w:sz w:val="24"/>
          <w:szCs w:val="24"/>
          <w:lang w:val="sq-AL"/>
        </w:rPr>
        <w:t xml:space="preserve">ligjit </w:t>
      </w:r>
      <w:r w:rsidRPr="00D80187">
        <w:rPr>
          <w:rFonts w:ascii="Garamond" w:hAnsi="Garamond" w:cs="Times New Roman"/>
          <w:color w:val="000000"/>
          <w:sz w:val="24"/>
          <w:szCs w:val="24"/>
          <w:lang w:val="sq-AL"/>
        </w:rPr>
        <w:t xml:space="preserve">për </w:t>
      </w:r>
      <w:r w:rsidR="009E5CF4" w:rsidRPr="00D80187">
        <w:rPr>
          <w:rFonts w:ascii="Garamond" w:hAnsi="Garamond" w:cs="Times New Roman"/>
          <w:color w:val="000000"/>
          <w:sz w:val="24"/>
          <w:szCs w:val="24"/>
          <w:lang w:val="sq-AL"/>
        </w:rPr>
        <w:t xml:space="preserve">pronat </w:t>
      </w:r>
      <w:r w:rsidRPr="00D80187">
        <w:rPr>
          <w:rFonts w:ascii="Garamond" w:hAnsi="Garamond" w:cs="Times New Roman"/>
          <w:color w:val="000000"/>
          <w:sz w:val="24"/>
          <w:szCs w:val="24"/>
          <w:lang w:val="sq-AL"/>
        </w:rPr>
        <w:t xml:space="preserve">të vitit 2015 nga ish-pronarët që kanë një vendim përfundimtar nga komisionet e pronave pritej të aplikonin në Agjencinë për Trajtimin e Pronave për të marrë kompensimin e tyre dhe ky mjet juridik u gjet efektiv nga Gjykata (shihni </w:t>
      </w:r>
      <w:r w:rsidRPr="00D80187">
        <w:rPr>
          <w:rFonts w:ascii="Garamond" w:hAnsi="Garamond" w:cs="Times New Roman"/>
          <w:i/>
          <w:iCs/>
          <w:color w:val="000000"/>
          <w:sz w:val="24"/>
          <w:szCs w:val="24"/>
          <w:lang w:val="sq-AL"/>
        </w:rPr>
        <w:t>Beshiri</w:t>
      </w:r>
      <w:r w:rsidRPr="00D80187">
        <w:rPr>
          <w:rFonts w:ascii="Garamond" w:hAnsi="Garamond" w:cs="Times New Roman"/>
          <w:color w:val="000000"/>
          <w:sz w:val="24"/>
          <w:szCs w:val="24"/>
          <w:lang w:val="sq-AL"/>
        </w:rPr>
        <w:t>, cituar më sipër, § 218). Gjykata e pranon këtë argument dhe del në përfundimin se kërkuesve, sipas paragrafit 1 të nenit 35, u kërkohej të përdornin atë mjet juridik të brendshëm.</w:t>
      </w:r>
    </w:p>
    <w:p w14:paraId="76BE4B32" w14:textId="66A608B1"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29.</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Kërkesa e qeverisë për papranueshmëri në këtë drejtim duhet të mbështetet dhe kjo pjesë e ankimit duhet të refuzohet sipas paragrafit 1 dhe 4 të nenit 35 të Konventës për mos shterimin e mjeteve juridike të brendshme.</w:t>
      </w:r>
    </w:p>
    <w:p w14:paraId="7D57B665" w14:textId="6B41EDF3"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D80187">
        <w:rPr>
          <w:rFonts w:ascii="Garamond" w:hAnsi="Garamond" w:cs="Times New Roman"/>
          <w:b/>
          <w:bCs/>
          <w:color w:val="000000"/>
          <w:sz w:val="24"/>
          <w:szCs w:val="24"/>
          <w:lang w:val="sq-AL"/>
        </w:rPr>
        <w:t>B. Vendim 2004</w:t>
      </w:r>
    </w:p>
    <w:p w14:paraId="28FD3D00" w14:textId="540ACC17"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30.</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Qeveria parashtroi se e drejta e pronësisë së kërkuesve për 591 m</w:t>
      </w:r>
      <w:r w:rsidRPr="009B1503">
        <w:rPr>
          <w:rFonts w:ascii="Garamond" w:hAnsi="Garamond" w:cs="Times New Roman"/>
          <w:color w:val="000000"/>
          <w:sz w:val="24"/>
          <w:szCs w:val="24"/>
          <w:vertAlign w:val="superscript"/>
          <w:lang w:val="sq-AL"/>
        </w:rPr>
        <w:t>2</w:t>
      </w:r>
      <w:r w:rsidRPr="00D80187">
        <w:rPr>
          <w:rFonts w:ascii="Garamond" w:hAnsi="Garamond" w:cs="Times New Roman"/>
          <w:color w:val="000000"/>
          <w:sz w:val="24"/>
          <w:szCs w:val="24"/>
          <w:lang w:val="sq-AL"/>
        </w:rPr>
        <w:t xml:space="preserve"> të të gjithë sipërfaqes së parcelës prej 720 m</w:t>
      </w:r>
      <w:r w:rsidRPr="009B1503">
        <w:rPr>
          <w:rFonts w:ascii="Garamond" w:hAnsi="Garamond" w:cs="Times New Roman"/>
          <w:color w:val="000000"/>
          <w:sz w:val="24"/>
          <w:szCs w:val="24"/>
          <w:vertAlign w:val="superscript"/>
          <w:lang w:val="sq-AL"/>
        </w:rPr>
        <w:t>2</w:t>
      </w:r>
      <w:r w:rsidRPr="00D80187">
        <w:rPr>
          <w:rFonts w:ascii="Garamond" w:hAnsi="Garamond" w:cs="Times New Roman"/>
          <w:color w:val="000000"/>
          <w:sz w:val="24"/>
          <w:szCs w:val="24"/>
          <w:lang w:val="sq-AL"/>
        </w:rPr>
        <w:t xml:space="preserve"> ishte regjistruar rregullisht në regjistrin e tokave nga ZRPP-ja sipas vendimit të vitit 2004.</w:t>
      </w:r>
      <w:r w:rsidR="00F61B5A">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Pjesa e mbetur prej 129 m² e parcelës së tokës, sipas Qeverisë, pas rimatjeve shtesë, i atribuohej pronës publike (ndonjëherë të quajtur “rrugë” ose “shesh”).</w:t>
      </w:r>
    </w:p>
    <w:p w14:paraId="1619E9AA" w14:textId="7C81751A"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lastRenderedPageBreak/>
        <w:t>31.</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Qeveria deklaroi më tej se nëse kërkuesit donin të regjistronin pronësinë e tyre për 129 m</w:t>
      </w:r>
      <w:r w:rsidRPr="009B1503">
        <w:rPr>
          <w:rFonts w:ascii="Garamond" w:hAnsi="Garamond" w:cs="Calibri"/>
          <w:color w:val="000000"/>
          <w:sz w:val="24"/>
          <w:szCs w:val="24"/>
          <w:vertAlign w:val="superscript"/>
          <w:lang w:val="sq-AL"/>
        </w:rPr>
        <w:t>2</w:t>
      </w:r>
      <w:r w:rsidRPr="00D80187">
        <w:rPr>
          <w:rFonts w:ascii="Garamond" w:hAnsi="Garamond" w:cs="Calibri"/>
          <w:color w:val="000000"/>
          <w:sz w:val="24"/>
          <w:szCs w:val="24"/>
          <w:lang w:val="sq-AL"/>
        </w:rPr>
        <w:t xml:space="preserve"> të mbetur, ata duhej të kishin filluar procesin ligjor ndaj ZRPP-së. Meqë nuk e kishin bërë këtë, sipas mendimit të Qeverisë, kërkuesit nuk i kishin shteruar mjetet juridike të brendshme.</w:t>
      </w:r>
    </w:p>
    <w:p w14:paraId="7B25EF3A" w14:textId="58D8EB50"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32.</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Megjithatë, Gjykata, nuk është në gjendje ta ndjekë këtë argument sepse paraardhësi i kërkuesve e kishte filluar tashmë procesin kundër ZRPP-së dhe Bashkisë së Tiranës dhe kishte marrë vendimin përfundimtar të vitit 2004 në favor të tij.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e kishin njohur kërkuesit si trashëgimtarët e tij, sidomos në procedurat përkatëse përmbarimore. Prandaj është e paqartë arsyeja pse kërkuesit duhej të kishin filluar procese të ngjashme kundër ZRPP-së me të njëjtat pretendime, veçanërisht në mënyrë që autoritetet të pranonin plotësisht dhe pa mëdyshje kërkuesit si trashëgimtarë të z. </w:t>
      </w:r>
      <w:r w:rsidR="003523B7"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 me të drejta dhe përgjegjësi që rrjedhin nga ai status.</w:t>
      </w:r>
    </w:p>
    <w:p w14:paraId="2DF2FDBF" w14:textId="5E472806"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33.</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Për më tepër, Gjykata vlerëson se pas miratimit të </w:t>
      </w:r>
      <w:r w:rsidR="003523B7" w:rsidRPr="00D80187">
        <w:rPr>
          <w:rFonts w:ascii="Garamond" w:hAnsi="Garamond" w:cs="Calibri"/>
          <w:color w:val="000000"/>
          <w:sz w:val="24"/>
          <w:szCs w:val="24"/>
          <w:lang w:val="sq-AL"/>
        </w:rPr>
        <w:t xml:space="preserve">vendimit </w:t>
      </w:r>
      <w:r w:rsidRPr="00D80187">
        <w:rPr>
          <w:rFonts w:ascii="Garamond" w:hAnsi="Garamond" w:cs="Calibri"/>
          <w:color w:val="000000"/>
          <w:sz w:val="24"/>
          <w:szCs w:val="24"/>
          <w:lang w:val="sq-AL"/>
        </w:rPr>
        <w:t xml:space="preserve">të vitit 2004 në proceset ku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e ishin palë dhe ku ishte zgjidhur çështja e madhësisë dhe kufijve të parcelës së tokës, autoritetet nuk ishin më në pozitë që të kundërshtonin matjet e parcelës së tokës nga eksperti (shihni paragrafin 11 më sipër). Prandaj, kërkesa e Qeverisë për mosshterim në këtë aspekt duhet të rrëzohet.</w:t>
      </w:r>
    </w:p>
    <w:p w14:paraId="5DFD5530" w14:textId="1CB4FA69"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34.</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Gjykata nuk mund të pranojë as kërkesën e Qeverisë që vendimi i vitit 2004 thjesht përshkruan situatën faktike pa krijuar asnjë të drejtë pronësie për kërkuesit dhe aq më pak të drejtën për të regjistruar pronën në fjalë në ZRPP (krahasoni me </w:t>
      </w:r>
      <w:r w:rsidRPr="00D80187">
        <w:rPr>
          <w:rFonts w:ascii="Garamond" w:hAnsi="Garamond" w:cs="Calibri"/>
          <w:i/>
          <w:iCs/>
          <w:color w:val="000000"/>
          <w:sz w:val="24"/>
          <w:szCs w:val="24"/>
          <w:lang w:val="sq-AL"/>
        </w:rPr>
        <w:t>Bici kundër Shqipërisë</w:t>
      </w:r>
      <w:r w:rsidRPr="00D80187">
        <w:rPr>
          <w:rFonts w:ascii="Garamond" w:hAnsi="Garamond" w:cs="Calibri"/>
          <w:color w:val="000000"/>
          <w:sz w:val="24"/>
          <w:szCs w:val="24"/>
          <w:lang w:val="sq-AL"/>
        </w:rPr>
        <w:t>, nr. 5250/07, §§ 6 dhe 51, 3 dhjetor 2015). Ky argument bie ndesh me qëndrimin e vetë autoriteteve meqë ata e regjistruan pronësinë e kërkuesve për 591 m</w:t>
      </w:r>
      <w:r w:rsidRPr="003523B7">
        <w:rPr>
          <w:rFonts w:ascii="Garamond" w:hAnsi="Garamond" w:cs="Calibri"/>
          <w:color w:val="000000"/>
          <w:sz w:val="24"/>
          <w:szCs w:val="24"/>
          <w:vertAlign w:val="superscript"/>
          <w:lang w:val="sq-AL"/>
        </w:rPr>
        <w:t xml:space="preserve">2 </w:t>
      </w:r>
      <w:r w:rsidRPr="00D80187">
        <w:rPr>
          <w:rFonts w:ascii="Garamond" w:hAnsi="Garamond" w:cs="Calibri"/>
          <w:color w:val="000000"/>
          <w:sz w:val="24"/>
          <w:szCs w:val="24"/>
          <w:lang w:val="sq-AL"/>
        </w:rPr>
        <w:t xml:space="preserve">të parcelës bazuar në </w:t>
      </w:r>
      <w:r w:rsidR="003523B7" w:rsidRPr="00D80187">
        <w:rPr>
          <w:rFonts w:ascii="Garamond" w:hAnsi="Garamond" w:cs="Calibri"/>
          <w:color w:val="000000"/>
          <w:sz w:val="24"/>
          <w:szCs w:val="24"/>
          <w:lang w:val="sq-AL"/>
        </w:rPr>
        <w:t xml:space="preserve">vendimin </w:t>
      </w:r>
      <w:r w:rsidRPr="00D80187">
        <w:rPr>
          <w:rFonts w:ascii="Garamond" w:hAnsi="Garamond" w:cs="Calibri"/>
          <w:color w:val="000000"/>
          <w:sz w:val="24"/>
          <w:szCs w:val="24"/>
          <w:lang w:val="sq-AL"/>
        </w:rPr>
        <w:t xml:space="preserve">e vitit 2004. Gjithashtu, dispozitivi i </w:t>
      </w:r>
      <w:r w:rsidR="003523B7" w:rsidRPr="00D80187">
        <w:rPr>
          <w:rFonts w:ascii="Garamond" w:hAnsi="Garamond" w:cs="Calibri"/>
          <w:color w:val="000000"/>
          <w:sz w:val="24"/>
          <w:szCs w:val="24"/>
          <w:lang w:val="sq-AL"/>
        </w:rPr>
        <w:t xml:space="preserve">vendimit </w:t>
      </w:r>
      <w:r w:rsidRPr="00D80187">
        <w:rPr>
          <w:rFonts w:ascii="Garamond" w:hAnsi="Garamond" w:cs="Calibri"/>
          <w:color w:val="000000"/>
          <w:sz w:val="24"/>
          <w:szCs w:val="24"/>
          <w:lang w:val="sq-AL"/>
        </w:rPr>
        <w:t xml:space="preserve">të vitit 2004 shprehte qartë që ZRPP-ja ishte e detyruar të regjistronte pronësinë e z. </w:t>
      </w:r>
      <w:r w:rsidR="003523B7" w:rsidRPr="00D80187">
        <w:rPr>
          <w:rFonts w:ascii="Garamond" w:hAnsi="Garamond" w:cs="Calibri"/>
          <w:color w:val="000000"/>
          <w:sz w:val="24"/>
          <w:szCs w:val="24"/>
          <w:lang w:val="sq-AL"/>
        </w:rPr>
        <w:t>SH</w:t>
      </w:r>
      <w:r w:rsidRPr="00D80187">
        <w:rPr>
          <w:rFonts w:ascii="Garamond" w:hAnsi="Garamond" w:cs="Calibri"/>
          <w:color w:val="000000"/>
          <w:sz w:val="24"/>
          <w:szCs w:val="24"/>
          <w:lang w:val="sq-AL"/>
        </w:rPr>
        <w:t>.M mbi të gjithë sipërfaqen prej 720 m</w:t>
      </w:r>
      <w:r w:rsidRPr="003523B7">
        <w:rPr>
          <w:rFonts w:ascii="Garamond" w:hAnsi="Garamond" w:cs="Calibri"/>
          <w:color w:val="000000"/>
          <w:sz w:val="24"/>
          <w:szCs w:val="24"/>
          <w:vertAlign w:val="superscript"/>
          <w:lang w:val="sq-AL"/>
        </w:rPr>
        <w:t xml:space="preserve">2 </w:t>
      </w:r>
      <w:r w:rsidRPr="00D80187">
        <w:rPr>
          <w:rFonts w:ascii="Garamond" w:hAnsi="Garamond" w:cs="Calibri"/>
          <w:color w:val="000000"/>
          <w:sz w:val="24"/>
          <w:szCs w:val="24"/>
          <w:lang w:val="sq-AL"/>
        </w:rPr>
        <w:t>(shihni paragrafin</w:t>
      </w:r>
      <w:r w:rsidR="003523B7">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12 më sipër).</w:t>
      </w:r>
    </w:p>
    <w:p w14:paraId="5AB9F33E" w14:textId="5CCD9DB4"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35.</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Në këto rrethana, Gjykata konstaton se ankimet e kërkuesve në këtë pjesë janë</w:t>
      </w:r>
      <w:r w:rsidR="003523B7">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gjithashtu</w:t>
      </w:r>
      <w:r w:rsidR="003523B7">
        <w:rPr>
          <w:rFonts w:ascii="Garamond" w:hAnsi="Garamond" w:cs="Calibri"/>
          <w:color w:val="000000"/>
          <w:sz w:val="24"/>
          <w:szCs w:val="24"/>
          <w:lang w:val="sq-AL"/>
        </w:rPr>
        <w:t>,</w:t>
      </w:r>
      <w:r w:rsidRPr="00D80187">
        <w:rPr>
          <w:rFonts w:ascii="Garamond" w:hAnsi="Garamond" w:cs="Calibri"/>
          <w:color w:val="000000"/>
          <w:sz w:val="24"/>
          <w:szCs w:val="24"/>
          <w:lang w:val="sq-AL"/>
        </w:rPr>
        <w:t xml:space="preserve"> të pranueshme.</w:t>
      </w:r>
    </w:p>
    <w:p w14:paraId="2AB58570" w14:textId="21F8B2A3"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36.</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Në fund, Gjykata arrin në përfundimin se fakti që autoritetet </w:t>
      </w:r>
      <w:r w:rsidR="00845C48">
        <w:rPr>
          <w:rFonts w:ascii="Garamond" w:hAnsi="Garamond" w:cs="Calibri"/>
          <w:color w:val="000000"/>
          <w:sz w:val="24"/>
          <w:szCs w:val="24"/>
          <w:lang w:val="sq-AL"/>
        </w:rPr>
        <w:t>vendës</w:t>
      </w:r>
      <w:r w:rsidRPr="00D80187">
        <w:rPr>
          <w:rFonts w:ascii="Garamond" w:hAnsi="Garamond" w:cs="Calibri"/>
          <w:color w:val="000000"/>
          <w:sz w:val="24"/>
          <w:szCs w:val="24"/>
          <w:lang w:val="sq-AL"/>
        </w:rPr>
        <w:t xml:space="preserve">e nuk i bënë të gjitha përpjekjet e nevojshme për të zbatuar vendimet përfundimtare të brendshme (shihni paragrafët 27 dhe 34 më lart) përbën shkelje të të drejtave e kërkuesve sipas paragrafit 1 të nenit 6 të Konventës dhe sipas nenit 1 të </w:t>
      </w:r>
      <w:r w:rsidR="003523B7" w:rsidRPr="00D80187">
        <w:rPr>
          <w:rFonts w:ascii="Garamond" w:hAnsi="Garamond" w:cs="Calibri"/>
          <w:color w:val="000000"/>
          <w:sz w:val="24"/>
          <w:szCs w:val="24"/>
          <w:lang w:val="sq-AL"/>
        </w:rPr>
        <w:t>protokollit n</w:t>
      </w:r>
      <w:r w:rsidRPr="00D80187">
        <w:rPr>
          <w:rFonts w:ascii="Garamond" w:hAnsi="Garamond" w:cs="Calibri"/>
          <w:color w:val="000000"/>
          <w:sz w:val="24"/>
          <w:szCs w:val="24"/>
          <w:lang w:val="sq-AL"/>
        </w:rPr>
        <w:t>r. 1.</w:t>
      </w:r>
    </w:p>
    <w:p w14:paraId="10CCF374" w14:textId="08039201"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aps/>
          <w:color w:val="000000"/>
          <w:sz w:val="24"/>
          <w:szCs w:val="24"/>
          <w:lang w:val="sq-AL"/>
        </w:rPr>
        <w:t>II. SHKELJA E PRETENDUAR E NENIT 13 TË KONVENTËS</w:t>
      </w:r>
    </w:p>
    <w:p w14:paraId="21A473D9" w14:textId="0E1614A0"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37.</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Sipas nenit 13, kërkuesit u ankuan për mungesën e një mjeti juridik efektiv në lidhje me ankimin e tyre për moszbatimin e vendimeve përfundimtare të brendshme.</w:t>
      </w:r>
    </w:p>
    <w:p w14:paraId="3CFD02FB" w14:textId="30F975B9" w:rsidR="00D80187" w:rsidRPr="00D80187" w:rsidRDefault="00D80187" w:rsidP="00D80187">
      <w:pPr>
        <w:autoSpaceDE w:val="0"/>
        <w:autoSpaceDN w:val="0"/>
        <w:adjustRightInd w:val="0"/>
        <w:spacing w:after="0" w:line="240" w:lineRule="auto"/>
        <w:ind w:firstLine="284"/>
        <w:jc w:val="both"/>
        <w:rPr>
          <w:rFonts w:ascii="Garamond" w:hAnsi="Garamond" w:cs="Calibri"/>
          <w:color w:val="000000"/>
          <w:sz w:val="24"/>
          <w:szCs w:val="24"/>
          <w:lang w:val="sq-AL"/>
        </w:rPr>
      </w:pPr>
      <w:r w:rsidRPr="00D80187">
        <w:rPr>
          <w:rFonts w:ascii="Garamond" w:hAnsi="Garamond" w:cs="Calibri"/>
          <w:color w:val="000000"/>
          <w:sz w:val="24"/>
          <w:szCs w:val="24"/>
          <w:lang w:val="sq-AL"/>
        </w:rPr>
        <w:t>38.</w:t>
      </w:r>
      <w:r>
        <w:rPr>
          <w:rFonts w:ascii="Garamond" w:hAnsi="Garamond" w:cs="Calibri"/>
          <w:color w:val="000000"/>
          <w:sz w:val="24"/>
          <w:szCs w:val="24"/>
          <w:lang w:val="sq-AL"/>
        </w:rPr>
        <w:t xml:space="preserve"> </w:t>
      </w:r>
      <w:r w:rsidRPr="00D80187">
        <w:rPr>
          <w:rFonts w:ascii="Garamond" w:hAnsi="Garamond" w:cs="Calibri"/>
          <w:color w:val="000000"/>
          <w:sz w:val="24"/>
          <w:szCs w:val="24"/>
          <w:lang w:val="sq-AL"/>
        </w:rPr>
        <w:t xml:space="preserve">Duke pasur parasysh faktet e çështjes, parashtrimet e palëve dhe gjetjet e saj, Gjykata vlerëson se ka shqyrtuar pyetjen kryesore ligjore të ngritur në këtë çështje. Kështu ajo vëren që nuk ka pse të marrë një vendim të veçantë të ndërmjetëm për këtë ankim (shihni </w:t>
      </w:r>
      <w:r w:rsidRPr="00D80187">
        <w:rPr>
          <w:rFonts w:ascii="Garamond" w:hAnsi="Garamond" w:cs="Calibri"/>
          <w:i/>
          <w:iCs/>
          <w:color w:val="000000"/>
          <w:sz w:val="24"/>
          <w:szCs w:val="24"/>
          <w:lang w:val="sq-AL"/>
        </w:rPr>
        <w:t>Qendra për Burime Ligjore në emër të Valentin Câmpeanu kundër Rumanisë</w:t>
      </w:r>
      <w:r w:rsidRPr="00D80187">
        <w:rPr>
          <w:rFonts w:ascii="Garamond" w:hAnsi="Garamond" w:cs="Calibri"/>
          <w:color w:val="000000"/>
          <w:sz w:val="24"/>
          <w:szCs w:val="24"/>
          <w:lang w:val="sq-AL"/>
        </w:rPr>
        <w:t xml:space="preserve"> [DHM], nr. 47848/08, § 156, GJEDNJ 2014).</w:t>
      </w:r>
    </w:p>
    <w:p w14:paraId="51682509" w14:textId="30AE7769" w:rsidR="00D80187" w:rsidRPr="00D80187" w:rsidRDefault="00D80187" w:rsidP="00D80187">
      <w:pPr>
        <w:tabs>
          <w:tab w:val="left" w:pos="360"/>
          <w:tab w:val="left" w:pos="440"/>
          <w:tab w:val="left" w:pos="520"/>
          <w:tab w:val="left" w:pos="620"/>
          <w:tab w:val="left" w:pos="700"/>
          <w:tab w:val="left" w:pos="780"/>
        </w:tabs>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D80187">
        <w:rPr>
          <w:rFonts w:ascii="Garamond" w:hAnsi="Garamond" w:cs="Times New Roman"/>
          <w:caps/>
          <w:color w:val="000000"/>
          <w:sz w:val="24"/>
          <w:szCs w:val="24"/>
          <w:lang w:val="sq-AL"/>
        </w:rPr>
        <w:t>III. ZBATIMI I NENIT 41 TË KONVENTËS</w:t>
      </w:r>
    </w:p>
    <w:p w14:paraId="2361998C" w14:textId="0E439506"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39.</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Duke pasur parasysh dokumentet që dispononte dhe praktikën e saj gjyqësore</w:t>
      </w:r>
      <w:r>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 xml:space="preserve">(shihni, në veçanti, </w:t>
      </w:r>
      <w:r w:rsidRPr="00D80187">
        <w:rPr>
          <w:rFonts w:ascii="Garamond" w:hAnsi="Garamond" w:cs="Times New Roman"/>
          <w:i/>
          <w:iCs/>
          <w:color w:val="000000"/>
          <w:sz w:val="24"/>
          <w:szCs w:val="24"/>
          <w:lang w:val="sq-AL"/>
        </w:rPr>
        <w:t xml:space="preserve">Qufaj Co. Sh.p.k. </w:t>
      </w:r>
      <w:r w:rsidRPr="00D80187">
        <w:rPr>
          <w:rFonts w:ascii="Garamond" w:hAnsi="Garamond" w:cs="Times New Roman"/>
          <w:color w:val="000000"/>
          <w:sz w:val="24"/>
          <w:szCs w:val="24"/>
          <w:lang w:val="sq-AL"/>
        </w:rPr>
        <w:t>cituar më sipër, §§ 46</w:t>
      </w:r>
      <w:r w:rsidR="00B42257">
        <w:rPr>
          <w:rFonts w:ascii="Garamond" w:hAnsi="Garamond" w:cs="Calibri"/>
          <w:color w:val="000000"/>
          <w:sz w:val="24"/>
          <w:szCs w:val="24"/>
          <w:lang w:val="sq-AL"/>
        </w:rPr>
        <w:t>–</w:t>
      </w:r>
      <w:r w:rsidRPr="00D80187">
        <w:rPr>
          <w:rFonts w:ascii="Garamond" w:hAnsi="Garamond" w:cs="Times New Roman"/>
          <w:color w:val="000000"/>
          <w:sz w:val="24"/>
          <w:szCs w:val="24"/>
          <w:lang w:val="sq-AL"/>
        </w:rPr>
        <w:t xml:space="preserve">48, dhe </w:t>
      </w:r>
      <w:r w:rsidRPr="00D80187">
        <w:rPr>
          <w:rFonts w:ascii="Garamond" w:hAnsi="Garamond" w:cs="Times New Roman"/>
          <w:i/>
          <w:iCs/>
          <w:color w:val="000000"/>
          <w:sz w:val="24"/>
          <w:szCs w:val="24"/>
          <w:lang w:val="sq-AL"/>
        </w:rPr>
        <w:t xml:space="preserve">Gjyli, </w:t>
      </w:r>
      <w:r w:rsidRPr="00D80187">
        <w:rPr>
          <w:rFonts w:ascii="Garamond" w:hAnsi="Garamond" w:cs="Times New Roman"/>
          <w:color w:val="000000"/>
          <w:sz w:val="24"/>
          <w:szCs w:val="24"/>
          <w:lang w:val="sq-AL"/>
        </w:rPr>
        <w:t>gjithashtu</w:t>
      </w:r>
      <w:r w:rsidR="00B42257">
        <w:rPr>
          <w:rFonts w:ascii="Garamond" w:hAnsi="Garamond" w:cs="Times New Roman"/>
          <w:color w:val="000000"/>
          <w:sz w:val="24"/>
          <w:szCs w:val="24"/>
          <w:lang w:val="sq-AL"/>
        </w:rPr>
        <w:t>,</w:t>
      </w:r>
      <w:r w:rsidRPr="00D80187">
        <w:rPr>
          <w:rFonts w:ascii="Garamond" w:hAnsi="Garamond" w:cs="Times New Roman"/>
          <w:color w:val="000000"/>
          <w:sz w:val="24"/>
          <w:szCs w:val="24"/>
          <w:lang w:val="sq-AL"/>
        </w:rPr>
        <w:t xml:space="preserve"> të cituar më sipër, §§ 62</w:t>
      </w:r>
      <w:r w:rsidR="00B42257">
        <w:rPr>
          <w:rFonts w:ascii="Garamond" w:hAnsi="Garamond" w:cs="Calibri"/>
          <w:color w:val="000000"/>
          <w:sz w:val="24"/>
          <w:szCs w:val="24"/>
          <w:lang w:val="sq-AL"/>
        </w:rPr>
        <w:t>–</w:t>
      </w:r>
      <w:r w:rsidRPr="00D80187">
        <w:rPr>
          <w:rFonts w:ascii="Garamond" w:hAnsi="Garamond" w:cs="Times New Roman"/>
          <w:color w:val="000000"/>
          <w:sz w:val="24"/>
          <w:szCs w:val="24"/>
          <w:lang w:val="sq-AL"/>
        </w:rPr>
        <w:t>76), Gjykata e vlerëson të arsyeshme dhënien e shumës së treguar në tabelën e bashkëngjitur.</w:t>
      </w:r>
    </w:p>
    <w:p w14:paraId="724C4A13" w14:textId="2F0C0CCA"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sz w:val="24"/>
          <w:szCs w:val="24"/>
          <w:lang w:val="sq-AL"/>
        </w:rPr>
      </w:pPr>
      <w:r w:rsidRPr="00D80187">
        <w:rPr>
          <w:rFonts w:ascii="Garamond" w:hAnsi="Garamond" w:cs="Calibri"/>
          <w:color w:val="000000"/>
          <w:sz w:val="24"/>
          <w:szCs w:val="24"/>
          <w:lang w:val="sq-AL"/>
        </w:rPr>
        <w:t>40.</w:t>
      </w:r>
      <w:r>
        <w:rPr>
          <w:rFonts w:ascii="Garamond" w:hAnsi="Garamond" w:cs="Calibri"/>
          <w:color w:val="000000"/>
          <w:sz w:val="24"/>
          <w:szCs w:val="24"/>
          <w:lang w:val="sq-AL"/>
        </w:rPr>
        <w:t xml:space="preserve"> </w:t>
      </w:r>
      <w:proofErr w:type="spellStart"/>
      <w:r w:rsidR="006E6252" w:rsidRPr="00CE6145">
        <w:rPr>
          <w:rFonts w:ascii="Garamond" w:eastAsia="Times New Roman" w:hAnsi="Garamond" w:cs="Calibri"/>
          <w:color w:val="000000" w:themeColor="text1"/>
          <w:sz w:val="24"/>
          <w:szCs w:val="24"/>
          <w:bdr w:val="none" w:sz="0" w:space="0" w:color="auto" w:frame="1"/>
        </w:rPr>
        <w:t>Gjykata</w:t>
      </w:r>
      <w:proofErr w:type="spellEnd"/>
      <w:r w:rsidR="006E6252" w:rsidRPr="00CE6145">
        <w:rPr>
          <w:rFonts w:ascii="Garamond" w:eastAsia="Times New Roman" w:hAnsi="Garamond" w:cs="Calibri"/>
          <w:color w:val="000000" w:themeColor="text1"/>
          <w:sz w:val="24"/>
          <w:szCs w:val="24"/>
          <w:bdr w:val="none" w:sz="0" w:space="0" w:color="auto" w:frame="1"/>
        </w:rPr>
        <w:t xml:space="preserve"> </w:t>
      </w:r>
      <w:proofErr w:type="spellStart"/>
      <w:r w:rsidR="006E6252" w:rsidRPr="00CE6145">
        <w:rPr>
          <w:rFonts w:ascii="Garamond" w:eastAsia="Times New Roman" w:hAnsi="Garamond" w:cs="Calibri"/>
          <w:color w:val="000000" w:themeColor="text1"/>
          <w:sz w:val="24"/>
          <w:szCs w:val="24"/>
          <w:bdr w:val="none" w:sz="0" w:space="0" w:color="auto" w:frame="1"/>
        </w:rPr>
        <w:t>vëren</w:t>
      </w:r>
      <w:proofErr w:type="spellEnd"/>
      <w:r w:rsidR="006E6252" w:rsidRPr="00CE6145">
        <w:rPr>
          <w:rFonts w:ascii="Garamond" w:eastAsia="Times New Roman" w:hAnsi="Garamond" w:cs="Calibri"/>
          <w:color w:val="000000" w:themeColor="text1"/>
          <w:sz w:val="24"/>
          <w:szCs w:val="24"/>
          <w:bdr w:val="none" w:sz="0" w:space="0" w:color="auto" w:frame="1"/>
        </w:rPr>
        <w:t xml:space="preserve"> </w:t>
      </w:r>
      <w:proofErr w:type="spellStart"/>
      <w:r w:rsidR="006E6252" w:rsidRPr="00CE6145">
        <w:rPr>
          <w:rFonts w:ascii="Garamond" w:eastAsia="Times New Roman" w:hAnsi="Garamond" w:cs="Calibri"/>
          <w:color w:val="000000" w:themeColor="text1"/>
          <w:sz w:val="24"/>
          <w:szCs w:val="24"/>
          <w:bdr w:val="none" w:sz="0" w:space="0" w:color="auto" w:frame="1"/>
        </w:rPr>
        <w:t>më</w:t>
      </w:r>
      <w:proofErr w:type="spellEnd"/>
      <w:r w:rsidR="006E6252" w:rsidRPr="00CE6145">
        <w:rPr>
          <w:rFonts w:ascii="Garamond" w:eastAsia="Times New Roman" w:hAnsi="Garamond" w:cs="Calibri"/>
          <w:color w:val="000000" w:themeColor="text1"/>
          <w:sz w:val="24"/>
          <w:szCs w:val="24"/>
          <w:bdr w:val="none" w:sz="0" w:space="0" w:color="auto" w:frame="1"/>
        </w:rPr>
        <w:t xml:space="preserve"> </w:t>
      </w:r>
      <w:proofErr w:type="spellStart"/>
      <w:r w:rsidR="006E6252" w:rsidRPr="00CE6145">
        <w:rPr>
          <w:rFonts w:ascii="Garamond" w:eastAsia="Times New Roman" w:hAnsi="Garamond" w:cs="Calibri"/>
          <w:color w:val="000000" w:themeColor="text1"/>
          <w:sz w:val="24"/>
          <w:szCs w:val="24"/>
          <w:bdr w:val="none" w:sz="0" w:space="0" w:color="auto" w:frame="1"/>
        </w:rPr>
        <w:t>tej</w:t>
      </w:r>
      <w:proofErr w:type="spellEnd"/>
      <w:r w:rsidR="006E6252" w:rsidRPr="00CE6145">
        <w:rPr>
          <w:rFonts w:ascii="Garamond" w:eastAsia="Times New Roman" w:hAnsi="Garamond" w:cs="Calibri"/>
          <w:color w:val="000000" w:themeColor="text1"/>
          <w:sz w:val="24"/>
          <w:szCs w:val="24"/>
          <w:bdr w:val="none" w:sz="0" w:space="0" w:color="auto" w:frame="1"/>
        </w:rPr>
        <w:t xml:space="preserve"> se </w:t>
      </w:r>
      <w:proofErr w:type="spellStart"/>
      <w:r w:rsidR="006E6252" w:rsidRPr="00CE6145">
        <w:rPr>
          <w:rFonts w:ascii="Garamond" w:eastAsia="Times New Roman" w:hAnsi="Garamond" w:cs="Calibri"/>
          <w:color w:val="000000" w:themeColor="text1"/>
          <w:sz w:val="24"/>
          <w:szCs w:val="24"/>
          <w:bdr w:val="none" w:sz="0" w:space="0" w:color="auto" w:frame="1"/>
        </w:rPr>
        <w:t>Shteti</w:t>
      </w:r>
      <w:proofErr w:type="spellEnd"/>
      <w:r w:rsidR="006E6252" w:rsidRPr="00CE6145">
        <w:rPr>
          <w:rFonts w:ascii="Garamond" w:eastAsia="Times New Roman" w:hAnsi="Garamond" w:cs="Calibri"/>
          <w:color w:val="000000" w:themeColor="text1"/>
          <w:sz w:val="24"/>
          <w:szCs w:val="24"/>
          <w:bdr w:val="none" w:sz="0" w:space="0" w:color="auto" w:frame="1"/>
        </w:rPr>
        <w:t xml:space="preserve"> </w:t>
      </w:r>
      <w:proofErr w:type="spellStart"/>
      <w:r w:rsidR="006E6252" w:rsidRPr="00CE6145">
        <w:rPr>
          <w:rFonts w:ascii="Garamond" w:eastAsia="Times New Roman" w:hAnsi="Garamond" w:cs="Calibri"/>
          <w:color w:val="000000" w:themeColor="text1"/>
          <w:sz w:val="24"/>
          <w:szCs w:val="24"/>
          <w:bdr w:val="none" w:sz="0" w:space="0" w:color="auto" w:frame="1"/>
        </w:rPr>
        <w:t>i</w:t>
      </w:r>
      <w:proofErr w:type="spellEnd"/>
      <w:r w:rsidR="006E6252" w:rsidRPr="00CE6145">
        <w:rPr>
          <w:rFonts w:ascii="Garamond" w:eastAsia="Times New Roman" w:hAnsi="Garamond" w:cs="Calibri"/>
          <w:color w:val="000000" w:themeColor="text1"/>
          <w:sz w:val="24"/>
          <w:szCs w:val="24"/>
          <w:bdr w:val="none" w:sz="0" w:space="0" w:color="auto" w:frame="1"/>
        </w:rPr>
        <w:t xml:space="preserve"> </w:t>
      </w:r>
      <w:proofErr w:type="spellStart"/>
      <w:r w:rsidR="006E6252" w:rsidRPr="00CE6145">
        <w:rPr>
          <w:rFonts w:ascii="Garamond" w:eastAsia="Times New Roman" w:hAnsi="Garamond" w:cs="Calibri"/>
          <w:color w:val="000000" w:themeColor="text1"/>
          <w:sz w:val="24"/>
          <w:szCs w:val="24"/>
          <w:bdr w:val="none" w:sz="0" w:space="0" w:color="auto" w:frame="1"/>
        </w:rPr>
        <w:t>paditur</w:t>
      </w:r>
      <w:proofErr w:type="spellEnd"/>
      <w:r w:rsidR="006E6252" w:rsidRPr="00CE6145">
        <w:rPr>
          <w:rFonts w:ascii="Garamond" w:eastAsia="Times New Roman" w:hAnsi="Garamond" w:cs="Calibri"/>
          <w:color w:val="000000" w:themeColor="text1"/>
          <w:sz w:val="24"/>
          <w:szCs w:val="24"/>
          <w:bdr w:val="none" w:sz="0" w:space="0" w:color="auto" w:frame="1"/>
        </w:rPr>
        <w:t xml:space="preserve"> </w:t>
      </w:r>
      <w:proofErr w:type="spellStart"/>
      <w:r w:rsidR="006E6252" w:rsidRPr="00CE6145">
        <w:rPr>
          <w:rFonts w:ascii="Garamond" w:eastAsia="Times New Roman" w:hAnsi="Garamond" w:cs="Calibri"/>
          <w:color w:val="000000" w:themeColor="text1"/>
          <w:sz w:val="24"/>
          <w:szCs w:val="24"/>
          <w:bdr w:val="none" w:sz="0" w:space="0" w:color="auto" w:frame="1"/>
        </w:rPr>
        <w:t>ka</w:t>
      </w:r>
      <w:proofErr w:type="spellEnd"/>
      <w:r w:rsidR="006E6252" w:rsidRPr="00CE6145">
        <w:rPr>
          <w:rFonts w:ascii="Garamond" w:eastAsia="Times New Roman" w:hAnsi="Garamond" w:cs="Calibri"/>
          <w:color w:val="000000" w:themeColor="text1"/>
          <w:sz w:val="24"/>
          <w:szCs w:val="24"/>
          <w:bdr w:val="none" w:sz="0" w:space="0" w:color="auto" w:frame="1"/>
        </w:rPr>
        <w:t xml:space="preserve"> </w:t>
      </w:r>
      <w:proofErr w:type="spellStart"/>
      <w:r w:rsidR="006E6252" w:rsidRPr="00CE6145">
        <w:rPr>
          <w:rFonts w:ascii="Garamond" w:eastAsia="Times New Roman" w:hAnsi="Garamond" w:cs="Calibri"/>
          <w:color w:val="000000" w:themeColor="text1"/>
          <w:sz w:val="24"/>
          <w:szCs w:val="24"/>
          <w:bdr w:val="none" w:sz="0" w:space="0" w:color="auto" w:frame="1"/>
        </w:rPr>
        <w:t>një</w:t>
      </w:r>
      <w:proofErr w:type="spellEnd"/>
      <w:r w:rsidR="006E6252" w:rsidRPr="00CE6145">
        <w:rPr>
          <w:rFonts w:ascii="Garamond" w:eastAsia="Times New Roman" w:hAnsi="Garamond" w:cs="Calibri"/>
          <w:color w:val="000000" w:themeColor="text1"/>
          <w:sz w:val="24"/>
          <w:szCs w:val="24"/>
          <w:bdr w:val="none" w:sz="0" w:space="0" w:color="auto" w:frame="1"/>
        </w:rPr>
        <w:t xml:space="preserve"> </w:t>
      </w:r>
      <w:proofErr w:type="spellStart"/>
      <w:r w:rsidR="006E6252" w:rsidRPr="00CE6145">
        <w:rPr>
          <w:rFonts w:ascii="Garamond" w:eastAsia="Times New Roman" w:hAnsi="Garamond" w:cs="Calibri"/>
          <w:color w:val="000000" w:themeColor="text1"/>
          <w:sz w:val="24"/>
          <w:szCs w:val="24"/>
          <w:bdr w:val="none" w:sz="0" w:space="0" w:color="auto" w:frame="1"/>
        </w:rPr>
        <w:t>detyrim</w:t>
      </w:r>
      <w:proofErr w:type="spellEnd"/>
      <w:r w:rsidR="006E6252" w:rsidRPr="00CE6145">
        <w:rPr>
          <w:rFonts w:ascii="Garamond" w:eastAsia="Times New Roman" w:hAnsi="Garamond" w:cs="Calibri"/>
          <w:color w:val="000000" w:themeColor="text1"/>
          <w:sz w:val="24"/>
          <w:szCs w:val="24"/>
          <w:bdr w:val="none" w:sz="0" w:space="0" w:color="auto" w:frame="1"/>
        </w:rPr>
        <w:t xml:space="preserve"> </w:t>
      </w:r>
      <w:proofErr w:type="spellStart"/>
      <w:r w:rsidR="006E6252" w:rsidRPr="00CE6145">
        <w:rPr>
          <w:rFonts w:ascii="Garamond" w:eastAsia="Times New Roman" w:hAnsi="Garamond" w:cs="Calibri"/>
          <w:color w:val="000000" w:themeColor="text1"/>
          <w:sz w:val="24"/>
          <w:szCs w:val="24"/>
          <w:bdr w:val="none" w:sz="0" w:space="0" w:color="auto" w:frame="1"/>
        </w:rPr>
        <w:t>të</w:t>
      </w:r>
      <w:proofErr w:type="spellEnd"/>
      <w:r w:rsidR="006E6252" w:rsidRPr="00CE6145">
        <w:rPr>
          <w:rFonts w:ascii="Garamond" w:eastAsia="Times New Roman" w:hAnsi="Garamond" w:cs="Calibri"/>
          <w:color w:val="000000" w:themeColor="text1"/>
          <w:sz w:val="24"/>
          <w:szCs w:val="24"/>
          <w:bdr w:val="none" w:sz="0" w:space="0" w:color="auto" w:frame="1"/>
        </w:rPr>
        <w:t xml:space="preserve"> </w:t>
      </w:r>
      <w:proofErr w:type="spellStart"/>
      <w:r w:rsidR="006E6252" w:rsidRPr="00CE6145">
        <w:rPr>
          <w:rFonts w:ascii="Garamond" w:eastAsia="Times New Roman" w:hAnsi="Garamond" w:cs="Calibri"/>
          <w:color w:val="000000" w:themeColor="text1"/>
          <w:sz w:val="24"/>
          <w:szCs w:val="24"/>
          <w:bdr w:val="none" w:sz="0" w:space="0" w:color="auto" w:frame="1"/>
        </w:rPr>
        <w:t>papërmbushur</w:t>
      </w:r>
      <w:proofErr w:type="spellEnd"/>
      <w:r w:rsidR="006E6252" w:rsidRPr="00CE6145">
        <w:rPr>
          <w:rFonts w:ascii="Garamond" w:eastAsia="Times New Roman" w:hAnsi="Garamond" w:cs="Calibri"/>
          <w:color w:val="000000" w:themeColor="text1"/>
          <w:sz w:val="24"/>
          <w:szCs w:val="24"/>
          <w:bdr w:val="none" w:sz="0" w:space="0" w:color="auto" w:frame="1"/>
        </w:rPr>
        <w:t xml:space="preserve"> </w:t>
      </w:r>
      <w:proofErr w:type="spellStart"/>
      <w:r w:rsidR="006E6252" w:rsidRPr="00CE6145">
        <w:rPr>
          <w:rFonts w:ascii="Garamond" w:eastAsia="Times New Roman" w:hAnsi="Garamond" w:cs="Calibri"/>
          <w:b/>
          <w:bCs/>
          <w:color w:val="000000" w:themeColor="text1"/>
          <w:sz w:val="24"/>
          <w:szCs w:val="24"/>
          <w:bdr w:val="none" w:sz="0" w:space="0" w:color="auto" w:frame="1"/>
        </w:rPr>
        <w:t>për</w:t>
      </w:r>
      <w:proofErr w:type="spellEnd"/>
      <w:r w:rsidR="006E6252" w:rsidRPr="00CE6145">
        <w:rPr>
          <w:rFonts w:ascii="Garamond" w:eastAsia="Times New Roman" w:hAnsi="Garamond" w:cs="Calibri"/>
          <w:b/>
          <w:bCs/>
          <w:color w:val="000000" w:themeColor="text1"/>
          <w:sz w:val="24"/>
          <w:szCs w:val="24"/>
          <w:bdr w:val="none" w:sz="0" w:space="0" w:color="auto" w:frame="1"/>
        </w:rPr>
        <w:t xml:space="preserve"> </w:t>
      </w:r>
      <w:proofErr w:type="spellStart"/>
      <w:r w:rsidR="006E6252" w:rsidRPr="00CE6145">
        <w:rPr>
          <w:rFonts w:ascii="Garamond" w:eastAsia="Times New Roman" w:hAnsi="Garamond" w:cs="Calibri"/>
          <w:b/>
          <w:bCs/>
          <w:color w:val="000000" w:themeColor="text1"/>
          <w:sz w:val="24"/>
          <w:szCs w:val="24"/>
          <w:bdr w:val="none" w:sz="0" w:space="0" w:color="auto" w:frame="1"/>
        </w:rPr>
        <w:t>të</w:t>
      </w:r>
      <w:proofErr w:type="spellEnd"/>
      <w:r w:rsidR="006E6252" w:rsidRPr="00CE6145">
        <w:rPr>
          <w:rFonts w:ascii="Garamond" w:eastAsia="Times New Roman" w:hAnsi="Garamond" w:cs="Calibri"/>
          <w:b/>
          <w:bCs/>
          <w:color w:val="000000" w:themeColor="text1"/>
          <w:sz w:val="24"/>
          <w:szCs w:val="24"/>
          <w:bdr w:val="none" w:sz="0" w:space="0" w:color="auto" w:frame="1"/>
        </w:rPr>
        <w:t xml:space="preserve"> </w:t>
      </w:r>
      <w:proofErr w:type="spellStart"/>
      <w:r w:rsidR="006E6252" w:rsidRPr="00CE6145">
        <w:rPr>
          <w:rFonts w:ascii="Garamond" w:eastAsia="Times New Roman" w:hAnsi="Garamond" w:cs="Calibri"/>
          <w:b/>
          <w:bCs/>
          <w:color w:val="000000" w:themeColor="text1"/>
          <w:sz w:val="24"/>
          <w:szCs w:val="24"/>
          <w:bdr w:val="none" w:sz="0" w:space="0" w:color="auto" w:frame="1"/>
        </w:rPr>
        <w:t>zbatuar</w:t>
      </w:r>
      <w:proofErr w:type="spellEnd"/>
      <w:r w:rsidR="006E6252" w:rsidRPr="00CE6145">
        <w:rPr>
          <w:rFonts w:ascii="Garamond" w:eastAsia="Times New Roman" w:hAnsi="Garamond" w:cs="Calibri"/>
          <w:b/>
          <w:bCs/>
          <w:color w:val="000000" w:themeColor="text1"/>
          <w:sz w:val="24"/>
          <w:szCs w:val="24"/>
          <w:bdr w:val="none" w:sz="0" w:space="0" w:color="auto" w:frame="1"/>
        </w:rPr>
        <w:t xml:space="preserve"> </w:t>
      </w:r>
      <w:proofErr w:type="spellStart"/>
      <w:r w:rsidR="006E6252" w:rsidRPr="00CE6145">
        <w:rPr>
          <w:rFonts w:ascii="Garamond" w:eastAsia="Times New Roman" w:hAnsi="Garamond" w:cs="Calibri"/>
          <w:b/>
          <w:bCs/>
          <w:color w:val="000000" w:themeColor="text1"/>
          <w:sz w:val="24"/>
          <w:szCs w:val="24"/>
          <w:bdr w:val="none" w:sz="0" w:space="0" w:color="auto" w:frame="1"/>
        </w:rPr>
        <w:t>vendimet</w:t>
      </w:r>
      <w:proofErr w:type="spellEnd"/>
      <w:r w:rsidR="006E6252" w:rsidRPr="00CE6145">
        <w:rPr>
          <w:rFonts w:ascii="Garamond" w:eastAsia="Times New Roman" w:hAnsi="Garamond" w:cs="Calibri"/>
          <w:b/>
          <w:bCs/>
          <w:color w:val="000000" w:themeColor="text1"/>
          <w:sz w:val="24"/>
          <w:szCs w:val="24"/>
          <w:bdr w:val="none" w:sz="0" w:space="0" w:color="auto" w:frame="1"/>
        </w:rPr>
        <w:t xml:space="preserve"> </w:t>
      </w:r>
      <w:proofErr w:type="spellStart"/>
      <w:r w:rsidR="006E6252" w:rsidRPr="00CE6145">
        <w:rPr>
          <w:rFonts w:ascii="Garamond" w:eastAsia="Times New Roman" w:hAnsi="Garamond" w:cs="Calibri"/>
          <w:b/>
          <w:bCs/>
          <w:color w:val="000000" w:themeColor="text1"/>
          <w:sz w:val="24"/>
          <w:szCs w:val="24"/>
          <w:bdr w:val="none" w:sz="0" w:space="0" w:color="auto" w:frame="1"/>
        </w:rPr>
        <w:t>gjyqësore</w:t>
      </w:r>
      <w:proofErr w:type="spellEnd"/>
      <w:r w:rsidR="006E6252" w:rsidRPr="00CE6145">
        <w:rPr>
          <w:rFonts w:ascii="Garamond" w:eastAsia="Times New Roman" w:hAnsi="Garamond" w:cs="Calibri"/>
          <w:b/>
          <w:bCs/>
          <w:color w:val="000000" w:themeColor="text1"/>
          <w:sz w:val="24"/>
          <w:szCs w:val="24"/>
          <w:bdr w:val="none" w:sz="0" w:space="0" w:color="auto" w:frame="1"/>
        </w:rPr>
        <w:t xml:space="preserve"> </w:t>
      </w:r>
      <w:proofErr w:type="spellStart"/>
      <w:r w:rsidR="006E6252" w:rsidRPr="00CE6145">
        <w:rPr>
          <w:rFonts w:ascii="Garamond" w:eastAsia="Times New Roman" w:hAnsi="Garamond" w:cs="Calibri"/>
          <w:b/>
          <w:bCs/>
          <w:color w:val="000000" w:themeColor="text1"/>
          <w:sz w:val="24"/>
          <w:szCs w:val="24"/>
          <w:bdr w:val="none" w:sz="0" w:space="0" w:color="auto" w:frame="1"/>
        </w:rPr>
        <w:t>që</w:t>
      </w:r>
      <w:proofErr w:type="spellEnd"/>
      <w:r w:rsidR="006E6252" w:rsidRPr="00CE6145">
        <w:rPr>
          <w:rFonts w:ascii="Garamond" w:eastAsia="Times New Roman" w:hAnsi="Garamond" w:cs="Calibri"/>
          <w:b/>
          <w:bCs/>
          <w:color w:val="000000" w:themeColor="text1"/>
          <w:sz w:val="24"/>
          <w:szCs w:val="24"/>
          <w:bdr w:val="none" w:sz="0" w:space="0" w:color="auto" w:frame="1"/>
        </w:rPr>
        <w:t xml:space="preserve"> </w:t>
      </w:r>
      <w:proofErr w:type="spellStart"/>
      <w:r w:rsidR="006E6252" w:rsidRPr="00CE6145">
        <w:rPr>
          <w:rFonts w:ascii="Garamond" w:eastAsia="Times New Roman" w:hAnsi="Garamond" w:cs="Calibri"/>
          <w:b/>
          <w:bCs/>
          <w:color w:val="000000" w:themeColor="text1"/>
          <w:sz w:val="24"/>
          <w:szCs w:val="24"/>
          <w:bdr w:val="none" w:sz="0" w:space="0" w:color="auto" w:frame="1"/>
        </w:rPr>
        <w:t>mbeten</w:t>
      </w:r>
      <w:proofErr w:type="spellEnd"/>
      <w:r w:rsidR="006E6252" w:rsidRPr="00CE6145">
        <w:rPr>
          <w:rFonts w:ascii="Garamond" w:eastAsia="Times New Roman" w:hAnsi="Garamond" w:cs="Calibri"/>
          <w:b/>
          <w:bCs/>
          <w:color w:val="000000" w:themeColor="text1"/>
          <w:sz w:val="24"/>
          <w:szCs w:val="24"/>
          <w:bdr w:val="none" w:sz="0" w:space="0" w:color="auto" w:frame="1"/>
        </w:rPr>
        <w:t xml:space="preserve"> </w:t>
      </w:r>
      <w:proofErr w:type="spellStart"/>
      <w:r w:rsidR="006E6252" w:rsidRPr="00CE6145">
        <w:rPr>
          <w:rFonts w:ascii="Garamond" w:eastAsia="Times New Roman" w:hAnsi="Garamond" w:cs="Calibri"/>
          <w:b/>
          <w:bCs/>
          <w:color w:val="000000" w:themeColor="text1"/>
          <w:sz w:val="24"/>
          <w:szCs w:val="24"/>
          <w:bdr w:val="none" w:sz="0" w:space="0" w:color="auto" w:frame="1"/>
        </w:rPr>
        <w:t>të</w:t>
      </w:r>
      <w:proofErr w:type="spellEnd"/>
      <w:r w:rsidR="006E6252" w:rsidRPr="00CE6145">
        <w:rPr>
          <w:rFonts w:ascii="Garamond" w:eastAsia="Times New Roman" w:hAnsi="Garamond" w:cs="Calibri"/>
          <w:b/>
          <w:bCs/>
          <w:color w:val="000000" w:themeColor="text1"/>
          <w:sz w:val="24"/>
          <w:szCs w:val="24"/>
          <w:bdr w:val="none" w:sz="0" w:space="0" w:color="auto" w:frame="1"/>
        </w:rPr>
        <w:t xml:space="preserve"> </w:t>
      </w:r>
      <w:proofErr w:type="spellStart"/>
      <w:r w:rsidR="006E6252" w:rsidRPr="00CE6145">
        <w:rPr>
          <w:rFonts w:ascii="Garamond" w:eastAsia="Times New Roman" w:hAnsi="Garamond" w:cs="Calibri"/>
          <w:b/>
          <w:bCs/>
          <w:color w:val="000000" w:themeColor="text1"/>
          <w:sz w:val="24"/>
          <w:szCs w:val="24"/>
          <w:bdr w:val="none" w:sz="0" w:space="0" w:color="auto" w:frame="1"/>
        </w:rPr>
        <w:t>ekzekutueshme</w:t>
      </w:r>
      <w:proofErr w:type="spellEnd"/>
      <w:r w:rsidR="006E6252" w:rsidRPr="00CE6145">
        <w:rPr>
          <w:rFonts w:ascii="Garamond" w:eastAsia="Times New Roman" w:hAnsi="Garamond" w:cs="Calibri"/>
          <w:color w:val="000000" w:themeColor="text1"/>
          <w:sz w:val="24"/>
          <w:szCs w:val="24"/>
          <w:bdr w:val="none" w:sz="0" w:space="0" w:color="auto" w:frame="1"/>
        </w:rPr>
        <w:t>.</w:t>
      </w:r>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Në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njëjtën</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kohë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Gjykata</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thekson</w:t>
      </w:r>
      <w:proofErr w:type="spellEnd"/>
      <w:r w:rsidR="006E6252" w:rsidRPr="00CE6145">
        <w:rPr>
          <w:rFonts w:ascii="Garamond" w:eastAsia="Times New Roman" w:hAnsi="Garamond" w:cs="Calibri"/>
          <w:color w:val="000000" w:themeColor="text1"/>
          <w:sz w:val="24"/>
          <w:szCs w:val="24"/>
        </w:rPr>
        <w:t xml:space="preserve"> se </w:t>
      </w:r>
      <w:proofErr w:type="spellStart"/>
      <w:r w:rsidR="006E6252" w:rsidRPr="00CE6145">
        <w:rPr>
          <w:rFonts w:ascii="Garamond" w:eastAsia="Times New Roman" w:hAnsi="Garamond" w:cs="Calibri"/>
          <w:color w:val="000000" w:themeColor="text1"/>
          <w:sz w:val="24"/>
          <w:szCs w:val="24"/>
        </w:rPr>
        <w:t>i</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takon</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më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së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shumti</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Shtetit</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paditur</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që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zgjedhë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mjetet</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që</w:t>
      </w:r>
      <w:proofErr w:type="spellEnd"/>
      <w:r w:rsidR="006E6252" w:rsidRPr="00CE6145">
        <w:rPr>
          <w:rFonts w:ascii="Garamond" w:eastAsia="Times New Roman" w:hAnsi="Garamond" w:cs="Calibri"/>
          <w:color w:val="000000" w:themeColor="text1"/>
          <w:sz w:val="24"/>
          <w:szCs w:val="24"/>
        </w:rPr>
        <w:t xml:space="preserve"> do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përdoren</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në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rendin</w:t>
      </w:r>
      <w:proofErr w:type="spellEnd"/>
      <w:r w:rsidR="006E6252" w:rsidRPr="00CE6145">
        <w:rPr>
          <w:rFonts w:ascii="Garamond" w:eastAsia="Times New Roman" w:hAnsi="Garamond" w:cs="Calibri"/>
          <w:color w:val="000000" w:themeColor="text1"/>
          <w:sz w:val="24"/>
          <w:szCs w:val="24"/>
        </w:rPr>
        <w:t xml:space="preserve"> e </w:t>
      </w:r>
      <w:proofErr w:type="spellStart"/>
      <w:r w:rsidR="006E6252" w:rsidRPr="00CE6145">
        <w:rPr>
          <w:rFonts w:ascii="Garamond" w:eastAsia="Times New Roman" w:hAnsi="Garamond" w:cs="Calibri"/>
          <w:color w:val="000000" w:themeColor="text1"/>
          <w:sz w:val="24"/>
          <w:szCs w:val="24"/>
        </w:rPr>
        <w:t>tij</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juridik</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brendshëm</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për</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përmbushur</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detyrimin</w:t>
      </w:r>
      <w:proofErr w:type="spellEnd"/>
      <w:r w:rsidR="006E6252" w:rsidRPr="00CE6145">
        <w:rPr>
          <w:rFonts w:ascii="Garamond" w:eastAsia="Times New Roman" w:hAnsi="Garamond" w:cs="Calibri"/>
          <w:color w:val="000000" w:themeColor="text1"/>
          <w:sz w:val="24"/>
          <w:szCs w:val="24"/>
        </w:rPr>
        <w:t xml:space="preserve"> e </w:t>
      </w:r>
      <w:proofErr w:type="spellStart"/>
      <w:r w:rsidR="006E6252" w:rsidRPr="00CE6145">
        <w:rPr>
          <w:rFonts w:ascii="Garamond" w:eastAsia="Times New Roman" w:hAnsi="Garamond" w:cs="Calibri"/>
          <w:color w:val="000000" w:themeColor="text1"/>
          <w:sz w:val="24"/>
          <w:szCs w:val="24"/>
        </w:rPr>
        <w:t>tij</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ligjor</w:t>
      </w:r>
      <w:proofErr w:type="spellEnd"/>
      <w:r w:rsidR="006E6252">
        <w:rPr>
          <w:rFonts w:ascii="Garamond" w:eastAsia="Times New Roman" w:hAnsi="Garamond" w:cs="Calibri"/>
          <w:color w:val="000000" w:themeColor="text1"/>
          <w:sz w:val="24"/>
          <w:szCs w:val="24"/>
        </w:rPr>
        <w:t>,</w:t>
      </w:r>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sipas</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nenit</w:t>
      </w:r>
      <w:proofErr w:type="spellEnd"/>
      <w:r w:rsidR="006E6252" w:rsidRPr="00CE6145">
        <w:rPr>
          <w:rFonts w:ascii="Garamond" w:eastAsia="Times New Roman" w:hAnsi="Garamond" w:cs="Calibri"/>
          <w:color w:val="000000" w:themeColor="text1"/>
          <w:sz w:val="24"/>
          <w:szCs w:val="24"/>
        </w:rPr>
        <w:t xml:space="preserve"> 46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Konventës</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shihni</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i/>
          <w:iCs/>
          <w:color w:val="000000" w:themeColor="text1"/>
          <w:sz w:val="24"/>
          <w:szCs w:val="24"/>
        </w:rPr>
        <w:t>Shofman</w:t>
      </w:r>
      <w:proofErr w:type="spellEnd"/>
      <w:r w:rsidR="006E6252" w:rsidRPr="00CE6145">
        <w:rPr>
          <w:rFonts w:ascii="Garamond" w:eastAsia="Times New Roman" w:hAnsi="Garamond" w:cs="Calibri"/>
          <w:i/>
          <w:iCs/>
          <w:color w:val="000000" w:themeColor="text1"/>
          <w:sz w:val="24"/>
          <w:szCs w:val="24"/>
        </w:rPr>
        <w:t xml:space="preserve"> </w:t>
      </w:r>
      <w:proofErr w:type="spellStart"/>
      <w:r w:rsidR="006E6252" w:rsidRPr="00CE6145">
        <w:rPr>
          <w:rFonts w:ascii="Garamond" w:eastAsia="Times New Roman" w:hAnsi="Garamond" w:cs="Calibri"/>
          <w:i/>
          <w:iCs/>
          <w:color w:val="000000" w:themeColor="text1"/>
          <w:sz w:val="24"/>
          <w:szCs w:val="24"/>
        </w:rPr>
        <w:t>kundër</w:t>
      </w:r>
      <w:proofErr w:type="spellEnd"/>
      <w:r w:rsidR="006E6252" w:rsidRPr="00CE6145">
        <w:rPr>
          <w:rFonts w:ascii="Garamond" w:eastAsia="Times New Roman" w:hAnsi="Garamond" w:cs="Calibri"/>
          <w:i/>
          <w:iCs/>
          <w:color w:val="000000" w:themeColor="text1"/>
          <w:sz w:val="24"/>
          <w:szCs w:val="24"/>
        </w:rPr>
        <w:t xml:space="preserve"> </w:t>
      </w:r>
      <w:proofErr w:type="spellStart"/>
      <w:r w:rsidR="006E6252" w:rsidRPr="00CE6145">
        <w:rPr>
          <w:rFonts w:ascii="Garamond" w:eastAsia="Times New Roman" w:hAnsi="Garamond" w:cs="Calibri"/>
          <w:i/>
          <w:iCs/>
          <w:color w:val="000000" w:themeColor="text1"/>
          <w:sz w:val="24"/>
          <w:szCs w:val="24"/>
        </w:rPr>
        <w:t>Rusisë</w:t>
      </w:r>
      <w:proofErr w:type="spellEnd"/>
      <w:r w:rsidR="006E6252" w:rsidRPr="00CE6145">
        <w:rPr>
          <w:rFonts w:ascii="Garamond" w:eastAsia="Times New Roman" w:hAnsi="Garamond" w:cs="Calibri"/>
          <w:i/>
          <w:iCs/>
          <w:color w:val="000000" w:themeColor="text1"/>
          <w:sz w:val="24"/>
          <w:szCs w:val="24"/>
        </w:rPr>
        <w:t>,</w:t>
      </w:r>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nr</w:t>
      </w:r>
      <w:proofErr w:type="spellEnd"/>
      <w:r w:rsidR="006E6252" w:rsidRPr="00CE6145">
        <w:rPr>
          <w:rFonts w:ascii="Garamond" w:eastAsia="Times New Roman" w:hAnsi="Garamond" w:cs="Calibri"/>
          <w:color w:val="000000" w:themeColor="text1"/>
          <w:sz w:val="24"/>
          <w:szCs w:val="24"/>
        </w:rPr>
        <w:t xml:space="preserve">. 74826/01, § 53, 24 </w:t>
      </w:r>
      <w:proofErr w:type="spellStart"/>
      <w:r w:rsidR="006E6252" w:rsidRPr="00CE6145">
        <w:rPr>
          <w:rFonts w:ascii="Garamond" w:eastAsia="Times New Roman" w:hAnsi="Garamond" w:cs="Calibri"/>
          <w:color w:val="000000" w:themeColor="text1"/>
          <w:sz w:val="24"/>
          <w:szCs w:val="24"/>
        </w:rPr>
        <w:t>nëntor</w:t>
      </w:r>
      <w:proofErr w:type="spellEnd"/>
      <w:r w:rsidR="006E6252" w:rsidRPr="00CE6145">
        <w:rPr>
          <w:rFonts w:ascii="Garamond" w:eastAsia="Times New Roman" w:hAnsi="Garamond" w:cs="Calibri"/>
          <w:color w:val="000000" w:themeColor="text1"/>
          <w:sz w:val="24"/>
          <w:szCs w:val="24"/>
        </w:rPr>
        <w:t xml:space="preserve"> 2005, me </w:t>
      </w:r>
      <w:proofErr w:type="spellStart"/>
      <w:r w:rsidR="006E6252" w:rsidRPr="00CE6145">
        <w:rPr>
          <w:rFonts w:ascii="Garamond" w:eastAsia="Times New Roman" w:hAnsi="Garamond" w:cs="Calibri"/>
          <w:color w:val="000000" w:themeColor="text1"/>
          <w:sz w:val="24"/>
          <w:szCs w:val="24"/>
        </w:rPr>
        <w:t>referenca</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mëtejshme</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Në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këtë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çështje</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nëse</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një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autoritet</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vendas</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i</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pavarur</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konfirmon</w:t>
      </w:r>
      <w:proofErr w:type="spellEnd"/>
      <w:r w:rsidR="006E6252" w:rsidRPr="00CE6145">
        <w:rPr>
          <w:rFonts w:ascii="Garamond" w:eastAsia="Times New Roman" w:hAnsi="Garamond" w:cs="Calibri"/>
          <w:color w:val="000000" w:themeColor="text1"/>
          <w:sz w:val="24"/>
          <w:szCs w:val="24"/>
        </w:rPr>
        <w:t xml:space="preserve"> pa </w:t>
      </w:r>
      <w:proofErr w:type="spellStart"/>
      <w:r w:rsidR="006E6252" w:rsidRPr="00CE6145">
        <w:rPr>
          <w:rFonts w:ascii="Garamond" w:eastAsia="Times New Roman" w:hAnsi="Garamond" w:cs="Calibri"/>
          <w:color w:val="000000" w:themeColor="text1"/>
          <w:sz w:val="24"/>
          <w:szCs w:val="24"/>
        </w:rPr>
        <w:t>mëdyshje</w:t>
      </w:r>
      <w:proofErr w:type="spellEnd"/>
      <w:r w:rsidR="006E6252" w:rsidRPr="00CE6145">
        <w:rPr>
          <w:rFonts w:ascii="Garamond" w:eastAsia="Times New Roman" w:hAnsi="Garamond" w:cs="Calibri"/>
          <w:color w:val="000000" w:themeColor="text1"/>
          <w:sz w:val="24"/>
          <w:szCs w:val="24"/>
        </w:rPr>
        <w:t xml:space="preserve"> se </w:t>
      </w:r>
      <w:proofErr w:type="spellStart"/>
      <w:r w:rsidR="006E6252" w:rsidRPr="00CE6145">
        <w:rPr>
          <w:rFonts w:ascii="Garamond" w:eastAsia="Times New Roman" w:hAnsi="Garamond" w:cs="Calibri"/>
          <w:color w:val="000000" w:themeColor="text1"/>
          <w:sz w:val="24"/>
          <w:szCs w:val="24"/>
        </w:rPr>
        <w:t>zbatimi</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i</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vendimeve</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përfundimtare</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brendshme</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është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i</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pamundur</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për</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shembull</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për</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shkak</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interesave</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detyrueshme</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dhe</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legjitime</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publike</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ose</w:t>
      </w:r>
      <w:proofErr w:type="spellEnd"/>
      <w:r w:rsidR="006E6252" w:rsidRPr="00CE6145">
        <w:rPr>
          <w:rFonts w:ascii="Garamond" w:eastAsia="Times New Roman" w:hAnsi="Garamond" w:cs="Calibri"/>
          <w:color w:val="000000" w:themeColor="text1"/>
          <w:sz w:val="24"/>
          <w:szCs w:val="24"/>
        </w:rPr>
        <w:t xml:space="preserve"> private), </w:t>
      </w:r>
      <w:proofErr w:type="spellStart"/>
      <w:r w:rsidR="006E6252" w:rsidRPr="00CE6145">
        <w:rPr>
          <w:rFonts w:ascii="Garamond" w:eastAsia="Times New Roman" w:hAnsi="Garamond" w:cs="Calibri"/>
          <w:color w:val="000000" w:themeColor="text1"/>
          <w:sz w:val="24"/>
          <w:szCs w:val="24"/>
        </w:rPr>
        <w:t>i</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takon</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Shtetit</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paditur</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që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zbatojë</w:t>
      </w:r>
      <w:proofErr w:type="spellEnd"/>
      <w:r w:rsidR="006E6252" w:rsidRPr="00CE6145">
        <w:rPr>
          <w:rFonts w:ascii="Garamond" w:eastAsia="Times New Roman" w:hAnsi="Garamond" w:cs="Calibri"/>
          <w:color w:val="000000" w:themeColor="text1"/>
          <w:sz w:val="24"/>
          <w:szCs w:val="24"/>
        </w:rPr>
        <w:t xml:space="preserve"> me </w:t>
      </w:r>
      <w:proofErr w:type="spellStart"/>
      <w:r w:rsidR="006E6252" w:rsidRPr="00CE6145">
        <w:rPr>
          <w:rFonts w:ascii="Garamond" w:eastAsia="Times New Roman" w:hAnsi="Garamond" w:cs="Calibri"/>
          <w:color w:val="000000" w:themeColor="text1"/>
          <w:sz w:val="24"/>
          <w:szCs w:val="24"/>
        </w:rPr>
        <w:t>shpejtësi</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masat</w:t>
      </w:r>
      <w:proofErr w:type="spellEnd"/>
      <w:r w:rsidR="006E6252" w:rsidRPr="00CE6145">
        <w:rPr>
          <w:rFonts w:ascii="Garamond" w:eastAsia="Times New Roman" w:hAnsi="Garamond" w:cs="Calibri"/>
          <w:color w:val="000000" w:themeColor="text1"/>
          <w:sz w:val="24"/>
          <w:szCs w:val="24"/>
        </w:rPr>
        <w:t xml:space="preserve"> e </w:t>
      </w:r>
      <w:proofErr w:type="spellStart"/>
      <w:r w:rsidR="006E6252" w:rsidRPr="00CE6145">
        <w:rPr>
          <w:rFonts w:ascii="Garamond" w:eastAsia="Times New Roman" w:hAnsi="Garamond" w:cs="Calibri"/>
          <w:color w:val="000000" w:themeColor="text1"/>
          <w:sz w:val="24"/>
          <w:szCs w:val="24"/>
        </w:rPr>
        <w:t>duhura</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për</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lastRenderedPageBreak/>
        <w:t>korrigjuar</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situatën</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individuale</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të</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kërkuesve</w:t>
      </w:r>
      <w:proofErr w:type="spellEnd"/>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shihni</w:t>
      </w:r>
      <w:proofErr w:type="spellEnd"/>
      <w:r w:rsidR="006E6252">
        <w:rPr>
          <w:rFonts w:ascii="Garamond" w:eastAsia="Times New Roman" w:hAnsi="Garamond" w:cs="Calibri"/>
          <w:color w:val="000000" w:themeColor="text1"/>
          <w:sz w:val="24"/>
          <w:szCs w:val="24"/>
        </w:rPr>
        <w:t>,</w:t>
      </w:r>
      <w:r w:rsidR="006E6252" w:rsidRPr="00CE6145">
        <w:rPr>
          <w:rFonts w:ascii="Garamond" w:eastAsia="Times New Roman" w:hAnsi="Garamond" w:cs="Calibri"/>
          <w:color w:val="000000" w:themeColor="text1"/>
          <w:sz w:val="24"/>
          <w:szCs w:val="24"/>
        </w:rPr>
        <w:t xml:space="preserve"> </w:t>
      </w:r>
      <w:r w:rsidR="006E6252" w:rsidRPr="00CE6145">
        <w:rPr>
          <w:rFonts w:ascii="Garamond" w:eastAsia="Times New Roman" w:hAnsi="Garamond" w:cs="Calibri"/>
          <w:i/>
          <w:iCs/>
          <w:color w:val="000000" w:themeColor="text1"/>
          <w:sz w:val="24"/>
          <w:szCs w:val="24"/>
        </w:rPr>
        <w:t xml:space="preserve">mutatis mutandis, </w:t>
      </w:r>
      <w:proofErr w:type="spellStart"/>
      <w:r w:rsidR="006E6252" w:rsidRPr="00CE6145">
        <w:rPr>
          <w:rFonts w:ascii="Garamond" w:eastAsia="Times New Roman" w:hAnsi="Garamond" w:cs="Calibri"/>
          <w:i/>
          <w:iCs/>
          <w:color w:val="000000" w:themeColor="text1"/>
          <w:sz w:val="24"/>
          <w:szCs w:val="24"/>
        </w:rPr>
        <w:t>Tarverdiyev</w:t>
      </w:r>
      <w:proofErr w:type="spellEnd"/>
      <w:r w:rsidR="006E6252" w:rsidRPr="00CE6145">
        <w:rPr>
          <w:rFonts w:ascii="Garamond" w:eastAsia="Times New Roman" w:hAnsi="Garamond" w:cs="Calibri"/>
          <w:i/>
          <w:iCs/>
          <w:color w:val="000000" w:themeColor="text1"/>
          <w:sz w:val="24"/>
          <w:szCs w:val="24"/>
        </w:rPr>
        <w:t xml:space="preserve"> </w:t>
      </w:r>
      <w:proofErr w:type="spellStart"/>
      <w:r w:rsidR="006E6252" w:rsidRPr="00CE6145">
        <w:rPr>
          <w:rFonts w:ascii="Garamond" w:eastAsia="Times New Roman" w:hAnsi="Garamond" w:cs="Calibri"/>
          <w:i/>
          <w:iCs/>
          <w:color w:val="000000" w:themeColor="text1"/>
          <w:sz w:val="24"/>
          <w:szCs w:val="24"/>
        </w:rPr>
        <w:t>kundër</w:t>
      </w:r>
      <w:proofErr w:type="spellEnd"/>
      <w:r w:rsidR="006E6252" w:rsidRPr="00CE6145">
        <w:rPr>
          <w:rFonts w:ascii="Garamond" w:eastAsia="Times New Roman" w:hAnsi="Garamond" w:cs="Calibri"/>
          <w:i/>
          <w:iCs/>
          <w:color w:val="000000" w:themeColor="text1"/>
          <w:sz w:val="24"/>
          <w:szCs w:val="24"/>
        </w:rPr>
        <w:t xml:space="preserve"> </w:t>
      </w:r>
      <w:proofErr w:type="spellStart"/>
      <w:r w:rsidR="006E6252" w:rsidRPr="00CE6145">
        <w:rPr>
          <w:rFonts w:ascii="Garamond" w:eastAsia="Times New Roman" w:hAnsi="Garamond" w:cs="Calibri"/>
          <w:i/>
          <w:iCs/>
          <w:color w:val="000000" w:themeColor="text1"/>
          <w:sz w:val="24"/>
          <w:szCs w:val="24"/>
        </w:rPr>
        <w:t>Azerbajxhanit</w:t>
      </w:r>
      <w:proofErr w:type="spellEnd"/>
      <w:r w:rsidR="006E6252" w:rsidRPr="00CE6145">
        <w:rPr>
          <w:rFonts w:ascii="Garamond" w:eastAsia="Times New Roman" w:hAnsi="Garamond" w:cs="Calibri"/>
          <w:i/>
          <w:iCs/>
          <w:color w:val="000000" w:themeColor="text1"/>
          <w:sz w:val="24"/>
          <w:szCs w:val="24"/>
        </w:rPr>
        <w:t>,</w:t>
      </w:r>
      <w:r w:rsidR="006E6252" w:rsidRPr="00CE6145">
        <w:rPr>
          <w:rFonts w:ascii="Garamond" w:eastAsia="Times New Roman" w:hAnsi="Garamond" w:cs="Calibri"/>
          <w:color w:val="000000" w:themeColor="text1"/>
          <w:sz w:val="24"/>
          <w:szCs w:val="24"/>
        </w:rPr>
        <w:t xml:space="preserve"> </w:t>
      </w:r>
      <w:proofErr w:type="spellStart"/>
      <w:r w:rsidR="006E6252" w:rsidRPr="00CE6145">
        <w:rPr>
          <w:rFonts w:ascii="Garamond" w:eastAsia="Times New Roman" w:hAnsi="Garamond" w:cs="Calibri"/>
          <w:color w:val="000000" w:themeColor="text1"/>
          <w:sz w:val="24"/>
          <w:szCs w:val="24"/>
        </w:rPr>
        <w:t>nr</w:t>
      </w:r>
      <w:proofErr w:type="spellEnd"/>
      <w:r w:rsidR="006E6252" w:rsidRPr="00CE6145">
        <w:rPr>
          <w:rFonts w:ascii="Garamond" w:eastAsia="Times New Roman" w:hAnsi="Garamond" w:cs="Calibri"/>
          <w:color w:val="000000" w:themeColor="text1"/>
          <w:sz w:val="24"/>
          <w:szCs w:val="24"/>
        </w:rPr>
        <w:t xml:space="preserve">. 33343/03, § 66, 26 </w:t>
      </w:r>
      <w:proofErr w:type="spellStart"/>
      <w:r w:rsidR="006E6252" w:rsidRPr="00CE6145">
        <w:rPr>
          <w:rFonts w:ascii="Garamond" w:eastAsia="Times New Roman" w:hAnsi="Garamond" w:cs="Calibri"/>
          <w:color w:val="000000" w:themeColor="text1"/>
          <w:sz w:val="24"/>
          <w:szCs w:val="24"/>
        </w:rPr>
        <w:t>korrik</w:t>
      </w:r>
      <w:proofErr w:type="spellEnd"/>
      <w:r w:rsidR="006E6252" w:rsidRPr="00CE6145">
        <w:rPr>
          <w:rFonts w:ascii="Garamond" w:eastAsia="Times New Roman" w:hAnsi="Garamond" w:cs="Calibri"/>
          <w:color w:val="000000" w:themeColor="text1"/>
          <w:sz w:val="24"/>
          <w:szCs w:val="24"/>
        </w:rPr>
        <w:t xml:space="preserve"> 2007).</w:t>
      </w:r>
      <w:bookmarkStart w:id="0" w:name="_GoBack"/>
      <w:bookmarkEnd w:id="0"/>
    </w:p>
    <w:p w14:paraId="73C2C046" w14:textId="5109E9E9" w:rsidR="00D80187" w:rsidRPr="00D80187" w:rsidRDefault="00D80187" w:rsidP="00D80187">
      <w:pPr>
        <w:tabs>
          <w:tab w:val="left" w:pos="360"/>
        </w:tabs>
        <w:autoSpaceDE w:val="0"/>
        <w:autoSpaceDN w:val="0"/>
        <w:adjustRightInd w:val="0"/>
        <w:spacing w:after="0" w:line="240" w:lineRule="auto"/>
        <w:ind w:firstLine="284"/>
        <w:jc w:val="both"/>
        <w:rPr>
          <w:rFonts w:ascii="Garamond" w:hAnsi="Garamond" w:cs="Calibri"/>
          <w:caps/>
          <w:color w:val="000000"/>
          <w:sz w:val="24"/>
          <w:szCs w:val="24"/>
          <w:lang w:val="sq-AL"/>
        </w:rPr>
      </w:pPr>
      <w:r w:rsidRPr="00D80187">
        <w:rPr>
          <w:rFonts w:ascii="Garamond" w:hAnsi="Garamond" w:cs="Calibri"/>
          <w:sz w:val="24"/>
          <w:szCs w:val="24"/>
          <w:lang w:val="sq-AL"/>
        </w:rPr>
        <w:t xml:space="preserve"> </w:t>
      </w:r>
      <w:r w:rsidRPr="00D80187">
        <w:rPr>
          <w:rFonts w:ascii="Garamond" w:hAnsi="Garamond" w:cs="Calibri"/>
          <w:caps/>
          <w:color w:val="000000"/>
          <w:sz w:val="24"/>
          <w:szCs w:val="24"/>
          <w:lang w:val="sq-AL"/>
        </w:rPr>
        <w:t>PËR KËTO ARSYE, GJYKATA, UNANIMISHT</w:t>
      </w:r>
      <w:r w:rsidR="00F61B5A">
        <w:rPr>
          <w:rFonts w:ascii="Garamond" w:hAnsi="Garamond" w:cs="Calibri"/>
          <w:caps/>
          <w:color w:val="000000"/>
          <w:sz w:val="24"/>
          <w:szCs w:val="24"/>
          <w:lang w:val="sq-AL"/>
        </w:rPr>
        <w:t>:</w:t>
      </w:r>
    </w:p>
    <w:p w14:paraId="1157238F" w14:textId="2F8A87FE" w:rsidR="00D80187" w:rsidRPr="00D80187" w:rsidRDefault="00D80187" w:rsidP="00D80187">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i/>
          <w:iCs/>
          <w:color w:val="000000"/>
          <w:sz w:val="24"/>
          <w:szCs w:val="24"/>
          <w:lang w:val="sq-AL"/>
        </w:rPr>
        <w:t xml:space="preserve">1. Shpall </w:t>
      </w:r>
      <w:r w:rsidRPr="00D80187">
        <w:rPr>
          <w:rFonts w:ascii="Garamond" w:hAnsi="Garamond" w:cs="Times New Roman"/>
          <w:color w:val="000000"/>
          <w:sz w:val="24"/>
          <w:szCs w:val="24"/>
          <w:lang w:val="sq-AL"/>
        </w:rPr>
        <w:t>të pranueshme</w:t>
      </w:r>
      <w:r w:rsidRPr="00D80187">
        <w:rPr>
          <w:rFonts w:ascii="Garamond" w:hAnsi="Garamond" w:cs="Times New Roman"/>
          <w:i/>
          <w:iCs/>
          <w:color w:val="000000"/>
          <w:sz w:val="24"/>
          <w:szCs w:val="24"/>
          <w:lang w:val="sq-AL"/>
        </w:rPr>
        <w:t xml:space="preserve"> </w:t>
      </w:r>
      <w:r w:rsidRPr="00D80187">
        <w:rPr>
          <w:rFonts w:ascii="Garamond" w:hAnsi="Garamond" w:cs="Times New Roman"/>
          <w:color w:val="000000"/>
          <w:sz w:val="24"/>
          <w:szCs w:val="24"/>
          <w:lang w:val="sq-AL"/>
        </w:rPr>
        <w:t xml:space="preserve">ankimet e kërkuesve në lidhje me moszbatimin e pjesë së dispozitivit të </w:t>
      </w:r>
      <w:r w:rsidR="00255A02" w:rsidRPr="00D80187">
        <w:rPr>
          <w:rFonts w:ascii="Garamond" w:hAnsi="Garamond" w:cs="Times New Roman"/>
          <w:color w:val="000000"/>
          <w:sz w:val="24"/>
          <w:szCs w:val="24"/>
          <w:lang w:val="sq-AL"/>
        </w:rPr>
        <w:t xml:space="preserve">vendimit </w:t>
      </w:r>
      <w:r w:rsidRPr="00D80187">
        <w:rPr>
          <w:rFonts w:ascii="Garamond" w:hAnsi="Garamond" w:cs="Times New Roman"/>
          <w:color w:val="000000"/>
          <w:sz w:val="24"/>
          <w:szCs w:val="24"/>
          <w:lang w:val="sq-AL"/>
        </w:rPr>
        <w:t xml:space="preserve">të vitit 1996 për regjistrimin e pronësisë të një pjese të parcelës së tokës dhe ankimet e tyre për mosekzekutimin e vendimit të vitit 2004, </w:t>
      </w:r>
      <w:r w:rsidRPr="00D80187">
        <w:rPr>
          <w:rFonts w:ascii="Garamond" w:hAnsi="Garamond" w:cs="Times New Roman"/>
          <w:i/>
          <w:iCs/>
          <w:color w:val="000000"/>
          <w:sz w:val="24"/>
          <w:szCs w:val="24"/>
          <w:lang w:val="sq-AL"/>
        </w:rPr>
        <w:t>vendos</w:t>
      </w:r>
      <w:r w:rsidRPr="00D80187">
        <w:rPr>
          <w:rFonts w:ascii="Garamond" w:hAnsi="Garamond" w:cs="Times New Roman"/>
          <w:color w:val="000000"/>
          <w:sz w:val="24"/>
          <w:szCs w:val="24"/>
          <w:lang w:val="sq-AL"/>
        </w:rPr>
        <w:t xml:space="preserve"> se ka nuk ka nevojë të shqyrtojë veçmas ankimet e kërkuesve sipas nenit 13 të Konventës dhe </w:t>
      </w:r>
      <w:r w:rsidRPr="00D80187">
        <w:rPr>
          <w:rFonts w:ascii="Garamond" w:hAnsi="Garamond" w:cs="Times New Roman"/>
          <w:i/>
          <w:iCs/>
          <w:color w:val="000000"/>
          <w:sz w:val="24"/>
          <w:szCs w:val="24"/>
          <w:lang w:val="sq-AL"/>
        </w:rPr>
        <w:t>rrëzon</w:t>
      </w:r>
      <w:r w:rsidRPr="00D80187">
        <w:rPr>
          <w:rFonts w:ascii="Garamond" w:hAnsi="Garamond" w:cs="Times New Roman"/>
          <w:color w:val="000000"/>
          <w:sz w:val="24"/>
          <w:szCs w:val="24"/>
          <w:lang w:val="sq-AL"/>
        </w:rPr>
        <w:t xml:space="preserve"> pjesën e mbetur të kërkesës si të papranueshme;</w:t>
      </w:r>
    </w:p>
    <w:p w14:paraId="56FBEE9A" w14:textId="08FFD15B" w:rsidR="00D80187" w:rsidRPr="00D80187" w:rsidRDefault="00D80187" w:rsidP="00D80187">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i/>
          <w:iCs/>
          <w:color w:val="000000"/>
          <w:sz w:val="24"/>
          <w:szCs w:val="24"/>
          <w:lang w:val="sq-AL"/>
        </w:rPr>
        <w:t>2. Vendos</w:t>
      </w:r>
      <w:r w:rsidRPr="00D80187">
        <w:rPr>
          <w:rFonts w:ascii="Garamond" w:hAnsi="Garamond" w:cs="Times New Roman"/>
          <w:color w:val="000000"/>
          <w:sz w:val="24"/>
          <w:szCs w:val="24"/>
          <w:lang w:val="sq-AL"/>
        </w:rPr>
        <w:t xml:space="preserve"> që moszbatimi i një pjese të </w:t>
      </w:r>
      <w:r w:rsidR="00255A02" w:rsidRPr="00D80187">
        <w:rPr>
          <w:rFonts w:ascii="Garamond" w:hAnsi="Garamond" w:cs="Times New Roman"/>
          <w:color w:val="000000"/>
          <w:sz w:val="24"/>
          <w:szCs w:val="24"/>
          <w:lang w:val="sq-AL"/>
        </w:rPr>
        <w:t xml:space="preserve">vendimit </w:t>
      </w:r>
      <w:r w:rsidRPr="00D80187">
        <w:rPr>
          <w:rFonts w:ascii="Garamond" w:hAnsi="Garamond" w:cs="Times New Roman"/>
          <w:color w:val="000000"/>
          <w:sz w:val="24"/>
          <w:szCs w:val="24"/>
          <w:lang w:val="sq-AL"/>
        </w:rPr>
        <w:t xml:space="preserve">të vitit 1996 dhe të </w:t>
      </w:r>
      <w:r w:rsidR="00255A02" w:rsidRPr="00D80187">
        <w:rPr>
          <w:rFonts w:ascii="Garamond" w:hAnsi="Garamond" w:cs="Times New Roman"/>
          <w:color w:val="000000"/>
          <w:sz w:val="24"/>
          <w:szCs w:val="24"/>
          <w:lang w:val="sq-AL"/>
        </w:rPr>
        <w:t xml:space="preserve">vendimit </w:t>
      </w:r>
      <w:r w:rsidRPr="00D80187">
        <w:rPr>
          <w:rFonts w:ascii="Garamond" w:hAnsi="Garamond" w:cs="Times New Roman"/>
          <w:color w:val="000000"/>
          <w:sz w:val="24"/>
          <w:szCs w:val="24"/>
          <w:lang w:val="sq-AL"/>
        </w:rPr>
        <w:t xml:space="preserve">të vitit 2004 përbën shkelje të paragrafit 1 të nenit 6 të Konventës dhe të nenit 1 të </w:t>
      </w:r>
      <w:r w:rsidR="00255A02" w:rsidRPr="00D80187">
        <w:rPr>
          <w:rFonts w:ascii="Garamond" w:hAnsi="Garamond" w:cs="Times New Roman"/>
          <w:color w:val="000000"/>
          <w:sz w:val="24"/>
          <w:szCs w:val="24"/>
          <w:lang w:val="sq-AL"/>
        </w:rPr>
        <w:t>protokollit nr</w:t>
      </w:r>
      <w:r w:rsidRPr="00D80187">
        <w:rPr>
          <w:rFonts w:ascii="Garamond" w:hAnsi="Garamond" w:cs="Times New Roman"/>
          <w:color w:val="000000"/>
          <w:sz w:val="24"/>
          <w:szCs w:val="24"/>
          <w:lang w:val="sq-AL"/>
        </w:rPr>
        <w:t>. 1;</w:t>
      </w:r>
    </w:p>
    <w:p w14:paraId="19FD78FE" w14:textId="7139EBF2" w:rsidR="00D80187" w:rsidRPr="00D80187" w:rsidRDefault="00D80187" w:rsidP="00D80187">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i/>
          <w:iCs/>
          <w:color w:val="000000"/>
          <w:sz w:val="24"/>
          <w:szCs w:val="24"/>
          <w:lang w:val="sq-AL"/>
        </w:rPr>
        <w:t>3. Vendos</w:t>
      </w:r>
      <w:r w:rsidRPr="00D80187">
        <w:rPr>
          <w:rFonts w:ascii="Garamond" w:hAnsi="Garamond" w:cs="Times New Roman"/>
          <w:color w:val="000000"/>
          <w:sz w:val="24"/>
          <w:szCs w:val="24"/>
          <w:lang w:val="sq-AL"/>
        </w:rPr>
        <w:t xml:space="preserve"> që </w:t>
      </w:r>
      <w:r w:rsidR="00255A02" w:rsidRPr="00D80187">
        <w:rPr>
          <w:rFonts w:ascii="Garamond" w:hAnsi="Garamond" w:cs="Times New Roman"/>
          <w:color w:val="000000"/>
          <w:sz w:val="24"/>
          <w:szCs w:val="24"/>
          <w:lang w:val="sq-AL"/>
        </w:rPr>
        <w:t xml:space="preserve">shteti </w:t>
      </w:r>
      <w:r w:rsidRPr="00D80187">
        <w:rPr>
          <w:rFonts w:ascii="Garamond" w:hAnsi="Garamond" w:cs="Times New Roman"/>
          <w:color w:val="000000"/>
          <w:sz w:val="24"/>
          <w:szCs w:val="24"/>
          <w:lang w:val="sq-AL"/>
        </w:rPr>
        <w:t xml:space="preserve">i paditur, me anë të mjeteve të duhura, brenda tre muajve, të sigurojë ekzekutimin e vendimeve të brendshme përfundimtare të përmendura në këtë vendim në përputhje me gjetjet e </w:t>
      </w:r>
      <w:r w:rsidR="00255A02" w:rsidRPr="00D80187">
        <w:rPr>
          <w:rFonts w:ascii="Garamond" w:hAnsi="Garamond" w:cs="Times New Roman"/>
          <w:color w:val="000000"/>
          <w:sz w:val="24"/>
          <w:szCs w:val="24"/>
          <w:lang w:val="sq-AL"/>
        </w:rPr>
        <w:t xml:space="preserve">gjykatës </w:t>
      </w:r>
      <w:r w:rsidRPr="00D80187">
        <w:rPr>
          <w:rFonts w:ascii="Garamond" w:hAnsi="Garamond" w:cs="Times New Roman"/>
          <w:color w:val="000000"/>
          <w:sz w:val="24"/>
          <w:szCs w:val="24"/>
          <w:lang w:val="sq-AL"/>
        </w:rPr>
        <w:t>në paragrafin 40 më sipër;</w:t>
      </w:r>
    </w:p>
    <w:p w14:paraId="2C176318" w14:textId="4F3BFF79" w:rsidR="00D80187" w:rsidRPr="00D80187" w:rsidRDefault="00D80187" w:rsidP="00D80187">
      <w:pPr>
        <w:tabs>
          <w:tab w:val="left" w:pos="3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i/>
          <w:iCs/>
          <w:color w:val="000000"/>
          <w:sz w:val="24"/>
          <w:szCs w:val="24"/>
          <w:lang w:val="sq-AL"/>
        </w:rPr>
        <w:t>4. Vendos</w:t>
      </w:r>
      <w:r w:rsidR="00F61B5A">
        <w:rPr>
          <w:rFonts w:ascii="Garamond" w:hAnsi="Garamond" w:cs="Times New Roman"/>
          <w:i/>
          <w:iCs/>
          <w:color w:val="000000"/>
          <w:sz w:val="24"/>
          <w:szCs w:val="24"/>
          <w:lang w:val="sq-AL"/>
        </w:rPr>
        <w:t>:</w:t>
      </w:r>
    </w:p>
    <w:p w14:paraId="184159C0" w14:textId="7D61332B" w:rsidR="00D80187" w:rsidRPr="00D80187" w:rsidRDefault="00D80187" w:rsidP="00D80187">
      <w:pPr>
        <w:tabs>
          <w:tab w:val="left" w:pos="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a) që </w:t>
      </w:r>
      <w:r w:rsidR="00255A02" w:rsidRPr="00D80187">
        <w:rPr>
          <w:rFonts w:ascii="Garamond" w:hAnsi="Garamond" w:cs="Times New Roman"/>
          <w:color w:val="000000"/>
          <w:sz w:val="24"/>
          <w:szCs w:val="24"/>
          <w:lang w:val="sq-AL"/>
        </w:rPr>
        <w:t xml:space="preserve">shteti </w:t>
      </w:r>
      <w:r w:rsidRPr="00D80187">
        <w:rPr>
          <w:rFonts w:ascii="Garamond" w:hAnsi="Garamond" w:cs="Times New Roman"/>
          <w:color w:val="000000"/>
          <w:sz w:val="24"/>
          <w:szCs w:val="24"/>
          <w:lang w:val="sq-AL"/>
        </w:rPr>
        <w:t>i paditur t’</w:t>
      </w:r>
      <w:r w:rsidR="00255A02">
        <w:rPr>
          <w:rFonts w:ascii="Garamond" w:hAnsi="Garamond" w:cs="Times New Roman"/>
          <w:color w:val="000000"/>
          <w:sz w:val="24"/>
          <w:szCs w:val="24"/>
          <w:lang w:val="sq-AL"/>
        </w:rPr>
        <w:t>u</w:t>
      </w:r>
      <w:r w:rsidRPr="00D80187">
        <w:rPr>
          <w:rFonts w:ascii="Garamond" w:hAnsi="Garamond" w:cs="Times New Roman"/>
          <w:color w:val="000000"/>
          <w:sz w:val="24"/>
          <w:szCs w:val="24"/>
          <w:lang w:val="sq-AL"/>
        </w:rPr>
        <w:t xml:space="preserve"> paguajë kërkuesve, bashkërisht, brenda tre muajve, shumën e treguar në tabelën bashkëngjitur, që do të konvertohet në monedhën e </w:t>
      </w:r>
      <w:r w:rsidR="00255A02" w:rsidRPr="00D80187">
        <w:rPr>
          <w:rFonts w:ascii="Garamond" w:hAnsi="Garamond" w:cs="Times New Roman"/>
          <w:color w:val="000000"/>
          <w:sz w:val="24"/>
          <w:szCs w:val="24"/>
          <w:lang w:val="sq-AL"/>
        </w:rPr>
        <w:t xml:space="preserve">shtetit </w:t>
      </w:r>
      <w:r w:rsidRPr="00D80187">
        <w:rPr>
          <w:rFonts w:ascii="Garamond" w:hAnsi="Garamond" w:cs="Times New Roman"/>
          <w:color w:val="000000"/>
          <w:sz w:val="24"/>
          <w:szCs w:val="24"/>
          <w:lang w:val="sq-AL"/>
        </w:rPr>
        <w:t>të paditur me normën në fuqi në datën e shlyerjes;</w:t>
      </w:r>
    </w:p>
    <w:p w14:paraId="1E1CDFE9" w14:textId="0BF816CF" w:rsidR="00D80187" w:rsidRPr="00D80187" w:rsidRDefault="00D80187" w:rsidP="00D80187">
      <w:pPr>
        <w:tabs>
          <w:tab w:val="left" w:pos="6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b) që nga mbarimi i afatit tre mujor të sipërpërmendur deri në shlyerje, të paguhet interes i thjeshtë për shumën e mësipërme</w:t>
      </w:r>
      <w:r w:rsidR="00255A02">
        <w:rPr>
          <w:rFonts w:ascii="Garamond" w:hAnsi="Garamond" w:cs="Times New Roman"/>
          <w:color w:val="000000"/>
          <w:sz w:val="24"/>
          <w:szCs w:val="24"/>
          <w:lang w:val="sq-AL"/>
        </w:rPr>
        <w:t>,</w:t>
      </w:r>
      <w:r w:rsidRPr="00D80187">
        <w:rPr>
          <w:rFonts w:ascii="Garamond" w:hAnsi="Garamond" w:cs="Times New Roman"/>
          <w:color w:val="000000"/>
          <w:sz w:val="24"/>
          <w:szCs w:val="24"/>
          <w:lang w:val="sq-AL"/>
        </w:rPr>
        <w:t xml:space="preserve"> sipas normës të njëjtë me normën marxhinale të kreditimit të Bankës Qendrore </w:t>
      </w:r>
      <w:r w:rsidR="00255A02" w:rsidRPr="00D80187">
        <w:rPr>
          <w:rFonts w:ascii="Garamond" w:hAnsi="Garamond" w:cs="Times New Roman"/>
          <w:color w:val="000000"/>
          <w:sz w:val="24"/>
          <w:szCs w:val="24"/>
          <w:lang w:val="sq-AL"/>
        </w:rPr>
        <w:t>Evropiane</w:t>
      </w:r>
      <w:r w:rsidRPr="00D80187">
        <w:rPr>
          <w:rFonts w:ascii="Garamond" w:hAnsi="Garamond" w:cs="Times New Roman"/>
          <w:color w:val="000000"/>
          <w:sz w:val="24"/>
          <w:szCs w:val="24"/>
          <w:lang w:val="sq-AL"/>
        </w:rPr>
        <w:t xml:space="preserve"> gjatë periudhës së mospagimit plus tre pikë përqindje.</w:t>
      </w:r>
    </w:p>
    <w:p w14:paraId="54C6BA38" w14:textId="184AD8FF" w:rsidR="00D80187" w:rsidRPr="00D80187" w:rsidRDefault="00D80187" w:rsidP="00D80187">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D80187">
        <w:rPr>
          <w:rFonts w:ascii="Garamond" w:hAnsi="Garamond" w:cs="Times New Roman"/>
          <w:color w:val="000000"/>
          <w:sz w:val="24"/>
          <w:szCs w:val="24"/>
          <w:lang w:val="sq-AL"/>
        </w:rPr>
        <w:t>Bërë në gjuhën angleze dhe njoftuar me shkrim më 4 korrik 2024</w:t>
      </w:r>
      <w:r w:rsidR="00255A02">
        <w:rPr>
          <w:rFonts w:ascii="Garamond" w:hAnsi="Garamond" w:cs="Times New Roman"/>
          <w:color w:val="000000"/>
          <w:sz w:val="24"/>
          <w:szCs w:val="24"/>
          <w:lang w:val="sq-AL"/>
        </w:rPr>
        <w:t>,</w:t>
      </w:r>
      <w:r w:rsidRPr="00D80187">
        <w:rPr>
          <w:rFonts w:ascii="Garamond" w:hAnsi="Garamond" w:cs="Times New Roman"/>
          <w:color w:val="000000"/>
          <w:sz w:val="24"/>
          <w:szCs w:val="24"/>
          <w:lang w:val="sq-AL"/>
        </w:rPr>
        <w:t xml:space="preserve"> sipas </w:t>
      </w:r>
      <w:r w:rsidR="00255A02" w:rsidRPr="00D80187">
        <w:rPr>
          <w:rFonts w:ascii="Garamond" w:hAnsi="Garamond" w:cs="Times New Roman"/>
          <w:color w:val="000000"/>
          <w:sz w:val="24"/>
          <w:szCs w:val="24"/>
          <w:lang w:val="sq-AL"/>
        </w:rPr>
        <w:t>rregull</w:t>
      </w:r>
      <w:r w:rsidR="00255A02">
        <w:rPr>
          <w:rFonts w:ascii="Garamond" w:hAnsi="Garamond" w:cs="Times New Roman"/>
          <w:color w:val="000000"/>
          <w:sz w:val="24"/>
          <w:szCs w:val="24"/>
          <w:lang w:val="sq-AL"/>
        </w:rPr>
        <w:t>ës</w:t>
      </w:r>
      <w:r w:rsidR="00255A02" w:rsidRPr="00D80187">
        <w:rPr>
          <w:rFonts w:ascii="Garamond" w:hAnsi="Garamond" w:cs="Times New Roman"/>
          <w:color w:val="000000"/>
          <w:sz w:val="24"/>
          <w:szCs w:val="24"/>
          <w:lang w:val="sq-AL"/>
        </w:rPr>
        <w:t xml:space="preserve"> </w:t>
      </w:r>
      <w:r w:rsidRPr="00D80187">
        <w:rPr>
          <w:rFonts w:ascii="Garamond" w:hAnsi="Garamond" w:cs="Times New Roman"/>
          <w:color w:val="000000"/>
          <w:sz w:val="24"/>
          <w:szCs w:val="24"/>
          <w:lang w:val="sq-AL"/>
        </w:rPr>
        <w:t>77 §§ 2 dhe 3 të Rregullores së Gjykatës.</w:t>
      </w:r>
    </w:p>
    <w:p w14:paraId="3837AF1E" w14:textId="58588A1D" w:rsidR="00D80187" w:rsidRDefault="00D80187" w:rsidP="00D80187">
      <w:pPr>
        <w:tabs>
          <w:tab w:val="center" w:pos="1400"/>
          <w:tab w:val="center" w:pos="5940"/>
        </w:tabs>
        <w:autoSpaceDE w:val="0"/>
        <w:autoSpaceDN w:val="0"/>
        <w:adjustRightInd w:val="0"/>
        <w:spacing w:after="0" w:line="240" w:lineRule="auto"/>
        <w:ind w:firstLine="284"/>
        <w:rPr>
          <w:rFonts w:ascii="Garamond" w:hAnsi="Garamond" w:cs="Times New Roman"/>
          <w:color w:val="FFFFFF"/>
          <w:sz w:val="24"/>
          <w:szCs w:val="24"/>
          <w:lang w:val="sq-AL"/>
        </w:rPr>
      </w:pPr>
      <w:r w:rsidRPr="00D80187">
        <w:rPr>
          <w:rFonts w:ascii="Garamond" w:hAnsi="Garamond" w:cs="Times New Roman"/>
          <w:color w:val="FFFFFF"/>
          <w:sz w:val="24"/>
          <w:szCs w:val="24"/>
          <w:lang w:val="sq-AL"/>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4"/>
        <w:gridCol w:w="1754"/>
      </w:tblGrid>
      <w:tr w:rsidR="00D80187" w14:paraId="6EB89FAF" w14:textId="77777777" w:rsidTr="00E45042">
        <w:trPr>
          <w:jc w:val="center"/>
        </w:trPr>
        <w:tc>
          <w:tcPr>
            <w:tcW w:w="0" w:type="auto"/>
          </w:tcPr>
          <w:p w14:paraId="23EFF532" w14:textId="29AB5C1C" w:rsidR="00D80187" w:rsidRPr="00D80187" w:rsidRDefault="00D80187" w:rsidP="00D80187">
            <w:pPr>
              <w:tabs>
                <w:tab w:val="center" w:pos="1400"/>
                <w:tab w:val="center" w:pos="5940"/>
              </w:tabs>
              <w:autoSpaceDE w:val="0"/>
              <w:autoSpaceDN w:val="0"/>
              <w:adjustRightInd w:val="0"/>
              <w:jc w:val="center"/>
              <w:rPr>
                <w:rFonts w:ascii="Garamond" w:hAnsi="Garamond" w:cs="Times New Roman"/>
                <w:b/>
                <w:color w:val="000000"/>
                <w:sz w:val="24"/>
                <w:szCs w:val="24"/>
                <w:lang w:val="sq-AL"/>
              </w:rPr>
            </w:pPr>
            <w:r w:rsidRPr="00D80187">
              <w:rPr>
                <w:rFonts w:ascii="Garamond" w:hAnsi="Garamond" w:cs="Times New Roman"/>
                <w:b/>
                <w:color w:val="000000"/>
                <w:sz w:val="24"/>
                <w:szCs w:val="24"/>
                <w:lang w:val="sq-AL"/>
              </w:rPr>
              <w:t>Viktoriya Maradudina</w:t>
            </w:r>
          </w:p>
          <w:p w14:paraId="62361580" w14:textId="791A9B05" w:rsidR="00D80187" w:rsidRDefault="00E45042" w:rsidP="00D80187">
            <w:pPr>
              <w:tabs>
                <w:tab w:val="center" w:pos="1400"/>
                <w:tab w:val="center" w:pos="5940"/>
              </w:tabs>
              <w:autoSpaceDE w:val="0"/>
              <w:autoSpaceDN w:val="0"/>
              <w:adjustRightInd w:val="0"/>
              <w:jc w:val="center"/>
              <w:rPr>
                <w:rFonts w:ascii="Garamond" w:hAnsi="Garamond" w:cs="Times New Roman"/>
                <w:color w:val="FFFFFF"/>
                <w:sz w:val="24"/>
                <w:szCs w:val="24"/>
                <w:lang w:val="sq-AL"/>
              </w:rPr>
            </w:pPr>
            <w:r w:rsidRPr="00D80187">
              <w:rPr>
                <w:rFonts w:ascii="Garamond" w:hAnsi="Garamond" w:cs="Times New Roman"/>
                <w:color w:val="000000"/>
                <w:sz w:val="24"/>
                <w:szCs w:val="24"/>
                <w:lang w:val="sq-AL"/>
              </w:rPr>
              <w:t>ZËVENDËS</w:t>
            </w:r>
            <w:r>
              <w:rPr>
                <w:rFonts w:ascii="Garamond" w:hAnsi="Garamond" w:cs="Times New Roman"/>
                <w:color w:val="000000"/>
                <w:sz w:val="24"/>
                <w:szCs w:val="24"/>
                <w:lang w:val="sq-AL"/>
              </w:rPr>
              <w:t>K</w:t>
            </w:r>
            <w:r w:rsidRPr="00D80187">
              <w:rPr>
                <w:rFonts w:ascii="Garamond" w:hAnsi="Garamond" w:cs="Times New Roman"/>
                <w:color w:val="000000"/>
                <w:sz w:val="24"/>
                <w:szCs w:val="24"/>
                <w:lang w:val="sq-AL"/>
              </w:rPr>
              <w:t>ANCELARE NË DETYRË</w:t>
            </w:r>
          </w:p>
        </w:tc>
        <w:tc>
          <w:tcPr>
            <w:tcW w:w="0" w:type="auto"/>
          </w:tcPr>
          <w:p w14:paraId="4A704101" w14:textId="77777777" w:rsidR="00D80187" w:rsidRPr="00D80187" w:rsidRDefault="00D80187" w:rsidP="00D80187">
            <w:pPr>
              <w:tabs>
                <w:tab w:val="center" w:pos="1400"/>
                <w:tab w:val="center" w:pos="5940"/>
              </w:tabs>
              <w:autoSpaceDE w:val="0"/>
              <w:autoSpaceDN w:val="0"/>
              <w:adjustRightInd w:val="0"/>
              <w:ind w:firstLine="284"/>
              <w:rPr>
                <w:rFonts w:ascii="Garamond" w:hAnsi="Garamond" w:cs="Times New Roman"/>
                <w:b/>
                <w:color w:val="000000"/>
                <w:sz w:val="24"/>
                <w:szCs w:val="24"/>
                <w:lang w:val="sq-AL"/>
              </w:rPr>
            </w:pPr>
            <w:r w:rsidRPr="00D80187">
              <w:rPr>
                <w:rFonts w:ascii="Garamond" w:hAnsi="Garamond" w:cs="Times New Roman"/>
                <w:b/>
                <w:color w:val="000000"/>
                <w:sz w:val="24"/>
                <w:szCs w:val="24"/>
                <w:lang w:val="sq-AL"/>
              </w:rPr>
              <w:t>Peeter Roosma</w:t>
            </w:r>
          </w:p>
          <w:p w14:paraId="4FE3BC38" w14:textId="22B129A8" w:rsidR="00D80187" w:rsidRPr="00D80187" w:rsidRDefault="00D80187" w:rsidP="00D80187">
            <w:pPr>
              <w:tabs>
                <w:tab w:val="center" w:pos="1400"/>
                <w:tab w:val="center" w:pos="5940"/>
              </w:tabs>
              <w:autoSpaceDE w:val="0"/>
              <w:autoSpaceDN w:val="0"/>
              <w:adjustRightInd w:val="0"/>
              <w:ind w:firstLine="284"/>
              <w:rPr>
                <w:rFonts w:ascii="Garamond" w:hAnsi="Garamond" w:cs="Times New Roman"/>
                <w:color w:val="000000"/>
                <w:sz w:val="24"/>
                <w:szCs w:val="24"/>
                <w:lang w:val="sq-AL"/>
              </w:rPr>
            </w:pPr>
            <w:r w:rsidRPr="00D80187">
              <w:rPr>
                <w:rFonts w:ascii="Garamond" w:hAnsi="Garamond" w:cs="Times New Roman"/>
                <w:color w:val="000000"/>
                <w:sz w:val="24"/>
                <w:szCs w:val="24"/>
                <w:lang w:val="sq-AL"/>
              </w:rPr>
              <w:t xml:space="preserve"> </w:t>
            </w:r>
            <w:r w:rsidR="00E45042" w:rsidRPr="00D80187">
              <w:rPr>
                <w:rFonts w:ascii="Garamond" w:hAnsi="Garamond" w:cs="Times New Roman"/>
                <w:color w:val="000000"/>
                <w:sz w:val="24"/>
                <w:szCs w:val="24"/>
                <w:lang w:val="sq-AL"/>
              </w:rPr>
              <w:t>PRESIDENT</w:t>
            </w:r>
          </w:p>
        </w:tc>
      </w:tr>
    </w:tbl>
    <w:p w14:paraId="5432462D" w14:textId="5A03ED0F" w:rsidR="00D80187" w:rsidRDefault="00D80187" w:rsidP="00D80187">
      <w:pPr>
        <w:tabs>
          <w:tab w:val="center" w:pos="1400"/>
          <w:tab w:val="center" w:pos="5940"/>
        </w:tabs>
        <w:autoSpaceDE w:val="0"/>
        <w:autoSpaceDN w:val="0"/>
        <w:adjustRightInd w:val="0"/>
        <w:spacing w:after="0" w:line="240" w:lineRule="auto"/>
        <w:ind w:firstLine="284"/>
        <w:rPr>
          <w:rFonts w:ascii="Garamond" w:hAnsi="Garamond" w:cs="Times New Roman"/>
          <w:color w:val="FFFFFF"/>
          <w:sz w:val="24"/>
          <w:szCs w:val="24"/>
          <w:lang w:val="sq-AL"/>
        </w:rPr>
      </w:pPr>
    </w:p>
    <w:p w14:paraId="63AA4518" w14:textId="16299219" w:rsidR="0002078E" w:rsidRDefault="0002078E" w:rsidP="00D80187">
      <w:pPr>
        <w:tabs>
          <w:tab w:val="center" w:pos="1400"/>
          <w:tab w:val="center" w:pos="5940"/>
        </w:tabs>
        <w:autoSpaceDE w:val="0"/>
        <w:autoSpaceDN w:val="0"/>
        <w:adjustRightInd w:val="0"/>
        <w:spacing w:after="0" w:line="240" w:lineRule="auto"/>
        <w:ind w:firstLine="284"/>
        <w:rPr>
          <w:rFonts w:ascii="Garamond" w:hAnsi="Garamond" w:cs="Times New Roman"/>
          <w:color w:val="FFFFFF"/>
          <w:sz w:val="24"/>
          <w:szCs w:val="24"/>
          <w:lang w:val="sq-AL"/>
        </w:rPr>
      </w:pPr>
    </w:p>
    <w:p w14:paraId="53D67D88" w14:textId="669AA9F0" w:rsidR="0002078E" w:rsidRDefault="0002078E" w:rsidP="00D80187">
      <w:pPr>
        <w:tabs>
          <w:tab w:val="center" w:pos="1400"/>
          <w:tab w:val="center" w:pos="5940"/>
        </w:tabs>
        <w:autoSpaceDE w:val="0"/>
        <w:autoSpaceDN w:val="0"/>
        <w:adjustRightInd w:val="0"/>
        <w:spacing w:after="0" w:line="240" w:lineRule="auto"/>
        <w:ind w:firstLine="284"/>
        <w:rPr>
          <w:rFonts w:ascii="Garamond" w:hAnsi="Garamond" w:cs="Times New Roman"/>
          <w:color w:val="FFFFFF"/>
          <w:sz w:val="24"/>
          <w:szCs w:val="24"/>
          <w:lang w:val="sq-AL"/>
        </w:rPr>
      </w:pPr>
    </w:p>
    <w:p w14:paraId="56764CBB" w14:textId="136A7508" w:rsidR="0002078E" w:rsidRDefault="0002078E" w:rsidP="00D80187">
      <w:pPr>
        <w:tabs>
          <w:tab w:val="center" w:pos="1400"/>
          <w:tab w:val="center" w:pos="5940"/>
        </w:tabs>
        <w:autoSpaceDE w:val="0"/>
        <w:autoSpaceDN w:val="0"/>
        <w:adjustRightInd w:val="0"/>
        <w:spacing w:after="0" w:line="240" w:lineRule="auto"/>
        <w:ind w:firstLine="284"/>
        <w:rPr>
          <w:rFonts w:ascii="Garamond" w:hAnsi="Garamond" w:cs="Times New Roman"/>
          <w:color w:val="FFFFFF"/>
          <w:sz w:val="24"/>
          <w:szCs w:val="24"/>
          <w:lang w:val="sq-AL"/>
        </w:rPr>
      </w:pPr>
    </w:p>
    <w:p w14:paraId="23C9AF2D" w14:textId="4F1CB666" w:rsidR="0002078E" w:rsidRDefault="0002078E" w:rsidP="0002078E">
      <w:pPr>
        <w:spacing w:after="0" w:line="240" w:lineRule="auto"/>
        <w:ind w:firstLine="284"/>
        <w:jc w:val="center"/>
        <w:rPr>
          <w:rFonts w:ascii="Garamond" w:eastAsia="MS Mincho" w:hAnsi="Garamond" w:cs="Calibri"/>
          <w:sz w:val="24"/>
          <w:szCs w:val="24"/>
          <w:lang w:val="sq-AL" w:eastAsia="ja-JP"/>
        </w:rPr>
      </w:pPr>
      <w:r>
        <w:rPr>
          <w:rFonts w:ascii="Garamond" w:eastAsia="MS Mincho" w:hAnsi="Garamond" w:cs="Calibri"/>
          <w:sz w:val="24"/>
          <w:szCs w:val="24"/>
          <w:lang w:val="sq-AL" w:eastAsia="ja-JP"/>
        </w:rPr>
        <w:t>SHTOJCË</w:t>
      </w:r>
    </w:p>
    <w:p w14:paraId="4E60C074" w14:textId="77777777" w:rsidR="0002078E" w:rsidRDefault="0002078E" w:rsidP="0002078E">
      <w:pPr>
        <w:shd w:val="clear" w:color="auto" w:fill="FFFFFF"/>
        <w:spacing w:after="0" w:line="240" w:lineRule="auto"/>
        <w:ind w:firstLine="284"/>
        <w:jc w:val="both"/>
        <w:textAlignment w:val="baseline"/>
        <w:rPr>
          <w:rFonts w:ascii="Garamond" w:eastAsia="Times New Roman" w:hAnsi="Garamond" w:cs="Calibri"/>
          <w:color w:val="000000"/>
          <w:sz w:val="24"/>
          <w:szCs w:val="24"/>
        </w:rPr>
      </w:pPr>
    </w:p>
    <w:p w14:paraId="6710B1FC" w14:textId="0688EFB6" w:rsidR="0002078E" w:rsidRDefault="0002078E" w:rsidP="0002078E">
      <w:pPr>
        <w:shd w:val="clear" w:color="auto" w:fill="FFFFFF"/>
        <w:spacing w:after="0" w:line="240" w:lineRule="auto"/>
        <w:ind w:firstLine="284"/>
        <w:jc w:val="both"/>
        <w:textAlignment w:val="baseline"/>
        <w:rPr>
          <w:rFonts w:ascii="Garamond" w:eastAsia="Times New Roman" w:hAnsi="Garamond" w:cs="Calibri"/>
          <w:color w:val="000000"/>
          <w:sz w:val="24"/>
          <w:szCs w:val="24"/>
        </w:rPr>
      </w:pPr>
      <w:proofErr w:type="spellStart"/>
      <w:r>
        <w:rPr>
          <w:rFonts w:ascii="Garamond" w:eastAsia="Times New Roman" w:hAnsi="Garamond" w:cs="Calibri"/>
          <w:color w:val="000000"/>
          <w:sz w:val="24"/>
          <w:szCs w:val="24"/>
        </w:rPr>
        <w:t>Kërkesa</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që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ngre</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ankimet</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sipas</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paragrafit</w:t>
      </w:r>
      <w:proofErr w:type="spellEnd"/>
      <w:r>
        <w:rPr>
          <w:rFonts w:ascii="Garamond" w:eastAsia="Times New Roman" w:hAnsi="Garamond" w:cs="Calibri"/>
          <w:color w:val="000000"/>
          <w:sz w:val="24"/>
          <w:szCs w:val="24"/>
        </w:rPr>
        <w:t xml:space="preserve"> 1, </w:t>
      </w:r>
      <w:proofErr w:type="spellStart"/>
      <w:r>
        <w:rPr>
          <w:rFonts w:ascii="Garamond" w:eastAsia="Times New Roman" w:hAnsi="Garamond" w:cs="Calibri"/>
          <w:color w:val="000000"/>
          <w:sz w:val="24"/>
          <w:szCs w:val="24"/>
        </w:rPr>
        <w:t>të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nenit</w:t>
      </w:r>
      <w:proofErr w:type="spellEnd"/>
      <w:r>
        <w:rPr>
          <w:rFonts w:ascii="Garamond" w:eastAsia="Times New Roman" w:hAnsi="Garamond" w:cs="Calibri"/>
          <w:color w:val="000000"/>
          <w:sz w:val="24"/>
          <w:szCs w:val="24"/>
        </w:rPr>
        <w:t xml:space="preserve"> 6 </w:t>
      </w:r>
      <w:proofErr w:type="spellStart"/>
      <w:r>
        <w:rPr>
          <w:rFonts w:ascii="Garamond" w:eastAsia="Times New Roman" w:hAnsi="Garamond" w:cs="Calibri"/>
          <w:color w:val="000000"/>
          <w:sz w:val="24"/>
          <w:szCs w:val="24"/>
          <w:bdr w:val="none" w:sz="0" w:space="0" w:color="auto" w:frame="1"/>
        </w:rPr>
        <w:t>dhe</w:t>
      </w:r>
      <w:proofErr w:type="spellEnd"/>
      <w:r>
        <w:rPr>
          <w:rFonts w:ascii="Garamond" w:eastAsia="Times New Roman" w:hAnsi="Garamond" w:cs="Calibri"/>
          <w:color w:val="000000"/>
          <w:sz w:val="24"/>
          <w:szCs w:val="24"/>
          <w:bdr w:val="none" w:sz="0" w:space="0" w:color="auto" w:frame="1"/>
        </w:rPr>
        <w:t xml:space="preserve"> </w:t>
      </w:r>
      <w:proofErr w:type="spellStart"/>
      <w:r>
        <w:rPr>
          <w:rFonts w:ascii="Garamond" w:eastAsia="Times New Roman" w:hAnsi="Garamond" w:cs="Calibri"/>
          <w:color w:val="000000"/>
          <w:sz w:val="24"/>
          <w:szCs w:val="24"/>
          <w:bdr w:val="none" w:sz="0" w:space="0" w:color="auto" w:frame="1"/>
        </w:rPr>
        <w:t>nenit</w:t>
      </w:r>
      <w:proofErr w:type="spellEnd"/>
      <w:r>
        <w:rPr>
          <w:rFonts w:ascii="Garamond" w:eastAsia="Times New Roman" w:hAnsi="Garamond" w:cs="Calibri"/>
          <w:color w:val="000000"/>
          <w:sz w:val="24"/>
          <w:szCs w:val="24"/>
          <w:bdr w:val="none" w:sz="0" w:space="0" w:color="auto" w:frame="1"/>
        </w:rPr>
        <w:t xml:space="preserve"> 13 </w:t>
      </w:r>
      <w:proofErr w:type="spellStart"/>
      <w:r>
        <w:rPr>
          <w:rFonts w:ascii="Garamond" w:eastAsia="Times New Roman" w:hAnsi="Garamond" w:cs="Calibri"/>
          <w:color w:val="000000"/>
          <w:sz w:val="24"/>
          <w:szCs w:val="24"/>
        </w:rPr>
        <w:t>të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Konventës</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dhe</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nenit</w:t>
      </w:r>
      <w:proofErr w:type="spellEnd"/>
      <w:r>
        <w:rPr>
          <w:rFonts w:ascii="Garamond" w:eastAsia="Times New Roman" w:hAnsi="Garamond" w:cs="Calibri"/>
          <w:color w:val="000000"/>
          <w:sz w:val="24"/>
          <w:szCs w:val="24"/>
        </w:rPr>
        <w:t xml:space="preserve"> 1, </w:t>
      </w:r>
      <w:proofErr w:type="spellStart"/>
      <w:r>
        <w:rPr>
          <w:rFonts w:ascii="Garamond" w:eastAsia="Times New Roman" w:hAnsi="Garamond" w:cs="Calibri"/>
          <w:color w:val="000000"/>
          <w:sz w:val="24"/>
          <w:szCs w:val="24"/>
        </w:rPr>
        <w:t>të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Protokollit</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nr</w:t>
      </w:r>
      <w:proofErr w:type="spellEnd"/>
      <w:r>
        <w:rPr>
          <w:rFonts w:ascii="Garamond" w:eastAsia="Times New Roman" w:hAnsi="Garamond" w:cs="Calibri"/>
          <w:color w:val="000000"/>
          <w:sz w:val="24"/>
          <w:szCs w:val="24"/>
        </w:rPr>
        <w:t>. 1 (</w:t>
      </w:r>
      <w:proofErr w:type="spellStart"/>
      <w:r>
        <w:rPr>
          <w:rFonts w:ascii="Garamond" w:eastAsia="Times New Roman" w:hAnsi="Garamond" w:cs="Calibri"/>
          <w:color w:val="000000"/>
          <w:sz w:val="24"/>
          <w:szCs w:val="24"/>
        </w:rPr>
        <w:t>mosekzekutimi</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i</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vendimeve</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të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brendshme</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dhe</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mungesa</w:t>
      </w:r>
      <w:proofErr w:type="spellEnd"/>
      <w:r>
        <w:rPr>
          <w:rFonts w:ascii="Garamond" w:eastAsia="Times New Roman" w:hAnsi="Garamond" w:cs="Calibri"/>
          <w:color w:val="000000"/>
          <w:sz w:val="24"/>
          <w:szCs w:val="24"/>
        </w:rPr>
        <w:t xml:space="preserve"> e </w:t>
      </w:r>
      <w:proofErr w:type="spellStart"/>
      <w:r>
        <w:rPr>
          <w:rFonts w:ascii="Garamond" w:eastAsia="Times New Roman" w:hAnsi="Garamond" w:cs="Calibri"/>
          <w:color w:val="000000"/>
          <w:sz w:val="24"/>
          <w:szCs w:val="24"/>
        </w:rPr>
        <w:t>një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mjeti</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efektiv</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të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brendshëm</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në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këtë</w:t>
      </w:r>
      <w:proofErr w:type="spellEnd"/>
      <w:r>
        <w:rPr>
          <w:rFonts w:ascii="Garamond" w:eastAsia="Times New Roman" w:hAnsi="Garamond" w:cs="Calibri"/>
          <w:color w:val="000000"/>
          <w:sz w:val="24"/>
          <w:szCs w:val="24"/>
        </w:rPr>
        <w:t xml:space="preserve"> </w:t>
      </w:r>
      <w:proofErr w:type="spellStart"/>
      <w:r>
        <w:rPr>
          <w:rFonts w:ascii="Garamond" w:eastAsia="Times New Roman" w:hAnsi="Garamond" w:cs="Calibri"/>
          <w:color w:val="000000"/>
          <w:sz w:val="24"/>
          <w:szCs w:val="24"/>
        </w:rPr>
        <w:t>drejtim</w:t>
      </w:r>
      <w:proofErr w:type="spellEnd"/>
      <w:r>
        <w:rPr>
          <w:rFonts w:ascii="Garamond" w:eastAsia="Times New Roman" w:hAnsi="Garamond" w:cs="Calibri"/>
          <w:color w:val="000000"/>
          <w:sz w:val="24"/>
          <w:szCs w:val="24"/>
        </w:rPr>
        <w:t>)</w:t>
      </w:r>
    </w:p>
    <w:p w14:paraId="1B8E4D42" w14:textId="77777777" w:rsidR="0002078E" w:rsidRDefault="0002078E" w:rsidP="0002078E">
      <w:pPr>
        <w:spacing w:after="0" w:line="240" w:lineRule="auto"/>
        <w:ind w:firstLine="284"/>
        <w:jc w:val="center"/>
        <w:rPr>
          <w:rFonts w:ascii="Garamond" w:eastAsia="MS Mincho" w:hAnsi="Garamond" w:cs="Calibri"/>
          <w:sz w:val="24"/>
          <w:szCs w:val="24"/>
          <w:lang w:val="sq-AL" w:eastAsia="ja-JP"/>
        </w:rPr>
      </w:pPr>
    </w:p>
    <w:p w14:paraId="0B52244C" w14:textId="77777777" w:rsidR="0002078E" w:rsidRDefault="0002078E" w:rsidP="0002078E">
      <w:pPr>
        <w:spacing w:after="0" w:line="240" w:lineRule="auto"/>
        <w:ind w:firstLine="284"/>
        <w:jc w:val="center"/>
        <w:rPr>
          <w:rFonts w:ascii="Garamond" w:eastAsia="MS Mincho" w:hAnsi="Garamond" w:cs="Calibri"/>
          <w:sz w:val="24"/>
          <w:szCs w:val="24"/>
          <w:lang w:val="sq-AL" w:eastAsia="ja-JP"/>
        </w:rPr>
      </w:pPr>
    </w:p>
    <w:p w14:paraId="7618783D" w14:textId="7B7C60F4" w:rsidR="0002078E" w:rsidRDefault="0002078E" w:rsidP="0002078E">
      <w:pPr>
        <w:tabs>
          <w:tab w:val="center" w:pos="1400"/>
          <w:tab w:val="center" w:pos="5940"/>
        </w:tabs>
        <w:autoSpaceDE w:val="0"/>
        <w:autoSpaceDN w:val="0"/>
        <w:adjustRightInd w:val="0"/>
        <w:spacing w:after="0" w:line="240" w:lineRule="auto"/>
        <w:ind w:firstLine="284"/>
        <w:jc w:val="center"/>
        <w:rPr>
          <w:rFonts w:ascii="Garamond" w:hAnsi="Garamond" w:cs="Times New Roman"/>
          <w:color w:val="FFFFFF"/>
          <w:sz w:val="24"/>
          <w:szCs w:val="24"/>
          <w:lang w:val="sq-AL"/>
        </w:rPr>
      </w:pPr>
      <w:r>
        <w:rPr>
          <w:rFonts w:ascii="Garamond" w:hAnsi="Garamond" w:cs="Times New Roman"/>
          <w:noProof/>
          <w:color w:val="FFFFFF"/>
          <w:sz w:val="24"/>
          <w:szCs w:val="24"/>
          <w:lang w:val="sq-AL" w:eastAsia="sq-AL"/>
        </w:rPr>
        <w:lastRenderedPageBreak/>
        <w:drawing>
          <wp:inline distT="0" distB="0" distL="0" distR="0" wp14:anchorId="4EE5B1DC" wp14:editId="5C7B2662">
            <wp:extent cx="5590540" cy="27800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0540" cy="2780030"/>
                    </a:xfrm>
                    <a:prstGeom prst="rect">
                      <a:avLst/>
                    </a:prstGeom>
                    <a:noFill/>
                  </pic:spPr>
                </pic:pic>
              </a:graphicData>
            </a:graphic>
          </wp:inline>
        </w:drawing>
      </w:r>
    </w:p>
    <w:sectPr w:rsidR="000207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7D1"/>
    <w:rsid w:val="000170D0"/>
    <w:rsid w:val="0002078E"/>
    <w:rsid w:val="00050D79"/>
    <w:rsid w:val="000758D7"/>
    <w:rsid w:val="00093FF7"/>
    <w:rsid w:val="000B36C8"/>
    <w:rsid w:val="000E58FD"/>
    <w:rsid w:val="000F74B6"/>
    <w:rsid w:val="00125C50"/>
    <w:rsid w:val="001930A9"/>
    <w:rsid w:val="001C30B8"/>
    <w:rsid w:val="001F1B06"/>
    <w:rsid w:val="00245572"/>
    <w:rsid w:val="00255A02"/>
    <w:rsid w:val="00281ABA"/>
    <w:rsid w:val="002A2045"/>
    <w:rsid w:val="00305178"/>
    <w:rsid w:val="00306EE4"/>
    <w:rsid w:val="003147F0"/>
    <w:rsid w:val="0032021F"/>
    <w:rsid w:val="003523B7"/>
    <w:rsid w:val="003D5C39"/>
    <w:rsid w:val="003E7EBA"/>
    <w:rsid w:val="003F167C"/>
    <w:rsid w:val="00420DDA"/>
    <w:rsid w:val="00420FCC"/>
    <w:rsid w:val="004262AA"/>
    <w:rsid w:val="00463D71"/>
    <w:rsid w:val="00466D63"/>
    <w:rsid w:val="00471931"/>
    <w:rsid w:val="00475729"/>
    <w:rsid w:val="00495544"/>
    <w:rsid w:val="00530AD4"/>
    <w:rsid w:val="0056576D"/>
    <w:rsid w:val="005856A6"/>
    <w:rsid w:val="00590B9A"/>
    <w:rsid w:val="005B5F43"/>
    <w:rsid w:val="005C1FB0"/>
    <w:rsid w:val="005C24CE"/>
    <w:rsid w:val="005E7A0D"/>
    <w:rsid w:val="0061636A"/>
    <w:rsid w:val="00642C82"/>
    <w:rsid w:val="0064747C"/>
    <w:rsid w:val="00684321"/>
    <w:rsid w:val="006B6654"/>
    <w:rsid w:val="006E6252"/>
    <w:rsid w:val="006E7D5E"/>
    <w:rsid w:val="007A461B"/>
    <w:rsid w:val="00830D84"/>
    <w:rsid w:val="00845C48"/>
    <w:rsid w:val="008A5778"/>
    <w:rsid w:val="008C7EE7"/>
    <w:rsid w:val="008F286E"/>
    <w:rsid w:val="0090290C"/>
    <w:rsid w:val="009077D1"/>
    <w:rsid w:val="009308D0"/>
    <w:rsid w:val="009B1503"/>
    <w:rsid w:val="009E5CF4"/>
    <w:rsid w:val="00A03C7D"/>
    <w:rsid w:val="00A130E0"/>
    <w:rsid w:val="00AC57D1"/>
    <w:rsid w:val="00AD6F91"/>
    <w:rsid w:val="00B15A5F"/>
    <w:rsid w:val="00B22326"/>
    <w:rsid w:val="00B42257"/>
    <w:rsid w:val="00B45C42"/>
    <w:rsid w:val="00B63811"/>
    <w:rsid w:val="00B73997"/>
    <w:rsid w:val="00B92627"/>
    <w:rsid w:val="00C907BF"/>
    <w:rsid w:val="00CB09EF"/>
    <w:rsid w:val="00CB38F9"/>
    <w:rsid w:val="00CD1E60"/>
    <w:rsid w:val="00D80187"/>
    <w:rsid w:val="00E417F7"/>
    <w:rsid w:val="00E45042"/>
    <w:rsid w:val="00E60245"/>
    <w:rsid w:val="00E96D34"/>
    <w:rsid w:val="00F223EA"/>
    <w:rsid w:val="00F23FBB"/>
    <w:rsid w:val="00F274B7"/>
    <w:rsid w:val="00F61B5A"/>
    <w:rsid w:val="00F711F6"/>
    <w:rsid w:val="00F71BE0"/>
    <w:rsid w:val="00F72413"/>
    <w:rsid w:val="00F84694"/>
    <w:rsid w:val="00FA4E59"/>
    <w:rsid w:val="00FF54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1F4DE"/>
  <w15:docId w15:val="{8882B93C-615F-4F2C-A688-22B6D8479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basedOn w:val="JuSigned"/>
    <w:rsid w:val="00D80187"/>
    <w:rPr>
      <w:color w:val="FFFFFF"/>
    </w:rPr>
  </w:style>
  <w:style w:type="paragraph" w:customStyle="1" w:styleId="JuSigned">
    <w:name w:val="Ju_Signed"/>
    <w:aliases w:val="_Signature"/>
    <w:basedOn w:val="Normal"/>
    <w:uiPriority w:val="99"/>
    <w:rsid w:val="00D80187"/>
    <w:pPr>
      <w:tabs>
        <w:tab w:val="center" w:pos="1400"/>
        <w:tab w:val="center" w:pos="5940"/>
      </w:tabs>
      <w:autoSpaceDE w:val="0"/>
      <w:autoSpaceDN w:val="0"/>
      <w:adjustRightInd w:val="0"/>
      <w:spacing w:before="720" w:after="0" w:line="240" w:lineRule="auto"/>
    </w:pPr>
    <w:rPr>
      <w:rFonts w:ascii="Times New Roman" w:hAnsi="Times New Roman" w:cs="Times New Roman"/>
      <w:color w:val="000000"/>
      <w:sz w:val="24"/>
      <w:szCs w:val="24"/>
      <w:lang w:val="sq-AL"/>
    </w:rPr>
  </w:style>
  <w:style w:type="paragraph" w:customStyle="1" w:styleId="JuParaLast">
    <w:name w:val="Ju_Para_Last"/>
    <w:aliases w:val="_Para_Spaced"/>
    <w:basedOn w:val="Normal"/>
    <w:uiPriority w:val="99"/>
    <w:rsid w:val="00D80187"/>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lang w:val="sq-AL"/>
    </w:rPr>
  </w:style>
  <w:style w:type="paragraph" w:customStyle="1" w:styleId="JuLista">
    <w:name w:val="Ju_List_a"/>
    <w:aliases w:val="_List_2"/>
    <w:basedOn w:val="Normal"/>
    <w:uiPriority w:val="99"/>
    <w:rsid w:val="00D80187"/>
    <w:pPr>
      <w:tabs>
        <w:tab w:val="left" w:pos="680"/>
      </w:tabs>
      <w:autoSpaceDE w:val="0"/>
      <w:autoSpaceDN w:val="0"/>
      <w:adjustRightInd w:val="0"/>
      <w:spacing w:after="0" w:line="240" w:lineRule="auto"/>
      <w:ind w:left="680" w:hanging="340"/>
      <w:jc w:val="both"/>
    </w:pPr>
    <w:rPr>
      <w:rFonts w:ascii="Times New Roman" w:hAnsi="Times New Roman" w:cs="Times New Roman"/>
      <w:color w:val="000000"/>
      <w:sz w:val="24"/>
      <w:szCs w:val="24"/>
      <w:lang w:val="sq-AL"/>
    </w:rPr>
  </w:style>
  <w:style w:type="paragraph" w:customStyle="1" w:styleId="JuList">
    <w:name w:val="Ju_List"/>
    <w:aliases w:val="_List_1"/>
    <w:basedOn w:val="Normal"/>
    <w:uiPriority w:val="99"/>
    <w:rsid w:val="00D80187"/>
    <w:pPr>
      <w:tabs>
        <w:tab w:val="left" w:pos="340"/>
      </w:tabs>
      <w:autoSpaceDE w:val="0"/>
      <w:autoSpaceDN w:val="0"/>
      <w:adjustRightInd w:val="0"/>
      <w:spacing w:before="280" w:after="60" w:line="240" w:lineRule="auto"/>
      <w:ind w:left="340" w:hanging="340"/>
      <w:jc w:val="both"/>
    </w:pPr>
    <w:rPr>
      <w:rFonts w:ascii="Times New Roman" w:hAnsi="Times New Roman" w:cs="Times New Roman"/>
      <w:color w:val="000000"/>
      <w:sz w:val="24"/>
      <w:szCs w:val="24"/>
      <w:lang w:val="sq-AL"/>
    </w:rPr>
  </w:style>
  <w:style w:type="paragraph" w:customStyle="1" w:styleId="JuH1">
    <w:name w:val="Ju_H_1."/>
    <w:aliases w:val="_Head_4"/>
    <w:uiPriority w:val="99"/>
    <w:rsid w:val="00D80187"/>
    <w:pPr>
      <w:keepNext/>
      <w:keepLines/>
      <w:tabs>
        <w:tab w:val="left" w:pos="360"/>
      </w:tabs>
      <w:autoSpaceDE w:val="0"/>
      <w:autoSpaceDN w:val="0"/>
      <w:adjustRightInd w:val="0"/>
      <w:spacing w:before="100" w:after="120" w:line="240" w:lineRule="auto"/>
      <w:jc w:val="both"/>
    </w:pPr>
    <w:rPr>
      <w:rFonts w:ascii="Times New Roman" w:hAnsi="Times New Roman" w:cs="Times New Roman"/>
      <w:i/>
      <w:iCs/>
      <w:sz w:val="24"/>
      <w:szCs w:val="24"/>
      <w:lang w:val="sq-AL"/>
    </w:rPr>
  </w:style>
  <w:style w:type="paragraph" w:customStyle="1" w:styleId="JuHA">
    <w:name w:val="Ju_H_A"/>
    <w:aliases w:val="_Head_3"/>
    <w:uiPriority w:val="99"/>
    <w:rsid w:val="00D80187"/>
    <w:pPr>
      <w:keepNext/>
      <w:keepLines/>
      <w:tabs>
        <w:tab w:val="left" w:pos="360"/>
      </w:tabs>
      <w:autoSpaceDE w:val="0"/>
      <w:autoSpaceDN w:val="0"/>
      <w:adjustRightInd w:val="0"/>
      <w:spacing w:before="100" w:after="240" w:line="240" w:lineRule="auto"/>
      <w:jc w:val="both"/>
    </w:pPr>
    <w:rPr>
      <w:rFonts w:ascii="Times New Roman" w:hAnsi="Times New Roman" w:cs="Times New Roman"/>
      <w:b/>
      <w:bCs/>
      <w:sz w:val="24"/>
      <w:szCs w:val="24"/>
      <w:lang w:val="sq-AL"/>
    </w:rPr>
  </w:style>
  <w:style w:type="paragraph" w:customStyle="1" w:styleId="JuHIRoman">
    <w:name w:val="Ju_H_I_Roman"/>
    <w:aliases w:val="_Head_2"/>
    <w:uiPriority w:val="99"/>
    <w:rsid w:val="00D80187"/>
    <w:pPr>
      <w:keepNext/>
      <w:keepLines/>
      <w:tabs>
        <w:tab w:val="left" w:pos="360"/>
        <w:tab w:val="left" w:pos="440"/>
        <w:tab w:val="left" w:pos="520"/>
        <w:tab w:val="left" w:pos="620"/>
        <w:tab w:val="left" w:pos="700"/>
        <w:tab w:val="left" w:pos="780"/>
      </w:tabs>
      <w:autoSpaceDE w:val="0"/>
      <w:autoSpaceDN w:val="0"/>
      <w:adjustRightInd w:val="0"/>
      <w:spacing w:before="100" w:after="240" w:line="240" w:lineRule="auto"/>
      <w:jc w:val="both"/>
    </w:pPr>
    <w:rPr>
      <w:rFonts w:ascii="Times New Roman" w:hAnsi="Times New Roman" w:cs="Times New Roman"/>
      <w:caps/>
      <w:color w:val="000000"/>
      <w:sz w:val="24"/>
      <w:szCs w:val="24"/>
      <w:lang w:val="sq-AL"/>
    </w:rPr>
  </w:style>
  <w:style w:type="paragraph" w:customStyle="1" w:styleId="JuJudges">
    <w:name w:val="Ju_Judges"/>
    <w:aliases w:val="_Judges"/>
    <w:basedOn w:val="Normal"/>
    <w:uiPriority w:val="99"/>
    <w:rsid w:val="00D80187"/>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lang w:val="sq-AL"/>
    </w:rPr>
  </w:style>
  <w:style w:type="paragraph" w:customStyle="1" w:styleId="JuCase">
    <w:name w:val="Ju_Case"/>
    <w:aliases w:val="_Case_Name"/>
    <w:basedOn w:val="Normal"/>
    <w:next w:val="JuPara"/>
    <w:uiPriority w:val="99"/>
    <w:rsid w:val="00D80187"/>
    <w:pPr>
      <w:autoSpaceDE w:val="0"/>
      <w:autoSpaceDN w:val="0"/>
      <w:adjustRightInd w:val="0"/>
      <w:spacing w:after="0" w:line="240" w:lineRule="auto"/>
      <w:ind w:firstLine="280"/>
      <w:jc w:val="both"/>
    </w:pPr>
    <w:rPr>
      <w:rFonts w:ascii="Times New Roman" w:hAnsi="Times New Roman" w:cs="Times New Roman"/>
      <w:b/>
      <w:bCs/>
      <w:color w:val="000000"/>
      <w:sz w:val="24"/>
      <w:szCs w:val="24"/>
      <w:lang w:val="sq-AL"/>
    </w:rPr>
  </w:style>
  <w:style w:type="paragraph" w:customStyle="1" w:styleId="DecHCase">
    <w:name w:val="Dec_H_Case"/>
    <w:aliases w:val="_Title_3"/>
    <w:basedOn w:val="JuPara"/>
    <w:next w:val="JuPara"/>
    <w:uiPriority w:val="99"/>
    <w:rsid w:val="00D80187"/>
    <w:pPr>
      <w:keepNext/>
      <w:keepLines/>
      <w:spacing w:after="280"/>
      <w:jc w:val="center"/>
    </w:pPr>
  </w:style>
  <w:style w:type="paragraph" w:customStyle="1" w:styleId="ECHRCoverTitle4">
    <w:name w:val="ECHR_Cover_Title_4"/>
    <w:aliases w:val="_Title_4"/>
    <w:basedOn w:val="JuPara"/>
    <w:next w:val="JuPara"/>
    <w:uiPriority w:val="99"/>
    <w:rsid w:val="00D80187"/>
    <w:pPr>
      <w:keepNext/>
      <w:keepLines/>
      <w:tabs>
        <w:tab w:val="right" w:pos="7920"/>
      </w:tabs>
      <w:jc w:val="center"/>
    </w:pPr>
    <w:rPr>
      <w:i/>
      <w:iCs/>
    </w:rPr>
  </w:style>
  <w:style w:type="paragraph" w:customStyle="1" w:styleId="JuTitle">
    <w:name w:val="Ju_Title"/>
    <w:aliases w:val="_Title_2"/>
    <w:basedOn w:val="Normal"/>
    <w:next w:val="JuPara"/>
    <w:uiPriority w:val="99"/>
    <w:rsid w:val="00D80187"/>
    <w:pPr>
      <w:keepNext/>
      <w:keepLines/>
      <w:autoSpaceDE w:val="0"/>
      <w:autoSpaceDN w:val="0"/>
      <w:adjustRightInd w:val="0"/>
      <w:spacing w:before="1320" w:after="280" w:line="240" w:lineRule="auto"/>
      <w:jc w:val="center"/>
    </w:pPr>
    <w:rPr>
      <w:rFonts w:ascii="Times New Roman" w:hAnsi="Times New Roman" w:cs="Times New Roman"/>
      <w:b/>
      <w:bCs/>
      <w:color w:val="000000"/>
      <w:sz w:val="24"/>
      <w:szCs w:val="24"/>
      <w:lang w:val="sq-AL"/>
    </w:rPr>
  </w:style>
  <w:style w:type="paragraph" w:customStyle="1" w:styleId="DecHTitle">
    <w:name w:val="Dec_H_Title"/>
    <w:aliases w:val="_Title_1"/>
    <w:basedOn w:val="JuPara"/>
    <w:next w:val="JuPara"/>
    <w:uiPriority w:val="99"/>
    <w:rsid w:val="00D80187"/>
    <w:pPr>
      <w:keepNext/>
      <w:keepLines/>
      <w:spacing w:after="240"/>
      <w:jc w:val="center"/>
    </w:pPr>
    <w:rPr>
      <w:sz w:val="28"/>
      <w:szCs w:val="28"/>
    </w:rPr>
  </w:style>
  <w:style w:type="paragraph" w:customStyle="1" w:styleId="JuPara">
    <w:name w:val="Ju_Para"/>
    <w:aliases w:val="_Para"/>
    <w:basedOn w:val="Normal"/>
    <w:uiPriority w:val="99"/>
    <w:rsid w:val="00D80187"/>
    <w:pPr>
      <w:autoSpaceDE w:val="0"/>
      <w:autoSpaceDN w:val="0"/>
      <w:adjustRightInd w:val="0"/>
      <w:spacing w:after="0" w:line="240" w:lineRule="auto"/>
      <w:ind w:firstLine="280"/>
      <w:jc w:val="both"/>
    </w:pPr>
    <w:rPr>
      <w:rFonts w:ascii="Times New Roman" w:hAnsi="Times New Roman" w:cs="Times New Roman"/>
      <w:color w:val="000000"/>
      <w:sz w:val="24"/>
      <w:szCs w:val="24"/>
      <w:lang w:val="sq-AL"/>
    </w:rPr>
  </w:style>
  <w:style w:type="table" w:styleId="TableGrid">
    <w:name w:val="Table Grid"/>
    <w:basedOn w:val="TableNormal"/>
    <w:uiPriority w:val="39"/>
    <w:rsid w:val="00D801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6501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21051-10</Nr_x002e__x0020_akti>
    <Data_x0020_e_x0020_Krijimit xmlns="0e656187-b300-4fb0-8bf4-3a50f872073c">2024-08-02T08:56:53Z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2024-08-01T00:00:00Z</Date_x0020_protokolli>
    <Titulli xmlns="0e656187-b300-4fb0-8bf4-3a50f872073c">Çështja Maçi kundër Shqipërisë (Kërkesa nr. 21051/10)</Titulli>
    <Modifikuesi xmlns="0e656187-b300-4fb0-8bf4-3a50f872073c">ermira.bukaci</Modifikuesi>
    <Nr_x002e__x0020_prot_x0020_QBZ xmlns="0e656187-b300-4fb0-8bf4-3a50f872073c">1377/1</Nr_x002e__x0020_prot_x0020_QBZ>
    <Data_x0020_e_x0020_Modifikimit xmlns="0e656187-b300-4fb0-8bf4-3a50f872073c">2024-08-02T09:16:30Z</Data_x0020_e_x0020_Modifikimit>
    <Dekretuar xmlns="0e656187-b300-4fb0-8bf4-3a50f872073c">false</Dekretuar>
    <Data xmlns="0e656187-b300-4fb0-8bf4-3a50f872073c">2024-07-04T00:00:00Z</Data>
    <Nr_x002e__x0020_protokolli_x0020_i_x0020_aktit xmlns="0e656187-b300-4fb0-8bf4-3a50f872073c">3829/1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44BEACCD3181484185FCB4AD550A7A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Akt ligjor" ma:contentTypeID="0x01010044BEACCD3181484185FCB4AD550A7AA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1197839-D625-46C8-B0DA-10FE4A156C1B}">
  <ds:schemaRefs>
    <ds:schemaRef ds:uri="http://schemas.microsoft.com/sharepoint/v3/contenttype/forms"/>
  </ds:schemaRefs>
</ds:datastoreItem>
</file>

<file path=customXml/itemProps2.xml><?xml version="1.0" encoding="utf-8"?>
<ds:datastoreItem xmlns:ds="http://schemas.openxmlformats.org/officeDocument/2006/customXml" ds:itemID="{669F380E-3BD3-4A93-8850-E94ADC48DAC3}">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A9D42777-226D-4353-9C13-557DFA8CB6B2}">
  <ds:schemaRefs>
    <ds:schemaRef ds:uri="http://schemas.microsoft.com/sharepoint/v3/contenttype/forms"/>
  </ds:schemaRefs>
</ds:datastoreItem>
</file>

<file path=customXml/itemProps4.xml><?xml version="1.0" encoding="utf-8"?>
<ds:datastoreItem xmlns:ds="http://schemas.openxmlformats.org/officeDocument/2006/customXml" ds:itemID="{C82CC7CE-F5FA-4FBB-B305-B8CCC5FED6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18791AD-B3ED-4CA1-B4DA-1FAB2480E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2460</Words>
  <Characters>14026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Çështja Maçi kundër Shqipërisë (Kërkesa nr. 21051/10)</vt:lpstr>
    </vt:vector>
  </TitlesOfParts>
  <Company/>
  <LinksUpToDate>false</LinksUpToDate>
  <CharactersWithSpaces>16454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Maçi kundër Shqipërisë (Kërkesa nr. 21051/10)</dc:title>
  <dc:creator>Entela Suli</dc:creator>
  <cp:lastModifiedBy>Marsela Xhepa</cp:lastModifiedBy>
  <cp:revision>2</cp:revision>
  <cp:lastPrinted>2024-10-09T10:26:00Z</cp:lastPrinted>
  <dcterms:created xsi:type="dcterms:W3CDTF">2025-09-11T09:22:00Z</dcterms:created>
  <dcterms:modified xsi:type="dcterms:W3CDTF">2025-09-11T09:22:00Z</dcterms:modified>
</cp:coreProperties>
</file>