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D1FF4" w14:textId="2BE4C138" w:rsidR="00615FF2" w:rsidRPr="003B143D" w:rsidRDefault="00615FF2" w:rsidP="00615FF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B143D">
        <w:rPr>
          <w:rFonts w:ascii="Garamond" w:hAnsi="Garamond"/>
          <w:sz w:val="24"/>
          <w:szCs w:val="24"/>
          <w:lang w:val="sq-AL"/>
        </w:rPr>
        <w:t>GJYKATA E</w:t>
      </w:r>
      <w:r w:rsidR="003B143D" w:rsidRPr="003B143D">
        <w:rPr>
          <w:rFonts w:ascii="Garamond" w:hAnsi="Garamond"/>
          <w:sz w:val="24"/>
          <w:szCs w:val="24"/>
          <w:lang w:val="sq-AL"/>
        </w:rPr>
        <w:t>V</w:t>
      </w:r>
      <w:r w:rsidRPr="003B143D">
        <w:rPr>
          <w:rFonts w:ascii="Garamond" w:hAnsi="Garamond"/>
          <w:sz w:val="24"/>
          <w:szCs w:val="24"/>
          <w:lang w:val="sq-AL"/>
        </w:rPr>
        <w:t>ROPIANE E TË DREJTAVE TË NJERIUT</w:t>
      </w:r>
    </w:p>
    <w:p w14:paraId="6CAFCD06" w14:textId="6FA5C929" w:rsidR="00615FF2" w:rsidRPr="003B143D" w:rsidRDefault="00615FF2" w:rsidP="00615FF2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SEKSIONI I TRETË</w:t>
      </w:r>
    </w:p>
    <w:p w14:paraId="5AA568BB" w14:textId="2145AF3A" w:rsidR="009B3164" w:rsidRPr="003B143D" w:rsidRDefault="009B3164" w:rsidP="00615FF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AFE37B3" w14:textId="2135B134" w:rsidR="00615FF2" w:rsidRPr="003B143D" w:rsidRDefault="00615FF2" w:rsidP="00615FF2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67D81">
        <w:rPr>
          <w:rFonts w:ascii="Garamond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1462D780" w14:textId="77777777" w:rsidR="00615FF2" w:rsidRPr="003B143D" w:rsidRDefault="00615FF2" w:rsidP="00615FF2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5AB8DF1" w14:textId="184C1FC8" w:rsidR="00615FF2" w:rsidRPr="003B143D" w:rsidRDefault="00615FF2" w:rsidP="00615FF2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Kërkesa nr. 52678/17 </w:t>
      </w:r>
    </w:p>
    <w:p w14:paraId="31712E11" w14:textId="371B09F0" w:rsidR="00615FF2" w:rsidRPr="003B143D" w:rsidRDefault="00615FF2" w:rsidP="00615FF2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Paskal NASKA </w:t>
      </w:r>
    </w:p>
    <w:p w14:paraId="5E012202" w14:textId="2B50007C" w:rsidR="00615FF2" w:rsidRPr="003B143D" w:rsidRDefault="00615FF2" w:rsidP="00615FF2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i/>
          <w:iCs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kundër Shqipërisë</w:t>
      </w:r>
    </w:p>
    <w:p w14:paraId="6C828CC7" w14:textId="6D95DD92" w:rsidR="00615FF2" w:rsidRPr="003B143D" w:rsidRDefault="00615FF2" w:rsidP="00615FF2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(shihni tabelën bashkëngjitur)</w:t>
      </w:r>
    </w:p>
    <w:p w14:paraId="1554AB0E" w14:textId="77777777" w:rsidR="00615FF2" w:rsidRPr="003B143D" w:rsidRDefault="00615FF2" w:rsidP="00615F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</w:p>
    <w:p w14:paraId="675F9744" w14:textId="6FF878AD" w:rsidR="00615FF2" w:rsidRPr="003B143D" w:rsidRDefault="00615FF2" w:rsidP="00615F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Gjykata E</w:t>
      </w:r>
      <w:r w:rsidR="003B143D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ropiane e të Drejtave të Njeriut (Seksioni i Tretë), e mbledhur më 13 qershor 2024 si Komitet i përbërë nga:</w:t>
      </w:r>
    </w:p>
    <w:p w14:paraId="593AF7F9" w14:textId="5A0A9A61" w:rsidR="00615FF2" w:rsidRPr="003B143D" w:rsidRDefault="00615FF2" w:rsidP="00615FF2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Peeter Roosma</w:t>
      </w:r>
      <w:r w:rsidRPr="003B143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 President</w:t>
      </w: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4647F75B" w14:textId="59275BB8" w:rsidR="00615FF2" w:rsidRPr="003B143D" w:rsidRDefault="00615FF2" w:rsidP="00615FF2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Andreas Zünd,</w:t>
      </w:r>
    </w:p>
    <w:p w14:paraId="51E9271D" w14:textId="4D3F2E0B" w:rsidR="00615FF2" w:rsidRPr="003B143D" w:rsidRDefault="00615FF2" w:rsidP="00615FF2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Oddný Mjöll Arnardóttir</w:t>
      </w:r>
      <w:r w:rsidRPr="003B143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 gjyqtarë</w:t>
      </w: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788E6131" w14:textId="21F59870" w:rsidR="00615FF2" w:rsidRPr="003B143D" w:rsidRDefault="00615FF2" w:rsidP="00615FF2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Viktoriya Maradudina, </w:t>
      </w:r>
      <w:r w:rsidR="00DD085C" w:rsidRPr="003B143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zëvendëskancelare </w:t>
      </w:r>
      <w:r w:rsidRPr="003B143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në detyrë e Seksionit,</w:t>
      </w:r>
    </w:p>
    <w:p w14:paraId="093396F4" w14:textId="0A0A5A63" w:rsidR="00615FF2" w:rsidRPr="003B143D" w:rsidRDefault="00615FF2" w:rsidP="00615FF2">
      <w:pPr>
        <w:keepNext/>
        <w:keepLines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Duke pasur parasysh kërkesën më sipër të depozituar më 20 korrik 2017,</w:t>
      </w:r>
    </w:p>
    <w:p w14:paraId="1B32D5C0" w14:textId="6C2968E1" w:rsidR="00615FF2" w:rsidRPr="003B143D" w:rsidRDefault="00615FF2" w:rsidP="00615FF2">
      <w:pPr>
        <w:keepNext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Duke pasur parasysh deklaratën e paraqitur nga Qeveria e paditur ku kërkon që Gjykata të çregjistrojë kërkesën nga lista e çështjeve,</w:t>
      </w:r>
    </w:p>
    <w:p w14:paraId="083EE8B1" w14:textId="32BB0245" w:rsidR="00615FF2" w:rsidRPr="003B143D" w:rsidRDefault="00615FF2" w:rsidP="00615FF2">
      <w:pPr>
        <w:keepNext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Pas diskutimit, vendosi si më poshtë:</w:t>
      </w:r>
    </w:p>
    <w:p w14:paraId="70717BC8" w14:textId="5BD4F5D5" w:rsidR="00615FF2" w:rsidRPr="003B143D" w:rsidRDefault="00615FF2" w:rsidP="00615FF2">
      <w:pPr>
        <w:keepNext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FAKTE DHE PROCEDURA</w:t>
      </w:r>
    </w:p>
    <w:p w14:paraId="4CA68B4F" w14:textId="51818047" w:rsidR="00615FF2" w:rsidRPr="003B143D" w:rsidRDefault="00615FF2" w:rsidP="00615FF2">
      <w:pPr>
        <w:keepNext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Detajet e kërkuesit jepen në tabelën bashkëngjitur.</w:t>
      </w:r>
    </w:p>
    <w:p w14:paraId="2C3B4605" w14:textId="20827E3F" w:rsidR="00615FF2" w:rsidRPr="003B143D" w:rsidRDefault="00615FF2" w:rsidP="00615FF2">
      <w:pPr>
        <w:keepNext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Kërkuesi u përfaqësua nga </w:t>
      </w:r>
      <w:r w:rsidR="003B143D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. Xh. Sheta, avokat i licencuar në Tiranë.</w:t>
      </w:r>
    </w:p>
    <w:p w14:paraId="78F9EC01" w14:textId="2AEF3707" w:rsidR="00615FF2" w:rsidRPr="003B143D" w:rsidRDefault="00615FF2" w:rsidP="00615FF2">
      <w:pPr>
        <w:keepNext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Ankimet e kërkuesit sipas nenit 6 § 1 të Konventës në lidhje me mosekzekutimin e vendimeve të brendshme i janë komunikuar qeverisë shqiptare (“Qeveria”).</w:t>
      </w:r>
    </w:p>
    <w:p w14:paraId="26DFD96D" w14:textId="58187106" w:rsidR="00615FF2" w:rsidRPr="003B143D" w:rsidRDefault="00615FF2" w:rsidP="00615FF2">
      <w:pPr>
        <w:keepNext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B143D">
        <w:rPr>
          <w:rFonts w:ascii="Garamond" w:hAnsi="Garamond" w:cs="Times New Roman"/>
          <w:caps/>
          <w:color w:val="000000"/>
          <w:sz w:val="24"/>
          <w:szCs w:val="24"/>
          <w:lang w:val="sq-AL"/>
        </w:rPr>
        <w:t>LEGJISLACIONI</w:t>
      </w:r>
    </w:p>
    <w:p w14:paraId="74A4F633" w14:textId="5BE48FE6" w:rsidR="00615FF2" w:rsidRPr="003B143D" w:rsidRDefault="00615FF2" w:rsidP="00615F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Pas negocimit të pasuksesshëm për zgjidhje miqësore, Qeveria informoi Gjykatën që ajo propozonte të bënte një deklaratë të njëanshme me qëllim zgjidhjen e problemeve të ngritura në këto ankime. Më tej, ajo i kërkoi Gjykatës të çregjistronte kërkesën në përputhje me nenin 37 të Konventës.</w:t>
      </w:r>
    </w:p>
    <w:p w14:paraId="7785E6EE" w14:textId="1E48BD4F" w:rsidR="00615FF2" w:rsidRPr="003B143D" w:rsidRDefault="00615FF2" w:rsidP="00615F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Qeveria e pranoi shkeljen e Konventës në lidhje me procedurat e gjata të mos-ekzekutimit. Ajo u ofrua që t’i paguajë kërkuesit shumat e detajuara në tabelën bashkëngjitur dhe ftoi Gjykatën të çregjistrojë kërkesën nga lista e çështjeve në përputhje me paragrafin 1(c) të nenit 37 të Konventës. Shuma do të konvertohet në monedhën e Shtetit të paditur me kursin e këmbimit të datës së pagesës dhe do të paguhet brenda tre muajve nga data e njoftimit të vendimit të Gjykatës. Nëse kjo shumë nuk paguhet brenda periudhës së lart përmendur prej tre muajsh, Qeveria mori përsipër të paguajë një kamat-vonesë të thjeshtë nga momenti i mbarimit të kësaj periudhe deri në momentin e shlyerjes, me një normë të barabartë me normën marxhinale të kreditimit së Bankës Qendrore E</w:t>
      </w:r>
      <w:r w:rsidR="003B143D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ropiane gjatë periudhës së mospagimit plus tre pikë përqindje. Qeveria mori përsipër të sigurojë ekzekutimin e vendimit të brendshëm në shqyrtim në këtë çështje brenda të njëjtës periudhë tre mujore dhe të paguajë çdo kosto të procedurave të brendshme të ekzekutimit.</w:t>
      </w:r>
    </w:p>
    <w:p w14:paraId="66F92195" w14:textId="773301DF" w:rsidR="00615FF2" w:rsidRPr="003B143D" w:rsidRDefault="00615FF2" w:rsidP="00615F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Kërkuesit </w:t>
      </w:r>
      <w:r w:rsidR="009B69AB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u dërguan kushtet e deklaratës së njëanshme të Qeverisë disa javë përpara datës së këtij vendimi. Gjykata nuk ka marrë përgjigje nga kërkuesi për pranimin e kushteve të deklaratës.</w:t>
      </w:r>
    </w:p>
    <w:p w14:paraId="7E8A4B55" w14:textId="05925B81" w:rsidR="00615FF2" w:rsidRPr="003B143D" w:rsidRDefault="00615FF2" w:rsidP="00615F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Gjykata vëren që neni 37 § 1 (c) e bën të mundur çregjistrimin e një çështjeje nga lista e saj nëse:</w:t>
      </w:r>
    </w:p>
    <w:p w14:paraId="1A7905E6" w14:textId="55A2C4D1" w:rsidR="00615FF2" w:rsidRPr="003B143D" w:rsidRDefault="00615FF2" w:rsidP="00615F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“... për çdo arsye tjetër që, sipas Gjykatës, nuk justifikon vazhdimin e shqyrtimit të kërkesës”.</w:t>
      </w:r>
    </w:p>
    <w:p w14:paraId="2FE41283" w14:textId="10A16B9C" w:rsidR="00615FF2" w:rsidRPr="003B143D" w:rsidRDefault="00615FF2" w:rsidP="00615F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Prandaj, ajo mund të çregjistrojë kërkesën sipas paragrafit 1 (c) të nenit 37 bazuar në një deklaratë të njëanshme nga Qeveria e paditur edhe nëse kërkuesi dëshiron vazhdimin e shqyrtimit të çështjes (shihni në veçanti, </w:t>
      </w:r>
      <w:r w:rsidRPr="003B143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çështja Tahsin Acar kundër Turqisë </w:t>
      </w: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(kundërshtime paraprake) [DHM], nr. 26307/95, §§ 75 77, GJEDNJ 2003-VI).</w:t>
      </w:r>
    </w:p>
    <w:p w14:paraId="5BA6E9C7" w14:textId="644B9240" w:rsidR="00615FF2" w:rsidRPr="003B143D" w:rsidRDefault="00615FF2" w:rsidP="00615F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Gjykata ka krijuar praktikë gjyqësore të qartë dhe të zgjeruar në lidhje me ankimet për mos-ekzekutimin ose ekzekutimin me vonesë të vendimeve të brendshme (shihni, për shembull </w:t>
      </w:r>
      <w:r w:rsidRPr="003B143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Qufaj Co. Sh.p.k. kundër Shqipërisë, </w:t>
      </w: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54268/00, 18 nëntor 2004, dhe </w:t>
      </w:r>
      <w:r w:rsidRPr="003B143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Gjyli kundër Shqipërisë, </w:t>
      </w: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nr. 32907/07, 29 shtator 2009).</w:t>
      </w:r>
    </w:p>
    <w:p w14:paraId="2D636E5B" w14:textId="5D252EF8" w:rsidR="00615FF2" w:rsidRPr="003B143D" w:rsidRDefault="00615FF2" w:rsidP="00615F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Duke vërejtur pranimet që përmban deklarata e Qeverisë</w:t>
      </w:r>
      <w:r w:rsidR="00FA4BE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edhe shumën e propozuar të kompensimit </w:t>
      </w:r>
      <w:r w:rsidR="00D830C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</w:t>
      </w:r>
      <w:r w:rsidR="00D830C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është në përputhje me shumat e dhëna në çështje të ngjashme </w:t>
      </w:r>
      <w:r w:rsidR="00763A6E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Gjykata</w:t>
      </w:r>
      <w:r w:rsidR="00763A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konsideron që nuk justifikohet më tej vazhdimi i shqyrtimit të kërkesës (</w:t>
      </w:r>
      <w:r w:rsidR="003B143D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eni 37 § 1 (c)).</w:t>
      </w:r>
    </w:p>
    <w:p w14:paraId="5A8D6496" w14:textId="0122F0B3" w:rsidR="00615FF2" w:rsidRPr="003B143D" w:rsidRDefault="00615FF2" w:rsidP="00615F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Nisur nga konsideratat e mësipërme, Gjykata është e bindur që respektimi i të drejtave të njeriut siç përcaktohet në Konventë dhe </w:t>
      </w:r>
      <w:r w:rsidR="000E0913"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protokollet </w:t>
      </w: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saj nuk kërkon që ajo të vazhdojë të shqyrtojë kërkesën (neni 37 § 1 </w:t>
      </w:r>
      <w:r w:rsidRPr="003B143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in fine</w:t>
      </w: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).</w:t>
      </w:r>
    </w:p>
    <w:p w14:paraId="7D58ABED" w14:textId="10930A43" w:rsidR="00615FF2" w:rsidRPr="003B143D" w:rsidRDefault="00615FF2" w:rsidP="00615F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përfundim, Gjykata thekson që nëse Qeveria nuk përmbush kushtet e deklaratës së saj të njëanshme, kërkesa mund të futet përsëri në listë në përputhje me paragrafin 2 të nenit 37 të Konventës (shihni </w:t>
      </w:r>
      <w:r w:rsidRPr="003B143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çështja Josipović kundër Serbisë</w:t>
      </w: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(vendim), nr. 18369/07, 4 mars 2008).</w:t>
      </w:r>
    </w:p>
    <w:p w14:paraId="4DC89058" w14:textId="17A4099F" w:rsidR="00615FF2" w:rsidRPr="003B143D" w:rsidRDefault="00615FF2" w:rsidP="00615F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Nisur nga sa më sipër, është me vend që çështja të çregjistrohet nga lista.</w:t>
      </w:r>
    </w:p>
    <w:p w14:paraId="22565384" w14:textId="167F1DF3" w:rsidR="00615FF2" w:rsidRPr="003B143D" w:rsidRDefault="00615FF2" w:rsidP="00615FF2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Për këto arsye, Gjykata, unanimisht,</w:t>
      </w:r>
    </w:p>
    <w:p w14:paraId="64CEB6BC" w14:textId="0B06D2BD" w:rsidR="00615FF2" w:rsidRPr="003B143D" w:rsidRDefault="00615FF2" w:rsidP="00615F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mban parasysh</w:t>
      </w: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kushtet e deklaratës së Qeverisë së paditur dhe të rregullimeve për të siguruar përmbushjen e angazhimeve të përmendura në të;</w:t>
      </w:r>
    </w:p>
    <w:p w14:paraId="69452495" w14:textId="7E7B22AB" w:rsidR="00615FF2" w:rsidRPr="003B143D" w:rsidRDefault="00615FF2" w:rsidP="00615F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vendos</w:t>
      </w: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çregjistrojë kërkesën nga lista e saj e çështjeve në përputhje me nenin 37 § 1 (c) të Konventës.</w:t>
      </w:r>
    </w:p>
    <w:p w14:paraId="1C99639D" w14:textId="2F6D3E63" w:rsidR="00615FF2" w:rsidRPr="003B143D" w:rsidRDefault="00615FF2" w:rsidP="00615FF2">
      <w:pPr>
        <w:keepNext/>
        <w:keepLines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>Bërë në gjuhën angleze dhe njoftuar me shkrim</w:t>
      </w:r>
      <w:r w:rsidR="00AB11F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më 4 korrik 2024.</w:t>
      </w:r>
    </w:p>
    <w:p w14:paraId="438F3EB3" w14:textId="17DDAC4F" w:rsidR="00615FF2" w:rsidRPr="003B143D" w:rsidRDefault="00615FF2" w:rsidP="00615FF2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FFFFFF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FFFFFF"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127"/>
      </w:tblGrid>
      <w:tr w:rsidR="001D097C" w:rsidRPr="003B143D" w14:paraId="1AC53EBD" w14:textId="77777777" w:rsidTr="001D097C">
        <w:tc>
          <w:tcPr>
            <w:tcW w:w="3402" w:type="dxa"/>
          </w:tcPr>
          <w:p w14:paraId="0E33249B" w14:textId="77777777" w:rsidR="001D097C" w:rsidRPr="003B143D" w:rsidRDefault="001D097C" w:rsidP="00615FF2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</w:pPr>
            <w:r w:rsidRPr="003B143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 xml:space="preserve">Viktoriya Maradudina </w:t>
            </w:r>
          </w:p>
          <w:p w14:paraId="30589137" w14:textId="1358E8E5" w:rsidR="001D097C" w:rsidRPr="003B143D" w:rsidRDefault="001D097C" w:rsidP="00615FF2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rPr>
                <w:rFonts w:ascii="Garamond" w:hAnsi="Garamond" w:cs="Times New Roman"/>
                <w:color w:val="FFFFFF"/>
                <w:sz w:val="24"/>
                <w:szCs w:val="24"/>
                <w:lang w:val="sq-AL"/>
              </w:rPr>
            </w:pPr>
            <w:r w:rsidRPr="003B143D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Zëvendës</w:t>
            </w:r>
            <w:r w:rsidR="003B143D" w:rsidRPr="003B143D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kancelare</w:t>
            </w:r>
            <w:r w:rsidRPr="003B143D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 xml:space="preserve"> në detyrë</w:t>
            </w:r>
          </w:p>
        </w:tc>
        <w:tc>
          <w:tcPr>
            <w:tcW w:w="2127" w:type="dxa"/>
          </w:tcPr>
          <w:p w14:paraId="6BEF63B9" w14:textId="77777777" w:rsidR="001D097C" w:rsidRPr="003B143D" w:rsidRDefault="001D097C" w:rsidP="001D097C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ind w:firstLine="284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</w:pPr>
            <w:r w:rsidRPr="003B143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sq-AL"/>
              </w:rPr>
              <w:t>Peeter Roosma</w:t>
            </w:r>
          </w:p>
          <w:p w14:paraId="50C7C45F" w14:textId="5511235E" w:rsidR="001D097C" w:rsidRPr="003B143D" w:rsidRDefault="001D097C" w:rsidP="001D097C">
            <w:pPr>
              <w:tabs>
                <w:tab w:val="center" w:pos="1400"/>
                <w:tab w:val="center" w:pos="5940"/>
              </w:tabs>
              <w:autoSpaceDE w:val="0"/>
              <w:autoSpaceDN w:val="0"/>
              <w:adjustRightInd w:val="0"/>
              <w:ind w:firstLine="284"/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</w:pPr>
            <w:r w:rsidRPr="003B143D">
              <w:rPr>
                <w:rFonts w:ascii="Garamond" w:hAnsi="Garamond" w:cs="Times New Roman"/>
                <w:color w:val="000000"/>
                <w:sz w:val="24"/>
                <w:szCs w:val="24"/>
                <w:lang w:val="sq-AL"/>
              </w:rPr>
              <w:t>President</w:t>
            </w:r>
          </w:p>
        </w:tc>
      </w:tr>
    </w:tbl>
    <w:p w14:paraId="2E2817C9" w14:textId="77777777" w:rsidR="001D097C" w:rsidRPr="003B143D" w:rsidRDefault="001D097C" w:rsidP="00615FF2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FFFFFF"/>
          <w:sz w:val="24"/>
          <w:szCs w:val="24"/>
          <w:lang w:val="sq-AL"/>
        </w:rPr>
      </w:pPr>
    </w:p>
    <w:p w14:paraId="68F5F07C" w14:textId="139F93A2" w:rsidR="00615FF2" w:rsidRPr="003B143D" w:rsidRDefault="00615FF2" w:rsidP="001D097C">
      <w:pPr>
        <w:tabs>
          <w:tab w:val="center" w:pos="1400"/>
          <w:tab w:val="center" w:pos="59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B14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E17AED9" w14:textId="77777777" w:rsidR="00615FF2" w:rsidRPr="003B143D" w:rsidRDefault="00615FF2" w:rsidP="00615FF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E00193D" w14:textId="77777777" w:rsidR="00392379" w:rsidRPr="00FB2723" w:rsidRDefault="00392379" w:rsidP="00392379">
      <w:pPr>
        <w:pStyle w:val="DecHTitle"/>
        <w:spacing w:after="0"/>
        <w:ind w:firstLine="284"/>
        <w:rPr>
          <w:rFonts w:ascii="Garamond" w:eastAsia="PMingLiU" w:hAnsi="Garamond"/>
          <w:b/>
          <w:sz w:val="24"/>
        </w:rPr>
      </w:pPr>
      <w:r w:rsidRPr="00FB2723">
        <w:rPr>
          <w:rFonts w:ascii="Garamond" w:hAnsi="Garamond"/>
          <w:b/>
          <w:sz w:val="24"/>
        </w:rPr>
        <w:t>SHTOJCË</w:t>
      </w:r>
    </w:p>
    <w:p w14:paraId="14D52BF4" w14:textId="77777777" w:rsidR="00392379" w:rsidRPr="006A594E" w:rsidRDefault="00392379" w:rsidP="00392379">
      <w:pPr>
        <w:pStyle w:val="DecHCase"/>
        <w:spacing w:after="0"/>
        <w:ind w:firstLine="284"/>
        <w:contextualSpacing/>
        <w:rPr>
          <w:rFonts w:ascii="Garamond" w:hAnsi="Garamond"/>
          <w:i/>
        </w:rPr>
      </w:pPr>
      <w:r w:rsidRPr="006A594E">
        <w:rPr>
          <w:rFonts w:ascii="Garamond" w:hAnsi="Garamond"/>
        </w:rPr>
        <w:t>Kërkesa që paraqet ankimin sipas nenit 6 § 1 të Konventës</w:t>
      </w:r>
    </w:p>
    <w:p w14:paraId="5103ED9B" w14:textId="77777777" w:rsidR="00392379" w:rsidRDefault="00392379" w:rsidP="00392379">
      <w:pPr>
        <w:pStyle w:val="DecHCase"/>
        <w:spacing w:after="0"/>
        <w:ind w:firstLine="284"/>
        <w:rPr>
          <w:rFonts w:ascii="Garamond" w:hAnsi="Garamond"/>
        </w:rPr>
      </w:pPr>
      <w:r w:rsidRPr="006A594E">
        <w:rPr>
          <w:rFonts w:ascii="Garamond" w:hAnsi="Garamond"/>
        </w:rPr>
        <w:t>(mos-ekzekutimi ose ekzekutimi me vonesë i vendimeve të brendshme)</w:t>
      </w:r>
    </w:p>
    <w:p w14:paraId="1EBF3578" w14:textId="77777777" w:rsidR="00392379" w:rsidRPr="006A594E" w:rsidRDefault="00392379" w:rsidP="00392379">
      <w:pPr>
        <w:pStyle w:val="JuPara"/>
      </w:pPr>
    </w:p>
    <w:tbl>
      <w:tblPr>
        <w:tblStyle w:val="ECHRListTable"/>
        <w:tblW w:w="5000" w:type="pct"/>
        <w:jc w:val="center"/>
        <w:tblLook w:val="04A0" w:firstRow="1" w:lastRow="0" w:firstColumn="1" w:lastColumn="0" w:noHBand="0" w:noVBand="1"/>
      </w:tblPr>
      <w:tblGrid>
        <w:gridCol w:w="1166"/>
        <w:gridCol w:w="1316"/>
        <w:gridCol w:w="1655"/>
        <w:gridCol w:w="1656"/>
        <w:gridCol w:w="1542"/>
        <w:gridCol w:w="2015"/>
      </w:tblGrid>
      <w:tr w:rsidR="00392379" w:rsidRPr="006A594E" w14:paraId="7B24ADED" w14:textId="77777777" w:rsidTr="00AA39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tcW w:w="540" w:type="pct"/>
            <w:shd w:val="clear" w:color="auto" w:fill="auto"/>
          </w:tcPr>
          <w:p w14:paraId="2872EE20" w14:textId="77777777" w:rsidR="00392379" w:rsidRPr="00AA3982" w:rsidRDefault="00392379" w:rsidP="00392379">
            <w:pPr>
              <w:jc w:val="center"/>
              <w:rPr>
                <w:rFonts w:ascii="Garamond" w:eastAsia="PMingLiU" w:hAnsi="Garamond" w:cs="Times New Roman"/>
                <w:color w:val="auto"/>
                <w:sz w:val="20"/>
              </w:rPr>
            </w:pPr>
            <w:bookmarkStart w:id="0" w:name="WECLListStart"/>
            <w:bookmarkStart w:id="1" w:name="TableStart"/>
            <w:bookmarkEnd w:id="0"/>
            <w:bookmarkEnd w:id="1"/>
            <w:r w:rsidRPr="00AA3982">
              <w:rPr>
                <w:rFonts w:ascii="Garamond" w:hAnsi="Garamond"/>
                <w:color w:val="auto"/>
                <w:sz w:val="20"/>
              </w:rPr>
              <w:t>Kërkesa nr.</w:t>
            </w:r>
            <w:r w:rsidRPr="00AA3982">
              <w:rPr>
                <w:rFonts w:ascii="Garamond" w:hAnsi="Garamond"/>
                <w:color w:val="auto"/>
                <w:sz w:val="20"/>
              </w:rPr>
              <w:br/>
              <w:t>Data e paraqitjes</w:t>
            </w:r>
          </w:p>
        </w:tc>
        <w:tc>
          <w:tcPr>
            <w:tcW w:w="721" w:type="pct"/>
            <w:shd w:val="clear" w:color="auto" w:fill="auto"/>
          </w:tcPr>
          <w:p w14:paraId="5C25F792" w14:textId="77777777" w:rsidR="00392379" w:rsidRPr="00AA3982" w:rsidRDefault="00392379" w:rsidP="00392379">
            <w:pPr>
              <w:jc w:val="center"/>
              <w:rPr>
                <w:rFonts w:ascii="Garamond" w:eastAsia="PMingLiU" w:hAnsi="Garamond" w:cs="Times New Roman"/>
                <w:color w:val="auto"/>
                <w:sz w:val="20"/>
              </w:rPr>
            </w:pPr>
            <w:r w:rsidRPr="00AA3982">
              <w:rPr>
                <w:rFonts w:ascii="Garamond" w:hAnsi="Garamond"/>
                <w:color w:val="auto"/>
                <w:sz w:val="20"/>
              </w:rPr>
              <w:t>Emri i kërkuesit</w:t>
            </w:r>
          </w:p>
          <w:p w14:paraId="379793DA" w14:textId="77777777" w:rsidR="00392379" w:rsidRPr="00AA3982" w:rsidRDefault="00392379" w:rsidP="00392379">
            <w:pPr>
              <w:jc w:val="center"/>
              <w:rPr>
                <w:rFonts w:ascii="Garamond" w:eastAsia="PMingLiU" w:hAnsi="Garamond" w:cs="Times New Roman"/>
                <w:color w:val="auto"/>
                <w:sz w:val="20"/>
              </w:rPr>
            </w:pPr>
            <w:r w:rsidRPr="00AA3982">
              <w:rPr>
                <w:rFonts w:ascii="Garamond" w:hAnsi="Garamond"/>
                <w:color w:val="auto"/>
                <w:sz w:val="20"/>
              </w:rPr>
              <w:t>Viti i lindjes</w:t>
            </w:r>
          </w:p>
          <w:p w14:paraId="4D0FD6AE" w14:textId="77777777" w:rsidR="00392379" w:rsidRPr="00AA3982" w:rsidRDefault="00392379" w:rsidP="00392379">
            <w:pPr>
              <w:jc w:val="center"/>
              <w:rPr>
                <w:rFonts w:ascii="Garamond" w:eastAsia="PMingLiU" w:hAnsi="Garamond" w:cs="Times New Roman"/>
                <w:color w:val="auto"/>
                <w:sz w:val="20"/>
              </w:rPr>
            </w:pPr>
          </w:p>
        </w:tc>
        <w:tc>
          <w:tcPr>
            <w:tcW w:w="902" w:type="pct"/>
            <w:shd w:val="clear" w:color="auto" w:fill="auto"/>
          </w:tcPr>
          <w:p w14:paraId="73ABABCC" w14:textId="77777777" w:rsidR="00392379" w:rsidRPr="00AA3982" w:rsidRDefault="00392379" w:rsidP="00392379">
            <w:pPr>
              <w:jc w:val="center"/>
              <w:rPr>
                <w:rFonts w:ascii="Garamond" w:eastAsia="PMingLiU" w:hAnsi="Garamond" w:cs="Times New Roman"/>
                <w:color w:val="auto"/>
                <w:sz w:val="20"/>
              </w:rPr>
            </w:pPr>
            <w:r w:rsidRPr="00AA3982">
              <w:rPr>
                <w:rFonts w:ascii="Garamond" w:hAnsi="Garamond"/>
                <w:color w:val="auto"/>
                <w:sz w:val="20"/>
              </w:rPr>
              <w:t>Emri dhe vendndodhja e përfaqësuesit</w:t>
            </w:r>
          </w:p>
        </w:tc>
        <w:tc>
          <w:tcPr>
            <w:tcW w:w="902" w:type="pct"/>
            <w:shd w:val="clear" w:color="auto" w:fill="auto"/>
          </w:tcPr>
          <w:p w14:paraId="1BEAA21B" w14:textId="77777777" w:rsidR="00392379" w:rsidRPr="00AA3982" w:rsidRDefault="00392379" w:rsidP="00392379">
            <w:pPr>
              <w:jc w:val="center"/>
              <w:rPr>
                <w:rFonts w:ascii="Garamond" w:eastAsia="PMingLiU" w:hAnsi="Garamond" w:cs="Times New Roman"/>
                <w:color w:val="auto"/>
                <w:spacing w:val="-4"/>
                <w:sz w:val="20"/>
              </w:rPr>
            </w:pPr>
            <w:r w:rsidRPr="00AA3982">
              <w:rPr>
                <w:rFonts w:ascii="Garamond" w:hAnsi="Garamond"/>
                <w:color w:val="auto"/>
                <w:sz w:val="20"/>
              </w:rPr>
              <w:t>Data e marrjes së deklaratës së Qeverisë</w:t>
            </w:r>
          </w:p>
        </w:tc>
        <w:tc>
          <w:tcPr>
            <w:tcW w:w="841" w:type="pct"/>
            <w:shd w:val="clear" w:color="auto" w:fill="auto"/>
          </w:tcPr>
          <w:p w14:paraId="135995FE" w14:textId="77777777" w:rsidR="00392379" w:rsidRPr="00AA3982" w:rsidRDefault="00392379" w:rsidP="00392379">
            <w:pPr>
              <w:jc w:val="center"/>
              <w:rPr>
                <w:rFonts w:ascii="Garamond" w:eastAsia="PMingLiU" w:hAnsi="Garamond" w:cs="Times New Roman"/>
                <w:color w:val="auto"/>
                <w:sz w:val="20"/>
              </w:rPr>
            </w:pPr>
            <w:r w:rsidRPr="00AA3982">
              <w:rPr>
                <w:rFonts w:ascii="Garamond" w:hAnsi="Garamond"/>
                <w:color w:val="auto"/>
                <w:sz w:val="20"/>
              </w:rPr>
              <w:t>Data e marrjes së komenteve të Kërkuesit, nëse ka</w:t>
            </w:r>
          </w:p>
        </w:tc>
        <w:tc>
          <w:tcPr>
            <w:tcW w:w="1094" w:type="pct"/>
            <w:shd w:val="clear" w:color="auto" w:fill="auto"/>
          </w:tcPr>
          <w:p w14:paraId="6EDBDCE1" w14:textId="77777777" w:rsidR="00392379" w:rsidRPr="00AA3982" w:rsidRDefault="00392379" w:rsidP="00392379">
            <w:pPr>
              <w:jc w:val="center"/>
              <w:rPr>
                <w:rFonts w:ascii="Garamond" w:eastAsia="PMingLiU" w:hAnsi="Garamond" w:cs="Times New Roman"/>
                <w:color w:val="auto"/>
                <w:sz w:val="20"/>
              </w:rPr>
            </w:pPr>
            <w:r w:rsidRPr="00AA3982">
              <w:rPr>
                <w:rFonts w:ascii="Garamond" w:hAnsi="Garamond"/>
                <w:color w:val="auto"/>
                <w:sz w:val="20"/>
              </w:rPr>
              <w:t>Shuma e caktuar për dëmin jo</w:t>
            </w:r>
            <w:r w:rsidRPr="00AA3982">
              <w:rPr>
                <w:rFonts w:ascii="Garamond" w:hAnsi="Garamond"/>
                <w:color w:val="auto"/>
                <w:sz w:val="20"/>
              </w:rPr>
              <w:noBreakHyphen/>
              <w:t>pasuror</w:t>
            </w:r>
          </w:p>
          <w:p w14:paraId="03B59901" w14:textId="77777777" w:rsidR="00392379" w:rsidRPr="00AA3982" w:rsidRDefault="00392379" w:rsidP="00392379">
            <w:pPr>
              <w:jc w:val="center"/>
              <w:rPr>
                <w:rFonts w:ascii="Garamond" w:eastAsia="PMingLiU" w:hAnsi="Garamond" w:cs="Times New Roman"/>
                <w:color w:val="auto"/>
                <w:sz w:val="20"/>
              </w:rPr>
            </w:pPr>
            <w:r w:rsidRPr="00AA3982">
              <w:rPr>
                <w:rFonts w:ascii="Garamond" w:hAnsi="Garamond"/>
                <w:color w:val="auto"/>
                <w:sz w:val="20"/>
              </w:rPr>
              <w:t>për kërkues</w:t>
            </w:r>
          </w:p>
          <w:p w14:paraId="68BB792D" w14:textId="77777777" w:rsidR="00392379" w:rsidRPr="00AA3982" w:rsidRDefault="00392379" w:rsidP="00392379">
            <w:pPr>
              <w:jc w:val="center"/>
              <w:rPr>
                <w:rFonts w:ascii="Garamond" w:eastAsia="PMingLiU" w:hAnsi="Garamond" w:cs="Times New Roman"/>
                <w:color w:val="auto"/>
                <w:sz w:val="20"/>
              </w:rPr>
            </w:pPr>
            <w:r w:rsidRPr="00AA3982">
              <w:rPr>
                <w:rFonts w:ascii="Garamond" w:hAnsi="Garamond"/>
                <w:color w:val="auto"/>
                <w:sz w:val="20"/>
              </w:rPr>
              <w:t>(në euro)</w:t>
            </w:r>
            <w:r w:rsidRPr="00AA3982">
              <w:rPr>
                <w:rStyle w:val="EndnoteReference"/>
                <w:rFonts w:ascii="Garamond" w:eastAsia="PMingLiU" w:hAnsi="Garamond" w:cs="Times New Roman"/>
                <w:color w:val="auto"/>
                <w:sz w:val="20"/>
              </w:rPr>
              <w:endnoteReference w:id="2"/>
            </w:r>
            <w:r w:rsidRPr="00AA3982">
              <w:rPr>
                <w:rStyle w:val="EndnoteReference"/>
                <w:rFonts w:ascii="Garamond" w:hAnsi="Garamond"/>
                <w:color w:val="auto"/>
                <w:sz w:val="20"/>
              </w:rPr>
              <w:t xml:space="preserve">  </w:t>
            </w:r>
          </w:p>
        </w:tc>
      </w:tr>
      <w:tr w:rsidR="00392379" w:rsidRPr="006A594E" w14:paraId="3B7BA8F3" w14:textId="77777777" w:rsidTr="00392379">
        <w:trPr>
          <w:trHeight w:val="20"/>
          <w:jc w:val="center"/>
        </w:trPr>
        <w:tc>
          <w:tcPr>
            <w:tcW w:w="540" w:type="pct"/>
          </w:tcPr>
          <w:p w14:paraId="49316398" w14:textId="77777777" w:rsidR="00392379" w:rsidRPr="006A594E" w:rsidRDefault="00392379" w:rsidP="00392379">
            <w:pPr>
              <w:jc w:val="center"/>
              <w:rPr>
                <w:rFonts w:ascii="Garamond" w:eastAsia="PMingLiU" w:hAnsi="Garamond" w:cs="Times New Roman"/>
                <w:sz w:val="20"/>
              </w:rPr>
            </w:pPr>
            <w:r w:rsidRPr="006A594E">
              <w:rPr>
                <w:rFonts w:ascii="Garamond" w:hAnsi="Garamond"/>
                <w:sz w:val="20"/>
              </w:rPr>
              <w:t>52678/17</w:t>
            </w:r>
          </w:p>
          <w:p w14:paraId="06C699DC" w14:textId="77777777" w:rsidR="00392379" w:rsidRPr="006A594E" w:rsidRDefault="00392379" w:rsidP="00392379">
            <w:pPr>
              <w:jc w:val="center"/>
              <w:rPr>
                <w:rFonts w:ascii="Garamond" w:eastAsia="PMingLiU" w:hAnsi="Garamond" w:cs="Times New Roman"/>
                <w:sz w:val="20"/>
              </w:rPr>
            </w:pPr>
            <w:r w:rsidRPr="006A594E">
              <w:rPr>
                <w:rFonts w:ascii="Garamond" w:hAnsi="Garamond"/>
                <w:sz w:val="20"/>
              </w:rPr>
              <w:t>20/07/2017</w:t>
            </w:r>
          </w:p>
        </w:tc>
        <w:tc>
          <w:tcPr>
            <w:tcW w:w="721" w:type="pct"/>
          </w:tcPr>
          <w:p w14:paraId="0C094605" w14:textId="77777777" w:rsidR="00392379" w:rsidRPr="006A594E" w:rsidRDefault="00392379" w:rsidP="00392379">
            <w:pPr>
              <w:jc w:val="center"/>
              <w:rPr>
                <w:rFonts w:ascii="Garamond" w:eastAsia="PMingLiU" w:hAnsi="Garamond" w:cs="Times New Roman"/>
                <w:sz w:val="20"/>
              </w:rPr>
            </w:pPr>
            <w:r w:rsidRPr="006A594E">
              <w:rPr>
                <w:rFonts w:ascii="Garamond" w:hAnsi="Garamond"/>
                <w:b/>
                <w:sz w:val="20"/>
              </w:rPr>
              <w:t>Paskal NASKA</w:t>
            </w:r>
          </w:p>
          <w:p w14:paraId="5ACFF107" w14:textId="77777777" w:rsidR="00392379" w:rsidRPr="006A594E" w:rsidRDefault="00392379" w:rsidP="00392379">
            <w:pPr>
              <w:jc w:val="center"/>
              <w:rPr>
                <w:rFonts w:ascii="Garamond" w:eastAsia="PMingLiU" w:hAnsi="Garamond" w:cs="Times New Roman"/>
                <w:sz w:val="20"/>
              </w:rPr>
            </w:pPr>
            <w:r w:rsidRPr="006A594E">
              <w:rPr>
                <w:rFonts w:ascii="Garamond" w:hAnsi="Garamond"/>
                <w:sz w:val="20"/>
              </w:rPr>
              <w:t xml:space="preserve">1935 </w:t>
            </w:r>
          </w:p>
        </w:tc>
        <w:tc>
          <w:tcPr>
            <w:tcW w:w="902" w:type="pct"/>
          </w:tcPr>
          <w:p w14:paraId="765E70C2" w14:textId="77777777" w:rsidR="00392379" w:rsidRPr="006A594E" w:rsidRDefault="00392379" w:rsidP="00392379">
            <w:pPr>
              <w:jc w:val="center"/>
              <w:rPr>
                <w:rFonts w:ascii="Garamond" w:eastAsia="PMingLiU" w:hAnsi="Garamond" w:cs="Times New Roman"/>
                <w:sz w:val="20"/>
              </w:rPr>
            </w:pPr>
            <w:r w:rsidRPr="006A594E">
              <w:rPr>
                <w:rFonts w:ascii="Garamond" w:hAnsi="Garamond"/>
                <w:sz w:val="20"/>
              </w:rPr>
              <w:t>Sheta Xhevdet</w:t>
            </w:r>
          </w:p>
          <w:p w14:paraId="2018ACCD" w14:textId="77777777" w:rsidR="00392379" w:rsidRPr="006A594E" w:rsidRDefault="00392379" w:rsidP="00392379">
            <w:pPr>
              <w:jc w:val="center"/>
              <w:rPr>
                <w:rFonts w:ascii="Garamond" w:eastAsia="PMingLiU" w:hAnsi="Garamond" w:cs="Times New Roman"/>
                <w:sz w:val="20"/>
              </w:rPr>
            </w:pPr>
            <w:r w:rsidRPr="006A594E">
              <w:rPr>
                <w:rFonts w:ascii="Garamond" w:hAnsi="Garamond"/>
                <w:sz w:val="20"/>
              </w:rPr>
              <w:t>Tiranë</w:t>
            </w:r>
          </w:p>
        </w:tc>
        <w:tc>
          <w:tcPr>
            <w:tcW w:w="902" w:type="pct"/>
          </w:tcPr>
          <w:p w14:paraId="6DAA04B8" w14:textId="77777777" w:rsidR="00392379" w:rsidRPr="006A594E" w:rsidRDefault="00392379" w:rsidP="00392379">
            <w:pPr>
              <w:jc w:val="center"/>
              <w:rPr>
                <w:rFonts w:ascii="Garamond" w:eastAsia="PMingLiU" w:hAnsi="Garamond" w:cs="Times New Roman"/>
                <w:sz w:val="20"/>
              </w:rPr>
            </w:pPr>
            <w:r w:rsidRPr="006A594E">
              <w:rPr>
                <w:rFonts w:ascii="Garamond" w:hAnsi="Garamond"/>
                <w:sz w:val="20"/>
              </w:rPr>
              <w:t>03/11/2023</w:t>
            </w:r>
          </w:p>
        </w:tc>
        <w:tc>
          <w:tcPr>
            <w:tcW w:w="841" w:type="pct"/>
          </w:tcPr>
          <w:p w14:paraId="2E83F54A" w14:textId="77777777" w:rsidR="00392379" w:rsidRPr="006A594E" w:rsidRDefault="00392379" w:rsidP="00392379">
            <w:pPr>
              <w:jc w:val="center"/>
              <w:rPr>
                <w:rFonts w:ascii="Garamond" w:eastAsia="PMingLiU" w:hAnsi="Garamond" w:cs="Times New Roman"/>
                <w:sz w:val="20"/>
              </w:rPr>
            </w:pPr>
            <w:r w:rsidRPr="006A594E">
              <w:rPr>
                <w:rFonts w:ascii="Garamond" w:hAnsi="Garamond"/>
                <w:sz w:val="20"/>
              </w:rPr>
              <w:t>-</w:t>
            </w:r>
          </w:p>
        </w:tc>
        <w:tc>
          <w:tcPr>
            <w:tcW w:w="1094" w:type="pct"/>
          </w:tcPr>
          <w:p w14:paraId="1765E7D6" w14:textId="77777777" w:rsidR="00392379" w:rsidRPr="006A594E" w:rsidRDefault="00392379" w:rsidP="00392379">
            <w:pPr>
              <w:jc w:val="center"/>
              <w:rPr>
                <w:rFonts w:ascii="Garamond" w:eastAsia="PMingLiU" w:hAnsi="Garamond" w:cs="Times New Roman"/>
                <w:sz w:val="20"/>
              </w:rPr>
            </w:pPr>
            <w:r w:rsidRPr="006A594E">
              <w:rPr>
                <w:rFonts w:ascii="Garamond" w:hAnsi="Garamond"/>
                <w:sz w:val="20"/>
              </w:rPr>
              <w:t>3.600</w:t>
            </w:r>
          </w:p>
        </w:tc>
      </w:tr>
    </w:tbl>
    <w:p w14:paraId="120D5290" w14:textId="77777777" w:rsidR="00392379" w:rsidRPr="006A594E" w:rsidRDefault="00392379" w:rsidP="00392379">
      <w:pPr>
        <w:ind w:firstLine="284"/>
        <w:rPr>
          <w:rFonts w:ascii="Garamond" w:hAnsi="Garamond"/>
        </w:rPr>
      </w:pPr>
    </w:p>
    <w:p w14:paraId="24252173" w14:textId="77777777" w:rsidR="00392379" w:rsidRPr="00916DD5" w:rsidRDefault="00392379" w:rsidP="00392379">
      <w:pPr>
        <w:pStyle w:val="JuPara"/>
      </w:pPr>
      <w:bookmarkStart w:id="2" w:name="_GoBack"/>
      <w:bookmarkEnd w:id="2"/>
    </w:p>
    <w:p w14:paraId="3F810907" w14:textId="77777777" w:rsidR="00392379" w:rsidRPr="00062692" w:rsidRDefault="00392379" w:rsidP="00392379"/>
    <w:p w14:paraId="39084C7F" w14:textId="1E4826DB" w:rsidR="000F74B6" w:rsidRPr="003B143D" w:rsidRDefault="000F74B6" w:rsidP="00615FF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0F74B6" w:rsidRPr="003B14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FA4546" w14:textId="77777777" w:rsidR="00392379" w:rsidRDefault="00392379" w:rsidP="00392379">
      <w:pPr>
        <w:spacing w:after="0" w:line="240" w:lineRule="auto"/>
      </w:pPr>
      <w:r>
        <w:separator/>
      </w:r>
    </w:p>
  </w:endnote>
  <w:endnote w:type="continuationSeparator" w:id="0">
    <w:p w14:paraId="3516854D" w14:textId="77777777" w:rsidR="00392379" w:rsidRDefault="00392379" w:rsidP="00392379">
      <w:pPr>
        <w:spacing w:after="0" w:line="240" w:lineRule="auto"/>
      </w:pPr>
      <w:r>
        <w:continuationSeparator/>
      </w:r>
    </w:p>
  </w:endnote>
  <w:endnote w:type="continuationNotice" w:id="1">
    <w:p w14:paraId="471571C3" w14:textId="77777777" w:rsidR="00A734AA" w:rsidRDefault="00A734AA">
      <w:pPr>
        <w:spacing w:after="0" w:line="240" w:lineRule="auto"/>
      </w:pPr>
    </w:p>
  </w:endnote>
  <w:endnote w:id="2">
    <w:p w14:paraId="544419A0" w14:textId="77777777" w:rsidR="00392379" w:rsidRPr="006A594E" w:rsidRDefault="00392379" w:rsidP="00392379">
      <w:pPr>
        <w:pStyle w:val="EndnoteText"/>
        <w:rPr>
          <w:rFonts w:ascii="Garamond" w:hAnsi="Garamond"/>
        </w:rPr>
      </w:pPr>
      <w:r>
        <w:rPr>
          <w:rStyle w:val="EndnoteReference"/>
          <w:sz w:val="16"/>
          <w:szCs w:val="16"/>
        </w:rPr>
        <w:endnoteRef/>
      </w:r>
      <w:r>
        <w:rPr>
          <w:sz w:val="16"/>
          <w:szCs w:val="16"/>
        </w:rPr>
        <w:t xml:space="preserve"> </w:t>
      </w:r>
      <w:r w:rsidRPr="006A594E">
        <w:rPr>
          <w:rFonts w:ascii="Garamond" w:hAnsi="Garamond"/>
        </w:rPr>
        <w:t>Plus çdo taksë që mund t'i ngarkohet kërkuesit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32E786" w14:textId="77777777" w:rsidR="00392379" w:rsidRDefault="00392379" w:rsidP="00392379">
      <w:pPr>
        <w:spacing w:after="0" w:line="240" w:lineRule="auto"/>
      </w:pPr>
      <w:r>
        <w:separator/>
      </w:r>
    </w:p>
  </w:footnote>
  <w:footnote w:type="continuationSeparator" w:id="0">
    <w:p w14:paraId="7A1A4118" w14:textId="77777777" w:rsidR="00392379" w:rsidRDefault="00392379" w:rsidP="00392379">
      <w:pPr>
        <w:spacing w:after="0" w:line="240" w:lineRule="auto"/>
      </w:pPr>
      <w:r>
        <w:continuationSeparator/>
      </w:r>
    </w:p>
  </w:footnote>
  <w:footnote w:type="continuationNotice" w:id="1">
    <w:p w14:paraId="17F32B45" w14:textId="77777777" w:rsidR="00A734AA" w:rsidRDefault="00A734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758D7"/>
    <w:rsid w:val="00093FF7"/>
    <w:rsid w:val="000B36C8"/>
    <w:rsid w:val="000E0913"/>
    <w:rsid w:val="000F74B6"/>
    <w:rsid w:val="001930A9"/>
    <w:rsid w:val="001B25B9"/>
    <w:rsid w:val="001C30B8"/>
    <w:rsid w:val="001D097C"/>
    <w:rsid w:val="001F1B06"/>
    <w:rsid w:val="00245572"/>
    <w:rsid w:val="00281ABA"/>
    <w:rsid w:val="002A2045"/>
    <w:rsid w:val="0032021F"/>
    <w:rsid w:val="003843EF"/>
    <w:rsid w:val="00392379"/>
    <w:rsid w:val="003B143D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530AD4"/>
    <w:rsid w:val="0056576D"/>
    <w:rsid w:val="005856A6"/>
    <w:rsid w:val="00590B9A"/>
    <w:rsid w:val="005B5F43"/>
    <w:rsid w:val="005E7A0D"/>
    <w:rsid w:val="00615FF2"/>
    <w:rsid w:val="0061636A"/>
    <w:rsid w:val="00642C82"/>
    <w:rsid w:val="0064747C"/>
    <w:rsid w:val="00684321"/>
    <w:rsid w:val="006B6654"/>
    <w:rsid w:val="00763A6E"/>
    <w:rsid w:val="007A461B"/>
    <w:rsid w:val="00830D84"/>
    <w:rsid w:val="00896B9F"/>
    <w:rsid w:val="008C7EE7"/>
    <w:rsid w:val="008F286E"/>
    <w:rsid w:val="0090290C"/>
    <w:rsid w:val="009077D1"/>
    <w:rsid w:val="009308D0"/>
    <w:rsid w:val="009B3164"/>
    <w:rsid w:val="009B69AB"/>
    <w:rsid w:val="00A045CD"/>
    <w:rsid w:val="00A734AA"/>
    <w:rsid w:val="00AA3982"/>
    <w:rsid w:val="00AB11F6"/>
    <w:rsid w:val="00AC57D1"/>
    <w:rsid w:val="00AD6F91"/>
    <w:rsid w:val="00B15A5F"/>
    <w:rsid w:val="00B22326"/>
    <w:rsid w:val="00B40BF4"/>
    <w:rsid w:val="00B45C42"/>
    <w:rsid w:val="00B63811"/>
    <w:rsid w:val="00B73997"/>
    <w:rsid w:val="00B92627"/>
    <w:rsid w:val="00CD1E60"/>
    <w:rsid w:val="00D830CC"/>
    <w:rsid w:val="00DD085C"/>
    <w:rsid w:val="00E139F8"/>
    <w:rsid w:val="00E417F7"/>
    <w:rsid w:val="00E60245"/>
    <w:rsid w:val="00EF0597"/>
    <w:rsid w:val="00F223EA"/>
    <w:rsid w:val="00F23FBB"/>
    <w:rsid w:val="00F274B7"/>
    <w:rsid w:val="00F67D81"/>
    <w:rsid w:val="00F715E0"/>
    <w:rsid w:val="00F71BE0"/>
    <w:rsid w:val="00F72413"/>
    <w:rsid w:val="00F84694"/>
    <w:rsid w:val="00FA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568BB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8" w:unhideWhenUsed="1"/>
    <w:lsdException w:name="endnote text" w:semiHidden="1" w:uiPriority="98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List">
    <w:name w:val="Dec_List"/>
    <w:aliases w:val="_List"/>
    <w:basedOn w:val="Normal"/>
    <w:rsid w:val="00615FF2"/>
    <w:pPr>
      <w:autoSpaceDE w:val="0"/>
      <w:autoSpaceDN w:val="0"/>
      <w:adjustRightInd w:val="0"/>
      <w:spacing w:before="280" w:after="60" w:line="240" w:lineRule="auto"/>
      <w:ind w:left="280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JuQuot">
    <w:name w:val="Ju_Quot"/>
    <w:aliases w:val="_Quote"/>
    <w:basedOn w:val="Normal"/>
    <w:uiPriority w:val="99"/>
    <w:rsid w:val="00615FF2"/>
    <w:pPr>
      <w:autoSpaceDE w:val="0"/>
      <w:autoSpaceDN w:val="0"/>
      <w:adjustRightInd w:val="0"/>
      <w:spacing w:before="120" w:after="120" w:line="240" w:lineRule="auto"/>
      <w:ind w:left="420" w:firstLine="140"/>
      <w:jc w:val="both"/>
    </w:pPr>
    <w:rPr>
      <w:rFonts w:ascii="Times New Roman" w:hAnsi="Times New Roman" w:cs="Times New Roman"/>
      <w:color w:val="000000"/>
      <w:sz w:val="20"/>
      <w:szCs w:val="20"/>
      <w:lang w:val="sq-AL"/>
    </w:rPr>
  </w:style>
  <w:style w:type="paragraph" w:customStyle="1" w:styleId="ECHRPlaceholder">
    <w:name w:val="ECHR_Placeholder"/>
    <w:aliases w:val="_Placeholder"/>
    <w:basedOn w:val="JuSigned"/>
    <w:uiPriority w:val="99"/>
    <w:rsid w:val="00615FF2"/>
    <w:rPr>
      <w:color w:val="FFFFFF"/>
    </w:rPr>
  </w:style>
  <w:style w:type="paragraph" w:customStyle="1" w:styleId="JuSigned">
    <w:name w:val="Ju_Signed"/>
    <w:aliases w:val="_Signature"/>
    <w:basedOn w:val="Normal"/>
    <w:uiPriority w:val="99"/>
    <w:rsid w:val="00615FF2"/>
    <w:pPr>
      <w:tabs>
        <w:tab w:val="center" w:pos="1400"/>
        <w:tab w:val="center" w:pos="5940"/>
      </w:tabs>
      <w:autoSpaceDE w:val="0"/>
      <w:autoSpaceDN w:val="0"/>
      <w:adjustRightInd w:val="0"/>
      <w:spacing w:before="720"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JuParaLast">
    <w:name w:val="Ju_Para_Last"/>
    <w:aliases w:val="_Para_Spaced"/>
    <w:basedOn w:val="Normal"/>
    <w:uiPriority w:val="99"/>
    <w:rsid w:val="00615FF2"/>
    <w:pPr>
      <w:keepNext/>
      <w:keepLines/>
      <w:autoSpaceDE w:val="0"/>
      <w:autoSpaceDN w:val="0"/>
      <w:adjustRightInd w:val="0"/>
      <w:spacing w:before="240" w:after="240" w:line="240" w:lineRule="auto"/>
      <w:ind w:firstLine="280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JuJudges">
    <w:name w:val="Ju_Judges"/>
    <w:aliases w:val="_Judges"/>
    <w:basedOn w:val="Normal"/>
    <w:uiPriority w:val="99"/>
    <w:rsid w:val="00615FF2"/>
    <w:pPr>
      <w:tabs>
        <w:tab w:val="left" w:pos="560"/>
        <w:tab w:val="left" w:pos="1120"/>
      </w:tabs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customStyle="1" w:styleId="DecHCase">
    <w:name w:val="Dec_H_Case"/>
    <w:aliases w:val="_Title_3"/>
    <w:basedOn w:val="JuPara"/>
    <w:next w:val="JuPara"/>
    <w:uiPriority w:val="99"/>
    <w:qFormat/>
    <w:rsid w:val="00615FF2"/>
    <w:pPr>
      <w:keepNext/>
      <w:keepLines/>
      <w:spacing w:after="280"/>
      <w:jc w:val="center"/>
    </w:pPr>
  </w:style>
  <w:style w:type="paragraph" w:customStyle="1" w:styleId="DecHTitle">
    <w:name w:val="Dec_H_Title"/>
    <w:aliases w:val="_Title_1"/>
    <w:basedOn w:val="JuPara"/>
    <w:next w:val="JuPara"/>
    <w:uiPriority w:val="99"/>
    <w:qFormat/>
    <w:rsid w:val="00615FF2"/>
    <w:pPr>
      <w:keepNext/>
      <w:keepLines/>
      <w:spacing w:after="240"/>
      <w:jc w:val="center"/>
    </w:pPr>
    <w:rPr>
      <w:sz w:val="28"/>
      <w:szCs w:val="28"/>
    </w:rPr>
  </w:style>
  <w:style w:type="paragraph" w:customStyle="1" w:styleId="JuPara">
    <w:name w:val="Ju_Para"/>
    <w:aliases w:val="_Para"/>
    <w:basedOn w:val="Normal"/>
    <w:link w:val="JuParaChar"/>
    <w:uiPriority w:val="99"/>
    <w:qFormat/>
    <w:rsid w:val="00615FF2"/>
    <w:pPr>
      <w:autoSpaceDE w:val="0"/>
      <w:autoSpaceDN w:val="0"/>
      <w:adjustRightInd w:val="0"/>
      <w:spacing w:after="0" w:line="240" w:lineRule="auto"/>
      <w:ind w:firstLine="280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table" w:styleId="TableGrid">
    <w:name w:val="Table Grid"/>
    <w:basedOn w:val="TableNormal"/>
    <w:uiPriority w:val="39"/>
    <w:rsid w:val="001D0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CHRListTable">
    <w:name w:val="ECHR_List_Table"/>
    <w:basedOn w:val="TableNormal"/>
    <w:uiPriority w:val="99"/>
    <w:rsid w:val="00392379"/>
    <w:pPr>
      <w:spacing w:after="0" w:line="240" w:lineRule="auto"/>
    </w:pPr>
    <w:rPr>
      <w:sz w:val="24"/>
      <w:szCs w:val="24"/>
      <w:lang w:val="sq-AL"/>
    </w:rPr>
    <w:tblPr>
      <w:tblBorders>
        <w:top w:val="single" w:sz="4" w:space="0" w:color="323E4F" w:themeColor="text2" w:themeShade="BF"/>
        <w:left w:val="single" w:sz="4" w:space="0" w:color="323E4F" w:themeColor="text2" w:themeShade="BF"/>
        <w:bottom w:val="single" w:sz="4" w:space="0" w:color="323E4F" w:themeColor="text2" w:themeShade="BF"/>
        <w:right w:val="single" w:sz="4" w:space="0" w:color="323E4F" w:themeColor="text2" w:themeShade="BF"/>
        <w:insideH w:val="single" w:sz="4" w:space="0" w:color="323E4F" w:themeColor="text2" w:themeShade="BF"/>
        <w:insideV w:val="single" w:sz="4" w:space="0" w:color="323E4F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7B7B7B" w:themeColor="accent3" w:themeShade="BF"/>
      </w:rPr>
      <w:tblPr/>
      <w:trPr>
        <w:tblHeader/>
      </w:trPr>
      <w:tcPr>
        <w:tcBorders>
          <w:top w:val="single" w:sz="4" w:space="0" w:color="323E4F" w:themeColor="text2" w:themeShade="BF"/>
          <w:left w:val="single" w:sz="4" w:space="0" w:color="323E4F" w:themeColor="text2" w:themeShade="BF"/>
          <w:bottom w:val="single" w:sz="4" w:space="0" w:color="323E4F" w:themeColor="text2" w:themeShade="BF"/>
          <w:right w:val="single" w:sz="4" w:space="0" w:color="323E4F" w:themeColor="text2" w:themeShade="BF"/>
          <w:insideH w:val="single" w:sz="4" w:space="0" w:color="323E4F" w:themeColor="text2" w:themeShade="BF"/>
          <w:insideV w:val="single" w:sz="4" w:space="0" w:color="323E4F" w:themeColor="text2" w:themeShade="BF"/>
        </w:tcBorders>
        <w:shd w:val="clear" w:color="auto" w:fill="D0CECE" w:themeFill="background2" w:themeFillShade="E6"/>
      </w:tcPr>
    </w:tblStylePr>
  </w:style>
  <w:style w:type="character" w:styleId="EndnoteReference">
    <w:name w:val="endnote reference"/>
    <w:basedOn w:val="DefaultParagraphFont"/>
    <w:uiPriority w:val="98"/>
    <w:semiHidden/>
    <w:rsid w:val="00392379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392379"/>
    <w:pPr>
      <w:spacing w:after="0" w:line="240" w:lineRule="auto"/>
    </w:pPr>
    <w:rPr>
      <w:sz w:val="20"/>
      <w:szCs w:val="20"/>
      <w:lang w:val="sq-AL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392379"/>
    <w:rPr>
      <w:sz w:val="20"/>
      <w:szCs w:val="20"/>
      <w:lang w:val="sq-AL"/>
    </w:rPr>
  </w:style>
  <w:style w:type="character" w:customStyle="1" w:styleId="JuParaChar">
    <w:name w:val="Ju_Para Char"/>
    <w:aliases w:val="_Para Char"/>
    <w:link w:val="JuPara"/>
    <w:uiPriority w:val="4"/>
    <w:rsid w:val="00392379"/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A73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34AA"/>
  </w:style>
  <w:style w:type="paragraph" w:styleId="Footer">
    <w:name w:val="footer"/>
    <w:basedOn w:val="Normal"/>
    <w:link w:val="FooterChar"/>
    <w:uiPriority w:val="99"/>
    <w:semiHidden/>
    <w:unhideWhenUsed/>
    <w:rsid w:val="00A73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3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52678-17</Nr_x002e__x0020_akti>
    <Data_x0020_e_x0020_Krijimit xmlns="0e656187-b300-4fb0-8bf4-3a50f872073c">2024-08-02T08:56:52Z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2024-08-01T00:00:00Z</Date_x0020_protokolli>
    <Titulli xmlns="0e656187-b300-4fb0-8bf4-3a50f872073c">Paskal Naska kundër Shqipërisë (Kërkesa nr. 52678/17)</Titulli>
    <Modifikuesi xmlns="0e656187-b300-4fb0-8bf4-3a50f872073c">jorina.kryeziu</Modifikuesi>
    <Nr_x002e__x0020_prot_x0020_QBZ xmlns="0e656187-b300-4fb0-8bf4-3a50f872073c">1382/1</Nr_x002e__x0020_prot_x0020_QBZ>
    <Data_x0020_e_x0020_Modifikimit xmlns="0e656187-b300-4fb0-8bf4-3a50f872073c">2024-08-02T11:19:29Z</Data_x0020_e_x0020_Modifikimit>
    <Dekretuar xmlns="0e656187-b300-4fb0-8bf4-3a50f872073c">false</Dekretuar>
    <Data xmlns="0e656187-b300-4fb0-8bf4-3a50f872073c">2024-07-04T00:00:00Z</Data>
    <Nr_x002e__x0020_protokolli_x0020_i_x0020_aktit xmlns="0e656187-b300-4fb0-8bf4-3a50f872073c">3830/1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50A63E8EE84F19BC00FC515AB0DC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50A63E8EE84F19BC00FC515AB0DC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D07E4C8-6638-4819-8094-66781287854E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56562B4-A063-4018-91C2-23CAE42D25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D531F8-3BA9-42F4-99DB-7FC352E1E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869C15-1F10-42AA-91AF-84B5442EF3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A1A3EC-34B4-4154-AED3-3F54E86FD5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Paskal Naska kundër Shqipërisë (Kërkesa nr. 52678/17)</vt:lpstr>
    </vt:vector>
  </TitlesOfParts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Paskal Naska kundër Shqipërisë (Kërkesa nr. 52678/17)</dc:title>
  <dc:creator>Entela Suli</dc:creator>
  <cp:lastModifiedBy>Amarilda Muja</cp:lastModifiedBy>
  <cp:revision>22</cp:revision>
  <dcterms:created xsi:type="dcterms:W3CDTF">2024-08-02T07:48:00Z</dcterms:created>
  <dcterms:modified xsi:type="dcterms:W3CDTF">2024-08-08T08:42:00Z</dcterms:modified>
</cp:coreProperties>
</file>