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7D238" w14:textId="19453FC5" w:rsidR="006A2A82" w:rsidRPr="00551990" w:rsidRDefault="001D1FDA" w:rsidP="00552A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1990">
        <w:rPr>
          <w:rFonts w:ascii="Garamond" w:hAnsi="Garamond"/>
          <w:sz w:val="24"/>
          <w:szCs w:val="24"/>
          <w:lang w:val="sq-AL"/>
        </w:rPr>
        <w:t>GJYKATA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E</w:t>
      </w:r>
      <w:r w:rsidR="00FC35A9">
        <w:rPr>
          <w:rFonts w:ascii="Garamond" w:hAnsi="Garamond"/>
          <w:sz w:val="24"/>
          <w:szCs w:val="24"/>
          <w:lang w:val="sq-AL"/>
        </w:rPr>
        <w:t>V</w:t>
      </w:r>
      <w:r w:rsidRPr="00551990">
        <w:rPr>
          <w:rFonts w:ascii="Garamond" w:hAnsi="Garamond"/>
          <w:sz w:val="24"/>
          <w:szCs w:val="24"/>
          <w:lang w:val="sq-AL"/>
        </w:rPr>
        <w:t>ROPIANE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E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TË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DREJTAVE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TË</w:t>
      </w:r>
      <w:r w:rsidR="00552A31" w:rsidRPr="00551990">
        <w:rPr>
          <w:rFonts w:ascii="Garamond" w:hAnsi="Garamond"/>
          <w:sz w:val="24"/>
          <w:szCs w:val="24"/>
          <w:lang w:val="sq-AL"/>
        </w:rPr>
        <w:t xml:space="preserve"> </w:t>
      </w:r>
      <w:r w:rsidRPr="00551990">
        <w:rPr>
          <w:rFonts w:ascii="Garamond" w:hAnsi="Garamond"/>
          <w:sz w:val="24"/>
          <w:szCs w:val="24"/>
          <w:lang w:val="sq-AL"/>
        </w:rPr>
        <w:t>NJERIUT</w:t>
      </w:r>
    </w:p>
    <w:p w14:paraId="047DA995" w14:textId="108BDCA0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13578FE4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DF6808" w14:textId="39FBFE4D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ÇËSHTJA TONA kundër SHQIPËRISË</w:t>
      </w:r>
    </w:p>
    <w:p w14:paraId="0CA6EFDF" w14:textId="312FB75B" w:rsidR="00552A31" w:rsidRPr="00551990" w:rsidRDefault="00552A31" w:rsidP="00552A31">
      <w:pPr>
        <w:tabs>
          <w:tab w:val="right" w:pos="7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(Kërkesa nr. 78957/11)</w:t>
      </w:r>
    </w:p>
    <w:p w14:paraId="3ED80704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91EF9C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79A1EE43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543E8231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STRASBURG</w:t>
      </w:r>
    </w:p>
    <w:p w14:paraId="7D156EEF" w14:textId="45B97879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4 korrik 2024</w:t>
      </w:r>
    </w:p>
    <w:p w14:paraId="3A4DBE8F" w14:textId="77777777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39457FA" w14:textId="35607639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Ky është vendim përfundimtar, por mund t’i nënshtrohet rishikimit redaktorial.</w:t>
      </w:r>
    </w:p>
    <w:p w14:paraId="7CFFFE77" w14:textId="0FD2E5A8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çështjen Tona kundër Shqipërisë,</w:t>
      </w:r>
    </w:p>
    <w:p w14:paraId="03D2039C" w14:textId="02D36D0E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Gjykata E</w:t>
      </w:r>
      <w:r w:rsidR="00D5136C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ropiane e të Drejtave të Njeriut (Seksioni i Tretë), e mbledhur si Komitet i përbërë nga:</w:t>
      </w:r>
    </w:p>
    <w:p w14:paraId="2AE12C33" w14:textId="597DBCFD" w:rsidR="00552A31" w:rsidRPr="00551990" w:rsidRDefault="00552A31" w:rsidP="00552A3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Peeter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Roosma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="00D5136C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president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B6960AB" w14:textId="6197E0F0" w:rsidR="00552A31" w:rsidRPr="00551990" w:rsidRDefault="00552A31" w:rsidP="00552A3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Andreas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Zünd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34AE462E" w14:textId="5D850DDA" w:rsidR="00552A31" w:rsidRPr="00551990" w:rsidRDefault="00552A31" w:rsidP="00552A3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Oddný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Mjöll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Arnardóttir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1CC7262F" w14:textId="0155F2CA" w:rsidR="00552A31" w:rsidRPr="00551990" w:rsidRDefault="00552A31" w:rsidP="00552A3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Viktoriya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Maradudina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D5136C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zëvendës</w:t>
      </w:r>
      <w:r w:rsidR="00D5136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</w:t>
      </w: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ancelare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në detyrë e Seksionit,</w:t>
      </w:r>
    </w:p>
    <w:p w14:paraId="1F1099E4" w14:textId="0F511DED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Pas diskutimit me dyer të mbyllura më 13 qershor 2024,</w:t>
      </w:r>
    </w:p>
    <w:p w14:paraId="5AEC77E0" w14:textId="0C166E9C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merr vendimin e mëposhtëm, i cili miratohet po në atë datë:</w:t>
      </w:r>
    </w:p>
    <w:p w14:paraId="3CBFA11F" w14:textId="72A75213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PROCEDURA</w:t>
      </w:r>
    </w:p>
    <w:p w14:paraId="1E94E673" w14:textId="594FD406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1. Çështja vjen pas depozitimit në Gjykatë të një kërkese kundër Shqipërisë</w:t>
      </w:r>
      <w:r w:rsidR="00D513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nenit 34 të Konventës për Mbrojtjen e të Drejtave dhe Lirive Themelore të Njeriut (“Konventa”) më 1 dhjetor 2011.</w:t>
      </w:r>
    </w:p>
    <w:p w14:paraId="5159887E" w14:textId="08B2F26A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2. Kërkuesi, z.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Llazi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 (për detaje dhe informacione të mëtejshme në lidhje me kërkesën, shihni tabelën bashkëngjitur) u përfaqësua nga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znj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. A.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Theodhosi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, avokate e licencuar në Tiranë. Më 3 janar 2018, z.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Ferdinand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Tona, trashëgimtari i kërkuesit, informoi Gjykatën për vdekjen e kërkuesit dhe shprehu dëshirën e tij për të vazhduar procesin në emër të kërkuesit. Gjykata nuk sheh asnjë pengesë që z.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Ferdinand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Tona, trashëgimtari i kërkuesit, të vazhdojë këtë kërkesë në emër të kërkuesit dhe pranon që z.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Ferdinand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 ka legjitimim në këtë proces. Megjithatë, në këtë vendim, Gjykata do të vazhdojë t’i referohet z.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Llazi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 si “kërkuesi”.</w:t>
      </w:r>
    </w:p>
    <w:p w14:paraId="72D624E2" w14:textId="5C9D3F72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3. Qeveria Shqiptare (“Qeveria”) u njoftua për kërkesën.</w:t>
      </w:r>
    </w:p>
    <w:p w14:paraId="1C51ED83" w14:textId="36FF5290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Calibri"/>
          <w:caps/>
          <w:color w:val="000000"/>
          <w:sz w:val="24"/>
          <w:szCs w:val="24"/>
          <w:lang w:val="sq-AL"/>
        </w:rPr>
        <w:t>FAKTET</w:t>
      </w:r>
    </w:p>
    <w:p w14:paraId="0E11745D" w14:textId="5A3C05A1" w:rsidR="00552A31" w:rsidRPr="00551990" w:rsidRDefault="00552A31" w:rsidP="00552A31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I. Vendimet e brendshme</w:t>
      </w:r>
    </w:p>
    <w:p w14:paraId="4EA9C8FC" w14:textId="1F2B3E66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 Vendim 2006</w:t>
      </w:r>
    </w:p>
    <w:p w14:paraId="62904409" w14:textId="1D94CCD3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4. Më 4 korrik 2006, Komisioni i Pronave Korçë vendosi mbi kërkesën e kërkuesit për njohjen dhe kthimin e pronave të shtetëzuara në kohën e komunizmit (“Vendimi 2006”).</w:t>
      </w:r>
    </w:p>
    <w:p w14:paraId="538EFAF7" w14:textId="6C5DE775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5. Sipas klauzolës 1, Komisioni konstatoi që babai i kërkuesit kishte në pronësi një parcelë toke pyjore me përmasa 111.28 hektarë, e cila ishte shpronësuar gjatë periudhës së komunizmit.</w:t>
      </w:r>
    </w:p>
    <w:p w14:paraId="2F3EAC93" w14:textId="33B83CB9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6. Sipas klauzolës 2, Komisioni urdhëroi që parcela e mësipërme t’</w:t>
      </w:r>
      <w:r w:rsidR="00D5136C">
        <w:rPr>
          <w:rFonts w:ascii="Garamond" w:hAnsi="Garamond" w:cs="Calibri"/>
          <w:color w:val="000000"/>
          <w:sz w:val="24"/>
          <w:szCs w:val="24"/>
          <w:lang w:val="sq-AL"/>
        </w:rPr>
        <w:t>u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kthehet kërkuesit dhe familjarëve të tij.</w:t>
      </w:r>
    </w:p>
    <w:p w14:paraId="126F4AE3" w14:textId="6A558035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7. Sipas klauzolave</w:t>
      </w:r>
      <w:r w:rsid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3 dhe 4, Komisioni rrëzoi pretendimet e kërkuesit në lidhje me dy parcela shtesë.</w:t>
      </w:r>
    </w:p>
    <w:p w14:paraId="5298A4E1" w14:textId="39AFA166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B. Vendim 2008</w:t>
      </w:r>
    </w:p>
    <w:p w14:paraId="44FA3157" w14:textId="5795655B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Në një datë të pacaktuar, kërkuesi paditi shtetasin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N.</w:t>
      </w:r>
      <w:r w:rsidR="00F63D52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. dhe Zyrën e Regjistrimit të Pasurive të Paluajtshme (“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”). Drejtoria e Pyjeve</w:t>
      </w:r>
      <w:r w:rsidR="00F63D5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ishte përgjegjëse për parcelat pyjore objekt të mosmarrëveshjes u ftua si palë e tretë në proces. Kërkuesi kundërshtoi vendimin e vitit 2006, duke pretenduar se Komisioni kishte refuzuar gabimisht pretendimin e tij për pronësinë</w:t>
      </w:r>
      <w:r w:rsidR="00F63D5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parcelat e mbetura pyjore. Ai shtoi se në proceset paralele Komisioni kishte gabuar duke i njohur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N.</w:t>
      </w:r>
      <w:r w:rsidR="00F63D52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. titullin e pronësisë mbi këto parcela.</w:t>
      </w:r>
    </w:p>
    <w:p w14:paraId="4D43BC22" w14:textId="7749E70B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9. Më 14 nëntor 2008, Gjykata e Rrethit Pogradec dha vendimin e saj për këtë çështje (“Vendimi 2008”). Ajo anuloi vendimin e Komisionit për konfirmimin e titullit të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N.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>GJ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. dhe urdhëroi që të paditurit të “njohin si pronar të parcelave, babanë e paditësit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Llazi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Tona, ish-pronarin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Mitri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Tona” të listuar në vendim (“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detyrimin e të paditurve ta njohin atin e paditësit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Llazi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Tona, ish</w:t>
      </w:r>
      <w:r w:rsidR="00F63D52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-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pronarin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Mitri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Tona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[,]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pronar mbi parcelat...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”).</w:t>
      </w:r>
    </w:p>
    <w:p w14:paraId="3A9542E9" w14:textId="2FD9591A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10. Përveç kësaj, vendimi prishi klauzolat 2, 3 dhe 4 të 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vendimit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të vitit 2006. Në mungesë të ankimit, ky vendim mori formë të prerë më 27 janar 2009.</w:t>
      </w:r>
    </w:p>
    <w:p w14:paraId="0B34C754" w14:textId="403C0FCA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11. Më 5 mars 2009, Gjykata e Rrethit Pogradec plotësoi vendimin e mësipërm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duke shtuar referencë për një raport ekspertize që përshkruante kufijtë e parcelave dhe vizatonte hartën. Raporti dhe harta i janë bashkëngjitur vendimit.</w:t>
      </w:r>
    </w:p>
    <w:p w14:paraId="02CF9D76" w14:textId="26DEA7CC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12. Më 10 qershor 2010,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-ja refuzoi regjistrimin e parcelave në fjalë në emrin e kërkuesit sipas 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vendimit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të vitit 2006, i ndryshuar me 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e vitit 2008. Ajo u shpreh se sipas një rregulloreje të brendshme të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-së të datës 8 prill 1999, kërkuesi detyrohej të paraqiste një 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procesverbal të dorëzimit fizik të pronës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, i cili tregonte se Drejtoria e Pyjeve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në fakt i kishte dorëzuar parcelat te kërkuesi. Sipas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-së, ky procesverbal duhej të hartohej nga një përmbarues.</w:t>
      </w:r>
    </w:p>
    <w:p w14:paraId="71D87754" w14:textId="26E8E81A" w:rsidR="00552A31" w:rsidRPr="00551990" w:rsidRDefault="00552A31" w:rsidP="00552A31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proofErr w:type="spellStart"/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II</w:t>
      </w:r>
      <w:proofErr w:type="spellEnd"/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. Procedura e ekzekutimit</w:t>
      </w:r>
    </w:p>
    <w:p w14:paraId="1866CBF4" w14:textId="58C635C7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 Urdhra ekzekutimi</w:t>
      </w:r>
    </w:p>
    <w:p w14:paraId="3AAB128D" w14:textId="46D80B69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13. Më 30 dhjetor 2010, Gjykata e Rrethit Pogradec nxori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një urdhër ekzekutimi</w:t>
      </w:r>
      <w:r w:rsidR="00F63D5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vendimin e vitit 2006, i ndryshuar me vendimin e vitit 2008.</w:t>
      </w:r>
    </w:p>
    <w:p w14:paraId="4FF38CEE" w14:textId="670E1620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14. Ajo konstatoi se ishte i domosdoshëm 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lëshimi i urdhrit të ekzekutimit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[...] 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“për kërkuesin për efekt të gëzimit dhe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disponimit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të pasurive të paluajtshme mbi të cilat ka fituar të drejtën reale të pronësisë”.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4D725AE8" w14:textId="0B194143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Më tej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ajo vuri në dukje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: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pa u kryer regjistrimi [në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] kërkuesi [,] edhe pse pronar [,] nuk mund të tjetërsojë ose nuk mund të ketë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disponim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tjetër mbi sendet e paluajtshme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71644F5" w14:textId="79F3DBAB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15. Më 15 shtator 2010, Zyra e Avokatit të Shtetit iu përgjigj një kërkese për orientim nga Ministria e Mjedisit dhe e informoi atë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 nuk ishte e qartë nëse 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i vitit 2006, i ndryshuar me </w:t>
      </w:r>
      <w:r w:rsidR="00F63D52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e vitit 2008, përmbante vetëm konstatime deklarative që kërkuesi kishte në pronësi parcelat e pyjeve në fjalë apo përmbante, përveç kësaj, një urdhër për t’ia kthyer kërkuesit ato parcela. Avokati i Shtetit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më tej</w:t>
      </w:r>
      <w:r w:rsidR="00F63D5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njoftoi që autoritetet duhet të refuzojnë dorëzimin e parcelave te kërkuesi.</w:t>
      </w:r>
    </w:p>
    <w:p w14:paraId="6C603A33" w14:textId="13ADE3A8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B. Ekzekutimi i detyruar</w:t>
      </w:r>
    </w:p>
    <w:p w14:paraId="42A5B681" w14:textId="3E0996AC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Më 2 qershor 2011, </w:t>
      </w:r>
      <w:r w:rsidR="00F63D52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Zyra Përmbarimore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Pogradec urdhëroi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-në të regjistronte parcelat në emrin e kërkuesit. Kjo e fundit refuzoi</w:t>
      </w:r>
      <w:r w:rsidR="00F024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sepse përmbaruesi nuk kishte dorëzuar </w:t>
      </w: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procesverbalin e dorëzimit fizik të pronës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A5755FE" w14:textId="10E60A78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17. Në një korrespondencë të mëvonshme me kërkuesin, përmbaruesi vuri në dukje se vendimet përfundimtare nuk i referoheshin dorëzimit të parcelave, prandaj detyrat e përmbaruesit kufizoheshin në transferimin e titullit të pronësisë te kërkuesi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pa adresuar çështjet e dorëzimit fizik të parcelave. Më 19 korrik 2011, Zyra Qendrore e Përmbarimit e konfirmoi këtë pikëpamje.</w:t>
      </w:r>
    </w:p>
    <w:p w14:paraId="338AD707" w14:textId="5B3A9A51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18. Me vendimin e datës 4 gusht 2011, përmbaruesi vëren se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-ja duhej t’i regjistronte parcelat në emrin e kërkuesit. Me këtë konstatim, përmbaruesi vlerëson se ekzekutimi kishte përfunduar dhe vendosi pushimin e procedimit.</w:t>
      </w:r>
    </w:p>
    <w:p w14:paraId="7067F4A4" w14:textId="16EF0605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19. Më 19 korrik 2012,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-ja iu përgjigj përmbaruesit dhe kërkuesit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duke kërkuar edhe një herë një kopje të procesverbalit të dorëzimit fizik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me qëllim regjistrimin e parcelave në emër të kërkuesit.</w:t>
      </w:r>
    </w:p>
    <w:p w14:paraId="5F213442" w14:textId="6AC6A57C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aps/>
          <w:color w:val="000000"/>
          <w:sz w:val="24"/>
          <w:szCs w:val="24"/>
          <w:lang w:val="sq-AL"/>
        </w:rPr>
        <w:t>LEGJISLACIONI</w:t>
      </w:r>
    </w:p>
    <w:p w14:paraId="17DEAB69" w14:textId="2AEA8E9E" w:rsidR="00552A31" w:rsidRPr="00551990" w:rsidRDefault="00552A31" w:rsidP="00552A31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I. Shkelja e pretenduar e paragrafit 1 të nenit 6 të Konventës</w:t>
      </w:r>
    </w:p>
    <w:p w14:paraId="5462900B" w14:textId="61C784AD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20. Kërkuesi u ankua për mosekzekutimin e vendimit të vitit 2006 të ndryshuar nga vendimi i vitit 2008. Në thelb, ai u mbështet në paragrafin 1 të nenit 6 të Konventës.</w:t>
      </w:r>
    </w:p>
    <w:p w14:paraId="643CD8F9" w14:textId="5DFF1A5F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21. Gjykata përsërit që ekzekutimi i një vendimi të dhënë nga një gjykatë duhet të konsiderohet si pjesë e pandarë e “seancës gjyqësore”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qëllime të paragrafit 1 të nenit 6. Gjithashtu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ajo i referohet praktikës gjyqësore në lidhje me mosekzekutimin ose ekzekutimin me vonesë të vendimeve të brendshme të formës së prerë (shihni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Hornsby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kundër Greqisë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, nr. 18357/91, § 40, 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Raporte të Vendimeve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1997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II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).</w:t>
      </w:r>
    </w:p>
    <w:p w14:paraId="0D5CC6A4" w14:textId="5FB2DEEE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22. Në çështjet kryesuese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Qufaj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Co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FC35A9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s</w:t>
      </w:r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h.p.k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. kundër Shqipërisë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(nr. 54268/00, §§ 38</w:t>
      </w:r>
      <w:r w:rsidR="00EA526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45, 18 nëntor 2004) dhe </w:t>
      </w:r>
      <w:proofErr w:type="spellStart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Gjyli</w:t>
      </w:r>
      <w:proofErr w:type="spellEnd"/>
      <w:r w:rsidRPr="00551990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 kundër Shqipërisë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(nr. 32907/07, §§ 55</w:t>
      </w:r>
      <w:r w:rsidR="00EA526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61, 29 shtator 2009), Gjykata tashmë ka gjetur shkelje në lidhje me probleme të ngjashme me ato në këtë çështje.</w:t>
      </w:r>
    </w:p>
    <w:p w14:paraId="3B3D308F" w14:textId="1CEF115B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23. Gjykata fillimisht vëren se në vëzhgimet e saj fillestare, Qeveria parashtroi se autoritetet e brendshme kishin marrë çdo masë të mundshme për të zbatuar vendimet e brendshme. Megjithatë, Gjykata nuk është në gjendje të bjerë dakord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sepse autoritetet e brendshme as nuk i kanë regjistruar parcelat nën emrin e kërkuesit dhe as nuk kanë siguruar fizikisht transferimin e atyre parcelave tek ai.</w:t>
      </w:r>
    </w:p>
    <w:p w14:paraId="357CB385" w14:textId="4250FCB8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24. Më tej, </w:t>
      </w:r>
      <w:r w:rsidR="008F7FE0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Qeveria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parashtroi se kërkuesi ishte bërë pengesë për zbatimin e vendimeve të brendshme përfundimtare, sepse ai nuk i kishte parapaguar Zyrës Përmbarimore Pogradec disa shuma të nevojshme për ekzekutimin e detyruar dhe kishte bërë një sërë kërkesash të paarsyeshme në lidhje me inventarizimin e pemëve në parcelat pyjore. Megjithatë, në dosjen e çështjes nuk ka asnjë të dhënë për ndonjë pengesë të krijuar nga kërkuesi në procesin e ekzekutimit të vendimeve përfundimtare. Në veçanti, nuk rezulton se Zyra Përmbarimore Pogradec të ketë pushuar procedimin për shkak të ndonjë veprimi që i atribuohet kërkuesit (shihni paragrafin 18 më sipër).</w:t>
      </w:r>
    </w:p>
    <w:p w14:paraId="0BFFB96E" w14:textId="3E2B0042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25. Qeveria argumentoi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gjithashtu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 vendimet e brendshme përfundimtare në favor të kërkuesit kishin konfirmuar titullin e tij të ligjshëm mbi parcelat, por nuk ishte e qartë nëse gjykatat vend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se kishin urdhëruar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gjithashtu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që parcelat të transferoheshin fizikisht në posedim të kërkuesit. Gjykata vlerëson se kjo deklaratë nuk mbështetet me prova, veçanërisht nga vendimet e Gjykatës së Rrethit Pogradec, e cila në lëshimin e një urdhri ekzekutimi në favor të kërkuesit i referohej qartë 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>s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ë drejtës së tij për të zotëruar dhe </w:t>
      </w:r>
      <w:r w:rsidR="00B6438A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të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disponuar p</w:t>
      </w:r>
      <w:bookmarkStart w:id="0" w:name="_GoBack"/>
      <w:bookmarkEnd w:id="0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arcelat në fjalë (shihni paragrafin 14 më sipër).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ZRPP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-ja, e cila ishte palë në proces (shihni paragrafin 8 më sipër), ishte mbështetur në një rregullore të brendshme për të justifikuar refuzimin e saj, si organ administrativ, për të zbatuar udhëzimet e qarta të gjykatës përkatëse për të vijuar me regjistrimin e titullit të kërkuesit.</w:t>
      </w:r>
    </w:p>
    <w:p w14:paraId="6C7968B5" w14:textId="1E1300D3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26. Prandaj, Gjykata konstaton se autoritetet </w:t>
      </w:r>
      <w:r w:rsidR="00966381">
        <w:rPr>
          <w:rFonts w:ascii="Garamond" w:hAnsi="Garamond" w:cs="Calibri"/>
          <w:color w:val="000000"/>
          <w:sz w:val="24"/>
          <w:szCs w:val="24"/>
          <w:lang w:val="sq-AL"/>
        </w:rPr>
        <w:t>vendës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e nuk arritën të bënin të gjitha përpjekjet e nevojshme për të zbatuar vendimet e brendshme përfundimtare në favor të kërkuesit. Prandaj, ankimet e kërkuesit për këtë qëllim janë të pranueshme. Gjykata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konkludon</w:t>
      </w:r>
      <w:proofErr w:type="spellEnd"/>
      <w:r w:rsidR="00FC35A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gjithashtu</w:t>
      </w:r>
      <w:r w:rsidR="00FC35A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 ka pasur shkelje të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drejtave të kërkuesit</w:t>
      </w:r>
      <w:r w:rsidR="00EA526C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sipas paragrafit 1 të nenit 6 të Konventës.</w:t>
      </w:r>
    </w:p>
    <w:p w14:paraId="08B2C6FE" w14:textId="2DCD0861" w:rsidR="00552A31" w:rsidRPr="00551990" w:rsidRDefault="00552A31" w:rsidP="00552A31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proofErr w:type="spellStart"/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II</w:t>
      </w:r>
      <w:proofErr w:type="spellEnd"/>
      <w:r w:rsidRPr="00551990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. ZBATIMI I NENIT 41 TË KONVENTËS</w:t>
      </w:r>
    </w:p>
    <w:p w14:paraId="4D88ACA7" w14:textId="5F00BD52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27. Duke pasur parasysh dokumentet që dispononte dhe praktikën e saj gjyqësore (shihni, në veçanti, </w:t>
      </w:r>
      <w:proofErr w:type="spellStart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Qufaj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proofErr w:type="spellStart"/>
      <w:r w:rsidR="004B2AC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</w:t>
      </w: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h.p.k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cituar më sipër, §§ 46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48 dhe </w:t>
      </w:r>
      <w:proofErr w:type="spellStart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Gjyli</w:t>
      </w:r>
      <w:proofErr w:type="spellEnd"/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gjithashtu të cituar më sipër, §§ 62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76), Gjykata e konsideron të arsyeshme dhënien e shumës së treguar në tabelën e bashkëngjitur.</w:t>
      </w:r>
    </w:p>
    <w:p w14:paraId="0F546D38" w14:textId="5A135EA4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28. Gjykata vëren më tej</w:t>
      </w:r>
      <w:r w:rsidR="00EA526C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se Shteti i paditur ka një detyrim të </w:t>
      </w:r>
      <w:proofErr w:type="spellStart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papërmbushur</w:t>
      </w:r>
      <w:proofErr w:type="spellEnd"/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të zbatuar </w:t>
      </w:r>
      <w:r w:rsidR="00FC35A9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vendimin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e vitit 2006, të ndryshuar nga </w:t>
      </w:r>
      <w:r w:rsidR="00FC35A9"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vendimi </w:t>
      </w: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>i vitit 2008.</w:t>
      </w:r>
    </w:p>
    <w:p w14:paraId="34EEBC0F" w14:textId="15A7BC5E" w:rsidR="00552A31" w:rsidRPr="00551990" w:rsidRDefault="00552A31" w:rsidP="00552A3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aps/>
          <w:color w:val="000000"/>
          <w:sz w:val="24"/>
          <w:szCs w:val="24"/>
          <w:lang w:val="sq-AL"/>
        </w:rPr>
      </w:pPr>
      <w:r w:rsidRPr="00551990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Calibri"/>
          <w:caps/>
          <w:color w:val="000000"/>
          <w:sz w:val="24"/>
          <w:szCs w:val="24"/>
          <w:lang w:val="sq-AL"/>
        </w:rPr>
        <w:t>PËR KËTO ARSYE, GJYKATA, UNANIMISHT</w:t>
      </w:r>
      <w:r w:rsidR="00FC35A9">
        <w:rPr>
          <w:rFonts w:ascii="Garamond" w:hAnsi="Garamond" w:cs="Calibri"/>
          <w:caps/>
          <w:color w:val="000000"/>
          <w:sz w:val="24"/>
          <w:szCs w:val="24"/>
          <w:lang w:val="sq-AL"/>
        </w:rPr>
        <w:t>:</w:t>
      </w:r>
    </w:p>
    <w:p w14:paraId="45B16690" w14:textId="34229810" w:rsidR="00552A31" w:rsidRPr="00551990" w:rsidRDefault="00552A31" w:rsidP="00552A31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1. </w:t>
      </w:r>
      <w:r w:rsidR="004B2ACA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="004B2ACA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z.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Ferdinand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Tona, trashëgimtari i kërkuesit</w:t>
      </w:r>
      <w:r w:rsidR="00EA52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legjitimohet të vazhdojë këtë proces në vend të tij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1B8775B" w14:textId="7A81EC7C" w:rsidR="00552A31" w:rsidRPr="00551990" w:rsidRDefault="00552A31" w:rsidP="00552A31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2. </w:t>
      </w:r>
      <w:r w:rsidR="004B2ACA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Shpall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të pranueshëm ankimin e kërkuesit në lidhje me mosekzekutimin e vendimeve të brendshme përfundimtare në favor të tij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CC7BE1D" w14:textId="5250F400" w:rsidR="00552A31" w:rsidRPr="00551990" w:rsidRDefault="00552A31" w:rsidP="00552A31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3. </w:t>
      </w:r>
      <w:r w:rsidR="004B2ACA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Vendos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që është shkelur paragrafi 1 i nenit 6 të Konventës sa i përket mosekzekutimit nga ana e autoriteteve të vendimeve të brendshme përfundimtare në favor të kërkuesit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5D5597D" w14:textId="0197D4FB" w:rsidR="00552A31" w:rsidRPr="00551990" w:rsidRDefault="00552A31" w:rsidP="00552A31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4. </w:t>
      </w:r>
      <w:r w:rsidR="004B2ACA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="004B2ACA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që Shteti i paditur, me anë të mjeteve të duhura, brenda tre muajve, të sigurojë ekzekutimin e vendimeve të brendshme përfundimtare në fjalë, siç përshkruhet në tabelën bashkëngjitur</w:t>
      </w:r>
      <w:r w:rsidR="004B2A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4D71363" w14:textId="10A0D1F3" w:rsidR="00552A31" w:rsidRPr="00551990" w:rsidRDefault="00552A31" w:rsidP="00552A31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lastRenderedPageBreak/>
        <w:t xml:space="preserve">5. </w:t>
      </w:r>
      <w:r w:rsidR="004B2ACA" w:rsidRPr="0055199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="004B2AC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:</w:t>
      </w:r>
    </w:p>
    <w:p w14:paraId="1A0F83ED" w14:textId="135D76CA" w:rsidR="00552A31" w:rsidRPr="00551990" w:rsidRDefault="00552A31" w:rsidP="00552A3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që Shteti i paditur t’i paguajë trashëgimtarit të kërkuesit, 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Ferdinand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Tona, brenda tre muajve, shumën e treguar në tabelën bashkëngjitur, që do të konvertohet në monedhën e Shtetit të paditur me normën e zbatueshme në datën e shlyerjes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044CF19" w14:textId="0A23B586" w:rsidR="00552A31" w:rsidRPr="00551990" w:rsidRDefault="00552A31" w:rsidP="00552A31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b) që nga mbarimi i afatit tremujor të sipërpërmendur deri në shlyerje, të paguhet interes i thjeshtë për shumën e mësipërme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normës 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njëjtë me normën </w:t>
      </w:r>
      <w:proofErr w:type="spellStart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marxhinale</w:t>
      </w:r>
      <w:proofErr w:type="spellEnd"/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kreditimit të Bankës Qendrore E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ropiane gjatë periudhës së mospagimit plus tre pikë përqindje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>je.</w:t>
      </w:r>
    </w:p>
    <w:p w14:paraId="4AC9CE2B" w14:textId="1052FCE1" w:rsidR="00552A31" w:rsidRPr="00551990" w:rsidRDefault="00552A31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Bërë në gjuhën angleze dhe njoftuar me shkrim më 4 korrik 2024</w:t>
      </w:r>
      <w:r w:rsidR="00D618A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551990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rregull</w:t>
      </w:r>
      <w:r w:rsid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</w:t>
      </w:r>
      <w:r w:rsidR="00551990"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77 </w:t>
      </w: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>§§ 2 dhe 3 të Rregullores së Gjykatës.</w:t>
      </w:r>
    </w:p>
    <w:p w14:paraId="6ADB89A0" w14:textId="77777777" w:rsidR="00D85CD4" w:rsidRPr="00551990" w:rsidRDefault="00D85CD4" w:rsidP="00552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4"/>
        <w:gridCol w:w="1754"/>
      </w:tblGrid>
      <w:tr w:rsidR="00D85CD4" w:rsidRPr="00551990" w14:paraId="33D9DDC3" w14:textId="77777777" w:rsidTr="00551990">
        <w:trPr>
          <w:jc w:val="center"/>
        </w:trPr>
        <w:tc>
          <w:tcPr>
            <w:tcW w:w="0" w:type="auto"/>
          </w:tcPr>
          <w:p w14:paraId="22237D26" w14:textId="77777777" w:rsidR="00D85CD4" w:rsidRPr="00551990" w:rsidRDefault="00D85CD4" w:rsidP="00D85CD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Viktoriya</w:t>
            </w:r>
            <w:proofErr w:type="spellEnd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Maradudina</w:t>
            </w:r>
            <w:proofErr w:type="spellEnd"/>
          </w:p>
          <w:p w14:paraId="3B774733" w14:textId="39F44559" w:rsidR="00D85CD4" w:rsidRPr="00551990" w:rsidRDefault="00551990" w:rsidP="00D85CD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 w:rsidRPr="00551990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</w:t>
            </w:r>
            <w:r w:rsidRPr="00551990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ANCELARE</w:t>
            </w:r>
            <w:proofErr w:type="spellEnd"/>
            <w:r w:rsidRPr="00551990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NË DETYRË</w:t>
            </w:r>
          </w:p>
        </w:tc>
        <w:tc>
          <w:tcPr>
            <w:tcW w:w="0" w:type="auto"/>
          </w:tcPr>
          <w:p w14:paraId="09CB960C" w14:textId="59F8FD82" w:rsidR="00D85CD4" w:rsidRPr="00551990" w:rsidRDefault="00D85CD4" w:rsidP="00D85CD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Peeter</w:t>
            </w:r>
            <w:proofErr w:type="spellEnd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51990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Roosma</w:t>
            </w:r>
            <w:proofErr w:type="spellEnd"/>
          </w:p>
          <w:p w14:paraId="69F33F8C" w14:textId="27CE598A" w:rsidR="00D85CD4" w:rsidRPr="00551990" w:rsidRDefault="00551990" w:rsidP="00D85CD4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551990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PRESIDENT</w:t>
            </w:r>
          </w:p>
        </w:tc>
      </w:tr>
    </w:tbl>
    <w:p w14:paraId="7DC9C7BD" w14:textId="77777777" w:rsidR="00552A31" w:rsidRPr="00551990" w:rsidRDefault="00552A31" w:rsidP="00F02DB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DD479D" w14:textId="77777777" w:rsidR="0043524D" w:rsidRPr="00551990" w:rsidRDefault="0043524D" w:rsidP="00F02DB1">
      <w:pPr>
        <w:pStyle w:val="DecHTitle"/>
        <w:spacing w:after="0"/>
        <w:rPr>
          <w:rFonts w:ascii="Garamond" w:hAnsi="Garamond"/>
          <w:sz w:val="24"/>
          <w:szCs w:val="24"/>
        </w:rPr>
      </w:pPr>
    </w:p>
    <w:p w14:paraId="7D7DE6AF" w14:textId="2BF2B382" w:rsidR="00F02DB1" w:rsidRPr="00551990" w:rsidRDefault="00F02DB1" w:rsidP="00F02DB1">
      <w:pPr>
        <w:pStyle w:val="DecHTitle"/>
        <w:spacing w:after="0"/>
        <w:rPr>
          <w:rFonts w:ascii="Garamond" w:hAnsi="Garamond"/>
          <w:sz w:val="24"/>
          <w:szCs w:val="24"/>
        </w:rPr>
      </w:pPr>
      <w:r w:rsidRPr="00551990">
        <w:rPr>
          <w:rFonts w:ascii="Garamond" w:hAnsi="Garamond"/>
          <w:sz w:val="24"/>
          <w:szCs w:val="24"/>
        </w:rPr>
        <w:t>SHTOJCË</w:t>
      </w:r>
    </w:p>
    <w:p w14:paraId="6207BBDC" w14:textId="77777777" w:rsidR="00F02DB1" w:rsidRPr="00551990" w:rsidRDefault="00F02DB1" w:rsidP="00F02DB1">
      <w:pPr>
        <w:pStyle w:val="DecHCase"/>
        <w:spacing w:after="0"/>
        <w:contextualSpacing/>
        <w:rPr>
          <w:rFonts w:ascii="Garamond" w:hAnsi="Garamond"/>
          <w:b/>
          <w:i/>
          <w:color w:val="0D0D0D" w:themeColor="text1" w:themeTint="F2"/>
        </w:rPr>
      </w:pPr>
      <w:r w:rsidRPr="00551990">
        <w:rPr>
          <w:rFonts w:ascii="Garamond" w:hAnsi="Garamond"/>
          <w:color w:val="0D0D0D" w:themeColor="text1" w:themeTint="F2"/>
        </w:rPr>
        <w:t>Kërkesa që paraqet ankimin sipas paragrafit 1 të nenit 6 të Konventës</w:t>
      </w:r>
    </w:p>
    <w:p w14:paraId="5DBEE387" w14:textId="5AB23AC2" w:rsidR="00F02DB1" w:rsidRPr="00551990" w:rsidRDefault="00F02DB1" w:rsidP="00F02DB1">
      <w:pPr>
        <w:pStyle w:val="DecHCase"/>
        <w:spacing w:after="0"/>
        <w:contextualSpacing/>
        <w:rPr>
          <w:rFonts w:ascii="Garamond" w:hAnsi="Garamond"/>
          <w:color w:val="0D0D0D" w:themeColor="text1" w:themeTint="F2"/>
        </w:rPr>
      </w:pPr>
      <w:r w:rsidRPr="00551990">
        <w:rPr>
          <w:rFonts w:ascii="Garamond" w:hAnsi="Garamond"/>
          <w:color w:val="0D0D0D" w:themeColor="text1" w:themeTint="F2"/>
        </w:rPr>
        <w:t>(mosekzekutimi ose ekzekutimi me vonesë i vendimeve të brendshme)</w:t>
      </w:r>
    </w:p>
    <w:p w14:paraId="0719F999" w14:textId="77777777" w:rsidR="00F02DB1" w:rsidRPr="00551990" w:rsidRDefault="00F02DB1" w:rsidP="00F02DB1">
      <w:pPr>
        <w:pStyle w:val="JuPara"/>
        <w:rPr>
          <w:color w:val="0D0D0D" w:themeColor="text1" w:themeTint="F2"/>
        </w:rPr>
      </w:pPr>
    </w:p>
    <w:tbl>
      <w:tblPr>
        <w:tblStyle w:val="ECHRListTable"/>
        <w:tblW w:w="5000" w:type="pct"/>
        <w:jc w:val="center"/>
        <w:tblLook w:val="0420" w:firstRow="1" w:lastRow="0" w:firstColumn="0" w:lastColumn="0" w:noHBand="0" w:noVBand="1"/>
      </w:tblPr>
      <w:tblGrid>
        <w:gridCol w:w="975"/>
        <w:gridCol w:w="1302"/>
        <w:gridCol w:w="1687"/>
        <w:gridCol w:w="2261"/>
        <w:gridCol w:w="1449"/>
        <w:gridCol w:w="1676"/>
      </w:tblGrid>
      <w:tr w:rsidR="00F02DB1" w:rsidRPr="00551990" w14:paraId="06A17DE4" w14:textId="77777777" w:rsidTr="005519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522" w:type="pct"/>
            <w:vAlign w:val="center"/>
          </w:tcPr>
          <w:p w14:paraId="7F2B8E80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bookmarkStart w:id="1" w:name="WECLListStart"/>
            <w:bookmarkEnd w:id="1"/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Kërkesa nr.</w:t>
            </w:r>
          </w:p>
          <w:p w14:paraId="4506CA3F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Data e paraqitjes</w:t>
            </w:r>
          </w:p>
        </w:tc>
        <w:tc>
          <w:tcPr>
            <w:tcW w:w="696" w:type="pct"/>
            <w:vAlign w:val="center"/>
          </w:tcPr>
          <w:p w14:paraId="3089B592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Emri i kërkuesit</w:t>
            </w:r>
          </w:p>
          <w:p w14:paraId="2E075DFC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Viti i lindjes</w:t>
            </w:r>
          </w:p>
        </w:tc>
        <w:tc>
          <w:tcPr>
            <w:tcW w:w="902" w:type="pct"/>
            <w:vAlign w:val="center"/>
          </w:tcPr>
          <w:p w14:paraId="6BAD4C02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Emri dhe vendndodhja e përfaqësuesit</w:t>
            </w:r>
          </w:p>
        </w:tc>
        <w:tc>
          <w:tcPr>
            <w:tcW w:w="1209" w:type="pct"/>
            <w:vAlign w:val="center"/>
          </w:tcPr>
          <w:p w14:paraId="7249E328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Legjislacioni i brendshëm përkatës</w:t>
            </w:r>
          </w:p>
        </w:tc>
        <w:tc>
          <w:tcPr>
            <w:tcW w:w="775" w:type="pct"/>
            <w:vAlign w:val="center"/>
          </w:tcPr>
          <w:p w14:paraId="179C6E3E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Detajet e urdhrit të ekzekutimit</w:t>
            </w:r>
          </w:p>
        </w:tc>
        <w:tc>
          <w:tcPr>
            <w:tcW w:w="896" w:type="pct"/>
            <w:vAlign w:val="center"/>
          </w:tcPr>
          <w:p w14:paraId="673E0BF9" w14:textId="7FB74C43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 xml:space="preserve">Shuma e caktuar për dëmin </w:t>
            </w:r>
            <w:proofErr w:type="spellStart"/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jopasuror</w:t>
            </w:r>
            <w:proofErr w:type="spellEnd"/>
            <w:r w:rsidR="00551990">
              <w:rPr>
                <w:rFonts w:ascii="Garamond" w:hAnsi="Garamond"/>
                <w:color w:val="0D0D0D" w:themeColor="text1" w:themeTint="F2"/>
                <w:sz w:val="16"/>
              </w:rPr>
              <w:t>,</w:t>
            </w: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 xml:space="preserve"> dhe kosto dhe shpenzime</w:t>
            </w:r>
          </w:p>
          <w:p w14:paraId="525E4C49" w14:textId="77777777" w:rsidR="00F02DB1" w:rsidRPr="00551990" w:rsidRDefault="00F02DB1" w:rsidP="00551990">
            <w:pPr>
              <w:jc w:val="center"/>
              <w:rPr>
                <w:rFonts w:ascii="Garamond" w:hAnsi="Garamond"/>
                <w:color w:val="0D0D0D" w:themeColor="text1" w:themeTint="F2"/>
                <w:sz w:val="16"/>
              </w:rPr>
            </w:pPr>
            <w:r w:rsidRPr="00551990">
              <w:rPr>
                <w:rFonts w:ascii="Garamond" w:hAnsi="Garamond"/>
                <w:color w:val="0D0D0D" w:themeColor="text1" w:themeTint="F2"/>
                <w:sz w:val="16"/>
              </w:rPr>
              <w:t>(në euro)</w:t>
            </w:r>
            <w:r w:rsidRPr="00551990">
              <w:rPr>
                <w:rStyle w:val="FootnoteReference"/>
                <w:rFonts w:ascii="Garamond" w:hAnsi="Garamond"/>
                <w:color w:val="0D0D0D" w:themeColor="text1" w:themeTint="F2"/>
                <w:sz w:val="16"/>
              </w:rPr>
              <w:footnoteReference w:id="2"/>
            </w:r>
          </w:p>
        </w:tc>
      </w:tr>
      <w:tr w:rsidR="00F02DB1" w:rsidRPr="00551990" w14:paraId="67144CF3" w14:textId="77777777" w:rsidTr="00551990">
        <w:trPr>
          <w:trHeight w:val="20"/>
          <w:jc w:val="center"/>
        </w:trPr>
        <w:tc>
          <w:tcPr>
            <w:tcW w:w="522" w:type="pct"/>
          </w:tcPr>
          <w:p w14:paraId="7C67407B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>78957/11</w:t>
            </w:r>
          </w:p>
          <w:p w14:paraId="2021B8C7" w14:textId="7C46F2A6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>1</w:t>
            </w:r>
            <w:r w:rsidR="00551990">
              <w:rPr>
                <w:rFonts w:ascii="Garamond" w:hAnsi="Garamond"/>
                <w:sz w:val="16"/>
              </w:rPr>
              <w:t>.</w:t>
            </w:r>
            <w:r w:rsidRPr="00551990">
              <w:rPr>
                <w:rFonts w:ascii="Garamond" w:hAnsi="Garamond"/>
                <w:sz w:val="16"/>
              </w:rPr>
              <w:t>12</w:t>
            </w:r>
            <w:r w:rsidR="00551990">
              <w:rPr>
                <w:rFonts w:ascii="Garamond" w:hAnsi="Garamond"/>
                <w:sz w:val="16"/>
              </w:rPr>
              <w:t>.</w:t>
            </w:r>
            <w:r w:rsidRPr="00551990">
              <w:rPr>
                <w:rFonts w:ascii="Garamond" w:hAnsi="Garamond"/>
                <w:sz w:val="16"/>
              </w:rPr>
              <w:t>2011</w:t>
            </w:r>
          </w:p>
        </w:tc>
        <w:tc>
          <w:tcPr>
            <w:tcW w:w="696" w:type="pct"/>
          </w:tcPr>
          <w:p w14:paraId="48BA7B24" w14:textId="30768EA6" w:rsidR="00F02DB1" w:rsidRPr="00551990" w:rsidRDefault="00F02DB1" w:rsidP="00551990">
            <w:pPr>
              <w:jc w:val="center"/>
              <w:rPr>
                <w:rFonts w:ascii="Garamond" w:hAnsi="Garamond"/>
                <w:b/>
                <w:sz w:val="16"/>
              </w:rPr>
            </w:pPr>
            <w:proofErr w:type="spellStart"/>
            <w:r w:rsidRPr="00551990">
              <w:rPr>
                <w:rFonts w:ascii="Garamond" w:hAnsi="Garamond"/>
                <w:b/>
                <w:sz w:val="16"/>
              </w:rPr>
              <w:t>Llazi</w:t>
            </w:r>
            <w:proofErr w:type="spellEnd"/>
            <w:r w:rsidRPr="00551990">
              <w:rPr>
                <w:rFonts w:ascii="Garamond" w:hAnsi="Garamond"/>
                <w:b/>
                <w:sz w:val="16"/>
              </w:rPr>
              <w:t xml:space="preserve"> </w:t>
            </w:r>
            <w:r w:rsidR="00551990" w:rsidRPr="00551990">
              <w:rPr>
                <w:rFonts w:ascii="Garamond" w:hAnsi="Garamond"/>
                <w:b/>
                <w:sz w:val="16"/>
              </w:rPr>
              <w:t>Tona</w:t>
            </w:r>
          </w:p>
          <w:p w14:paraId="3512ED8B" w14:textId="7CE044A9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 xml:space="preserve">Lindur </w:t>
            </w:r>
            <w:r w:rsidR="00551990">
              <w:rPr>
                <w:rFonts w:ascii="Garamond" w:hAnsi="Garamond"/>
                <w:sz w:val="16"/>
              </w:rPr>
              <w:t>m</w:t>
            </w:r>
            <w:r w:rsidRPr="00551990">
              <w:rPr>
                <w:rFonts w:ascii="Garamond" w:hAnsi="Garamond"/>
                <w:sz w:val="16"/>
              </w:rPr>
              <w:t>ë 1939</w:t>
            </w:r>
            <w:r w:rsidR="00551990">
              <w:rPr>
                <w:rFonts w:ascii="Garamond" w:hAnsi="Garamond"/>
                <w:sz w:val="16"/>
              </w:rPr>
              <w:t>-n</w:t>
            </w:r>
            <w:r w:rsidRPr="00551990">
              <w:rPr>
                <w:rFonts w:ascii="Garamond" w:hAnsi="Garamond"/>
                <w:sz w:val="16"/>
              </w:rPr>
              <w:t xml:space="preserve"> dhe vdekur në dhjetor 2017</w:t>
            </w:r>
          </w:p>
          <w:p w14:paraId="322FC2B1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</w:p>
          <w:p w14:paraId="6D4CC7EE" w14:textId="495AB9E8" w:rsidR="00F02DB1" w:rsidRPr="00551990" w:rsidRDefault="00F02DB1" w:rsidP="00551990">
            <w:pPr>
              <w:jc w:val="center"/>
              <w:rPr>
                <w:rFonts w:ascii="Garamond" w:hAnsi="Garamond"/>
                <w:b/>
                <w:bCs/>
                <w:sz w:val="16"/>
              </w:rPr>
            </w:pPr>
            <w:proofErr w:type="spellStart"/>
            <w:r w:rsidRPr="00551990">
              <w:rPr>
                <w:rFonts w:ascii="Garamond" w:hAnsi="Garamond"/>
                <w:b/>
                <w:bCs/>
                <w:sz w:val="16"/>
              </w:rPr>
              <w:t>Ferdinand</w:t>
            </w:r>
            <w:proofErr w:type="spellEnd"/>
            <w:r w:rsidRPr="00551990">
              <w:rPr>
                <w:rFonts w:ascii="Garamond" w:hAnsi="Garamond"/>
                <w:b/>
                <w:bCs/>
                <w:sz w:val="16"/>
              </w:rPr>
              <w:t xml:space="preserve"> </w:t>
            </w:r>
            <w:r w:rsidR="00551990" w:rsidRPr="00551990">
              <w:rPr>
                <w:rFonts w:ascii="Garamond" w:hAnsi="Garamond"/>
                <w:b/>
                <w:bCs/>
                <w:sz w:val="16"/>
              </w:rPr>
              <w:t>Tona</w:t>
            </w:r>
          </w:p>
          <w:p w14:paraId="359EE82D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>1963</w:t>
            </w:r>
          </w:p>
        </w:tc>
        <w:tc>
          <w:tcPr>
            <w:tcW w:w="902" w:type="pct"/>
          </w:tcPr>
          <w:p w14:paraId="2C3DE3C9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proofErr w:type="spellStart"/>
            <w:r w:rsidRPr="00551990">
              <w:rPr>
                <w:rFonts w:ascii="Garamond" w:hAnsi="Garamond"/>
                <w:sz w:val="16"/>
              </w:rPr>
              <w:t>Theodhosi</w:t>
            </w:r>
            <w:proofErr w:type="spellEnd"/>
            <w:r w:rsidRPr="00551990">
              <w:rPr>
                <w:rFonts w:ascii="Garamond" w:hAnsi="Garamond"/>
                <w:sz w:val="16"/>
              </w:rPr>
              <w:t xml:space="preserve"> Afërdita</w:t>
            </w:r>
          </w:p>
          <w:p w14:paraId="5D585CE6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>Tiranë</w:t>
            </w:r>
          </w:p>
        </w:tc>
        <w:tc>
          <w:tcPr>
            <w:tcW w:w="1209" w:type="pct"/>
          </w:tcPr>
          <w:p w14:paraId="21F0DD51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bCs/>
                <w:sz w:val="16"/>
              </w:rPr>
              <w:t>Vendimi i Komisionit të Korçës i 4 korrikut 2006, i ndryshuar nga vendimi i Gjykatës së Rrethit Pogradec të 14 nëntorit 2008</w:t>
            </w:r>
          </w:p>
        </w:tc>
        <w:tc>
          <w:tcPr>
            <w:tcW w:w="775" w:type="pct"/>
          </w:tcPr>
          <w:p w14:paraId="30672646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bCs/>
                <w:sz w:val="16"/>
              </w:rPr>
              <w:t>Vendimi i Gjykatës të Rrethit Pogradec i 30 dhjetorit 2010</w:t>
            </w:r>
          </w:p>
        </w:tc>
        <w:tc>
          <w:tcPr>
            <w:tcW w:w="896" w:type="pct"/>
          </w:tcPr>
          <w:p w14:paraId="0034079A" w14:textId="77777777" w:rsidR="00F02DB1" w:rsidRPr="00551990" w:rsidRDefault="00F02DB1" w:rsidP="00551990">
            <w:pPr>
              <w:jc w:val="center"/>
              <w:rPr>
                <w:rFonts w:ascii="Garamond" w:hAnsi="Garamond"/>
                <w:sz w:val="16"/>
              </w:rPr>
            </w:pPr>
            <w:r w:rsidRPr="00551990">
              <w:rPr>
                <w:rFonts w:ascii="Garamond" w:hAnsi="Garamond"/>
                <w:sz w:val="16"/>
              </w:rPr>
              <w:t>4.700</w:t>
            </w:r>
          </w:p>
        </w:tc>
      </w:tr>
    </w:tbl>
    <w:p w14:paraId="4D39B5B0" w14:textId="77777777" w:rsidR="00552A31" w:rsidRPr="00551990" w:rsidRDefault="00552A31" w:rsidP="00552A3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F72A87" w14:textId="76808A68" w:rsidR="00552A31" w:rsidRPr="00551990" w:rsidRDefault="00552A31" w:rsidP="00552A3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7274DE4" w14:textId="4EDBE2C7" w:rsidR="00552A31" w:rsidRPr="00551990" w:rsidRDefault="00552A31" w:rsidP="00552A31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519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9F5D841" w14:textId="2C2489B6" w:rsidR="000F74B6" w:rsidRPr="00551990" w:rsidRDefault="000F74B6" w:rsidP="00552A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F74B6" w:rsidRPr="00551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83AF9" w14:textId="77777777" w:rsidR="00551990" w:rsidRDefault="00551990" w:rsidP="00F02DB1">
      <w:pPr>
        <w:spacing w:after="0" w:line="240" w:lineRule="auto"/>
      </w:pPr>
      <w:r>
        <w:separator/>
      </w:r>
    </w:p>
  </w:endnote>
  <w:endnote w:type="continuationSeparator" w:id="0">
    <w:p w14:paraId="77AEAA34" w14:textId="77777777" w:rsidR="00551990" w:rsidRDefault="00551990" w:rsidP="00F02DB1">
      <w:pPr>
        <w:spacing w:after="0" w:line="240" w:lineRule="auto"/>
      </w:pPr>
      <w:r>
        <w:continuationSeparator/>
      </w:r>
    </w:p>
  </w:endnote>
  <w:endnote w:type="continuationNotice" w:id="1">
    <w:p w14:paraId="1123F38D" w14:textId="77777777" w:rsidR="00F21CC8" w:rsidRDefault="00F21C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F1FCB" w14:textId="77777777" w:rsidR="00551990" w:rsidRDefault="00551990" w:rsidP="00F02DB1">
      <w:pPr>
        <w:spacing w:after="0" w:line="240" w:lineRule="auto"/>
      </w:pPr>
      <w:r>
        <w:separator/>
      </w:r>
    </w:p>
  </w:footnote>
  <w:footnote w:type="continuationSeparator" w:id="0">
    <w:p w14:paraId="2E87DB89" w14:textId="77777777" w:rsidR="00551990" w:rsidRDefault="00551990" w:rsidP="00F02DB1">
      <w:pPr>
        <w:spacing w:after="0" w:line="240" w:lineRule="auto"/>
      </w:pPr>
      <w:r>
        <w:continuationSeparator/>
      </w:r>
    </w:p>
  </w:footnote>
  <w:footnote w:type="continuationNotice" w:id="1">
    <w:p w14:paraId="32C23E8F" w14:textId="77777777" w:rsidR="00F21CC8" w:rsidRDefault="00F21CC8">
      <w:pPr>
        <w:spacing w:after="0" w:line="240" w:lineRule="auto"/>
      </w:pPr>
    </w:p>
  </w:footnote>
  <w:footnote w:id="2">
    <w:p w14:paraId="10D8F45A" w14:textId="77777777" w:rsidR="00551990" w:rsidRPr="007A2D0F" w:rsidRDefault="00551990" w:rsidP="00F02DB1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>Plus çdo taksë që mund t'i ngarkohet kërkuesit.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F74B6"/>
    <w:rsid w:val="001930A9"/>
    <w:rsid w:val="001C30B8"/>
    <w:rsid w:val="001D1FDA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3524D"/>
    <w:rsid w:val="00463D71"/>
    <w:rsid w:val="00466D63"/>
    <w:rsid w:val="00471931"/>
    <w:rsid w:val="00475729"/>
    <w:rsid w:val="00495544"/>
    <w:rsid w:val="00497037"/>
    <w:rsid w:val="004B2ACA"/>
    <w:rsid w:val="00530AD4"/>
    <w:rsid w:val="0054118F"/>
    <w:rsid w:val="00551990"/>
    <w:rsid w:val="00552A31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A2799"/>
    <w:rsid w:val="006A2A82"/>
    <w:rsid w:val="006B6654"/>
    <w:rsid w:val="007A4251"/>
    <w:rsid w:val="007A461B"/>
    <w:rsid w:val="00830D84"/>
    <w:rsid w:val="008C7EE7"/>
    <w:rsid w:val="008F286E"/>
    <w:rsid w:val="008F7FE0"/>
    <w:rsid w:val="0090290C"/>
    <w:rsid w:val="009077D1"/>
    <w:rsid w:val="009308D0"/>
    <w:rsid w:val="00966381"/>
    <w:rsid w:val="00AC57D1"/>
    <w:rsid w:val="00AD6F91"/>
    <w:rsid w:val="00B15A5F"/>
    <w:rsid w:val="00B22326"/>
    <w:rsid w:val="00B45C42"/>
    <w:rsid w:val="00B63811"/>
    <w:rsid w:val="00B6438A"/>
    <w:rsid w:val="00B73997"/>
    <w:rsid w:val="00B92627"/>
    <w:rsid w:val="00CD1E60"/>
    <w:rsid w:val="00CF2064"/>
    <w:rsid w:val="00D5136C"/>
    <w:rsid w:val="00D618AB"/>
    <w:rsid w:val="00D85CD4"/>
    <w:rsid w:val="00E139F8"/>
    <w:rsid w:val="00E417F7"/>
    <w:rsid w:val="00E60245"/>
    <w:rsid w:val="00EA526C"/>
    <w:rsid w:val="00EF0597"/>
    <w:rsid w:val="00F024FA"/>
    <w:rsid w:val="00F02DB1"/>
    <w:rsid w:val="00F21CC8"/>
    <w:rsid w:val="00F223EA"/>
    <w:rsid w:val="00F23FBB"/>
    <w:rsid w:val="00F274B7"/>
    <w:rsid w:val="00F63D52"/>
    <w:rsid w:val="00F71BE0"/>
    <w:rsid w:val="00F72413"/>
    <w:rsid w:val="00F84694"/>
    <w:rsid w:val="00FC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7D238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rsid w:val="00552A31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ParaLast">
    <w:name w:val="Ju_Para_Last"/>
    <w:aliases w:val="_Para_Spaced"/>
    <w:basedOn w:val="Normal"/>
    <w:uiPriority w:val="99"/>
    <w:rsid w:val="00552A31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Lista">
    <w:name w:val="Ju_List_a"/>
    <w:aliases w:val="_List_2"/>
    <w:basedOn w:val="Normal"/>
    <w:uiPriority w:val="99"/>
    <w:rsid w:val="00552A31"/>
    <w:pPr>
      <w:tabs>
        <w:tab w:val="left" w:pos="680"/>
      </w:tabs>
      <w:autoSpaceDE w:val="0"/>
      <w:autoSpaceDN w:val="0"/>
      <w:adjustRightInd w:val="0"/>
      <w:spacing w:after="0" w:line="240" w:lineRule="auto"/>
      <w:ind w:left="680" w:hanging="34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List">
    <w:name w:val="Ju_List"/>
    <w:aliases w:val="_List_1"/>
    <w:basedOn w:val="Normal"/>
    <w:uiPriority w:val="99"/>
    <w:rsid w:val="00552A31"/>
    <w:pPr>
      <w:tabs>
        <w:tab w:val="left" w:pos="340"/>
      </w:tabs>
      <w:autoSpaceDE w:val="0"/>
      <w:autoSpaceDN w:val="0"/>
      <w:adjustRightInd w:val="0"/>
      <w:spacing w:before="280" w:after="60" w:line="240" w:lineRule="auto"/>
      <w:ind w:left="340" w:hanging="34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HA">
    <w:name w:val="Ju_H_A"/>
    <w:aliases w:val="_Head_3"/>
    <w:uiPriority w:val="99"/>
    <w:rsid w:val="00552A31"/>
    <w:pPr>
      <w:keepNext/>
      <w:keepLines/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</w:pPr>
    <w:rPr>
      <w:rFonts w:ascii="Times New Roman" w:hAnsi="Times New Roman" w:cs="Times New Roman"/>
      <w:b/>
      <w:bCs/>
      <w:sz w:val="24"/>
      <w:szCs w:val="24"/>
      <w:lang w:val="sq-AL"/>
    </w:rPr>
  </w:style>
  <w:style w:type="paragraph" w:customStyle="1" w:styleId="JuHIRoman">
    <w:name w:val="Ju_H_I_Roman"/>
    <w:aliases w:val="_Head_2"/>
    <w:uiPriority w:val="99"/>
    <w:rsid w:val="00552A31"/>
    <w:pPr>
      <w:keepNext/>
      <w:keepLines/>
      <w:tabs>
        <w:tab w:val="left" w:pos="360"/>
        <w:tab w:val="left" w:pos="440"/>
        <w:tab w:val="left" w:pos="520"/>
        <w:tab w:val="left" w:pos="620"/>
        <w:tab w:val="left" w:pos="700"/>
        <w:tab w:val="left" w:pos="780"/>
      </w:tabs>
      <w:autoSpaceDE w:val="0"/>
      <w:autoSpaceDN w:val="0"/>
      <w:adjustRightInd w:val="0"/>
      <w:spacing w:before="100" w:after="240" w:line="240" w:lineRule="auto"/>
      <w:jc w:val="both"/>
    </w:pPr>
    <w:rPr>
      <w:rFonts w:ascii="Times New Roman" w:hAnsi="Times New Roman" w:cs="Times New Roman"/>
      <w:caps/>
      <w:color w:val="000000"/>
      <w:sz w:val="24"/>
      <w:szCs w:val="24"/>
      <w:lang w:val="sq-AL"/>
    </w:rPr>
  </w:style>
  <w:style w:type="paragraph" w:customStyle="1" w:styleId="JuJudges">
    <w:name w:val="Ju_Judges"/>
    <w:aliases w:val="_Judges"/>
    <w:basedOn w:val="Normal"/>
    <w:uiPriority w:val="99"/>
    <w:rsid w:val="00552A31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Case">
    <w:name w:val="Ju_Case"/>
    <w:aliases w:val="_Case_Name"/>
    <w:basedOn w:val="Normal"/>
    <w:next w:val="JuPara"/>
    <w:uiPriority w:val="99"/>
    <w:rsid w:val="00552A31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52A31"/>
    <w:pPr>
      <w:keepNext/>
      <w:keepLines/>
      <w:spacing w:after="280"/>
      <w:jc w:val="center"/>
    </w:pPr>
  </w:style>
  <w:style w:type="paragraph" w:customStyle="1" w:styleId="ECHRCoverTitle4">
    <w:name w:val="ECHR_Cover_Title_4"/>
    <w:aliases w:val="_Title_4"/>
    <w:basedOn w:val="JuPara"/>
    <w:next w:val="JuPara"/>
    <w:uiPriority w:val="99"/>
    <w:rsid w:val="00552A31"/>
    <w:pPr>
      <w:keepNext/>
      <w:keepLines/>
      <w:tabs>
        <w:tab w:val="right" w:pos="7920"/>
      </w:tabs>
      <w:jc w:val="center"/>
    </w:pPr>
    <w:rPr>
      <w:i/>
      <w:iCs/>
    </w:rPr>
  </w:style>
  <w:style w:type="paragraph" w:customStyle="1" w:styleId="JuTitle">
    <w:name w:val="Ju_Title"/>
    <w:aliases w:val="_Title_2"/>
    <w:basedOn w:val="Normal"/>
    <w:next w:val="JuPara"/>
    <w:uiPriority w:val="99"/>
    <w:rsid w:val="00552A31"/>
    <w:pPr>
      <w:keepNext/>
      <w:keepLines/>
      <w:autoSpaceDE w:val="0"/>
      <w:autoSpaceDN w:val="0"/>
      <w:adjustRightInd w:val="0"/>
      <w:spacing w:before="1320" w:after="28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52A31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552A31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D85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8"/>
    <w:semiHidden/>
    <w:rsid w:val="00F02DB1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F02DB1"/>
    <w:pPr>
      <w:spacing w:after="0" w:line="240" w:lineRule="auto"/>
      <w:jc w:val="both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F02DB1"/>
    <w:rPr>
      <w:sz w:val="20"/>
      <w:szCs w:val="20"/>
      <w:lang w:val="sq-AL"/>
    </w:rPr>
  </w:style>
  <w:style w:type="table" w:customStyle="1" w:styleId="ECHRListTable">
    <w:name w:val="ECHR_List_Table"/>
    <w:basedOn w:val="TableNormal"/>
    <w:uiPriority w:val="99"/>
    <w:rsid w:val="00F02DB1"/>
    <w:pPr>
      <w:spacing w:after="0" w:line="240" w:lineRule="auto"/>
    </w:pPr>
    <w:rPr>
      <w:sz w:val="24"/>
      <w:szCs w:val="24"/>
      <w:lang w:val="sq-AL"/>
    </w:rPr>
    <w:tblPr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B7B7B" w:themeColor="accent3" w:themeShade="BF"/>
      </w:rPr>
      <w:tblPr/>
      <w:trPr>
        <w:tblHeader/>
      </w:trPr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cBorders>
        <w:shd w:val="clear" w:color="auto" w:fill="D0CECE" w:themeFill="background2" w:themeFillShade="E6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21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1CC8"/>
  </w:style>
  <w:style w:type="paragraph" w:styleId="Footer">
    <w:name w:val="footer"/>
    <w:basedOn w:val="Normal"/>
    <w:link w:val="FooterChar"/>
    <w:uiPriority w:val="99"/>
    <w:semiHidden/>
    <w:unhideWhenUsed/>
    <w:rsid w:val="00F21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1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78957-11</Nr_x002e__x0020_akti>
    <Data_x0020_e_x0020_Krijimit xmlns="0e656187-b300-4fb0-8bf4-3a50f872073c">2024-08-02T09:02:19Z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Çështja Tona kundër Shqipërisë (Kërkesa nr. 78957/11)</Titulli>
    <Modifikuesi xmlns="0e656187-b300-4fb0-8bf4-3a50f872073c">ermira.bukaci</Modifikuesi>
    <Nr_x002e__x0020_prot_x0020_QBZ xmlns="0e656187-b300-4fb0-8bf4-3a50f872073c">1383/1</Nr_x002e__x0020_prot_x0020_QBZ>
    <Data_x0020_e_x0020_Modifikimit xmlns="0e656187-b300-4fb0-8bf4-3a50f872073c">2024-08-02T12:32:26Z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3828/1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ED09DCAAED47DE8160215EB1428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ED09DCAAED47DE8160215EB1428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25CB14-D685-4327-B899-B9F37094EB05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FD88F0-E263-43EC-9073-22763D2A2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AE061-643D-49BC-AFAE-C5B522163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5C783A-06D5-45EF-AF97-0BDF3D2F3A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7F75B4-43CB-430C-988D-62101CB15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Tona kundër Shqipërisë (Kërkesa nr. 78957/11)</vt:lpstr>
    </vt:vector>
  </TitlesOfParts>
  <Company/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Tona kundër Shqipërisë (Kërkesa nr. 78957/11)</dc:title>
  <dc:creator>Entela Suli</dc:creator>
  <cp:lastModifiedBy>Alma Lisaku</cp:lastModifiedBy>
  <cp:revision>20</cp:revision>
  <dcterms:created xsi:type="dcterms:W3CDTF">2024-08-02T08:04:00Z</dcterms:created>
  <dcterms:modified xsi:type="dcterms:W3CDTF">2024-08-06T07:56:00Z</dcterms:modified>
</cp:coreProperties>
</file>