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3EFFA" w14:textId="78832C98" w:rsidR="000F74B6" w:rsidRPr="00F22FC0" w:rsidRDefault="00E55A28" w:rsidP="00E55A28">
      <w:pPr>
        <w:spacing w:after="0" w:line="240" w:lineRule="auto"/>
        <w:ind w:firstLine="284"/>
        <w:jc w:val="center"/>
        <w:rPr>
          <w:rFonts w:ascii="Garamond" w:hAnsi="Garamond"/>
          <w:sz w:val="24"/>
          <w:szCs w:val="24"/>
          <w:lang w:val="sq-AL"/>
        </w:rPr>
      </w:pPr>
      <w:r w:rsidRPr="00F22FC0">
        <w:rPr>
          <w:rFonts w:ascii="Garamond" w:hAnsi="Garamond"/>
          <w:sz w:val="24"/>
          <w:szCs w:val="24"/>
          <w:lang w:val="sq-AL"/>
        </w:rPr>
        <w:t xml:space="preserve">GJYKATA </w:t>
      </w:r>
      <w:r w:rsidR="00F22FC0" w:rsidRPr="00F22FC0">
        <w:rPr>
          <w:rFonts w:ascii="Garamond" w:hAnsi="Garamond"/>
          <w:sz w:val="24"/>
          <w:szCs w:val="24"/>
          <w:lang w:val="sq-AL"/>
        </w:rPr>
        <w:t>EVROPIANE</w:t>
      </w:r>
      <w:r w:rsidRPr="00F22FC0">
        <w:rPr>
          <w:rFonts w:ascii="Garamond" w:hAnsi="Garamond"/>
          <w:sz w:val="24"/>
          <w:szCs w:val="24"/>
          <w:lang w:val="sq-AL"/>
        </w:rPr>
        <w:t xml:space="preserve"> E TË DREJTAVE TË NJERIUT</w:t>
      </w:r>
    </w:p>
    <w:p w14:paraId="00BF8446" w14:textId="77777777" w:rsidR="00E55A28" w:rsidRPr="00F22FC0" w:rsidRDefault="00E55A28" w:rsidP="00E55A28">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F22FC0">
        <w:rPr>
          <w:rFonts w:ascii="Garamond" w:hAnsi="Garamond" w:cs="Times New Roman"/>
          <w:color w:val="000000"/>
          <w:sz w:val="24"/>
          <w:szCs w:val="24"/>
          <w:lang w:val="sq-AL"/>
        </w:rPr>
        <w:t>SEKSIONI I TRETË</w:t>
      </w:r>
    </w:p>
    <w:p w14:paraId="79169FE4" w14:textId="77777777" w:rsidR="00E55A28" w:rsidRPr="00F22FC0" w:rsidRDefault="00E55A28" w:rsidP="00E55A28">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422A86" w14:textId="0027272D" w:rsidR="00E55A28" w:rsidRPr="00F22FC0" w:rsidRDefault="00E55A28" w:rsidP="00E55A28">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22FC0">
        <w:rPr>
          <w:rFonts w:ascii="Garamond" w:hAnsi="Garamond" w:cs="Times New Roman"/>
          <w:b/>
          <w:color w:val="000000"/>
          <w:sz w:val="24"/>
          <w:szCs w:val="24"/>
          <w:lang w:val="sq-AL"/>
        </w:rPr>
        <w:t>VENDIM</w:t>
      </w:r>
    </w:p>
    <w:p w14:paraId="5B664041" w14:textId="77777777" w:rsidR="00E55A28" w:rsidRPr="00F22FC0" w:rsidRDefault="00E55A28" w:rsidP="00E55A2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CBBE04A" w14:textId="77777777" w:rsidR="00E55A28" w:rsidRPr="00F22FC0" w:rsidRDefault="00E55A28" w:rsidP="00E55A28">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22FC0">
        <w:rPr>
          <w:rFonts w:ascii="Garamond" w:hAnsi="Garamond" w:cs="Times New Roman"/>
          <w:color w:val="000000"/>
          <w:sz w:val="24"/>
          <w:szCs w:val="24"/>
          <w:lang w:val="sq-AL"/>
        </w:rPr>
        <w:t>Kërkesa nr. 9227/19</w:t>
      </w:r>
    </w:p>
    <w:p w14:paraId="4B622A0D" w14:textId="60701103" w:rsidR="00E55A28" w:rsidRPr="00F22FC0" w:rsidRDefault="00E55A28" w:rsidP="00AA122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Besnik </w:t>
      </w:r>
      <w:proofErr w:type="spellStart"/>
      <w:r w:rsidR="00AA1221" w:rsidRPr="00F22FC0">
        <w:rPr>
          <w:rFonts w:ascii="Garamond" w:hAnsi="Garamond" w:cs="Times New Roman"/>
          <w:color w:val="000000"/>
          <w:sz w:val="24"/>
          <w:szCs w:val="24"/>
          <w:lang w:val="sq-AL"/>
        </w:rPr>
        <w:t>Keta</w:t>
      </w:r>
      <w:proofErr w:type="spellEnd"/>
      <w:r w:rsidR="00AA1221" w:rsidRPr="00F22FC0">
        <w:rPr>
          <w:rFonts w:ascii="Garamond" w:hAnsi="Garamond" w:cs="Times New Roman"/>
          <w:color w:val="000000"/>
          <w:sz w:val="24"/>
          <w:szCs w:val="24"/>
          <w:lang w:val="sq-AL"/>
        </w:rPr>
        <w:t xml:space="preserve"> </w:t>
      </w:r>
      <w:r w:rsidRPr="00F22FC0">
        <w:rPr>
          <w:rFonts w:ascii="Garamond" w:hAnsi="Garamond" w:cs="Times New Roman"/>
          <w:color w:val="000000"/>
          <w:sz w:val="24"/>
          <w:szCs w:val="24"/>
          <w:lang w:val="sq-AL"/>
        </w:rPr>
        <w:t>kundër Shqipërisë</w:t>
      </w:r>
    </w:p>
    <w:p w14:paraId="0FF408CC" w14:textId="77777777" w:rsidR="00E55A28" w:rsidRPr="00F22FC0" w:rsidRDefault="00E55A28" w:rsidP="00E55A2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D76725C" w14:textId="12737211" w:rsidR="00E55A28" w:rsidRPr="00F22FC0" w:rsidRDefault="00E55A28" w:rsidP="00E55A2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Gjykata Evropiane e të Drejtave të Njeriut (Seksioni i Tretë), e mbledhur më 11 </w:t>
      </w:r>
      <w:r w:rsidR="00F22FC0" w:rsidRPr="00F22FC0">
        <w:rPr>
          <w:rFonts w:ascii="Garamond" w:hAnsi="Garamond" w:cs="Times New Roman"/>
          <w:color w:val="000000"/>
          <w:sz w:val="24"/>
          <w:szCs w:val="24"/>
          <w:lang w:val="sq-AL"/>
        </w:rPr>
        <w:t xml:space="preserve">qershor </w:t>
      </w:r>
      <w:r w:rsidRPr="00F22FC0">
        <w:rPr>
          <w:rFonts w:ascii="Garamond" w:hAnsi="Garamond" w:cs="Times New Roman"/>
          <w:color w:val="000000"/>
          <w:sz w:val="24"/>
          <w:szCs w:val="24"/>
          <w:lang w:val="sq-AL"/>
        </w:rPr>
        <w:t>2024</w:t>
      </w:r>
      <w:r w:rsidR="00F22FC0">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si një Komitet i përbërë nga: </w:t>
      </w:r>
    </w:p>
    <w:p w14:paraId="140DE4CD" w14:textId="1D67C1DD" w:rsidR="00E55A28" w:rsidRPr="00F22FC0" w:rsidRDefault="00E55A28" w:rsidP="00E55A28">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Ioannis</w:t>
      </w:r>
      <w:proofErr w:type="spellEnd"/>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Ktistakis</w:t>
      </w:r>
      <w:proofErr w:type="spellEnd"/>
      <w:r w:rsidRPr="00F22FC0">
        <w:rPr>
          <w:rFonts w:ascii="Garamond" w:hAnsi="Garamond" w:cs="Times New Roman"/>
          <w:color w:val="000000"/>
          <w:sz w:val="24"/>
          <w:szCs w:val="24"/>
          <w:lang w:val="sq-AL"/>
        </w:rPr>
        <w:t>,</w:t>
      </w:r>
      <w:r w:rsidRPr="00F22FC0">
        <w:rPr>
          <w:rFonts w:ascii="Garamond" w:hAnsi="Garamond" w:cs="Times New Roman"/>
          <w:i/>
          <w:iCs/>
          <w:color w:val="000000"/>
          <w:sz w:val="24"/>
          <w:szCs w:val="24"/>
          <w:lang w:val="sq-AL"/>
        </w:rPr>
        <w:t xml:space="preserve"> </w:t>
      </w:r>
      <w:r w:rsidR="00F22FC0" w:rsidRPr="00F22FC0">
        <w:rPr>
          <w:rFonts w:ascii="Garamond" w:hAnsi="Garamond" w:cs="Times New Roman"/>
          <w:i/>
          <w:iCs/>
          <w:color w:val="000000"/>
          <w:sz w:val="24"/>
          <w:szCs w:val="24"/>
          <w:lang w:val="sq-AL"/>
        </w:rPr>
        <w:t>kryetar</w:t>
      </w:r>
      <w:r w:rsidRPr="00F22FC0">
        <w:rPr>
          <w:rFonts w:ascii="Garamond" w:hAnsi="Garamond" w:cs="Times New Roman"/>
          <w:i/>
          <w:iCs/>
          <w:color w:val="000000"/>
          <w:sz w:val="24"/>
          <w:szCs w:val="24"/>
          <w:lang w:val="sq-AL"/>
        </w:rPr>
        <w:t>,</w:t>
      </w:r>
    </w:p>
    <w:p w14:paraId="740F5AD8" w14:textId="7E2369DA" w:rsidR="00E55A28" w:rsidRPr="00F22FC0" w:rsidRDefault="00E55A28" w:rsidP="00E55A28">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F22FC0">
        <w:rPr>
          <w:rFonts w:ascii="Garamond" w:hAnsi="Garamond" w:cs="Times New Roman"/>
          <w:i/>
          <w:iCs/>
          <w:color w:val="000000"/>
          <w:sz w:val="24"/>
          <w:szCs w:val="24"/>
          <w:lang w:val="sq-AL"/>
        </w:rPr>
        <w:t xml:space="preserve"> </w:t>
      </w:r>
      <w:proofErr w:type="spellStart"/>
      <w:r w:rsidRPr="00F22FC0">
        <w:rPr>
          <w:rFonts w:ascii="Garamond" w:hAnsi="Garamond" w:cs="Times New Roman"/>
          <w:color w:val="000000"/>
          <w:sz w:val="24"/>
          <w:szCs w:val="24"/>
          <w:lang w:val="sq-AL"/>
        </w:rPr>
        <w:t>Darian</w:t>
      </w:r>
      <w:proofErr w:type="spellEnd"/>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Pavli</w:t>
      </w:r>
      <w:proofErr w:type="spellEnd"/>
      <w:r w:rsidRPr="00F22FC0">
        <w:rPr>
          <w:rFonts w:ascii="Garamond" w:hAnsi="Garamond" w:cs="Times New Roman"/>
          <w:color w:val="000000"/>
          <w:sz w:val="24"/>
          <w:szCs w:val="24"/>
          <w:lang w:val="sq-AL"/>
        </w:rPr>
        <w:t>,</w:t>
      </w:r>
      <w:r w:rsidRPr="00F22FC0">
        <w:rPr>
          <w:rFonts w:ascii="Garamond" w:hAnsi="Garamond" w:cs="Times New Roman"/>
          <w:i/>
          <w:iCs/>
          <w:color w:val="000000"/>
          <w:sz w:val="24"/>
          <w:szCs w:val="24"/>
          <w:lang w:val="sq-AL"/>
        </w:rPr>
        <w:t xml:space="preserve"> </w:t>
      </w:r>
    </w:p>
    <w:p w14:paraId="0C1D1086" w14:textId="464557F0" w:rsidR="00E55A28" w:rsidRPr="00F22FC0" w:rsidRDefault="00E55A28" w:rsidP="00E55A28">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Andreas</w:t>
      </w:r>
      <w:proofErr w:type="spellEnd"/>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Zünd</w:t>
      </w:r>
      <w:proofErr w:type="spellEnd"/>
      <w:r w:rsidRPr="00F22FC0">
        <w:rPr>
          <w:rFonts w:ascii="Garamond" w:hAnsi="Garamond" w:cs="Times New Roman"/>
          <w:color w:val="000000"/>
          <w:sz w:val="24"/>
          <w:szCs w:val="24"/>
          <w:lang w:val="sq-AL"/>
        </w:rPr>
        <w:t xml:space="preserve">, </w:t>
      </w:r>
      <w:r w:rsidRPr="00F22FC0">
        <w:rPr>
          <w:rFonts w:ascii="Garamond" w:hAnsi="Garamond" w:cs="Times New Roman"/>
          <w:i/>
          <w:iCs/>
          <w:color w:val="000000"/>
          <w:sz w:val="24"/>
          <w:szCs w:val="24"/>
          <w:lang w:val="sq-AL"/>
        </w:rPr>
        <w:t>gjyqtarë</w:t>
      </w:r>
    </w:p>
    <w:p w14:paraId="520FA87D" w14:textId="10CC86B4" w:rsidR="00E55A28" w:rsidRPr="00F22FC0" w:rsidRDefault="00E55A28" w:rsidP="00E55A2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dhe </w:t>
      </w:r>
      <w:proofErr w:type="spellStart"/>
      <w:r w:rsidRPr="00F22FC0">
        <w:rPr>
          <w:rFonts w:ascii="Garamond" w:hAnsi="Garamond" w:cs="Times New Roman"/>
          <w:color w:val="000000"/>
          <w:sz w:val="24"/>
          <w:szCs w:val="24"/>
          <w:lang w:val="sq-AL"/>
        </w:rPr>
        <w:t>Olga</w:t>
      </w:r>
      <w:proofErr w:type="spellEnd"/>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Chernishova</w:t>
      </w:r>
      <w:proofErr w:type="spellEnd"/>
      <w:r w:rsidRPr="00F22FC0">
        <w:rPr>
          <w:rFonts w:ascii="Garamond" w:hAnsi="Garamond" w:cs="Times New Roman"/>
          <w:color w:val="000000"/>
          <w:sz w:val="24"/>
          <w:szCs w:val="24"/>
          <w:lang w:val="sq-AL"/>
        </w:rPr>
        <w:t xml:space="preserve">, </w:t>
      </w:r>
      <w:r w:rsidR="00F22FC0" w:rsidRPr="00F22FC0">
        <w:rPr>
          <w:rFonts w:ascii="Garamond" w:hAnsi="Garamond" w:cs="Times New Roman"/>
          <w:i/>
          <w:iCs/>
          <w:color w:val="000000"/>
          <w:sz w:val="24"/>
          <w:szCs w:val="24"/>
          <w:lang w:val="sq-AL"/>
        </w:rPr>
        <w:t xml:space="preserve">zëvendëssekretare </w:t>
      </w:r>
      <w:r w:rsidRPr="00F22FC0">
        <w:rPr>
          <w:rFonts w:ascii="Garamond" w:hAnsi="Garamond" w:cs="Times New Roman"/>
          <w:i/>
          <w:iCs/>
          <w:color w:val="000000"/>
          <w:sz w:val="24"/>
          <w:szCs w:val="24"/>
          <w:lang w:val="sq-AL"/>
        </w:rPr>
        <w:t>e Seksionit,</w:t>
      </w:r>
    </w:p>
    <w:p w14:paraId="3DBFAC03" w14:textId="031B7A66"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i/>
          <w:iCs/>
          <w:color w:val="000000"/>
          <w:sz w:val="24"/>
          <w:szCs w:val="24"/>
          <w:lang w:val="sq-AL"/>
        </w:rPr>
        <w:t xml:space="preserve"> </w:t>
      </w:r>
      <w:r w:rsidR="00B66584" w:rsidRPr="00F22FC0">
        <w:rPr>
          <w:rFonts w:ascii="Garamond" w:hAnsi="Garamond" w:cs="Times New Roman"/>
          <w:color w:val="000000"/>
          <w:sz w:val="24"/>
          <w:szCs w:val="24"/>
          <w:lang w:val="sq-AL"/>
        </w:rPr>
        <w:t xml:space="preserve">duke </w:t>
      </w:r>
      <w:r w:rsidRPr="00F22FC0">
        <w:rPr>
          <w:rFonts w:ascii="Garamond" w:hAnsi="Garamond" w:cs="Times New Roman"/>
          <w:color w:val="000000"/>
          <w:sz w:val="24"/>
          <w:szCs w:val="24"/>
          <w:lang w:val="sq-AL"/>
        </w:rPr>
        <w:t xml:space="preserve">mbajtur në konsideratë: </w:t>
      </w:r>
    </w:p>
    <w:p w14:paraId="7D36B871" w14:textId="1CC29B64"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 kërkesën (nr. 9227/19) kundër Republikës së Shqipërisë të depozituar në Gjykatë në mbështetje të </w:t>
      </w:r>
      <w:r w:rsidR="00B66584"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34 të Konventës për Mbrojtjen e të Drejtave të Njeriut dhe Lirive Themelore (“Konventa”) më</w:t>
      </w:r>
      <w:r w:rsidR="00F22FC0">
        <w:rPr>
          <w:rFonts w:ascii="Garamond" w:hAnsi="Garamond" w:cs="Times New Roman"/>
          <w:color w:val="000000"/>
          <w:sz w:val="24"/>
          <w:szCs w:val="24"/>
          <w:lang w:val="sq-AL"/>
        </w:rPr>
        <w:t xml:space="preserve"> </w:t>
      </w:r>
      <w:r w:rsidRPr="00F22FC0">
        <w:rPr>
          <w:rFonts w:ascii="Garamond" w:hAnsi="Garamond" w:cs="Times New Roman"/>
          <w:color w:val="000000"/>
          <w:sz w:val="24"/>
          <w:szCs w:val="24"/>
          <w:lang w:val="sq-AL"/>
        </w:rPr>
        <w:t xml:space="preserve">5 </w:t>
      </w:r>
      <w:r w:rsidR="00B66584" w:rsidRPr="00F22FC0">
        <w:rPr>
          <w:rFonts w:ascii="Garamond" w:hAnsi="Garamond" w:cs="Times New Roman"/>
          <w:color w:val="000000"/>
          <w:sz w:val="24"/>
          <w:szCs w:val="24"/>
          <w:lang w:val="sq-AL"/>
        </w:rPr>
        <w:t xml:space="preserve">shkurt </w:t>
      </w:r>
      <w:r w:rsidRPr="00F22FC0">
        <w:rPr>
          <w:rFonts w:ascii="Garamond" w:hAnsi="Garamond" w:cs="Times New Roman"/>
          <w:color w:val="000000"/>
          <w:sz w:val="24"/>
          <w:szCs w:val="24"/>
          <w:lang w:val="sq-AL"/>
        </w:rPr>
        <w:t xml:space="preserve">2019 nga një shtetas shqiptar, </w:t>
      </w:r>
      <w:r w:rsidR="00B66584" w:rsidRPr="00F22FC0">
        <w:rPr>
          <w:rFonts w:ascii="Garamond" w:hAnsi="Garamond" w:cs="Times New Roman"/>
          <w:color w:val="000000"/>
          <w:sz w:val="24"/>
          <w:szCs w:val="24"/>
          <w:lang w:val="sq-AL"/>
        </w:rPr>
        <w:t>z</w:t>
      </w:r>
      <w:r w:rsidRPr="00F22FC0">
        <w:rPr>
          <w:rFonts w:ascii="Garamond" w:hAnsi="Garamond" w:cs="Times New Roman"/>
          <w:color w:val="000000"/>
          <w:sz w:val="24"/>
          <w:szCs w:val="24"/>
          <w:lang w:val="sq-AL"/>
        </w:rPr>
        <w:t xml:space="preserve">. Besnik </w:t>
      </w:r>
      <w:proofErr w:type="spellStart"/>
      <w:r w:rsidRPr="00F22FC0">
        <w:rPr>
          <w:rFonts w:ascii="Garamond" w:hAnsi="Garamond" w:cs="Times New Roman"/>
          <w:color w:val="000000"/>
          <w:sz w:val="24"/>
          <w:szCs w:val="24"/>
          <w:lang w:val="sq-AL"/>
        </w:rPr>
        <w:t>Keta</w:t>
      </w:r>
      <w:proofErr w:type="spellEnd"/>
      <w:r w:rsidRPr="00F22FC0">
        <w:rPr>
          <w:rFonts w:ascii="Garamond" w:hAnsi="Garamond" w:cs="Times New Roman"/>
          <w:color w:val="000000"/>
          <w:sz w:val="24"/>
          <w:szCs w:val="24"/>
          <w:lang w:val="sq-AL"/>
        </w:rPr>
        <w:t xml:space="preserve"> (“kërkuesi”), lindur në vitin 1977, banues në Tiranë dhe i përfaqësuar nga </w:t>
      </w:r>
      <w:r w:rsidR="00B66584" w:rsidRPr="00F22FC0">
        <w:rPr>
          <w:rFonts w:ascii="Garamond" w:hAnsi="Garamond" w:cs="Times New Roman"/>
          <w:color w:val="000000"/>
          <w:sz w:val="24"/>
          <w:szCs w:val="24"/>
          <w:lang w:val="sq-AL"/>
        </w:rPr>
        <w:t>z</w:t>
      </w:r>
      <w:r w:rsidRPr="00F22FC0">
        <w:rPr>
          <w:rFonts w:ascii="Garamond" w:hAnsi="Garamond" w:cs="Times New Roman"/>
          <w:color w:val="000000"/>
          <w:sz w:val="24"/>
          <w:szCs w:val="24"/>
          <w:lang w:val="sq-AL"/>
        </w:rPr>
        <w:t>. A. Kasapi, avokat i cili e praktikon ligjin në Tiranë,</w:t>
      </w:r>
    </w:p>
    <w:p w14:paraId="374EC096" w14:textId="5E657829"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 vendimin për të njoftuar </w:t>
      </w:r>
      <w:r w:rsidR="00B66584" w:rsidRPr="00F22FC0">
        <w:rPr>
          <w:rFonts w:ascii="Garamond" w:hAnsi="Garamond" w:cs="Times New Roman"/>
          <w:color w:val="000000"/>
          <w:sz w:val="24"/>
          <w:szCs w:val="24"/>
          <w:lang w:val="sq-AL"/>
        </w:rPr>
        <w:t xml:space="preserve">qeverinë </w:t>
      </w:r>
      <w:r w:rsidRPr="00F22FC0">
        <w:rPr>
          <w:rFonts w:ascii="Garamond" w:hAnsi="Garamond" w:cs="Times New Roman"/>
          <w:color w:val="000000"/>
          <w:sz w:val="24"/>
          <w:szCs w:val="24"/>
          <w:lang w:val="sq-AL"/>
        </w:rPr>
        <w:t xml:space="preserve">shqiptare (“Qeveria”) </w:t>
      </w:r>
      <w:r w:rsidR="00B66584">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përfaqësuar nga </w:t>
      </w:r>
      <w:r w:rsidR="00B66584" w:rsidRPr="00F22FC0">
        <w:rPr>
          <w:rFonts w:ascii="Garamond" w:hAnsi="Garamond" w:cs="Times New Roman"/>
          <w:color w:val="000000"/>
          <w:sz w:val="24"/>
          <w:szCs w:val="24"/>
          <w:lang w:val="sq-AL"/>
        </w:rPr>
        <w:t xml:space="preserve">agjenti </w:t>
      </w:r>
      <w:r w:rsidRPr="00F22FC0">
        <w:rPr>
          <w:rFonts w:ascii="Garamond" w:hAnsi="Garamond" w:cs="Times New Roman"/>
          <w:color w:val="000000"/>
          <w:sz w:val="24"/>
          <w:szCs w:val="24"/>
          <w:lang w:val="sq-AL"/>
        </w:rPr>
        <w:t xml:space="preserve">i saj në atë periudhë, </w:t>
      </w:r>
      <w:r w:rsidR="00B66584" w:rsidRPr="00F22FC0">
        <w:rPr>
          <w:rFonts w:ascii="Garamond" w:hAnsi="Garamond" w:cs="Times New Roman"/>
          <w:color w:val="000000"/>
          <w:sz w:val="24"/>
          <w:szCs w:val="24"/>
          <w:lang w:val="sq-AL"/>
        </w:rPr>
        <w:t xml:space="preserve">z. </w:t>
      </w:r>
      <w:r w:rsidRPr="00F22FC0">
        <w:rPr>
          <w:rFonts w:ascii="Garamond" w:hAnsi="Garamond" w:cs="Times New Roman"/>
          <w:color w:val="000000"/>
          <w:sz w:val="24"/>
          <w:szCs w:val="24"/>
          <w:lang w:val="sq-AL"/>
        </w:rPr>
        <w:t xml:space="preserve">A. Metani dhe në vijim nga </w:t>
      </w:r>
      <w:r w:rsidR="00755E79" w:rsidRPr="00F22FC0">
        <w:rPr>
          <w:rFonts w:ascii="Garamond" w:hAnsi="Garamond" w:cs="Times New Roman"/>
          <w:color w:val="000000"/>
          <w:sz w:val="24"/>
          <w:szCs w:val="24"/>
          <w:lang w:val="sq-AL"/>
        </w:rPr>
        <w:t>z</w:t>
      </w:r>
      <w:r w:rsidRPr="00F22FC0">
        <w:rPr>
          <w:rFonts w:ascii="Garamond" w:hAnsi="Garamond" w:cs="Times New Roman"/>
          <w:color w:val="000000"/>
          <w:sz w:val="24"/>
          <w:szCs w:val="24"/>
          <w:lang w:val="sq-AL"/>
        </w:rPr>
        <w:t xml:space="preserve">. O. </w:t>
      </w:r>
      <w:proofErr w:type="spellStart"/>
      <w:r w:rsidRPr="00F22FC0">
        <w:rPr>
          <w:rFonts w:ascii="Garamond" w:hAnsi="Garamond" w:cs="Times New Roman"/>
          <w:color w:val="000000"/>
          <w:sz w:val="24"/>
          <w:szCs w:val="24"/>
          <w:lang w:val="sq-AL"/>
        </w:rPr>
        <w:t>Moçka</w:t>
      </w:r>
      <w:proofErr w:type="spellEnd"/>
      <w:r w:rsidRPr="00F22FC0">
        <w:rPr>
          <w:rFonts w:ascii="Garamond" w:hAnsi="Garamond" w:cs="Times New Roman"/>
          <w:color w:val="000000"/>
          <w:sz w:val="24"/>
          <w:szCs w:val="24"/>
          <w:lang w:val="sq-AL"/>
        </w:rPr>
        <w:t>, Avokat i Përgjithshëm i Shtetit – për ankesat e bëra në lidhje me të drejtën e kërkuesit për t’u informuar në mënyrën e duhur për arsyet e ndalimit dhe arrestimit të tij me burgim, dhe për të deklaruar të papranueshëm pjesën e mbetur të kërkesës;</w:t>
      </w:r>
    </w:p>
    <w:p w14:paraId="633F05F1" w14:textId="53A74937"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 vërejtjet e palëve</w:t>
      </w:r>
      <w:r w:rsidR="00755E79">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w:t>
      </w:r>
    </w:p>
    <w:p w14:paraId="03D3EB63" w14:textId="476CC6B0"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 </w:t>
      </w:r>
      <w:r w:rsidR="00755E79" w:rsidRPr="00F22FC0">
        <w:rPr>
          <w:rFonts w:ascii="Garamond" w:hAnsi="Garamond" w:cs="Times New Roman"/>
          <w:color w:val="000000"/>
          <w:sz w:val="24"/>
          <w:szCs w:val="24"/>
          <w:lang w:val="sq-AL"/>
        </w:rPr>
        <w:t xml:space="preserve">pasi </w:t>
      </w:r>
      <w:r w:rsidRPr="00F22FC0">
        <w:rPr>
          <w:rFonts w:ascii="Garamond" w:hAnsi="Garamond" w:cs="Times New Roman"/>
          <w:color w:val="000000"/>
          <w:sz w:val="24"/>
          <w:szCs w:val="24"/>
          <w:lang w:val="sq-AL"/>
        </w:rPr>
        <w:t xml:space="preserve">diskutoi, vendos si më poshtë: </w:t>
      </w:r>
    </w:p>
    <w:p w14:paraId="531DE254" w14:textId="77777777"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LËNDA E ÇËSHTJES</w:t>
      </w:r>
    </w:p>
    <w:p w14:paraId="2BC405A9" w14:textId="248CFEFE"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 Çështja ka të bëjë me problematikat e ngritura në mbështetje të </w:t>
      </w:r>
      <w:r w:rsidR="00C56BCC"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5 §§ 2</w:t>
      </w:r>
      <w:r w:rsidR="00C56BCC">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në lidhje me informacionin që i është dhënë kërkuesit për akuzat ndaj tij dhe mundësinë e procedurave për të kundërshtuar ligjshmërinë e paraburgimit të tij. </w:t>
      </w:r>
    </w:p>
    <w:p w14:paraId="1A19F6E5" w14:textId="43182820"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2. Kërkuesi u arrestua më 22 </w:t>
      </w:r>
      <w:r w:rsidR="00BE3CD7" w:rsidRPr="00F22FC0">
        <w:rPr>
          <w:rFonts w:ascii="Garamond" w:hAnsi="Garamond" w:cs="Times New Roman"/>
          <w:color w:val="000000"/>
          <w:sz w:val="24"/>
          <w:szCs w:val="24"/>
          <w:lang w:val="sq-AL"/>
        </w:rPr>
        <w:t xml:space="preserve">dhjetor </w:t>
      </w:r>
      <w:r w:rsidRPr="00F22FC0">
        <w:rPr>
          <w:rFonts w:ascii="Garamond" w:hAnsi="Garamond" w:cs="Times New Roman"/>
          <w:color w:val="000000"/>
          <w:sz w:val="24"/>
          <w:szCs w:val="24"/>
          <w:lang w:val="sq-AL"/>
        </w:rPr>
        <w:t xml:space="preserve">2018 </w:t>
      </w:r>
      <w:r w:rsidRPr="00F22FC0">
        <w:rPr>
          <w:rFonts w:ascii="Garamond" w:hAnsi="Garamond" w:cs="Times New Roman"/>
          <w:i/>
          <w:iCs/>
          <w:color w:val="000000"/>
          <w:sz w:val="24"/>
          <w:szCs w:val="24"/>
          <w:lang w:val="sq-AL"/>
        </w:rPr>
        <w:t xml:space="preserve">in flagrante </w:t>
      </w:r>
      <w:proofErr w:type="spellStart"/>
      <w:r w:rsidRPr="00F22FC0">
        <w:rPr>
          <w:rFonts w:ascii="Garamond" w:hAnsi="Garamond" w:cs="Times New Roman"/>
          <w:i/>
          <w:iCs/>
          <w:color w:val="000000"/>
          <w:sz w:val="24"/>
          <w:szCs w:val="24"/>
          <w:lang w:val="sq-AL"/>
        </w:rPr>
        <w:t>delicto</w:t>
      </w:r>
      <w:proofErr w:type="spellEnd"/>
      <w:r w:rsidRPr="00F22FC0">
        <w:rPr>
          <w:rFonts w:ascii="Garamond" w:hAnsi="Garamond" w:cs="Times New Roman"/>
          <w:color w:val="000000"/>
          <w:sz w:val="24"/>
          <w:szCs w:val="24"/>
          <w:lang w:val="sq-AL"/>
        </w:rPr>
        <w:t xml:space="preserve"> për posedim të lëndëve narkotike, në momentin kur dy oficerë policie, të cilët e ndaluan kërkuesin në rrugë, i gjetën dy çanta me pluhur të bardhë, të dyshuar si lëndë narkotike. Menjëherë pas kësaj, në orën </w:t>
      </w:r>
      <w:r w:rsidR="00BE3CD7">
        <w:rPr>
          <w:rFonts w:ascii="Garamond" w:hAnsi="Garamond" w:cs="Times New Roman"/>
          <w:color w:val="000000"/>
          <w:sz w:val="24"/>
          <w:szCs w:val="24"/>
          <w:lang w:val="sq-AL"/>
        </w:rPr>
        <w:t>0</w:t>
      </w:r>
      <w:r w:rsidRPr="00F22FC0">
        <w:rPr>
          <w:rFonts w:ascii="Garamond" w:hAnsi="Garamond" w:cs="Times New Roman"/>
          <w:color w:val="000000"/>
          <w:sz w:val="24"/>
          <w:szCs w:val="24"/>
          <w:lang w:val="sq-AL"/>
        </w:rPr>
        <w:t>2</w:t>
      </w:r>
      <w:r w:rsidR="00BE3CD7">
        <w:rPr>
          <w:rFonts w:ascii="Garamond" w:hAnsi="Garamond" w:cs="Times New Roman"/>
          <w:color w:val="000000"/>
          <w:sz w:val="24"/>
          <w:szCs w:val="24"/>
          <w:lang w:val="sq-AL"/>
        </w:rPr>
        <w:t>:</w:t>
      </w:r>
      <w:r w:rsidRPr="00F22FC0">
        <w:rPr>
          <w:rFonts w:ascii="Garamond" w:hAnsi="Garamond" w:cs="Times New Roman"/>
          <w:color w:val="000000"/>
          <w:sz w:val="24"/>
          <w:szCs w:val="24"/>
          <w:lang w:val="sq-AL"/>
        </w:rPr>
        <w:t>20 të pasdites, policia bëri një kontroll në banesën e kërkuesit, ku kërkuesi i orientoi në një vend të fshehur</w:t>
      </w:r>
      <w:r w:rsidR="00DA7BDB">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ku mbante lëndë narkotike dhe një peshore. Kërkuesi u shoqërua në rajonin e policisë ku u mor në pyetje në orën </w:t>
      </w:r>
      <w:r w:rsidR="00DA7BDB">
        <w:rPr>
          <w:rFonts w:ascii="Garamond" w:hAnsi="Garamond" w:cs="Times New Roman"/>
          <w:color w:val="000000"/>
          <w:sz w:val="24"/>
          <w:szCs w:val="24"/>
          <w:lang w:val="sq-AL"/>
        </w:rPr>
        <w:t>0</w:t>
      </w:r>
      <w:r w:rsidRPr="00F22FC0">
        <w:rPr>
          <w:rFonts w:ascii="Garamond" w:hAnsi="Garamond" w:cs="Times New Roman"/>
          <w:color w:val="000000"/>
          <w:sz w:val="24"/>
          <w:szCs w:val="24"/>
          <w:lang w:val="sq-AL"/>
        </w:rPr>
        <w:t>5</w:t>
      </w:r>
      <w:r w:rsidR="00DA7BDB">
        <w:rPr>
          <w:rFonts w:ascii="Garamond" w:hAnsi="Garamond" w:cs="Times New Roman"/>
          <w:color w:val="000000"/>
          <w:sz w:val="24"/>
          <w:szCs w:val="24"/>
          <w:lang w:val="sq-AL"/>
        </w:rPr>
        <w:t>:</w:t>
      </w:r>
      <w:r w:rsidRPr="00F22FC0">
        <w:rPr>
          <w:rFonts w:ascii="Garamond" w:hAnsi="Garamond" w:cs="Times New Roman"/>
          <w:color w:val="000000"/>
          <w:sz w:val="24"/>
          <w:szCs w:val="24"/>
          <w:lang w:val="sq-AL"/>
        </w:rPr>
        <w:t>30 të pasdites në praninë e avokatit të tij. Ai u vu në dijeni për akuzat ndaj tij dhe të drejtat e tij, dhe ai pohoi se i kuptonte ato. Ai pohoi</w:t>
      </w:r>
      <w:r w:rsidR="00D4395D">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gjithashtu</w:t>
      </w:r>
      <w:r w:rsidR="00D4395D">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se kishte qenë përdorues i lëndëve narkotike prej disa kohësh dhe se lënda narkotike që i ishte gjetur në trup dhe në banesë ishte për përdorim personal. Procesverbali i arrestimit të kërkuesit u përpilua në po të njëjtën ditë në orën 19:00. U përshkruan rrethanat në të cilat ishte arrestuar kërkuesi, dhe u theksua se kërkuesi dyshohej për kryerjen e veprës penale të prodhimit dhe tregtimit të lëndëve narkotike, parashikuar në </w:t>
      </w:r>
      <w:r w:rsidR="00D4395D" w:rsidRPr="00F22FC0">
        <w:rPr>
          <w:rFonts w:ascii="Garamond" w:hAnsi="Garamond" w:cs="Times New Roman"/>
          <w:color w:val="000000"/>
          <w:sz w:val="24"/>
          <w:szCs w:val="24"/>
          <w:lang w:val="sq-AL"/>
        </w:rPr>
        <w:t xml:space="preserve">nenin </w:t>
      </w:r>
      <w:r w:rsidRPr="00F22FC0">
        <w:rPr>
          <w:rFonts w:ascii="Garamond" w:hAnsi="Garamond" w:cs="Times New Roman"/>
          <w:color w:val="000000"/>
          <w:sz w:val="24"/>
          <w:szCs w:val="24"/>
          <w:lang w:val="sq-AL"/>
        </w:rPr>
        <w:t xml:space="preserve">283 § 1 të Kodit Penal. </w:t>
      </w:r>
    </w:p>
    <w:p w14:paraId="71216224" w14:textId="342A6495"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3. Kërkuesit iu dha menjëherë një kopje e procesverbalit dhe ai e nënshkroi atë pa asnjë koment. </w:t>
      </w:r>
    </w:p>
    <w:p w14:paraId="28BEECB3" w14:textId="0FC4636A"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4. Më 25 </w:t>
      </w:r>
      <w:r w:rsidR="00D4395D" w:rsidRPr="00F22FC0">
        <w:rPr>
          <w:rFonts w:ascii="Garamond" w:hAnsi="Garamond" w:cs="Times New Roman"/>
          <w:color w:val="000000"/>
          <w:sz w:val="24"/>
          <w:szCs w:val="24"/>
          <w:lang w:val="sq-AL"/>
        </w:rPr>
        <w:t xml:space="preserve">dhjetor </w:t>
      </w:r>
      <w:r w:rsidRPr="00F22FC0">
        <w:rPr>
          <w:rFonts w:ascii="Garamond" w:hAnsi="Garamond" w:cs="Times New Roman"/>
          <w:color w:val="000000"/>
          <w:sz w:val="24"/>
          <w:szCs w:val="24"/>
          <w:lang w:val="sq-AL"/>
        </w:rPr>
        <w:t xml:space="preserve">2018, Gjykata e Rrethit Tiranë e kaloi kërkuesin në arrest shtëpie. Më 16 </w:t>
      </w:r>
      <w:r w:rsidR="00D4395D" w:rsidRPr="00F22FC0">
        <w:rPr>
          <w:rFonts w:ascii="Garamond" w:hAnsi="Garamond" w:cs="Times New Roman"/>
          <w:color w:val="000000"/>
          <w:sz w:val="24"/>
          <w:szCs w:val="24"/>
          <w:lang w:val="sq-AL"/>
        </w:rPr>
        <w:t xml:space="preserve">janar </w:t>
      </w:r>
      <w:r w:rsidRPr="00F22FC0">
        <w:rPr>
          <w:rFonts w:ascii="Garamond" w:hAnsi="Garamond" w:cs="Times New Roman"/>
          <w:color w:val="000000"/>
          <w:sz w:val="24"/>
          <w:szCs w:val="24"/>
          <w:lang w:val="sq-AL"/>
        </w:rPr>
        <w:t xml:space="preserve">2019, Gjykata e Apelit Tiranë e ndryshoi vendimin e Gjykatës së Rrethit të datës 25 </w:t>
      </w:r>
      <w:r w:rsidR="00420CED" w:rsidRPr="00F22FC0">
        <w:rPr>
          <w:rFonts w:ascii="Garamond" w:hAnsi="Garamond" w:cs="Times New Roman"/>
          <w:color w:val="000000"/>
          <w:sz w:val="24"/>
          <w:szCs w:val="24"/>
          <w:lang w:val="sq-AL"/>
        </w:rPr>
        <w:t xml:space="preserve">dhjetor </w:t>
      </w:r>
      <w:r w:rsidRPr="00F22FC0">
        <w:rPr>
          <w:rFonts w:ascii="Garamond" w:hAnsi="Garamond" w:cs="Times New Roman"/>
          <w:color w:val="000000"/>
          <w:sz w:val="24"/>
          <w:szCs w:val="24"/>
          <w:lang w:val="sq-AL"/>
        </w:rPr>
        <w:t>2018</w:t>
      </w:r>
      <w:r w:rsidR="00420CED">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duke urdhëruar paraburgim ndaj kërkuesit. Gjykata e Apelit theksoi se kërkuesi ishte gjetur në posedim të një sasie kokaine që qartazi nuk ishte për përdorim personal, dhe një sasi e vogël ishte gjendur edhe në banesën e tij. Rrethana të tilla mbështesnin dyshimin se kërkuesi ishte përfshirë në një vepër penale në cilësinë e “shpërndarësit të drogës”. Për këtë arsye, ndalimi i tij me burgim ishte i nevojshëm për parandalimin e përsëritjes së veprës penale. </w:t>
      </w:r>
    </w:p>
    <w:p w14:paraId="3F8B5EFA" w14:textId="5EB5BC72"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lastRenderedPageBreak/>
        <w:t xml:space="preserve">5. Në apelimin e tij të radhës në Gjykatën e Lartë, kërkuesi u ankua se nuk kishte pasur shkaqe që ai të dërgohej në paraburgim, se nuk ishte bërë menjëherë me dije pas arrestimit të tij në lidhje me akuzat ndaj tij, dhe se avokatit të tij nuk i ishte dhënë ndonjë dokument në lidhje me akuzat në mënyrë që të përgatitej për mbrojtjen e kërkuesit. </w:t>
      </w:r>
    </w:p>
    <w:p w14:paraId="60C76F64" w14:textId="3328B4A9"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6. Më 10 </w:t>
      </w:r>
      <w:r w:rsidR="00D1505F" w:rsidRPr="00F22FC0">
        <w:rPr>
          <w:rFonts w:ascii="Garamond" w:hAnsi="Garamond" w:cs="Times New Roman"/>
          <w:color w:val="000000"/>
          <w:sz w:val="24"/>
          <w:szCs w:val="24"/>
          <w:lang w:val="sq-AL"/>
        </w:rPr>
        <w:t xml:space="preserve">prill </w:t>
      </w:r>
      <w:r w:rsidRPr="00F22FC0">
        <w:rPr>
          <w:rFonts w:ascii="Garamond" w:hAnsi="Garamond" w:cs="Times New Roman"/>
          <w:color w:val="000000"/>
          <w:sz w:val="24"/>
          <w:szCs w:val="24"/>
          <w:lang w:val="sq-AL"/>
        </w:rPr>
        <w:t xml:space="preserve">2019, apelimi u rrëzua menjëherë nga Gjykata e Lartë e cila vlerësoi se kërkuesi nuk ishte mbështetur në asnjë prej shkaqeve për apelim të parashikuar në </w:t>
      </w:r>
      <w:r w:rsidR="00147D0B" w:rsidRPr="00F22FC0">
        <w:rPr>
          <w:rFonts w:ascii="Garamond" w:hAnsi="Garamond" w:cs="Times New Roman"/>
          <w:color w:val="000000"/>
          <w:sz w:val="24"/>
          <w:szCs w:val="24"/>
          <w:lang w:val="sq-AL"/>
        </w:rPr>
        <w:t xml:space="preserve">nenin </w:t>
      </w:r>
      <w:r w:rsidRPr="00F22FC0">
        <w:rPr>
          <w:rFonts w:ascii="Garamond" w:hAnsi="Garamond" w:cs="Times New Roman"/>
          <w:color w:val="000000"/>
          <w:sz w:val="24"/>
          <w:szCs w:val="24"/>
          <w:lang w:val="sq-AL"/>
        </w:rPr>
        <w:t xml:space="preserve">432 të Kodit të Procedurës Penale. Këto shkaqe përfshijnë rastet kur e drejta penale nuk është respektuar ose kur kjo e drejtë është zbatuar në mënyrën e gabuar; kur ka pasur shkelje të cilat kanë bërë që vendimi i gjykatës të shpallet i pavlefshëm; ose kur ka pasur shkelje të rregullave proceduralë që kanë ndikuar në miratimin e vendimit. </w:t>
      </w:r>
    </w:p>
    <w:p w14:paraId="5E092F9C" w14:textId="4A6CF0DE"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7. Në procedurat penale kryesore ndaj kërkuesit, ai i dënua sipas akuzave dhe iu dha një dënim i pezulluar. Këto procedura u përmbyllën me anë të vendimit të Gjykatës së Apelit Tiranë më 13 </w:t>
      </w:r>
      <w:r w:rsidR="00147D0B" w:rsidRPr="00F22FC0">
        <w:rPr>
          <w:rFonts w:ascii="Garamond" w:hAnsi="Garamond" w:cs="Times New Roman"/>
          <w:color w:val="000000"/>
          <w:sz w:val="24"/>
          <w:szCs w:val="24"/>
          <w:lang w:val="sq-AL"/>
        </w:rPr>
        <w:t xml:space="preserve">maj </w:t>
      </w:r>
      <w:r w:rsidRPr="00F22FC0">
        <w:rPr>
          <w:rFonts w:ascii="Garamond" w:hAnsi="Garamond" w:cs="Times New Roman"/>
          <w:color w:val="000000"/>
          <w:sz w:val="24"/>
          <w:szCs w:val="24"/>
          <w:lang w:val="sq-AL"/>
        </w:rPr>
        <w:t xml:space="preserve">2020. </w:t>
      </w:r>
    </w:p>
    <w:p w14:paraId="0827313C" w14:textId="77777777"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VLERËSIMI I GJYKATËS</w:t>
      </w:r>
    </w:p>
    <w:p w14:paraId="1247918A" w14:textId="190F201B"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22FC0">
        <w:rPr>
          <w:rFonts w:ascii="Garamond" w:hAnsi="Garamond" w:cs="Times New Roman"/>
          <w:b/>
          <w:bCs/>
          <w:color w:val="000000"/>
          <w:sz w:val="24"/>
          <w:szCs w:val="24"/>
          <w:lang w:val="sq-AL"/>
        </w:rPr>
        <w:t>A. Fusha e veprimit e çështjes</w:t>
      </w:r>
    </w:p>
    <w:p w14:paraId="4C7A8ABA" w14:textId="7FC89023"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8. Në kërkesën e tij fillestare, ashtu si edhe në përgjigjen e tij ndaj vërejtjeve të Qeverisë, kërkuesi u ankua edhe në mbështetje të </w:t>
      </w:r>
      <w:r w:rsidR="00147D0B"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 xml:space="preserve">6 §§ 1 dhe 3 të Konventës për shkeljen e një sërë aspektesh të </w:t>
      </w:r>
      <w:proofErr w:type="spellStart"/>
      <w:r w:rsidRPr="00F22FC0">
        <w:rPr>
          <w:rFonts w:ascii="Garamond" w:hAnsi="Garamond" w:cs="Times New Roman"/>
          <w:color w:val="000000"/>
          <w:sz w:val="24"/>
          <w:szCs w:val="24"/>
          <w:lang w:val="sq-AL"/>
        </w:rPr>
        <w:t>të</w:t>
      </w:r>
      <w:proofErr w:type="spellEnd"/>
      <w:r w:rsidRPr="00F22FC0">
        <w:rPr>
          <w:rFonts w:ascii="Garamond" w:hAnsi="Garamond" w:cs="Times New Roman"/>
          <w:color w:val="000000"/>
          <w:sz w:val="24"/>
          <w:szCs w:val="24"/>
          <w:lang w:val="sq-AL"/>
        </w:rPr>
        <w:t xml:space="preserve"> drejtave të tij për mbrojtje në procedurat kryesore penale ndaj tij. Në fazën e komunikimit, këto ankesa u shpallën të papranueshme nga </w:t>
      </w:r>
      <w:r w:rsidR="00147D0B" w:rsidRPr="00F22FC0">
        <w:rPr>
          <w:rFonts w:ascii="Garamond" w:hAnsi="Garamond" w:cs="Times New Roman"/>
          <w:color w:val="000000"/>
          <w:sz w:val="24"/>
          <w:szCs w:val="24"/>
          <w:lang w:val="sq-AL"/>
        </w:rPr>
        <w:t xml:space="preserve">kryetari </w:t>
      </w:r>
      <w:r w:rsidRPr="00F22FC0">
        <w:rPr>
          <w:rFonts w:ascii="Garamond" w:hAnsi="Garamond" w:cs="Times New Roman"/>
          <w:color w:val="000000"/>
          <w:sz w:val="24"/>
          <w:szCs w:val="24"/>
          <w:lang w:val="sq-AL"/>
        </w:rPr>
        <w:t xml:space="preserve">i Seksionit, i mbledhur si një gjyqtar i vetëm (sipas </w:t>
      </w:r>
      <w:r w:rsidR="00147D0B" w:rsidRPr="00F22FC0">
        <w:rPr>
          <w:rFonts w:ascii="Garamond" w:hAnsi="Garamond" w:cs="Times New Roman"/>
          <w:color w:val="000000"/>
          <w:sz w:val="24"/>
          <w:szCs w:val="24"/>
          <w:lang w:val="sq-AL"/>
        </w:rPr>
        <w:t xml:space="preserve">rregullave </w:t>
      </w:r>
      <w:proofErr w:type="spellStart"/>
      <w:r w:rsidRPr="00F22FC0">
        <w:rPr>
          <w:rFonts w:ascii="Garamond" w:hAnsi="Garamond" w:cs="Times New Roman"/>
          <w:color w:val="000000"/>
          <w:sz w:val="24"/>
          <w:szCs w:val="24"/>
          <w:lang w:val="sq-AL"/>
        </w:rPr>
        <w:t>27A</w:t>
      </w:r>
      <w:proofErr w:type="spellEnd"/>
      <w:r w:rsidRPr="00F22FC0">
        <w:rPr>
          <w:rFonts w:ascii="Garamond" w:hAnsi="Garamond" w:cs="Times New Roman"/>
          <w:color w:val="000000"/>
          <w:sz w:val="24"/>
          <w:szCs w:val="24"/>
          <w:lang w:val="sq-AL"/>
        </w:rPr>
        <w:t xml:space="preserve"> § 2 (a) dhe 54 § 3 të Rregullores së Gjykatës interpretuar së bashku me </w:t>
      </w:r>
      <w:r w:rsidR="00147D0B" w:rsidRPr="00F22FC0">
        <w:rPr>
          <w:rFonts w:ascii="Garamond" w:hAnsi="Garamond" w:cs="Times New Roman"/>
          <w:color w:val="000000"/>
          <w:sz w:val="24"/>
          <w:szCs w:val="24"/>
          <w:lang w:val="sq-AL"/>
        </w:rPr>
        <w:t>rregull</w:t>
      </w:r>
      <w:r w:rsidR="00147D0B">
        <w:rPr>
          <w:rFonts w:ascii="Garamond" w:hAnsi="Garamond" w:cs="Times New Roman"/>
          <w:color w:val="000000"/>
          <w:sz w:val="24"/>
          <w:szCs w:val="24"/>
          <w:lang w:val="sq-AL"/>
        </w:rPr>
        <w:t>ën</w:t>
      </w:r>
      <w:r w:rsidR="00147D0B" w:rsidRPr="00F22FC0">
        <w:rPr>
          <w:rFonts w:ascii="Garamond" w:hAnsi="Garamond" w:cs="Times New Roman"/>
          <w:color w:val="000000"/>
          <w:sz w:val="24"/>
          <w:szCs w:val="24"/>
          <w:lang w:val="sq-AL"/>
        </w:rPr>
        <w:t xml:space="preserve"> </w:t>
      </w:r>
      <w:r w:rsidRPr="00F22FC0">
        <w:rPr>
          <w:rFonts w:ascii="Garamond" w:hAnsi="Garamond" w:cs="Times New Roman"/>
          <w:color w:val="000000"/>
          <w:sz w:val="24"/>
          <w:szCs w:val="24"/>
          <w:lang w:val="sq-AL"/>
        </w:rPr>
        <w:t>12), dhe për pasojë, Qeveria nuk u vu në dijeni për këto ankesa. Një vendim i tillë është i formës së prerë (</w:t>
      </w:r>
      <w:r w:rsidR="00147D0B" w:rsidRPr="00F22FC0">
        <w:rPr>
          <w:rFonts w:ascii="Garamond" w:hAnsi="Garamond" w:cs="Times New Roman"/>
          <w:color w:val="000000"/>
          <w:sz w:val="24"/>
          <w:szCs w:val="24"/>
          <w:lang w:val="sq-AL"/>
        </w:rPr>
        <w:t xml:space="preserve">neni </w:t>
      </w:r>
      <w:r w:rsidRPr="00F22FC0">
        <w:rPr>
          <w:rFonts w:ascii="Garamond" w:hAnsi="Garamond" w:cs="Times New Roman"/>
          <w:color w:val="000000"/>
          <w:sz w:val="24"/>
          <w:szCs w:val="24"/>
          <w:lang w:val="sq-AL"/>
        </w:rPr>
        <w:t xml:space="preserve">27 § 2 i Konventës dhe </w:t>
      </w:r>
      <w:r w:rsidR="00147D0B" w:rsidRPr="00F22FC0">
        <w:rPr>
          <w:rFonts w:ascii="Garamond" w:hAnsi="Garamond" w:cs="Times New Roman"/>
          <w:color w:val="000000"/>
          <w:sz w:val="24"/>
          <w:szCs w:val="24"/>
          <w:lang w:val="sq-AL"/>
        </w:rPr>
        <w:t>rregull</w:t>
      </w:r>
      <w:r w:rsidR="00147D0B">
        <w:rPr>
          <w:rFonts w:ascii="Garamond" w:hAnsi="Garamond" w:cs="Times New Roman"/>
          <w:color w:val="000000"/>
          <w:sz w:val="24"/>
          <w:szCs w:val="24"/>
          <w:lang w:val="sq-AL"/>
        </w:rPr>
        <w:t>a</w:t>
      </w:r>
      <w:r w:rsidR="00147D0B" w:rsidRPr="00F22FC0">
        <w:rPr>
          <w:rFonts w:ascii="Garamond" w:hAnsi="Garamond" w:cs="Times New Roman"/>
          <w:color w:val="000000"/>
          <w:sz w:val="24"/>
          <w:szCs w:val="24"/>
          <w:lang w:val="sq-AL"/>
        </w:rPr>
        <w:t xml:space="preserve"> </w:t>
      </w:r>
      <w:r w:rsidRPr="00F22FC0">
        <w:rPr>
          <w:rFonts w:ascii="Garamond" w:hAnsi="Garamond" w:cs="Times New Roman"/>
          <w:color w:val="000000"/>
          <w:sz w:val="24"/>
          <w:szCs w:val="24"/>
          <w:lang w:val="sq-AL"/>
        </w:rPr>
        <w:t>54 § 3), dhe për këtë arsye Gjykata</w:t>
      </w:r>
      <w:r w:rsidR="00F22FC0">
        <w:rPr>
          <w:rFonts w:ascii="Garamond" w:hAnsi="Garamond" w:cs="Times New Roman"/>
          <w:color w:val="000000"/>
          <w:sz w:val="24"/>
          <w:szCs w:val="24"/>
          <w:lang w:val="sq-AL"/>
        </w:rPr>
        <w:t xml:space="preserve"> </w:t>
      </w:r>
      <w:r w:rsidRPr="00F22FC0">
        <w:rPr>
          <w:rFonts w:ascii="Garamond" w:hAnsi="Garamond" w:cs="Times New Roman"/>
          <w:color w:val="000000"/>
          <w:sz w:val="24"/>
          <w:szCs w:val="24"/>
          <w:lang w:val="sq-AL"/>
        </w:rPr>
        <w:t xml:space="preserve">nuk mund t’i rishqyrtojë ato ankesa (shih </w:t>
      </w:r>
      <w:proofErr w:type="spellStart"/>
      <w:r w:rsidRPr="00F22FC0">
        <w:rPr>
          <w:rFonts w:ascii="Garamond" w:hAnsi="Garamond" w:cs="Times New Roman"/>
          <w:i/>
          <w:iCs/>
          <w:color w:val="000000"/>
          <w:sz w:val="24"/>
          <w:szCs w:val="24"/>
          <w:lang w:val="sq-AL"/>
        </w:rPr>
        <w:t>Mazepa</w:t>
      </w:r>
      <w:proofErr w:type="spellEnd"/>
      <w:r w:rsidRPr="00F22FC0">
        <w:rPr>
          <w:rFonts w:ascii="Garamond" w:hAnsi="Garamond" w:cs="Times New Roman"/>
          <w:i/>
          <w:iCs/>
          <w:color w:val="000000"/>
          <w:sz w:val="24"/>
          <w:szCs w:val="24"/>
          <w:lang w:val="sq-AL"/>
        </w:rPr>
        <w:t xml:space="preserve"> dhe të Tjerë kundër Rusisë</w:t>
      </w:r>
      <w:r w:rsidRPr="00F22FC0">
        <w:rPr>
          <w:rFonts w:ascii="Garamond" w:hAnsi="Garamond" w:cs="Times New Roman"/>
          <w:color w:val="000000"/>
          <w:sz w:val="24"/>
          <w:szCs w:val="24"/>
          <w:lang w:val="sq-AL"/>
        </w:rPr>
        <w:t>, nr. 15086/07, §§ 61</w:t>
      </w:r>
      <w:r w:rsidR="00B77B15">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62, 17 </w:t>
      </w:r>
      <w:r w:rsidR="00B77B15" w:rsidRPr="00F22FC0">
        <w:rPr>
          <w:rFonts w:ascii="Garamond" w:hAnsi="Garamond" w:cs="Times New Roman"/>
          <w:color w:val="000000"/>
          <w:sz w:val="24"/>
          <w:szCs w:val="24"/>
          <w:lang w:val="sq-AL"/>
        </w:rPr>
        <w:t xml:space="preserve">korrik </w:t>
      </w:r>
      <w:r w:rsidRPr="00F22FC0">
        <w:rPr>
          <w:rFonts w:ascii="Garamond" w:hAnsi="Garamond" w:cs="Times New Roman"/>
          <w:color w:val="000000"/>
          <w:sz w:val="24"/>
          <w:szCs w:val="24"/>
          <w:lang w:val="sq-AL"/>
        </w:rPr>
        <w:t xml:space="preserve">2018, dhe </w:t>
      </w:r>
      <w:proofErr w:type="spellStart"/>
      <w:r w:rsidRPr="00F22FC0">
        <w:rPr>
          <w:rFonts w:ascii="Garamond" w:hAnsi="Garamond" w:cs="Times New Roman"/>
          <w:i/>
          <w:iCs/>
          <w:color w:val="000000"/>
          <w:sz w:val="24"/>
          <w:szCs w:val="24"/>
          <w:lang w:val="sq-AL"/>
        </w:rPr>
        <w:t>Korporativna</w:t>
      </w:r>
      <w:proofErr w:type="spellEnd"/>
      <w:r w:rsidRPr="00F22FC0">
        <w:rPr>
          <w:rFonts w:ascii="Garamond" w:hAnsi="Garamond" w:cs="Times New Roman"/>
          <w:i/>
          <w:iCs/>
          <w:color w:val="000000"/>
          <w:sz w:val="24"/>
          <w:szCs w:val="24"/>
          <w:lang w:val="sq-AL"/>
        </w:rPr>
        <w:t xml:space="preserve"> </w:t>
      </w:r>
      <w:proofErr w:type="spellStart"/>
      <w:r w:rsidRPr="00F22FC0">
        <w:rPr>
          <w:rFonts w:ascii="Garamond" w:hAnsi="Garamond" w:cs="Times New Roman"/>
          <w:i/>
          <w:iCs/>
          <w:color w:val="000000"/>
          <w:sz w:val="24"/>
          <w:szCs w:val="24"/>
          <w:lang w:val="sq-AL"/>
        </w:rPr>
        <w:t>Targovska</w:t>
      </w:r>
      <w:proofErr w:type="spellEnd"/>
      <w:r w:rsidRPr="00F22FC0">
        <w:rPr>
          <w:rFonts w:ascii="Garamond" w:hAnsi="Garamond" w:cs="Times New Roman"/>
          <w:i/>
          <w:iCs/>
          <w:color w:val="000000"/>
          <w:sz w:val="24"/>
          <w:szCs w:val="24"/>
          <w:lang w:val="sq-AL"/>
        </w:rPr>
        <w:t xml:space="preserve"> Banka </w:t>
      </w:r>
      <w:proofErr w:type="spellStart"/>
      <w:r w:rsidRPr="00F22FC0">
        <w:rPr>
          <w:rFonts w:ascii="Garamond" w:hAnsi="Garamond" w:cs="Times New Roman"/>
          <w:i/>
          <w:iCs/>
          <w:color w:val="000000"/>
          <w:sz w:val="24"/>
          <w:szCs w:val="24"/>
          <w:lang w:val="sq-AL"/>
        </w:rPr>
        <w:t>AD</w:t>
      </w:r>
      <w:proofErr w:type="spellEnd"/>
      <w:r w:rsidRPr="00F22FC0">
        <w:rPr>
          <w:rFonts w:ascii="Garamond" w:hAnsi="Garamond" w:cs="Times New Roman"/>
          <w:i/>
          <w:iCs/>
          <w:color w:val="000000"/>
          <w:sz w:val="24"/>
          <w:szCs w:val="24"/>
          <w:lang w:val="sq-AL"/>
        </w:rPr>
        <w:t xml:space="preserve"> kundër Bullgarisë</w:t>
      </w:r>
      <w:r w:rsidRPr="00F22FC0">
        <w:rPr>
          <w:rFonts w:ascii="Garamond" w:hAnsi="Garamond" w:cs="Times New Roman"/>
          <w:color w:val="000000"/>
          <w:sz w:val="24"/>
          <w:szCs w:val="24"/>
          <w:lang w:val="sq-AL"/>
        </w:rPr>
        <w:t xml:space="preserve">, nr. 46564/15 dhe 68140/16, § 115, 30 </w:t>
      </w:r>
      <w:r w:rsidR="00AC7328" w:rsidRPr="00F22FC0">
        <w:rPr>
          <w:rFonts w:ascii="Garamond" w:hAnsi="Garamond" w:cs="Times New Roman"/>
          <w:color w:val="000000"/>
          <w:sz w:val="24"/>
          <w:szCs w:val="24"/>
          <w:lang w:val="sq-AL"/>
        </w:rPr>
        <w:t xml:space="preserve">gusht </w:t>
      </w:r>
      <w:r w:rsidRPr="00F22FC0">
        <w:rPr>
          <w:rFonts w:ascii="Garamond" w:hAnsi="Garamond" w:cs="Times New Roman"/>
          <w:color w:val="000000"/>
          <w:sz w:val="24"/>
          <w:szCs w:val="24"/>
          <w:lang w:val="sq-AL"/>
        </w:rPr>
        <w:t xml:space="preserve">2022). </w:t>
      </w:r>
    </w:p>
    <w:p w14:paraId="00B22316" w14:textId="38E0E1F2"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22FC0">
        <w:rPr>
          <w:rFonts w:ascii="Garamond" w:hAnsi="Garamond" w:cs="Times New Roman"/>
          <w:b/>
          <w:bCs/>
          <w:color w:val="000000"/>
          <w:sz w:val="24"/>
          <w:szCs w:val="24"/>
          <w:lang w:val="sq-AL"/>
        </w:rPr>
        <w:t xml:space="preserve">B. Neni 5 § 2 i Konventës </w:t>
      </w:r>
    </w:p>
    <w:p w14:paraId="7A40E500" w14:textId="666222FB"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9. Kërkuesi u ankua në mbështetje të </w:t>
      </w:r>
      <w:r w:rsidR="00AC7328"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5 § 2 të Konventës se autoritetet vend</w:t>
      </w:r>
      <w:r w:rsidR="00AC7328">
        <w:rPr>
          <w:rFonts w:ascii="Garamond" w:hAnsi="Garamond" w:cs="Times New Roman"/>
          <w:color w:val="000000"/>
          <w:sz w:val="24"/>
          <w:szCs w:val="24"/>
          <w:lang w:val="sq-AL"/>
        </w:rPr>
        <w:t>ë</w:t>
      </w:r>
      <w:r w:rsidRPr="00F22FC0">
        <w:rPr>
          <w:rFonts w:ascii="Garamond" w:hAnsi="Garamond" w:cs="Times New Roman"/>
          <w:color w:val="000000"/>
          <w:sz w:val="24"/>
          <w:szCs w:val="24"/>
          <w:lang w:val="sq-AL"/>
        </w:rPr>
        <w:t xml:space="preserve">se nuk e kishin informuar siç duhej për arsyet e arrestimit të tij dhe akuzat ndaj tij. Megjithatë, Gjykata vlerëson se Qeveria kishte parashtruar se kërkuesi ishte kapur </w:t>
      </w:r>
      <w:r w:rsidRPr="00F22FC0">
        <w:rPr>
          <w:rFonts w:ascii="Garamond" w:hAnsi="Garamond" w:cs="Times New Roman"/>
          <w:i/>
          <w:iCs/>
          <w:color w:val="000000"/>
          <w:sz w:val="24"/>
          <w:szCs w:val="24"/>
          <w:lang w:val="sq-AL"/>
        </w:rPr>
        <w:t xml:space="preserve">in flagrante </w:t>
      </w:r>
      <w:proofErr w:type="spellStart"/>
      <w:r w:rsidRPr="00F22FC0">
        <w:rPr>
          <w:rFonts w:ascii="Garamond" w:hAnsi="Garamond" w:cs="Times New Roman"/>
          <w:i/>
          <w:iCs/>
          <w:color w:val="000000"/>
          <w:sz w:val="24"/>
          <w:szCs w:val="24"/>
          <w:lang w:val="sq-AL"/>
        </w:rPr>
        <w:t>delicto</w:t>
      </w:r>
      <w:proofErr w:type="spellEnd"/>
      <w:r w:rsidRPr="00F22FC0">
        <w:rPr>
          <w:rFonts w:ascii="Garamond" w:hAnsi="Garamond" w:cs="Times New Roman"/>
          <w:color w:val="000000"/>
          <w:sz w:val="24"/>
          <w:szCs w:val="24"/>
          <w:lang w:val="sq-AL"/>
        </w:rPr>
        <w:t xml:space="preserve"> në posedim të lëndëve narkotike, dhe se vet ai i kishte orientuar oficerët e policisë te një ven</w:t>
      </w:r>
      <w:bookmarkStart w:id="0" w:name="_GoBack"/>
      <w:bookmarkEnd w:id="0"/>
      <w:r w:rsidRPr="00F22FC0">
        <w:rPr>
          <w:rFonts w:ascii="Garamond" w:hAnsi="Garamond" w:cs="Times New Roman"/>
          <w:color w:val="000000"/>
          <w:sz w:val="24"/>
          <w:szCs w:val="24"/>
          <w:lang w:val="sq-AL"/>
        </w:rPr>
        <w:t xml:space="preserve">d i fshehur në banesën e tij ku ai mbante lëndë narkotike dhe një peshore të vogël. Kërkuesi nuk i kundërshtoi këto fakte. Gjykata gjykon se në këto rrethana, kërkuesi nuk mund të pretendojë se nuk e kuptonte se përse ishte arrestuar dhe shoqëruar në rajonin e policisë (krahaso </w:t>
      </w:r>
      <w:proofErr w:type="spellStart"/>
      <w:r w:rsidRPr="00F22FC0">
        <w:rPr>
          <w:rFonts w:ascii="Garamond" w:hAnsi="Garamond" w:cs="Times New Roman"/>
          <w:i/>
          <w:iCs/>
          <w:color w:val="000000"/>
          <w:sz w:val="24"/>
          <w:szCs w:val="24"/>
          <w:lang w:val="sq-AL"/>
        </w:rPr>
        <w:t>Dikme</w:t>
      </w:r>
      <w:proofErr w:type="spellEnd"/>
      <w:r w:rsidRPr="00F22FC0">
        <w:rPr>
          <w:rFonts w:ascii="Garamond" w:hAnsi="Garamond" w:cs="Times New Roman"/>
          <w:i/>
          <w:iCs/>
          <w:color w:val="000000"/>
          <w:sz w:val="24"/>
          <w:szCs w:val="24"/>
          <w:lang w:val="sq-AL"/>
        </w:rPr>
        <w:t xml:space="preserve"> kundër Turqisë</w:t>
      </w:r>
      <w:r w:rsidRPr="00F22FC0">
        <w:rPr>
          <w:rFonts w:ascii="Garamond" w:hAnsi="Garamond" w:cs="Times New Roman"/>
          <w:color w:val="000000"/>
          <w:sz w:val="24"/>
          <w:szCs w:val="24"/>
          <w:lang w:val="sq-AL"/>
        </w:rPr>
        <w:t xml:space="preserve">, nr. 20869/92, § 54, </w:t>
      </w:r>
      <w:proofErr w:type="spellStart"/>
      <w:r w:rsidRPr="00F22FC0">
        <w:rPr>
          <w:rFonts w:ascii="Garamond" w:hAnsi="Garamond" w:cs="Times New Roman"/>
          <w:color w:val="000000"/>
          <w:sz w:val="24"/>
          <w:szCs w:val="24"/>
          <w:lang w:val="sq-AL"/>
        </w:rPr>
        <w:t>GJEDNJ</w:t>
      </w:r>
      <w:proofErr w:type="spellEnd"/>
      <w:r w:rsidRPr="00F22FC0">
        <w:rPr>
          <w:rFonts w:ascii="Garamond" w:hAnsi="Garamond" w:cs="Times New Roman"/>
          <w:color w:val="000000"/>
          <w:sz w:val="24"/>
          <w:szCs w:val="24"/>
          <w:lang w:val="sq-AL"/>
        </w:rPr>
        <w:t xml:space="preserve"> 2000-</w:t>
      </w:r>
      <w:proofErr w:type="spellStart"/>
      <w:r w:rsidRPr="00F22FC0">
        <w:rPr>
          <w:rFonts w:ascii="Garamond" w:hAnsi="Garamond" w:cs="Times New Roman"/>
          <w:color w:val="000000"/>
          <w:sz w:val="24"/>
          <w:szCs w:val="24"/>
          <w:lang w:val="sq-AL"/>
        </w:rPr>
        <w:t>VIII</w:t>
      </w:r>
      <w:proofErr w:type="spellEnd"/>
      <w:r w:rsidRPr="00F22FC0">
        <w:rPr>
          <w:rFonts w:ascii="Garamond" w:hAnsi="Garamond" w:cs="Times New Roman"/>
          <w:color w:val="000000"/>
          <w:sz w:val="24"/>
          <w:szCs w:val="24"/>
          <w:lang w:val="sq-AL"/>
        </w:rPr>
        <w:t xml:space="preserve">). Në vijim, kërkuesi u mor në pyetje nga policia në praninë e avokatit të tij vetëm pak orë pasi ishte ndaluar nga oficerët e policisë në rrugë dhe ishte bërë me dije për akuzat ndaj tij. Së fundmi, në procesverbalin për arrestimin e tij, të përpiluar në po të njëjtën ditë, kërkuesi u informua përsëri për akuzat ndaj tij. Ky procesverbal iu paraqit menjëherë dhe ai e nënshkroi atë. </w:t>
      </w:r>
    </w:p>
    <w:p w14:paraId="269E2451" w14:textId="2F9D4848"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10. Duke mbajtur në konsideratë sa më sipër, dhe duke pasur parasysh se </w:t>
      </w:r>
      <w:r w:rsidR="00AC7328" w:rsidRPr="00F22FC0">
        <w:rPr>
          <w:rFonts w:ascii="Garamond" w:hAnsi="Garamond" w:cs="Times New Roman"/>
          <w:color w:val="000000"/>
          <w:sz w:val="24"/>
          <w:szCs w:val="24"/>
          <w:lang w:val="sq-AL"/>
        </w:rPr>
        <w:t xml:space="preserve">neni </w:t>
      </w:r>
      <w:r w:rsidRPr="00F22FC0">
        <w:rPr>
          <w:rFonts w:ascii="Garamond" w:hAnsi="Garamond" w:cs="Times New Roman"/>
          <w:color w:val="000000"/>
          <w:sz w:val="24"/>
          <w:szCs w:val="24"/>
          <w:lang w:val="sq-AL"/>
        </w:rPr>
        <w:t xml:space="preserve">5 § 2 nuk parashikon që arsyet për arrestin të jepen në ndonjë formë të caktuar, Gjykata arrin në përfundimin se duhet të gjykohet se kërkuesi ka qenë në dijeni të arsyeve për arrestimin e tij në momentin e, ose menjëherë pas, arrestimit të tij (krahaso </w:t>
      </w:r>
      <w:proofErr w:type="spellStart"/>
      <w:r w:rsidRPr="00F22FC0">
        <w:rPr>
          <w:rFonts w:ascii="Garamond" w:hAnsi="Garamond" w:cs="Times New Roman"/>
          <w:i/>
          <w:iCs/>
          <w:color w:val="000000"/>
          <w:sz w:val="24"/>
          <w:szCs w:val="24"/>
          <w:lang w:val="sq-AL"/>
        </w:rPr>
        <w:t>Döner</w:t>
      </w:r>
      <w:proofErr w:type="spellEnd"/>
      <w:r w:rsidRPr="00F22FC0">
        <w:rPr>
          <w:rFonts w:ascii="Garamond" w:hAnsi="Garamond" w:cs="Times New Roman"/>
          <w:i/>
          <w:iCs/>
          <w:color w:val="000000"/>
          <w:sz w:val="24"/>
          <w:szCs w:val="24"/>
          <w:lang w:val="sq-AL"/>
        </w:rPr>
        <w:t xml:space="preserve"> dhe të Tjerë kundër Turqisë</w:t>
      </w:r>
      <w:r w:rsidRPr="00F22FC0">
        <w:rPr>
          <w:rFonts w:ascii="Garamond" w:hAnsi="Garamond" w:cs="Times New Roman"/>
          <w:color w:val="000000"/>
          <w:sz w:val="24"/>
          <w:szCs w:val="24"/>
          <w:lang w:val="sq-AL"/>
        </w:rPr>
        <w:t>, nr. 29994/02, §§ 47</w:t>
      </w:r>
      <w:r w:rsidR="00614AFC">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49, 7 </w:t>
      </w:r>
      <w:r w:rsidR="00AC7328" w:rsidRPr="00F22FC0">
        <w:rPr>
          <w:rFonts w:ascii="Garamond" w:hAnsi="Garamond" w:cs="Times New Roman"/>
          <w:color w:val="000000"/>
          <w:sz w:val="24"/>
          <w:szCs w:val="24"/>
          <w:lang w:val="sq-AL"/>
        </w:rPr>
        <w:t xml:space="preserve">mars </w:t>
      </w:r>
      <w:r w:rsidRPr="00F22FC0">
        <w:rPr>
          <w:rFonts w:ascii="Garamond" w:hAnsi="Garamond" w:cs="Times New Roman"/>
          <w:color w:val="000000"/>
          <w:sz w:val="24"/>
          <w:szCs w:val="24"/>
          <w:lang w:val="sq-AL"/>
        </w:rPr>
        <w:t xml:space="preserve">2017. </w:t>
      </w:r>
    </w:p>
    <w:p w14:paraId="1BE3FFE2" w14:textId="2957CE64"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11. Për sa më sipër, kjo ankesë është qartazi e pambështetur në fakte sipas </w:t>
      </w:r>
      <w:r w:rsidR="00AC7328"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 xml:space="preserve">35 §§ 3 (a) dhe 4 të Konventës. </w:t>
      </w:r>
    </w:p>
    <w:p w14:paraId="629158A1" w14:textId="7D6688FA"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F22FC0">
        <w:rPr>
          <w:rFonts w:ascii="Garamond" w:hAnsi="Garamond" w:cs="Times New Roman"/>
          <w:b/>
          <w:bCs/>
          <w:color w:val="000000"/>
          <w:sz w:val="24"/>
          <w:szCs w:val="24"/>
          <w:lang w:val="sq-AL"/>
        </w:rPr>
        <w:t>C. Neni 5 § 4 i Konventës</w:t>
      </w:r>
    </w:p>
    <w:p w14:paraId="5135959B" w14:textId="3870C5E1"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12. Në vijim, kërkuesi u ankua në mbështetje të </w:t>
      </w:r>
      <w:r w:rsidR="00460868"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5 § 4 të Konventës se atij i ishte ndaluar e drejta që për ndalimin e tij të merrej një vendim i shpejtë nga gjykata</w:t>
      </w:r>
      <w:r w:rsidR="00460868">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për shkak të mosfunksionimit të pretenduar të Gjykatës së Lartë dhe Gjykatës Kushtetuese. </w:t>
      </w:r>
    </w:p>
    <w:p w14:paraId="0FB93EBE" w14:textId="556FC023"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13. Gjykata thekson se </w:t>
      </w:r>
      <w:r w:rsidR="00460868" w:rsidRPr="00F22FC0">
        <w:rPr>
          <w:rFonts w:ascii="Garamond" w:hAnsi="Garamond" w:cs="Times New Roman"/>
          <w:color w:val="000000"/>
          <w:sz w:val="24"/>
          <w:szCs w:val="24"/>
          <w:lang w:val="sq-AL"/>
        </w:rPr>
        <w:t xml:space="preserve">neni </w:t>
      </w:r>
      <w:r w:rsidRPr="00F22FC0">
        <w:rPr>
          <w:rFonts w:ascii="Garamond" w:hAnsi="Garamond" w:cs="Times New Roman"/>
          <w:color w:val="000000"/>
          <w:sz w:val="24"/>
          <w:szCs w:val="24"/>
          <w:lang w:val="sq-AL"/>
        </w:rPr>
        <w:t xml:space="preserve">5 § 4 i Konventës i jep të drejtën një personi të arrestuar ose të ndaluar në paraburgim të paraqesë procedurat për shqyrtim nga një gjykatë për kushtet procedurale dhe </w:t>
      </w:r>
      <w:r w:rsidRPr="00F22FC0">
        <w:rPr>
          <w:rFonts w:ascii="Garamond" w:hAnsi="Garamond" w:cs="Times New Roman"/>
          <w:color w:val="000000"/>
          <w:sz w:val="24"/>
          <w:szCs w:val="24"/>
          <w:lang w:val="sq-AL"/>
        </w:rPr>
        <w:lastRenderedPageBreak/>
        <w:t xml:space="preserve">themelore që janë thelbësore për “ligjshmërinë”, sipas interpretimit të </w:t>
      </w:r>
      <w:r w:rsidR="00460868" w:rsidRPr="00F22FC0">
        <w:rPr>
          <w:rFonts w:ascii="Garamond" w:hAnsi="Garamond" w:cs="Times New Roman"/>
          <w:color w:val="000000"/>
          <w:sz w:val="24"/>
          <w:szCs w:val="24"/>
          <w:lang w:val="sq-AL"/>
        </w:rPr>
        <w:t xml:space="preserve">nenit </w:t>
      </w:r>
      <w:r w:rsidRPr="00F22FC0">
        <w:rPr>
          <w:rFonts w:ascii="Garamond" w:hAnsi="Garamond" w:cs="Times New Roman"/>
          <w:color w:val="000000"/>
          <w:sz w:val="24"/>
          <w:szCs w:val="24"/>
          <w:lang w:val="sq-AL"/>
        </w:rPr>
        <w:t xml:space="preserve">5 § 1, për privimin e tij ose të saj nga liria (shih </w:t>
      </w:r>
      <w:proofErr w:type="spellStart"/>
      <w:r w:rsidRPr="00F22FC0">
        <w:rPr>
          <w:rFonts w:ascii="Garamond" w:hAnsi="Garamond" w:cs="Times New Roman"/>
          <w:i/>
          <w:iCs/>
          <w:color w:val="000000"/>
          <w:sz w:val="24"/>
          <w:szCs w:val="24"/>
          <w:lang w:val="sq-AL"/>
        </w:rPr>
        <w:t>Idalov</w:t>
      </w:r>
      <w:proofErr w:type="spellEnd"/>
      <w:r w:rsidRPr="00F22FC0">
        <w:rPr>
          <w:rFonts w:ascii="Garamond" w:hAnsi="Garamond" w:cs="Times New Roman"/>
          <w:i/>
          <w:iCs/>
          <w:color w:val="000000"/>
          <w:sz w:val="24"/>
          <w:szCs w:val="24"/>
          <w:lang w:val="sq-AL"/>
        </w:rPr>
        <w:t xml:space="preserve"> kundër Rusisë</w:t>
      </w:r>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DHM</w:t>
      </w:r>
      <w:proofErr w:type="spellEnd"/>
      <w:r w:rsidRPr="00F22FC0">
        <w:rPr>
          <w:rFonts w:ascii="Garamond" w:hAnsi="Garamond" w:cs="Times New Roman"/>
          <w:color w:val="000000"/>
          <w:sz w:val="24"/>
          <w:szCs w:val="24"/>
          <w:lang w:val="sq-AL"/>
        </w:rPr>
        <w:t xml:space="preserve">], nr. 5826/03, § 161, 22 </w:t>
      </w:r>
      <w:r w:rsidR="00460868" w:rsidRPr="00F22FC0">
        <w:rPr>
          <w:rFonts w:ascii="Garamond" w:hAnsi="Garamond" w:cs="Times New Roman"/>
          <w:color w:val="000000"/>
          <w:sz w:val="24"/>
          <w:szCs w:val="24"/>
          <w:lang w:val="sq-AL"/>
        </w:rPr>
        <w:t xml:space="preserve">maj </w:t>
      </w:r>
      <w:r w:rsidRPr="00F22FC0">
        <w:rPr>
          <w:rFonts w:ascii="Garamond" w:hAnsi="Garamond" w:cs="Times New Roman"/>
          <w:color w:val="000000"/>
          <w:sz w:val="24"/>
          <w:szCs w:val="24"/>
          <w:lang w:val="sq-AL"/>
        </w:rPr>
        <w:t xml:space="preserve">2012, dhe </w:t>
      </w:r>
      <w:proofErr w:type="spellStart"/>
      <w:r w:rsidRPr="00F22FC0">
        <w:rPr>
          <w:rFonts w:ascii="Garamond" w:hAnsi="Garamond" w:cs="Times New Roman"/>
          <w:i/>
          <w:iCs/>
          <w:color w:val="000000"/>
          <w:sz w:val="24"/>
          <w:szCs w:val="24"/>
          <w:lang w:val="sq-AL"/>
        </w:rPr>
        <w:t>Khlaifia</w:t>
      </w:r>
      <w:proofErr w:type="spellEnd"/>
      <w:r w:rsidRPr="00F22FC0">
        <w:rPr>
          <w:rFonts w:ascii="Garamond" w:hAnsi="Garamond" w:cs="Times New Roman"/>
          <w:i/>
          <w:iCs/>
          <w:color w:val="000000"/>
          <w:sz w:val="24"/>
          <w:szCs w:val="24"/>
          <w:lang w:val="sq-AL"/>
        </w:rPr>
        <w:t xml:space="preserve"> dhe të Tjerë kundër Italisë </w:t>
      </w:r>
      <w:r w:rsidRPr="00F22FC0">
        <w:rPr>
          <w:rFonts w:ascii="Garamond" w:hAnsi="Garamond" w:cs="Times New Roman"/>
          <w:color w:val="000000"/>
          <w:sz w:val="24"/>
          <w:szCs w:val="24"/>
          <w:lang w:val="sq-AL"/>
        </w:rPr>
        <w:t>[</w:t>
      </w:r>
      <w:proofErr w:type="spellStart"/>
      <w:r w:rsidRPr="00F22FC0">
        <w:rPr>
          <w:rFonts w:ascii="Garamond" w:hAnsi="Garamond" w:cs="Times New Roman"/>
          <w:color w:val="000000"/>
          <w:sz w:val="24"/>
          <w:szCs w:val="24"/>
          <w:lang w:val="sq-AL"/>
        </w:rPr>
        <w:t>DHM</w:t>
      </w:r>
      <w:proofErr w:type="spellEnd"/>
      <w:r w:rsidRPr="00F22FC0">
        <w:rPr>
          <w:rFonts w:ascii="Garamond" w:hAnsi="Garamond" w:cs="Times New Roman"/>
          <w:color w:val="000000"/>
          <w:sz w:val="24"/>
          <w:szCs w:val="24"/>
          <w:lang w:val="sq-AL"/>
        </w:rPr>
        <w:t xml:space="preserve">], nr. 16483/12, 15 </w:t>
      </w:r>
      <w:r w:rsidR="00460868" w:rsidRPr="00F22FC0">
        <w:rPr>
          <w:rFonts w:ascii="Garamond" w:hAnsi="Garamond" w:cs="Times New Roman"/>
          <w:color w:val="000000"/>
          <w:sz w:val="24"/>
          <w:szCs w:val="24"/>
          <w:lang w:val="sq-AL"/>
        </w:rPr>
        <w:t xml:space="preserve">dhjetor </w:t>
      </w:r>
      <w:r w:rsidRPr="00F22FC0">
        <w:rPr>
          <w:rFonts w:ascii="Garamond" w:hAnsi="Garamond" w:cs="Times New Roman"/>
          <w:color w:val="000000"/>
          <w:sz w:val="24"/>
          <w:szCs w:val="24"/>
          <w:lang w:val="sq-AL"/>
        </w:rPr>
        <w:t xml:space="preserve">2016). </w:t>
      </w:r>
    </w:p>
    <w:p w14:paraId="50A8B3EC" w14:textId="68620311"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14. Për sa i përket çështjes konkrete, Gjykata vëren fillimisht se paraburgimi i kërkuesit ishte urdhëruar nga një organ gjyqësor, më konkretisht Gjykata e Apelit Tiranë. Në vijim, Gjykata thekson se </w:t>
      </w:r>
      <w:r w:rsidR="00460868" w:rsidRPr="00F22FC0">
        <w:rPr>
          <w:rFonts w:ascii="Garamond" w:hAnsi="Garamond" w:cs="Times New Roman"/>
          <w:color w:val="000000"/>
          <w:sz w:val="24"/>
          <w:szCs w:val="24"/>
          <w:lang w:val="sq-AL"/>
        </w:rPr>
        <w:t xml:space="preserve">neni </w:t>
      </w:r>
      <w:r w:rsidRPr="00F22FC0">
        <w:rPr>
          <w:rFonts w:ascii="Garamond" w:hAnsi="Garamond" w:cs="Times New Roman"/>
          <w:color w:val="000000"/>
          <w:sz w:val="24"/>
          <w:szCs w:val="24"/>
          <w:lang w:val="sq-AL"/>
        </w:rPr>
        <w:t xml:space="preserve">5 § 4 nuk i detyron Shtetet Kontraktuese të krijojnë një juridiksion të nivelit të dytë për shqyrtimin e ligjshmërisë së ndalimit (shih </w:t>
      </w:r>
      <w:proofErr w:type="spellStart"/>
      <w:r w:rsidRPr="00F22FC0">
        <w:rPr>
          <w:rFonts w:ascii="Garamond" w:hAnsi="Garamond" w:cs="Times New Roman"/>
          <w:i/>
          <w:iCs/>
          <w:color w:val="000000"/>
          <w:sz w:val="24"/>
          <w:szCs w:val="24"/>
          <w:lang w:val="sq-AL"/>
        </w:rPr>
        <w:t>Stevan</w:t>
      </w:r>
      <w:proofErr w:type="spellEnd"/>
      <w:r w:rsidRPr="00F22FC0">
        <w:rPr>
          <w:rFonts w:ascii="Garamond" w:hAnsi="Garamond" w:cs="Times New Roman"/>
          <w:i/>
          <w:iCs/>
          <w:color w:val="000000"/>
          <w:sz w:val="24"/>
          <w:szCs w:val="24"/>
          <w:lang w:val="sq-AL"/>
        </w:rPr>
        <w:t xml:space="preserve"> </w:t>
      </w:r>
      <w:proofErr w:type="spellStart"/>
      <w:r w:rsidRPr="00F22FC0">
        <w:rPr>
          <w:rFonts w:ascii="Garamond" w:hAnsi="Garamond" w:cs="Times New Roman"/>
          <w:i/>
          <w:iCs/>
          <w:color w:val="000000"/>
          <w:sz w:val="24"/>
          <w:szCs w:val="24"/>
          <w:lang w:val="sq-AL"/>
        </w:rPr>
        <w:t>Petrović</w:t>
      </w:r>
      <w:proofErr w:type="spellEnd"/>
      <w:r w:rsidRPr="00F22FC0">
        <w:rPr>
          <w:rFonts w:ascii="Garamond" w:hAnsi="Garamond" w:cs="Times New Roman"/>
          <w:i/>
          <w:iCs/>
          <w:color w:val="000000"/>
          <w:sz w:val="24"/>
          <w:szCs w:val="24"/>
          <w:lang w:val="sq-AL"/>
        </w:rPr>
        <w:t xml:space="preserve"> kundër Serbisë</w:t>
      </w:r>
      <w:r w:rsidRPr="00F22FC0">
        <w:rPr>
          <w:rFonts w:ascii="Garamond" w:hAnsi="Garamond" w:cs="Times New Roman"/>
          <w:color w:val="000000"/>
          <w:sz w:val="24"/>
          <w:szCs w:val="24"/>
          <w:lang w:val="sq-AL"/>
        </w:rPr>
        <w:t xml:space="preserve">, nr. 6097/16 dhe 28999/19, § 177, 20 </w:t>
      </w:r>
      <w:r w:rsidR="00460868" w:rsidRPr="00F22FC0">
        <w:rPr>
          <w:rFonts w:ascii="Garamond" w:hAnsi="Garamond" w:cs="Times New Roman"/>
          <w:color w:val="000000"/>
          <w:sz w:val="24"/>
          <w:szCs w:val="24"/>
          <w:lang w:val="sq-AL"/>
        </w:rPr>
        <w:t xml:space="preserve">prill </w:t>
      </w:r>
      <w:r w:rsidRPr="00F22FC0">
        <w:rPr>
          <w:rFonts w:ascii="Garamond" w:hAnsi="Garamond" w:cs="Times New Roman"/>
          <w:color w:val="000000"/>
          <w:sz w:val="24"/>
          <w:szCs w:val="24"/>
          <w:lang w:val="sq-AL"/>
        </w:rPr>
        <w:t>2021). Sidoqoftë, një Shtet që e krijon një sistem të tillë, në parim, duhet t’</w:t>
      </w:r>
      <w:r w:rsidR="00460868">
        <w:rPr>
          <w:rFonts w:ascii="Garamond" w:hAnsi="Garamond" w:cs="Times New Roman"/>
          <w:color w:val="000000"/>
          <w:sz w:val="24"/>
          <w:szCs w:val="24"/>
          <w:lang w:val="sq-AL"/>
        </w:rPr>
        <w:t>u</w:t>
      </w:r>
      <w:r w:rsidRPr="00F22FC0">
        <w:rPr>
          <w:rFonts w:ascii="Garamond" w:hAnsi="Garamond" w:cs="Times New Roman"/>
          <w:color w:val="000000"/>
          <w:sz w:val="24"/>
          <w:szCs w:val="24"/>
          <w:lang w:val="sq-AL"/>
        </w:rPr>
        <w:t xml:space="preserve"> ofrojë të ndaluarve të njëjtat garanci për apelim si në shkallën e parë (shih </w:t>
      </w:r>
      <w:proofErr w:type="spellStart"/>
      <w:r w:rsidRPr="00F22FC0">
        <w:rPr>
          <w:rFonts w:ascii="Garamond" w:hAnsi="Garamond" w:cs="Times New Roman"/>
          <w:i/>
          <w:iCs/>
          <w:color w:val="000000"/>
          <w:sz w:val="24"/>
          <w:szCs w:val="24"/>
          <w:lang w:val="sq-AL"/>
        </w:rPr>
        <w:t>Fodale</w:t>
      </w:r>
      <w:proofErr w:type="spellEnd"/>
      <w:r w:rsidRPr="00F22FC0">
        <w:rPr>
          <w:rFonts w:ascii="Garamond" w:hAnsi="Garamond" w:cs="Times New Roman"/>
          <w:i/>
          <w:iCs/>
          <w:color w:val="000000"/>
          <w:sz w:val="24"/>
          <w:szCs w:val="24"/>
          <w:lang w:val="sq-AL"/>
        </w:rPr>
        <w:t xml:space="preserve"> kundër Italisë, </w:t>
      </w:r>
      <w:r w:rsidRPr="00F22FC0">
        <w:rPr>
          <w:rFonts w:ascii="Garamond" w:hAnsi="Garamond" w:cs="Times New Roman"/>
          <w:color w:val="000000"/>
          <w:sz w:val="24"/>
          <w:szCs w:val="24"/>
          <w:lang w:val="sq-AL"/>
        </w:rPr>
        <w:t xml:space="preserve">nr. 70148/01, 39, </w:t>
      </w:r>
      <w:proofErr w:type="spellStart"/>
      <w:r w:rsidRPr="00F22FC0">
        <w:rPr>
          <w:rFonts w:ascii="Garamond" w:hAnsi="Garamond" w:cs="Times New Roman"/>
          <w:color w:val="000000"/>
          <w:sz w:val="24"/>
          <w:szCs w:val="24"/>
          <w:lang w:val="sq-AL"/>
        </w:rPr>
        <w:t>GJEDNJ</w:t>
      </w:r>
      <w:proofErr w:type="spellEnd"/>
      <w:r w:rsidRPr="00F22FC0">
        <w:rPr>
          <w:rFonts w:ascii="Garamond" w:hAnsi="Garamond" w:cs="Times New Roman"/>
          <w:color w:val="000000"/>
          <w:sz w:val="24"/>
          <w:szCs w:val="24"/>
          <w:lang w:val="sq-AL"/>
        </w:rPr>
        <w:t xml:space="preserve"> 2006-</w:t>
      </w:r>
      <w:proofErr w:type="spellStart"/>
      <w:r w:rsidRPr="00F22FC0">
        <w:rPr>
          <w:rFonts w:ascii="Garamond" w:hAnsi="Garamond" w:cs="Times New Roman"/>
          <w:color w:val="000000"/>
          <w:sz w:val="24"/>
          <w:szCs w:val="24"/>
          <w:lang w:val="sq-AL"/>
        </w:rPr>
        <w:t>VII</w:t>
      </w:r>
      <w:proofErr w:type="spellEnd"/>
      <w:r w:rsidRPr="00F22FC0">
        <w:rPr>
          <w:rFonts w:ascii="Garamond" w:hAnsi="Garamond" w:cs="Times New Roman"/>
          <w:color w:val="000000"/>
          <w:sz w:val="24"/>
          <w:szCs w:val="24"/>
          <w:lang w:val="sq-AL"/>
        </w:rPr>
        <w:t xml:space="preserve">). </w:t>
      </w:r>
    </w:p>
    <w:p w14:paraId="730B47B6" w14:textId="3027B663"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15. Në sistemin shqiptar, apelimi në Gjykatën e Lartë në parim është i mundur ndaj vendimeve gjyqësore të shkallës së dytë. Megjithatë, këto apelime duhet të kufizohen brenda disa shkaqeve të parashikuara në </w:t>
      </w:r>
      <w:r w:rsidR="00074706" w:rsidRPr="00F22FC0">
        <w:rPr>
          <w:rFonts w:ascii="Garamond" w:hAnsi="Garamond" w:cs="Times New Roman"/>
          <w:color w:val="000000"/>
          <w:sz w:val="24"/>
          <w:szCs w:val="24"/>
          <w:lang w:val="sq-AL"/>
        </w:rPr>
        <w:t xml:space="preserve">nenin </w:t>
      </w:r>
      <w:r w:rsidRPr="00F22FC0">
        <w:rPr>
          <w:rFonts w:ascii="Garamond" w:hAnsi="Garamond" w:cs="Times New Roman"/>
          <w:color w:val="000000"/>
          <w:sz w:val="24"/>
          <w:szCs w:val="24"/>
          <w:lang w:val="sq-AL"/>
        </w:rPr>
        <w:t xml:space="preserve">432 të Kodit të Procedurës Penale. Duke qenë se kërkuesi nuk u mbështet në asnjërën prej këtyre arsyeve, apelimi i tij u rrëzua (shih paragrafin 6 më sipër). Në këtë linjë, gjykata thekson se Shtetet mund të kufizojnë </w:t>
      </w:r>
      <w:proofErr w:type="spellStart"/>
      <w:r w:rsidRPr="00F22FC0">
        <w:rPr>
          <w:rFonts w:ascii="Garamond" w:hAnsi="Garamond" w:cs="Times New Roman"/>
          <w:color w:val="000000"/>
          <w:sz w:val="24"/>
          <w:szCs w:val="24"/>
          <w:lang w:val="sq-AL"/>
        </w:rPr>
        <w:t>aksesin</w:t>
      </w:r>
      <w:proofErr w:type="spellEnd"/>
      <w:r w:rsidRPr="00F22FC0">
        <w:rPr>
          <w:rFonts w:ascii="Garamond" w:hAnsi="Garamond" w:cs="Times New Roman"/>
          <w:color w:val="000000"/>
          <w:sz w:val="24"/>
          <w:szCs w:val="24"/>
          <w:lang w:val="sq-AL"/>
        </w:rPr>
        <w:t xml:space="preserve"> në gjykatat më të larta dhe se kushtet e </w:t>
      </w:r>
      <w:proofErr w:type="spellStart"/>
      <w:r w:rsidRPr="00F22FC0">
        <w:rPr>
          <w:rFonts w:ascii="Garamond" w:hAnsi="Garamond" w:cs="Times New Roman"/>
          <w:color w:val="000000"/>
          <w:sz w:val="24"/>
          <w:szCs w:val="24"/>
          <w:lang w:val="sq-AL"/>
        </w:rPr>
        <w:t>pranueshmërisë</w:t>
      </w:r>
      <w:proofErr w:type="spellEnd"/>
      <w:r w:rsidRPr="00F22FC0">
        <w:rPr>
          <w:rFonts w:ascii="Garamond" w:hAnsi="Garamond" w:cs="Times New Roman"/>
          <w:color w:val="000000"/>
          <w:sz w:val="24"/>
          <w:szCs w:val="24"/>
          <w:lang w:val="sq-AL"/>
        </w:rPr>
        <w:t xml:space="preserve"> së një apelimi për pika të ligjit ose të një apelimi në një gjykatë më të lartë – si për shembull Gjykata e Lartë – mund të jenë më </w:t>
      </w:r>
      <w:proofErr w:type="spellStart"/>
      <w:r w:rsidRPr="00F22FC0">
        <w:rPr>
          <w:rFonts w:ascii="Garamond" w:hAnsi="Garamond" w:cs="Times New Roman"/>
          <w:color w:val="000000"/>
          <w:sz w:val="24"/>
          <w:szCs w:val="24"/>
          <w:lang w:val="sq-AL"/>
        </w:rPr>
        <w:t>strikte</w:t>
      </w:r>
      <w:proofErr w:type="spellEnd"/>
      <w:r w:rsidRPr="00F22FC0">
        <w:rPr>
          <w:rFonts w:ascii="Garamond" w:hAnsi="Garamond" w:cs="Times New Roman"/>
          <w:color w:val="000000"/>
          <w:sz w:val="24"/>
          <w:szCs w:val="24"/>
          <w:lang w:val="sq-AL"/>
        </w:rPr>
        <w:t xml:space="preserve"> sesa për një apelim të zakonshëm (shih </w:t>
      </w:r>
      <w:proofErr w:type="spellStart"/>
      <w:r w:rsidRPr="00F22FC0">
        <w:rPr>
          <w:rFonts w:ascii="Garamond" w:hAnsi="Garamond" w:cs="Times New Roman"/>
          <w:i/>
          <w:iCs/>
          <w:color w:val="000000"/>
          <w:sz w:val="24"/>
          <w:szCs w:val="24"/>
          <w:lang w:val="sq-AL"/>
        </w:rPr>
        <w:t>Zubac</w:t>
      </w:r>
      <w:proofErr w:type="spellEnd"/>
      <w:r w:rsidRPr="00F22FC0">
        <w:rPr>
          <w:rFonts w:ascii="Garamond" w:hAnsi="Garamond" w:cs="Times New Roman"/>
          <w:i/>
          <w:iCs/>
          <w:color w:val="000000"/>
          <w:sz w:val="24"/>
          <w:szCs w:val="24"/>
          <w:lang w:val="sq-AL"/>
        </w:rPr>
        <w:t xml:space="preserve"> kundër Kroacisë</w:t>
      </w:r>
      <w:r w:rsidRPr="00F22FC0">
        <w:rPr>
          <w:rFonts w:ascii="Garamond" w:hAnsi="Garamond" w:cs="Times New Roman"/>
          <w:color w:val="000000"/>
          <w:sz w:val="24"/>
          <w:szCs w:val="24"/>
          <w:lang w:val="sq-AL"/>
        </w:rPr>
        <w:t xml:space="preserve"> [</w:t>
      </w:r>
      <w:proofErr w:type="spellStart"/>
      <w:r w:rsidRPr="00F22FC0">
        <w:rPr>
          <w:rFonts w:ascii="Garamond" w:hAnsi="Garamond" w:cs="Times New Roman"/>
          <w:color w:val="000000"/>
          <w:sz w:val="24"/>
          <w:szCs w:val="24"/>
          <w:lang w:val="sq-AL"/>
        </w:rPr>
        <w:t>DHM</w:t>
      </w:r>
      <w:proofErr w:type="spellEnd"/>
      <w:r w:rsidRPr="00F22FC0">
        <w:rPr>
          <w:rFonts w:ascii="Garamond" w:hAnsi="Garamond" w:cs="Times New Roman"/>
          <w:color w:val="000000"/>
          <w:sz w:val="24"/>
          <w:szCs w:val="24"/>
          <w:lang w:val="sq-AL"/>
        </w:rPr>
        <w:t xml:space="preserve">], nr. 40160/12, § 82, 5 </w:t>
      </w:r>
      <w:r w:rsidR="00F22FC0" w:rsidRPr="00F22FC0">
        <w:rPr>
          <w:rFonts w:ascii="Garamond" w:hAnsi="Garamond" w:cs="Times New Roman"/>
          <w:color w:val="000000"/>
          <w:sz w:val="24"/>
          <w:szCs w:val="24"/>
          <w:lang w:val="sq-AL"/>
        </w:rPr>
        <w:t xml:space="preserve">prill </w:t>
      </w:r>
      <w:r w:rsidRPr="00F22FC0">
        <w:rPr>
          <w:rFonts w:ascii="Garamond" w:hAnsi="Garamond" w:cs="Times New Roman"/>
          <w:color w:val="000000"/>
          <w:sz w:val="24"/>
          <w:szCs w:val="24"/>
          <w:lang w:val="sq-AL"/>
        </w:rPr>
        <w:t xml:space="preserve">2018). Këto kufizime mund të vendosen, </w:t>
      </w:r>
      <w:proofErr w:type="spellStart"/>
      <w:r w:rsidRPr="00F22FC0">
        <w:rPr>
          <w:rFonts w:ascii="Garamond" w:hAnsi="Garamond" w:cs="Times New Roman"/>
          <w:i/>
          <w:iCs/>
          <w:color w:val="000000"/>
          <w:sz w:val="24"/>
          <w:szCs w:val="24"/>
          <w:lang w:val="sq-AL"/>
        </w:rPr>
        <w:t>inter</w:t>
      </w:r>
      <w:proofErr w:type="spellEnd"/>
      <w:r w:rsidRPr="00F22FC0">
        <w:rPr>
          <w:rFonts w:ascii="Garamond" w:hAnsi="Garamond" w:cs="Times New Roman"/>
          <w:i/>
          <w:iCs/>
          <w:color w:val="000000"/>
          <w:sz w:val="24"/>
          <w:szCs w:val="24"/>
          <w:lang w:val="sq-AL"/>
        </w:rPr>
        <w:t xml:space="preserve"> </w:t>
      </w:r>
      <w:proofErr w:type="spellStart"/>
      <w:r w:rsidRPr="00F22FC0">
        <w:rPr>
          <w:rFonts w:ascii="Garamond" w:hAnsi="Garamond" w:cs="Times New Roman"/>
          <w:i/>
          <w:iCs/>
          <w:color w:val="000000"/>
          <w:sz w:val="24"/>
          <w:szCs w:val="24"/>
          <w:lang w:val="sq-AL"/>
        </w:rPr>
        <w:t>alia</w:t>
      </w:r>
      <w:proofErr w:type="spellEnd"/>
      <w:r w:rsidRPr="00F22FC0">
        <w:rPr>
          <w:rFonts w:ascii="Garamond" w:hAnsi="Garamond" w:cs="Times New Roman"/>
          <w:color w:val="000000"/>
          <w:sz w:val="24"/>
          <w:szCs w:val="24"/>
          <w:lang w:val="sq-AL"/>
        </w:rPr>
        <w:t xml:space="preserve">, duke kufizuar shkaqet e apelimit pranë këtyre gjykatave. </w:t>
      </w:r>
    </w:p>
    <w:p w14:paraId="12CB0F4D" w14:textId="78BDAC28"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16. Në apelimin e tij ndaj vendimit që urdhëronte ndalimin e tij, kërkuesi u ankua se nuk kishte dyshim të arsyeshëm se ai kishte kryer një vepër penale dhe nuk kishte arsye për ndalimin e tij, se nuk ishte informuar menjëherë pasi ishte arrestuar për akuzat ndaj tij, dhe se avokatit të tij nuk i ishte dhënë ndonjë dokument</w:t>
      </w:r>
      <w:r w:rsidR="00074706">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në lidhje me akuzat në mënyrë që ai të mund të përgatiste mbrojtjen e kërkuesit (shih paragrafin 5 më sipër). Gjykata thekson se Gjykata e Apelit Tiranë</w:t>
      </w:r>
      <w:r w:rsidR="00F22FC0">
        <w:rPr>
          <w:rFonts w:ascii="Garamond" w:hAnsi="Garamond" w:cs="Times New Roman"/>
          <w:color w:val="000000"/>
          <w:sz w:val="24"/>
          <w:szCs w:val="24"/>
          <w:lang w:val="sq-AL"/>
        </w:rPr>
        <w:t xml:space="preserve"> </w:t>
      </w:r>
      <w:r w:rsidRPr="00F22FC0">
        <w:rPr>
          <w:rFonts w:ascii="Garamond" w:hAnsi="Garamond" w:cs="Times New Roman"/>
          <w:color w:val="000000"/>
          <w:sz w:val="24"/>
          <w:szCs w:val="24"/>
          <w:lang w:val="sq-AL"/>
        </w:rPr>
        <w:t>kishte dhënë arse të mjaftueshme dhe të përshtatshme</w:t>
      </w:r>
      <w:r w:rsidR="00074706">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në lidhje me urdhrin për paraburgimin e kërkuesit (shih paragrafin 4 më sipër). </w:t>
      </w:r>
    </w:p>
    <w:p w14:paraId="1316ABF5" w14:textId="3DFDD74A"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17. Së fundmi, periudha më pak se tre muaj që Gjykata e Lartë të vendoste për apelimin e kërkuesit nuk duket të jetë e tepërt, duke qenë se standardi për “shpejtësi” është më pak i rreptë kur është rasti i procedurave në gjykatën e apelit (shih </w:t>
      </w:r>
      <w:proofErr w:type="spellStart"/>
      <w:r w:rsidRPr="00F22FC0">
        <w:rPr>
          <w:rFonts w:ascii="Garamond" w:hAnsi="Garamond" w:cs="Times New Roman"/>
          <w:i/>
          <w:iCs/>
          <w:color w:val="000000"/>
          <w:sz w:val="24"/>
          <w:szCs w:val="24"/>
          <w:lang w:val="sq-AL"/>
        </w:rPr>
        <w:t>Starokadomskiy</w:t>
      </w:r>
      <w:proofErr w:type="spellEnd"/>
      <w:r w:rsidRPr="00F22FC0">
        <w:rPr>
          <w:rFonts w:ascii="Garamond" w:hAnsi="Garamond" w:cs="Times New Roman"/>
          <w:i/>
          <w:iCs/>
          <w:color w:val="000000"/>
          <w:sz w:val="24"/>
          <w:szCs w:val="24"/>
          <w:lang w:val="sq-AL"/>
        </w:rPr>
        <w:t xml:space="preserve"> kundër Rusisë</w:t>
      </w:r>
      <w:r w:rsidRPr="00F22FC0">
        <w:rPr>
          <w:rFonts w:ascii="Garamond" w:hAnsi="Garamond" w:cs="Times New Roman"/>
          <w:color w:val="000000"/>
          <w:sz w:val="24"/>
          <w:szCs w:val="24"/>
          <w:lang w:val="sq-AL"/>
        </w:rPr>
        <w:t xml:space="preserve">, nr. 42239/02, § 80, 31 </w:t>
      </w:r>
      <w:r w:rsidR="000D2A06" w:rsidRPr="00F22FC0">
        <w:rPr>
          <w:rFonts w:ascii="Garamond" w:hAnsi="Garamond" w:cs="Times New Roman"/>
          <w:color w:val="000000"/>
          <w:sz w:val="24"/>
          <w:szCs w:val="24"/>
          <w:lang w:val="sq-AL"/>
        </w:rPr>
        <w:t xml:space="preserve">korrik </w:t>
      </w:r>
      <w:r w:rsidRPr="00F22FC0">
        <w:rPr>
          <w:rFonts w:ascii="Garamond" w:hAnsi="Garamond" w:cs="Times New Roman"/>
          <w:color w:val="000000"/>
          <w:sz w:val="24"/>
          <w:szCs w:val="24"/>
          <w:lang w:val="sq-AL"/>
        </w:rPr>
        <w:t xml:space="preserve">2008, me referenca të mëtejshme). </w:t>
      </w:r>
    </w:p>
    <w:p w14:paraId="67CF8535" w14:textId="6333B12E"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18. Sa më sipër, ankesa është qartazi e pambështetur në fakte dhe duhet të rrëzohet në përputhje me </w:t>
      </w:r>
      <w:r w:rsidR="000D2A06" w:rsidRPr="00F22FC0">
        <w:rPr>
          <w:rFonts w:ascii="Garamond" w:hAnsi="Garamond" w:cs="Times New Roman"/>
          <w:color w:val="000000"/>
          <w:sz w:val="24"/>
          <w:szCs w:val="24"/>
          <w:lang w:val="sq-AL"/>
        </w:rPr>
        <w:t xml:space="preserve">nenin </w:t>
      </w:r>
      <w:r w:rsidRPr="00F22FC0">
        <w:rPr>
          <w:rFonts w:ascii="Garamond" w:hAnsi="Garamond" w:cs="Times New Roman"/>
          <w:color w:val="000000"/>
          <w:sz w:val="24"/>
          <w:szCs w:val="24"/>
          <w:lang w:val="sq-AL"/>
        </w:rPr>
        <w:t>35 §§ 3 (a) dhe 4 të Konventës.</w:t>
      </w:r>
      <w:r w:rsidR="00F22FC0">
        <w:rPr>
          <w:rFonts w:ascii="Garamond" w:hAnsi="Garamond" w:cs="Times New Roman"/>
          <w:color w:val="000000"/>
          <w:sz w:val="24"/>
          <w:szCs w:val="24"/>
          <w:lang w:val="sq-AL"/>
        </w:rPr>
        <w:t xml:space="preserve"> </w:t>
      </w:r>
    </w:p>
    <w:p w14:paraId="7C5EB9AD" w14:textId="7D49006F"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 Për këto arsye, Gjykata, në mënyrë unanime</w:t>
      </w:r>
      <w:r w:rsidR="000D2A06">
        <w:rPr>
          <w:rFonts w:ascii="Garamond" w:hAnsi="Garamond" w:cs="Times New Roman"/>
          <w:color w:val="000000"/>
          <w:sz w:val="24"/>
          <w:szCs w:val="24"/>
          <w:lang w:val="sq-AL"/>
        </w:rPr>
        <w:t>:</w:t>
      </w:r>
      <w:r w:rsidRPr="00F22FC0">
        <w:rPr>
          <w:rFonts w:ascii="Garamond" w:hAnsi="Garamond" w:cs="Times New Roman"/>
          <w:color w:val="000000"/>
          <w:sz w:val="24"/>
          <w:szCs w:val="24"/>
          <w:lang w:val="sq-AL"/>
        </w:rPr>
        <w:t xml:space="preserve"> </w:t>
      </w:r>
    </w:p>
    <w:p w14:paraId="5C241528" w14:textId="141C9C0D"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i/>
          <w:iCs/>
          <w:color w:val="000000"/>
          <w:sz w:val="24"/>
          <w:szCs w:val="24"/>
          <w:lang w:val="sq-AL"/>
        </w:rPr>
        <w:t xml:space="preserve"> E shpall </w:t>
      </w:r>
      <w:r w:rsidRPr="00F22FC0">
        <w:rPr>
          <w:rFonts w:ascii="Garamond" w:hAnsi="Garamond" w:cs="Times New Roman"/>
          <w:color w:val="000000"/>
          <w:sz w:val="24"/>
          <w:szCs w:val="24"/>
          <w:lang w:val="sq-AL"/>
        </w:rPr>
        <w:t>kërkesën të papranueshme.</w:t>
      </w:r>
    </w:p>
    <w:p w14:paraId="26B23929" w14:textId="293AC79D" w:rsidR="00E55A28" w:rsidRPr="00F22FC0" w:rsidRDefault="00E55A28" w:rsidP="00E55A2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22FC0">
        <w:rPr>
          <w:rFonts w:ascii="Garamond" w:hAnsi="Garamond" w:cs="Times New Roman"/>
          <w:color w:val="000000"/>
          <w:sz w:val="24"/>
          <w:szCs w:val="24"/>
          <w:lang w:val="sq-AL"/>
        </w:rPr>
        <w:t xml:space="preserve">Hartuar në anglisht dhe njoftuar me shkrim më 4 </w:t>
      </w:r>
      <w:r w:rsidR="00E51235" w:rsidRPr="00F22FC0">
        <w:rPr>
          <w:rFonts w:ascii="Garamond" w:hAnsi="Garamond" w:cs="Times New Roman"/>
          <w:color w:val="000000"/>
          <w:sz w:val="24"/>
          <w:szCs w:val="24"/>
          <w:lang w:val="sq-AL"/>
        </w:rPr>
        <w:t xml:space="preserve">korrik </w:t>
      </w:r>
      <w:r w:rsidRPr="00F22FC0">
        <w:rPr>
          <w:rFonts w:ascii="Garamond" w:hAnsi="Garamond" w:cs="Times New Roman"/>
          <w:color w:val="000000"/>
          <w:sz w:val="24"/>
          <w:szCs w:val="24"/>
          <w:lang w:val="sq-AL"/>
        </w:rPr>
        <w:t xml:space="preserve">2024. </w:t>
      </w:r>
    </w:p>
    <w:p w14:paraId="1E478F8C" w14:textId="139E6EDC" w:rsidR="00E55A28" w:rsidRPr="00F22FC0" w:rsidRDefault="00E55A28" w:rsidP="00E55A2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2127"/>
      </w:tblGrid>
      <w:tr w:rsidR="00E55A28" w:rsidRPr="00F22FC0" w14:paraId="26548AEA" w14:textId="77777777" w:rsidTr="00AA1221">
        <w:trPr>
          <w:jc w:val="center"/>
        </w:trPr>
        <w:tc>
          <w:tcPr>
            <w:tcW w:w="2263" w:type="dxa"/>
          </w:tcPr>
          <w:p w14:paraId="31CE44C1" w14:textId="1620A0CE" w:rsidR="00E55A28" w:rsidRPr="00F22FC0" w:rsidRDefault="00E55A28" w:rsidP="00E55A28">
            <w:pPr>
              <w:tabs>
                <w:tab w:val="left" w:pos="560"/>
                <w:tab w:val="left" w:pos="1120"/>
              </w:tabs>
              <w:autoSpaceDE w:val="0"/>
              <w:autoSpaceDN w:val="0"/>
              <w:adjustRightInd w:val="0"/>
              <w:jc w:val="center"/>
              <w:rPr>
                <w:rFonts w:ascii="Garamond" w:hAnsi="Garamond" w:cs="Times New Roman"/>
                <w:b/>
                <w:color w:val="000000"/>
                <w:sz w:val="24"/>
                <w:szCs w:val="24"/>
                <w:lang w:val="sq-AL"/>
              </w:rPr>
            </w:pPr>
            <w:proofErr w:type="spellStart"/>
            <w:r w:rsidRPr="00F22FC0">
              <w:rPr>
                <w:rFonts w:ascii="Garamond" w:hAnsi="Garamond" w:cs="Times New Roman"/>
                <w:b/>
                <w:color w:val="000000"/>
                <w:sz w:val="24"/>
                <w:szCs w:val="24"/>
                <w:lang w:val="sq-AL"/>
              </w:rPr>
              <w:t>Olga</w:t>
            </w:r>
            <w:proofErr w:type="spellEnd"/>
            <w:r w:rsidRPr="00F22FC0">
              <w:rPr>
                <w:rFonts w:ascii="Garamond" w:hAnsi="Garamond" w:cs="Times New Roman"/>
                <w:b/>
                <w:color w:val="000000"/>
                <w:sz w:val="24"/>
                <w:szCs w:val="24"/>
                <w:lang w:val="sq-AL"/>
              </w:rPr>
              <w:t xml:space="preserve"> </w:t>
            </w:r>
            <w:proofErr w:type="spellStart"/>
            <w:r w:rsidRPr="00F22FC0">
              <w:rPr>
                <w:rFonts w:ascii="Garamond" w:hAnsi="Garamond" w:cs="Times New Roman"/>
                <w:b/>
                <w:color w:val="000000"/>
                <w:sz w:val="24"/>
                <w:szCs w:val="24"/>
                <w:lang w:val="sq-AL"/>
              </w:rPr>
              <w:t>Chernishova</w:t>
            </w:r>
            <w:proofErr w:type="spellEnd"/>
          </w:p>
          <w:p w14:paraId="17D0A8BD" w14:textId="0C0E0EAE" w:rsidR="00E55A28" w:rsidRPr="00F22FC0" w:rsidRDefault="00AA1221" w:rsidP="00E55A28">
            <w:pPr>
              <w:tabs>
                <w:tab w:val="left" w:pos="560"/>
                <w:tab w:val="left" w:pos="1120"/>
              </w:tabs>
              <w:autoSpaceDE w:val="0"/>
              <w:autoSpaceDN w:val="0"/>
              <w:adjustRightInd w:val="0"/>
              <w:jc w:val="center"/>
              <w:rPr>
                <w:rFonts w:ascii="Garamond" w:hAnsi="Garamond" w:cs="Times New Roman"/>
                <w:color w:val="000000"/>
                <w:sz w:val="24"/>
                <w:szCs w:val="24"/>
                <w:lang w:val="sq-AL"/>
              </w:rPr>
            </w:pPr>
            <w:r w:rsidRPr="00F22FC0">
              <w:rPr>
                <w:rFonts w:ascii="Garamond" w:hAnsi="Garamond" w:cs="Times New Roman"/>
                <w:color w:val="000000"/>
                <w:sz w:val="24"/>
                <w:szCs w:val="24"/>
                <w:lang w:val="sq-AL"/>
              </w:rPr>
              <w:t>ZËVENDËSSEKRETARE</w:t>
            </w:r>
          </w:p>
        </w:tc>
        <w:tc>
          <w:tcPr>
            <w:tcW w:w="2127" w:type="dxa"/>
          </w:tcPr>
          <w:p w14:paraId="38A61B6F" w14:textId="7CC5ACEA" w:rsidR="00E55A28" w:rsidRPr="00F22FC0" w:rsidRDefault="00E55A28" w:rsidP="00E55A28">
            <w:pPr>
              <w:tabs>
                <w:tab w:val="left" w:pos="560"/>
                <w:tab w:val="left" w:pos="1120"/>
              </w:tabs>
              <w:autoSpaceDE w:val="0"/>
              <w:autoSpaceDN w:val="0"/>
              <w:adjustRightInd w:val="0"/>
              <w:jc w:val="center"/>
              <w:rPr>
                <w:rFonts w:ascii="Garamond" w:hAnsi="Garamond" w:cs="Times New Roman"/>
                <w:b/>
                <w:color w:val="000000"/>
                <w:sz w:val="24"/>
                <w:szCs w:val="24"/>
                <w:lang w:val="sq-AL"/>
              </w:rPr>
            </w:pPr>
            <w:proofErr w:type="spellStart"/>
            <w:r w:rsidRPr="00F22FC0">
              <w:rPr>
                <w:rFonts w:ascii="Garamond" w:hAnsi="Garamond" w:cs="Times New Roman"/>
                <w:b/>
                <w:color w:val="000000"/>
                <w:sz w:val="24"/>
                <w:szCs w:val="24"/>
                <w:lang w:val="sq-AL"/>
              </w:rPr>
              <w:t>Ioannis</w:t>
            </w:r>
            <w:proofErr w:type="spellEnd"/>
            <w:r w:rsidRPr="00F22FC0">
              <w:rPr>
                <w:rFonts w:ascii="Garamond" w:hAnsi="Garamond" w:cs="Times New Roman"/>
                <w:b/>
                <w:color w:val="000000"/>
                <w:sz w:val="24"/>
                <w:szCs w:val="24"/>
                <w:lang w:val="sq-AL"/>
              </w:rPr>
              <w:t xml:space="preserve"> </w:t>
            </w:r>
            <w:proofErr w:type="spellStart"/>
            <w:r w:rsidRPr="00F22FC0">
              <w:rPr>
                <w:rFonts w:ascii="Garamond" w:hAnsi="Garamond" w:cs="Times New Roman"/>
                <w:b/>
                <w:color w:val="000000"/>
                <w:sz w:val="24"/>
                <w:szCs w:val="24"/>
                <w:lang w:val="sq-AL"/>
              </w:rPr>
              <w:t>Ktistakis</w:t>
            </w:r>
            <w:proofErr w:type="spellEnd"/>
          </w:p>
          <w:p w14:paraId="3AE60B84" w14:textId="02B2811B" w:rsidR="00E55A28" w:rsidRPr="00F22FC0" w:rsidRDefault="00AA1221" w:rsidP="00E55A28">
            <w:pPr>
              <w:tabs>
                <w:tab w:val="left" w:pos="560"/>
                <w:tab w:val="left" w:pos="1120"/>
              </w:tabs>
              <w:autoSpaceDE w:val="0"/>
              <w:autoSpaceDN w:val="0"/>
              <w:adjustRightInd w:val="0"/>
              <w:jc w:val="center"/>
              <w:rPr>
                <w:rFonts w:ascii="Garamond" w:hAnsi="Garamond" w:cs="Times New Roman"/>
                <w:color w:val="000000"/>
                <w:sz w:val="24"/>
                <w:szCs w:val="24"/>
                <w:lang w:val="sq-AL"/>
              </w:rPr>
            </w:pPr>
            <w:r w:rsidRPr="00F22FC0">
              <w:rPr>
                <w:rFonts w:ascii="Garamond" w:hAnsi="Garamond" w:cs="Times New Roman"/>
                <w:color w:val="000000"/>
                <w:sz w:val="24"/>
                <w:szCs w:val="24"/>
                <w:lang w:val="sq-AL"/>
              </w:rPr>
              <w:t>KRYETAR</w:t>
            </w:r>
          </w:p>
        </w:tc>
      </w:tr>
    </w:tbl>
    <w:p w14:paraId="400FB089" w14:textId="77777777" w:rsidR="00E55A28" w:rsidRPr="00F22FC0" w:rsidRDefault="00E55A28" w:rsidP="00E55A28">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sectPr w:rsidR="00E55A28" w:rsidRPr="00F22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16"/>
    <w:rsid w:val="00074706"/>
    <w:rsid w:val="000D2A06"/>
    <w:rsid w:val="000F74B6"/>
    <w:rsid w:val="00147D0B"/>
    <w:rsid w:val="00420CED"/>
    <w:rsid w:val="00420FCC"/>
    <w:rsid w:val="00460868"/>
    <w:rsid w:val="00495544"/>
    <w:rsid w:val="005A5071"/>
    <w:rsid w:val="005B5F43"/>
    <w:rsid w:val="00614AFC"/>
    <w:rsid w:val="0061636A"/>
    <w:rsid w:val="0063618A"/>
    <w:rsid w:val="00755E79"/>
    <w:rsid w:val="007A461B"/>
    <w:rsid w:val="008C7EE7"/>
    <w:rsid w:val="00A811A3"/>
    <w:rsid w:val="00AA1221"/>
    <w:rsid w:val="00AC7328"/>
    <w:rsid w:val="00AD6F91"/>
    <w:rsid w:val="00B66584"/>
    <w:rsid w:val="00B77B15"/>
    <w:rsid w:val="00BE3CD7"/>
    <w:rsid w:val="00C56BCC"/>
    <w:rsid w:val="00D1505F"/>
    <w:rsid w:val="00D4395D"/>
    <w:rsid w:val="00DA7BDB"/>
    <w:rsid w:val="00E51235"/>
    <w:rsid w:val="00E55A28"/>
    <w:rsid w:val="00F22FC0"/>
    <w:rsid w:val="00F23FBB"/>
    <w:rsid w:val="00FC24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5EEB"/>
  <w15:chartTrackingRefBased/>
  <w15:docId w15:val="{B06FA812-3C61-49C5-8F04-91965979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E55A28"/>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E55A28"/>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NoSpacing">
    <w:name w:val="No Spacing"/>
    <w:uiPriority w:val="99"/>
    <w:qFormat/>
    <w:rsid w:val="00E55A28"/>
    <w:pPr>
      <w:autoSpaceDE w:val="0"/>
      <w:autoSpaceDN w:val="0"/>
      <w:adjustRightInd w:val="0"/>
      <w:spacing w:after="0" w:line="240" w:lineRule="auto"/>
    </w:pPr>
    <w:rPr>
      <w:rFonts w:ascii="Times New Roman" w:hAnsi="Times New Roman" w:cs="Times New Roman"/>
      <w:color w:val="000000"/>
      <w:lang w:val="sq-AL"/>
    </w:rPr>
  </w:style>
  <w:style w:type="table" w:styleId="TableGrid">
    <w:name w:val="Table Grid"/>
    <w:basedOn w:val="TableNormal"/>
    <w:uiPriority w:val="39"/>
    <w:rsid w:val="00E55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9227-19</Nr_x002e__x0020_akti>
    <Data_x0020_e_x0020_Krijimit xmlns="0e656187-b300-4fb0-8bf4-3a50f872073c">2024-07-30T09:33:19Z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2024-07-29T00:00:00Z</Date_x0020_protokolli>
    <Titulli xmlns="0e656187-b300-4fb0-8bf4-3a50f872073c">Besnik Keta kundër Shqipërisë (kërkesa nr. 9227/19)</Titulli>
    <Modifikuesi xmlns="0e656187-b300-4fb0-8bf4-3a50f872073c">ermira.bukaci</Modifikuesi>
    <Nr_x002e__x0020_prot_x0020_QBZ xmlns="0e656187-b300-4fb0-8bf4-3a50f872073c">1358/1</Nr_x002e__x0020_prot_x0020_QBZ>
    <Data_x0020_e_x0020_Modifikimit xmlns="0e656187-b300-4fb0-8bf4-3a50f872073c">2024-07-30T12:07:00Z</Data_x0020_e_x0020_Modifikimit>
    <Dekretuar xmlns="0e656187-b300-4fb0-8bf4-3a50f872073c">false</Dekretuar>
    <Data xmlns="0e656187-b300-4fb0-8bf4-3a50f872073c">2024-07-04T00:00:00Z</Data>
    <Nr_x002e__x0020_protokolli_x0020_i_x0020_aktit xmlns="0e656187-b300-4fb0-8bf4-3a50f872073c">3832/1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DAA3D333C54E73937F50D00376BA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7DAA3D333C54E73937F50D00376BA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8E17B-D5DE-4134-9603-C97EFA658086}">
  <ds:schemaRefs>
    <ds:schemaRef ds:uri="http://schemas.microsoft.com/office/2006/metadata/properties"/>
    <ds:schemaRef ds:uri="http://schemas.openxmlformats.org/package/2006/metadata/core-properties"/>
    <ds:schemaRef ds:uri="http://www.w3.org/XML/1998/namespace"/>
    <ds:schemaRef ds:uri="http://purl.org/dc/dcmitype/"/>
    <ds:schemaRef ds:uri="http://schemas.microsoft.com/office/2006/documentManagement/types"/>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18DCE530-080A-416B-A56B-44008662BFB3}">
  <ds:schemaRefs>
    <ds:schemaRef ds:uri="http://schemas.microsoft.com/sharepoint/v3/contenttype/forms"/>
  </ds:schemaRefs>
</ds:datastoreItem>
</file>

<file path=customXml/itemProps3.xml><?xml version="1.0" encoding="utf-8"?>
<ds:datastoreItem xmlns:ds="http://schemas.openxmlformats.org/officeDocument/2006/customXml" ds:itemID="{4FC2F0FC-048A-4039-ABC2-BBD80A14D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C30D5E-AB0F-4E67-9D00-780ED6D32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D637838-3FF2-4932-AFAC-BACA8D0AA4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1578</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Besnik Keta kundër Shqipërisë (kërkesa nr. 9227/19)</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Besnik Keta kundër Shqipërisë (kërkesa nr. 9227/19)</dc:title>
  <dc:creator>Entela Suli</dc:creator>
  <cp:lastModifiedBy>Alma Lisaku</cp:lastModifiedBy>
  <cp:revision>21</cp:revision>
  <dcterms:created xsi:type="dcterms:W3CDTF">2024-07-30T07:12:00Z</dcterms:created>
  <dcterms:modified xsi:type="dcterms:W3CDTF">2024-07-31T08:17:00Z</dcterms:modified>
</cp:coreProperties>
</file>