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FF1EA8" w14:textId="63425DC0" w:rsidR="004A07CF" w:rsidRDefault="004A07CF" w:rsidP="004A07CF">
      <w:pPr>
        <w:keepNext/>
        <w:keepLines/>
        <w:autoSpaceDE w:val="0"/>
        <w:autoSpaceDN w:val="0"/>
        <w:adjustRightInd w:val="0"/>
        <w:ind w:firstLine="284"/>
        <w:jc w:val="center"/>
        <w:rPr>
          <w:rFonts w:ascii="Garamond" w:hAnsi="Garamond" w:cs="Times New Roman"/>
          <w:color w:val="000000"/>
        </w:rPr>
      </w:pPr>
      <w:r w:rsidRPr="004A07CF">
        <w:rPr>
          <w:rFonts w:ascii="Garamond" w:hAnsi="Garamond" w:cs="Times New Roman"/>
          <w:color w:val="000000"/>
        </w:rPr>
        <w:t>GJYKATA E</w:t>
      </w:r>
      <w:r>
        <w:rPr>
          <w:rFonts w:ascii="Garamond" w:hAnsi="Garamond" w:cs="Times New Roman"/>
          <w:color w:val="000000"/>
        </w:rPr>
        <w:t>V</w:t>
      </w:r>
      <w:r w:rsidRPr="004A07CF">
        <w:rPr>
          <w:rFonts w:ascii="Garamond" w:hAnsi="Garamond" w:cs="Times New Roman"/>
          <w:color w:val="000000"/>
        </w:rPr>
        <w:t>ROPIANE E TË DREJTAVE TË NJERIUT</w:t>
      </w:r>
    </w:p>
    <w:p w14:paraId="7CFBDCE7" w14:textId="77777777" w:rsidR="004E5425" w:rsidRDefault="004E5425" w:rsidP="004A07CF">
      <w:pPr>
        <w:keepNext/>
        <w:keepLines/>
        <w:autoSpaceDE w:val="0"/>
        <w:autoSpaceDN w:val="0"/>
        <w:adjustRightInd w:val="0"/>
        <w:ind w:firstLine="284"/>
        <w:jc w:val="center"/>
        <w:rPr>
          <w:rFonts w:ascii="Garamond" w:hAnsi="Garamond" w:cs="Times New Roman"/>
          <w:color w:val="000000"/>
        </w:rPr>
      </w:pPr>
      <w:r w:rsidRPr="004A07CF">
        <w:rPr>
          <w:rFonts w:ascii="Garamond" w:hAnsi="Garamond" w:cs="Times New Roman"/>
          <w:color w:val="000000"/>
        </w:rPr>
        <w:t>SEKSIONI I TRETË</w:t>
      </w:r>
    </w:p>
    <w:p w14:paraId="7C3AC580" w14:textId="77777777" w:rsidR="004A07CF" w:rsidRPr="004A07CF" w:rsidRDefault="004A07CF" w:rsidP="004A07CF">
      <w:pPr>
        <w:keepNext/>
        <w:keepLines/>
        <w:autoSpaceDE w:val="0"/>
        <w:autoSpaceDN w:val="0"/>
        <w:adjustRightInd w:val="0"/>
        <w:ind w:firstLine="284"/>
        <w:jc w:val="center"/>
        <w:rPr>
          <w:rFonts w:ascii="Garamond" w:hAnsi="Garamond" w:cs="Times New Roman"/>
          <w:color w:val="000000"/>
        </w:rPr>
      </w:pPr>
    </w:p>
    <w:p w14:paraId="65568938" w14:textId="24F1B1C3" w:rsidR="004E5425" w:rsidRPr="004A07CF" w:rsidRDefault="004E5425" w:rsidP="004A07CF">
      <w:pPr>
        <w:keepNext/>
        <w:autoSpaceDE w:val="0"/>
        <w:autoSpaceDN w:val="0"/>
        <w:adjustRightInd w:val="0"/>
        <w:ind w:firstLine="284"/>
        <w:jc w:val="center"/>
        <w:rPr>
          <w:rFonts w:ascii="Garamond" w:hAnsi="Garamond" w:cs="Times New Roman"/>
          <w:b/>
          <w:bCs/>
          <w:color w:val="000000"/>
        </w:rPr>
      </w:pPr>
      <w:r w:rsidRPr="004A07CF">
        <w:rPr>
          <w:rFonts w:ascii="Garamond" w:hAnsi="Garamond" w:cs="Times New Roman"/>
          <w:b/>
          <w:bCs/>
          <w:color w:val="000000"/>
        </w:rPr>
        <w:t xml:space="preserve">ÇËSHTJA PAPAKOSTANDINI </w:t>
      </w:r>
      <w:r w:rsidR="004A07CF" w:rsidRPr="004A07CF">
        <w:rPr>
          <w:rFonts w:ascii="Garamond" w:hAnsi="Garamond" w:cs="Times New Roman"/>
          <w:b/>
          <w:bCs/>
          <w:color w:val="000000"/>
        </w:rPr>
        <w:t xml:space="preserve">KUNDËR </w:t>
      </w:r>
      <w:r w:rsidRPr="004A07CF">
        <w:rPr>
          <w:rFonts w:ascii="Garamond" w:hAnsi="Garamond" w:cs="Times New Roman"/>
          <w:b/>
          <w:bCs/>
          <w:color w:val="000000"/>
        </w:rPr>
        <w:t>SHQIPËRISË</w:t>
      </w:r>
    </w:p>
    <w:p w14:paraId="43DB1A8F" w14:textId="33D51E33" w:rsidR="004E5425" w:rsidRPr="004A07CF" w:rsidRDefault="004E5425" w:rsidP="004A07CF">
      <w:pPr>
        <w:keepNext/>
        <w:tabs>
          <w:tab w:val="right" w:pos="7920"/>
        </w:tabs>
        <w:autoSpaceDE w:val="0"/>
        <w:autoSpaceDN w:val="0"/>
        <w:adjustRightInd w:val="0"/>
        <w:ind w:firstLine="284"/>
        <w:jc w:val="center"/>
        <w:rPr>
          <w:rFonts w:ascii="Garamond" w:hAnsi="Garamond" w:cs="Times New Roman"/>
          <w:i/>
          <w:iCs/>
          <w:color w:val="000000"/>
        </w:rPr>
      </w:pPr>
      <w:r w:rsidRPr="004A07CF">
        <w:rPr>
          <w:rFonts w:ascii="Garamond" w:hAnsi="Garamond" w:cs="Times New Roman"/>
          <w:i/>
          <w:iCs/>
          <w:color w:val="000000"/>
        </w:rPr>
        <w:t>(</w:t>
      </w:r>
      <w:r w:rsidR="004A07CF">
        <w:rPr>
          <w:rFonts w:ascii="Garamond" w:hAnsi="Garamond" w:cs="Times New Roman"/>
          <w:i/>
          <w:iCs/>
          <w:color w:val="000000"/>
        </w:rPr>
        <w:t>k</w:t>
      </w:r>
      <w:r w:rsidRPr="004A07CF">
        <w:rPr>
          <w:rFonts w:ascii="Garamond" w:hAnsi="Garamond" w:cs="Times New Roman"/>
          <w:i/>
          <w:iCs/>
          <w:color w:val="000000"/>
        </w:rPr>
        <w:t>ërkesa nr. 7568/08)</w:t>
      </w:r>
    </w:p>
    <w:p w14:paraId="5B81B806" w14:textId="77777777" w:rsidR="004E5425" w:rsidRPr="004A07CF" w:rsidRDefault="004E5425" w:rsidP="004A07CF">
      <w:pPr>
        <w:keepNext/>
        <w:autoSpaceDE w:val="0"/>
        <w:autoSpaceDN w:val="0"/>
        <w:adjustRightInd w:val="0"/>
        <w:ind w:firstLine="284"/>
        <w:jc w:val="center"/>
        <w:rPr>
          <w:rFonts w:ascii="Garamond" w:hAnsi="Garamond" w:cs="Times New Roman"/>
          <w:color w:val="000000"/>
        </w:rPr>
      </w:pPr>
    </w:p>
    <w:p w14:paraId="1A7DB146" w14:textId="77777777" w:rsidR="004E5425" w:rsidRPr="004A07CF" w:rsidRDefault="004E5425" w:rsidP="004A07CF">
      <w:pPr>
        <w:keepNext/>
        <w:autoSpaceDE w:val="0"/>
        <w:autoSpaceDN w:val="0"/>
        <w:adjustRightInd w:val="0"/>
        <w:ind w:firstLine="284"/>
        <w:jc w:val="center"/>
        <w:rPr>
          <w:rFonts w:ascii="Garamond" w:hAnsi="Garamond" w:cs="Times New Roman"/>
          <w:color w:val="000000"/>
        </w:rPr>
      </w:pPr>
      <w:r w:rsidRPr="004A07CF">
        <w:rPr>
          <w:rFonts w:ascii="Garamond" w:hAnsi="Garamond" w:cs="Times New Roman"/>
          <w:color w:val="000000"/>
        </w:rPr>
        <w:t>VENDIM</w:t>
      </w:r>
    </w:p>
    <w:p w14:paraId="63067DE7" w14:textId="77777777" w:rsidR="004E5425" w:rsidRPr="004A07CF" w:rsidRDefault="004E5425" w:rsidP="004A07CF">
      <w:pPr>
        <w:autoSpaceDE w:val="0"/>
        <w:autoSpaceDN w:val="0"/>
        <w:adjustRightInd w:val="0"/>
        <w:ind w:firstLine="284"/>
        <w:jc w:val="center"/>
        <w:rPr>
          <w:rFonts w:ascii="Garamond" w:hAnsi="Garamond" w:cs="Times New Roman"/>
          <w:i/>
          <w:iCs/>
          <w:color w:val="000000"/>
        </w:rPr>
      </w:pPr>
    </w:p>
    <w:p w14:paraId="0B18FEF5" w14:textId="77777777" w:rsidR="004E5425" w:rsidRPr="004A07CF" w:rsidRDefault="004E5425" w:rsidP="004A07CF">
      <w:pPr>
        <w:keepNext/>
        <w:keepLines/>
        <w:autoSpaceDE w:val="0"/>
        <w:autoSpaceDN w:val="0"/>
        <w:adjustRightInd w:val="0"/>
        <w:ind w:firstLine="284"/>
        <w:jc w:val="center"/>
        <w:rPr>
          <w:rFonts w:ascii="Garamond" w:hAnsi="Garamond" w:cs="Times New Roman"/>
          <w:color w:val="000000"/>
        </w:rPr>
      </w:pPr>
      <w:r w:rsidRPr="004A07CF">
        <w:rPr>
          <w:rFonts w:ascii="Garamond" w:hAnsi="Garamond" w:cs="Times New Roman"/>
          <w:color w:val="000000"/>
        </w:rPr>
        <w:t>STRASBURG</w:t>
      </w:r>
    </w:p>
    <w:p w14:paraId="58F9B007" w14:textId="77777777" w:rsidR="004E5425" w:rsidRPr="004A07CF" w:rsidRDefault="004E5425" w:rsidP="004A07CF">
      <w:pPr>
        <w:keepNext/>
        <w:autoSpaceDE w:val="0"/>
        <w:autoSpaceDN w:val="0"/>
        <w:adjustRightInd w:val="0"/>
        <w:ind w:firstLine="284"/>
        <w:jc w:val="center"/>
        <w:rPr>
          <w:rFonts w:ascii="Garamond" w:hAnsi="Garamond" w:cs="Times New Roman"/>
          <w:color w:val="000000"/>
        </w:rPr>
      </w:pPr>
      <w:r w:rsidRPr="004A07CF">
        <w:rPr>
          <w:rFonts w:ascii="Garamond" w:hAnsi="Garamond" w:cs="Times New Roman"/>
          <w:color w:val="000000"/>
        </w:rPr>
        <w:t>18 korrik 2024</w:t>
      </w:r>
    </w:p>
    <w:p w14:paraId="7DE2F121" w14:textId="77777777" w:rsidR="004E5425" w:rsidRPr="004A07CF" w:rsidRDefault="004E5425" w:rsidP="004A07CF">
      <w:pPr>
        <w:autoSpaceDE w:val="0"/>
        <w:autoSpaceDN w:val="0"/>
        <w:adjustRightInd w:val="0"/>
        <w:ind w:firstLine="284"/>
        <w:jc w:val="both"/>
        <w:rPr>
          <w:rFonts w:ascii="Garamond" w:hAnsi="Garamond" w:cs="Times New Roman"/>
          <w:color w:val="000000"/>
        </w:rPr>
      </w:pPr>
    </w:p>
    <w:p w14:paraId="0649711C" w14:textId="77777777" w:rsidR="004E5425" w:rsidRPr="004A07CF" w:rsidRDefault="004E5425" w:rsidP="004A07CF">
      <w:pPr>
        <w:autoSpaceDE w:val="0"/>
        <w:autoSpaceDN w:val="0"/>
        <w:adjustRightInd w:val="0"/>
        <w:ind w:firstLine="284"/>
        <w:jc w:val="both"/>
        <w:rPr>
          <w:rFonts w:ascii="Garamond" w:hAnsi="Garamond" w:cs="Times New Roman"/>
          <w:i/>
          <w:iCs/>
          <w:color w:val="000000"/>
        </w:rPr>
      </w:pPr>
      <w:r w:rsidRPr="004A07CF">
        <w:rPr>
          <w:rFonts w:ascii="Garamond" w:hAnsi="Garamond" w:cs="Times New Roman"/>
          <w:i/>
          <w:iCs/>
          <w:color w:val="000000"/>
        </w:rPr>
        <w:t>Ky është vendim përfundimtar, por mund t’i nënshtrohet rishikimit redaktorial.</w:t>
      </w:r>
    </w:p>
    <w:p w14:paraId="4A84E4DC" w14:textId="77777777" w:rsidR="004E5425" w:rsidRPr="004A07CF" w:rsidRDefault="004E5425" w:rsidP="004A07CF">
      <w:pPr>
        <w:autoSpaceDE w:val="0"/>
        <w:autoSpaceDN w:val="0"/>
        <w:adjustRightInd w:val="0"/>
        <w:ind w:firstLine="284"/>
        <w:jc w:val="both"/>
        <w:rPr>
          <w:rFonts w:ascii="Garamond" w:hAnsi="Garamond" w:cs="Times New Roman"/>
          <w:b/>
          <w:bCs/>
          <w:color w:val="000000"/>
        </w:rPr>
      </w:pPr>
      <w:r w:rsidRPr="004A07CF">
        <w:rPr>
          <w:rFonts w:ascii="Garamond" w:hAnsi="Garamond" w:cs="Times New Roman"/>
          <w:b/>
          <w:bCs/>
          <w:color w:val="000000"/>
        </w:rPr>
        <w:t>Në çështjen Papakostandini kundër Shqipërisë,</w:t>
      </w:r>
    </w:p>
    <w:p w14:paraId="674CB3C5" w14:textId="0FD09E52"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Gjykata E</w:t>
      </w:r>
      <w:r w:rsidR="004A07CF">
        <w:rPr>
          <w:rFonts w:ascii="Garamond" w:hAnsi="Garamond" w:cs="Times New Roman"/>
          <w:color w:val="000000"/>
        </w:rPr>
        <w:t>v</w:t>
      </w:r>
      <w:r w:rsidRPr="004A07CF">
        <w:rPr>
          <w:rFonts w:ascii="Garamond" w:hAnsi="Garamond" w:cs="Times New Roman"/>
          <w:color w:val="000000"/>
        </w:rPr>
        <w:t>ropiane e të Drejtave të Njeriut (Seksioni i Tretë), e mbledhur si Komitet i përbërë nga:</w:t>
      </w:r>
    </w:p>
    <w:p w14:paraId="04998355" w14:textId="5E16A938" w:rsidR="004E5425" w:rsidRPr="004A07CF" w:rsidRDefault="004E5425" w:rsidP="004A07CF">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Peeter Roosma</w:t>
      </w:r>
      <w:r w:rsidRPr="004A07CF">
        <w:rPr>
          <w:rFonts w:ascii="Garamond" w:hAnsi="Garamond" w:cs="Times New Roman"/>
          <w:i/>
          <w:iCs/>
          <w:color w:val="000000"/>
        </w:rPr>
        <w:t>, President</w:t>
      </w:r>
      <w:r w:rsidRPr="004A07CF">
        <w:rPr>
          <w:rFonts w:ascii="Garamond" w:hAnsi="Garamond" w:cs="Times New Roman"/>
          <w:color w:val="000000"/>
        </w:rPr>
        <w:t>,</w:t>
      </w:r>
    </w:p>
    <w:p w14:paraId="10500389" w14:textId="2666AF79" w:rsidR="004E5425" w:rsidRPr="004A07CF" w:rsidRDefault="004E5425" w:rsidP="004A07CF">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Andreas Zünd,</w:t>
      </w:r>
    </w:p>
    <w:p w14:paraId="68A46653" w14:textId="4C667E89" w:rsidR="004E5425" w:rsidRPr="004A07CF" w:rsidRDefault="004E5425" w:rsidP="004A07CF">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Oddný Mjöll Arnardóttir</w:t>
      </w:r>
      <w:r w:rsidRPr="004A07CF">
        <w:rPr>
          <w:rFonts w:ascii="Garamond" w:hAnsi="Garamond" w:cs="Times New Roman"/>
          <w:i/>
          <w:iCs/>
          <w:color w:val="000000"/>
        </w:rPr>
        <w:t>, gjyqtarë</w:t>
      </w:r>
      <w:r w:rsidRPr="004A07CF">
        <w:rPr>
          <w:rFonts w:ascii="Garamond" w:hAnsi="Garamond" w:cs="Times New Roman"/>
          <w:color w:val="000000"/>
        </w:rPr>
        <w:t>,</w:t>
      </w:r>
    </w:p>
    <w:p w14:paraId="05F669E7" w14:textId="5732C1B7" w:rsidR="004E5425" w:rsidRPr="004A07CF" w:rsidRDefault="004E5425" w:rsidP="004A07CF">
      <w:pPr>
        <w:tabs>
          <w:tab w:val="left" w:pos="560"/>
          <w:tab w:val="left" w:pos="1120"/>
        </w:tabs>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 xml:space="preserve">dhe Viktoriya Maradudina, </w:t>
      </w:r>
      <w:r w:rsidR="00F36B0D">
        <w:rPr>
          <w:rFonts w:ascii="Garamond" w:hAnsi="Garamond" w:cs="Times New Roman"/>
          <w:i/>
          <w:iCs/>
          <w:color w:val="000000"/>
        </w:rPr>
        <w:t>z</w:t>
      </w:r>
      <w:r w:rsidRPr="004A07CF">
        <w:rPr>
          <w:rFonts w:ascii="Garamond" w:hAnsi="Garamond" w:cs="Times New Roman"/>
          <w:i/>
          <w:iCs/>
          <w:color w:val="000000"/>
        </w:rPr>
        <w:t>ëvendës</w:t>
      </w:r>
      <w:r w:rsidR="00F36B0D">
        <w:rPr>
          <w:rFonts w:ascii="Garamond" w:hAnsi="Garamond" w:cs="Times New Roman"/>
          <w:color w:val="000000"/>
        </w:rPr>
        <w:t>k</w:t>
      </w:r>
      <w:r w:rsidRPr="004A07CF">
        <w:rPr>
          <w:rFonts w:ascii="Garamond" w:hAnsi="Garamond" w:cs="Times New Roman"/>
          <w:i/>
          <w:iCs/>
          <w:color w:val="000000"/>
        </w:rPr>
        <w:t>ancelare në detyrë e Seksionit,</w:t>
      </w:r>
    </w:p>
    <w:p w14:paraId="59497E09" w14:textId="473C3C14" w:rsidR="004E5425" w:rsidRPr="004A07CF" w:rsidRDefault="00F36B0D" w:rsidP="004A07CF">
      <w:pPr>
        <w:keepNext/>
        <w:keepLines/>
        <w:tabs>
          <w:tab w:val="left" w:pos="360"/>
        </w:tabs>
        <w:autoSpaceDE w:val="0"/>
        <w:autoSpaceDN w:val="0"/>
        <w:adjustRightInd w:val="0"/>
        <w:ind w:firstLine="284"/>
        <w:jc w:val="both"/>
        <w:rPr>
          <w:rFonts w:ascii="Garamond" w:hAnsi="Garamond" w:cs="Times New Roman"/>
          <w:color w:val="000000"/>
        </w:rPr>
      </w:pPr>
      <w:r>
        <w:rPr>
          <w:rFonts w:ascii="Garamond" w:hAnsi="Garamond" w:cs="Times New Roman"/>
          <w:color w:val="000000"/>
        </w:rPr>
        <w:t>p</w:t>
      </w:r>
      <w:r w:rsidR="004E5425" w:rsidRPr="004A07CF">
        <w:rPr>
          <w:rFonts w:ascii="Garamond" w:hAnsi="Garamond" w:cs="Times New Roman"/>
          <w:color w:val="000000"/>
        </w:rPr>
        <w:t>as diskutimit me dyer të mbyllura</w:t>
      </w:r>
      <w:r>
        <w:rPr>
          <w:rFonts w:ascii="Garamond" w:hAnsi="Garamond" w:cs="Times New Roman"/>
          <w:color w:val="000000"/>
        </w:rPr>
        <w:t>,</w:t>
      </w:r>
      <w:r w:rsidR="004E5425" w:rsidRPr="004A07CF">
        <w:rPr>
          <w:rFonts w:ascii="Garamond" w:hAnsi="Garamond" w:cs="Times New Roman"/>
          <w:color w:val="000000"/>
        </w:rPr>
        <w:t xml:space="preserve"> më 27 qershor 2024,</w:t>
      </w:r>
    </w:p>
    <w:p w14:paraId="7375052B" w14:textId="77777777" w:rsidR="004E5425" w:rsidRPr="004A07CF" w:rsidRDefault="004E5425" w:rsidP="004A07CF">
      <w:pPr>
        <w:keepNext/>
        <w:tabs>
          <w:tab w:val="left" w:pos="360"/>
        </w:tabs>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mori vendimin e mëposhtëm, i cili miratohet po në atë datë:</w:t>
      </w:r>
    </w:p>
    <w:p w14:paraId="6B544405" w14:textId="0785251B" w:rsidR="004E5425" w:rsidRPr="004A07CF" w:rsidRDefault="004E5425" w:rsidP="004A07CF">
      <w:pPr>
        <w:keepNext/>
        <w:tabs>
          <w:tab w:val="left" w:pos="360"/>
        </w:tabs>
        <w:autoSpaceDE w:val="0"/>
        <w:autoSpaceDN w:val="0"/>
        <w:adjustRightInd w:val="0"/>
        <w:ind w:firstLine="284"/>
        <w:jc w:val="both"/>
        <w:rPr>
          <w:rFonts w:ascii="Garamond" w:hAnsi="Garamond" w:cs="Times New Roman"/>
          <w:caps/>
          <w:color w:val="000000"/>
        </w:rPr>
      </w:pPr>
      <w:r w:rsidRPr="004A07CF">
        <w:rPr>
          <w:rFonts w:ascii="Garamond" w:hAnsi="Garamond" w:cs="Times New Roman"/>
          <w:color w:val="000000"/>
        </w:rPr>
        <w:t xml:space="preserve"> </w:t>
      </w:r>
      <w:r w:rsidRPr="004A07CF">
        <w:rPr>
          <w:rFonts w:ascii="Garamond" w:hAnsi="Garamond" w:cs="Times New Roman"/>
          <w:caps/>
          <w:color w:val="000000"/>
        </w:rPr>
        <w:t>PROCEDURA</w:t>
      </w:r>
    </w:p>
    <w:p w14:paraId="1AC26855" w14:textId="30D655EC" w:rsidR="004E5425" w:rsidRPr="004A07CF" w:rsidRDefault="004E5425" w:rsidP="004A07CF">
      <w:pPr>
        <w:keepNext/>
        <w:tabs>
          <w:tab w:val="left" w:pos="360"/>
        </w:tabs>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1. Çështja vjen pas depozitimit në Gjykatë të një kërkese kundër Shqipërisë</w:t>
      </w:r>
      <w:r w:rsidR="00F36B0D">
        <w:rPr>
          <w:rFonts w:ascii="Garamond" w:hAnsi="Garamond" w:cs="Times New Roman"/>
          <w:color w:val="000000"/>
        </w:rPr>
        <w:t>,</w:t>
      </w:r>
      <w:r w:rsidRPr="004A07CF">
        <w:rPr>
          <w:rFonts w:ascii="Garamond" w:hAnsi="Garamond" w:cs="Times New Roman"/>
          <w:color w:val="000000"/>
        </w:rPr>
        <w:t xml:space="preserve"> sipas nenit 34 të Konventës për Mbrojtjen e të Drejtave dhe Lirive Themelore të Njeriut (Konventa)</w:t>
      </w:r>
      <w:r w:rsidR="00F36B0D">
        <w:rPr>
          <w:rFonts w:ascii="Garamond" w:hAnsi="Garamond" w:cs="Times New Roman"/>
          <w:color w:val="000000"/>
        </w:rPr>
        <w:t>,</w:t>
      </w:r>
      <w:r w:rsidRPr="004A07CF">
        <w:rPr>
          <w:rFonts w:ascii="Garamond" w:hAnsi="Garamond" w:cs="Times New Roman"/>
          <w:color w:val="000000"/>
        </w:rPr>
        <w:t xml:space="preserve"> më 18 janar 2008.</w:t>
      </w:r>
    </w:p>
    <w:p w14:paraId="2F2949BD" w14:textId="5550E570" w:rsidR="004E5425" w:rsidRPr="004A07CF" w:rsidRDefault="004E5425" w:rsidP="004A07CF">
      <w:pPr>
        <w:keepNext/>
        <w:tabs>
          <w:tab w:val="left" w:pos="360"/>
        </w:tabs>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2. Qeveria Shqiptare (</w:t>
      </w:r>
      <w:r w:rsidR="00F36B0D">
        <w:rPr>
          <w:rFonts w:ascii="Garamond" w:hAnsi="Garamond" w:cs="Times New Roman"/>
          <w:color w:val="000000"/>
        </w:rPr>
        <w:t>q</w:t>
      </w:r>
      <w:r w:rsidRPr="004A07CF">
        <w:rPr>
          <w:rFonts w:ascii="Garamond" w:hAnsi="Garamond" w:cs="Times New Roman"/>
          <w:color w:val="000000"/>
        </w:rPr>
        <w:t>everia) u njoftua për kërkesën.</w:t>
      </w:r>
    </w:p>
    <w:p w14:paraId="5DFEAEBA" w14:textId="38DE4F29" w:rsidR="004E5425" w:rsidRPr="004A07CF" w:rsidRDefault="004E5425" w:rsidP="004A07CF">
      <w:pPr>
        <w:keepNext/>
        <w:tabs>
          <w:tab w:val="left" w:pos="360"/>
        </w:tabs>
        <w:autoSpaceDE w:val="0"/>
        <w:autoSpaceDN w:val="0"/>
        <w:adjustRightInd w:val="0"/>
        <w:ind w:firstLine="284"/>
        <w:jc w:val="both"/>
        <w:rPr>
          <w:rFonts w:ascii="Garamond" w:hAnsi="Garamond" w:cs="Times New Roman"/>
          <w:caps/>
          <w:color w:val="000000"/>
        </w:rPr>
      </w:pPr>
      <w:r w:rsidRPr="004A07CF">
        <w:rPr>
          <w:rFonts w:ascii="Garamond" w:hAnsi="Garamond" w:cs="Times New Roman"/>
          <w:color w:val="000000"/>
        </w:rPr>
        <w:t xml:space="preserve"> </w:t>
      </w:r>
      <w:r w:rsidRPr="004A07CF">
        <w:rPr>
          <w:rFonts w:ascii="Garamond" w:hAnsi="Garamond" w:cs="Times New Roman"/>
          <w:caps/>
          <w:color w:val="000000"/>
        </w:rPr>
        <w:t>FAKTET</w:t>
      </w:r>
    </w:p>
    <w:p w14:paraId="0E81F1F6" w14:textId="1B7EDE52"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3. Detajet e kërkuesve dhe informacion</w:t>
      </w:r>
      <w:r w:rsidR="00F36B0D">
        <w:rPr>
          <w:rFonts w:ascii="Garamond" w:hAnsi="Garamond" w:cs="Times New Roman"/>
          <w:color w:val="000000"/>
        </w:rPr>
        <w:t>,</w:t>
      </w:r>
      <w:r w:rsidRPr="004A07CF">
        <w:rPr>
          <w:rFonts w:ascii="Garamond" w:hAnsi="Garamond" w:cs="Times New Roman"/>
          <w:color w:val="000000"/>
        </w:rPr>
        <w:t xml:space="preserve"> në lidhje me kërkesën jepen në tabelën bashkëngjitur.</w:t>
      </w:r>
    </w:p>
    <w:p w14:paraId="2A2C1C6C" w14:textId="096E8CE1" w:rsidR="004E5425" w:rsidRPr="004A07CF" w:rsidRDefault="004E5425" w:rsidP="004A07CF">
      <w:pPr>
        <w:autoSpaceDE w:val="0"/>
        <w:autoSpaceDN w:val="0"/>
        <w:adjustRightInd w:val="0"/>
        <w:ind w:firstLine="284"/>
        <w:jc w:val="both"/>
        <w:rPr>
          <w:rFonts w:ascii="Garamond" w:hAnsi="Garamond" w:cs="Times New Roman"/>
        </w:rPr>
      </w:pPr>
      <w:r w:rsidRPr="004A07CF">
        <w:rPr>
          <w:rFonts w:ascii="Garamond" w:hAnsi="Garamond" w:cs="Times New Roman"/>
          <w:color w:val="000000"/>
        </w:rPr>
        <w:t>4. Kërkuesi u ankua për tejkalimin e kohëzgjatjes së procesit civil.</w:t>
      </w:r>
    </w:p>
    <w:p w14:paraId="794B1B98" w14:textId="7AED079A" w:rsidR="004E5425" w:rsidRPr="004A07CF" w:rsidRDefault="004E5425" w:rsidP="004A07CF">
      <w:pPr>
        <w:keepNext/>
        <w:keepLines/>
        <w:numPr>
          <w:ilvl w:val="0"/>
          <w:numId w:val="19"/>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4A07CF">
        <w:rPr>
          <w:rFonts w:ascii="Garamond" w:hAnsi="Garamond" w:cs="Times New Roman"/>
          <w:caps/>
          <w:color w:val="000000"/>
        </w:rPr>
        <w:t>I. Pronësia dhe qiradhënia e parcelës përkatëse të tokës</w:t>
      </w:r>
    </w:p>
    <w:p w14:paraId="516E978B" w14:textId="5A688A35"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5. Më 17 tetor 1995 Komisioni i Kthimit dhe Kompensimit të Pronave (Komisioni) Durrës njohu pronësinë e trashëguar të kërkuesit dhe anëtarëve të tij të familjes mbi një parcelë toke me sipërfaqe 10000 m</w:t>
      </w:r>
      <w:r w:rsidRPr="00F36B0D">
        <w:rPr>
          <w:rFonts w:ascii="Garamond" w:hAnsi="Garamond" w:cs="Times New Roman"/>
          <w:color w:val="000000"/>
          <w:vertAlign w:val="superscript"/>
        </w:rPr>
        <w:t>2</w:t>
      </w:r>
      <w:r w:rsidR="00F36B0D">
        <w:rPr>
          <w:rFonts w:ascii="Garamond" w:hAnsi="Garamond" w:cs="Times New Roman"/>
          <w:color w:val="000000"/>
        </w:rPr>
        <w:t>,</w:t>
      </w:r>
      <w:r w:rsidRPr="004A07CF">
        <w:rPr>
          <w:rFonts w:ascii="Garamond" w:hAnsi="Garamond" w:cs="Times New Roman"/>
          <w:color w:val="000000"/>
        </w:rPr>
        <w:t xml:space="preserve"> dhe të ndodhur brenda një zone që menaxhohej nga Shtëpia e Pushimit të Ushtarakëve Durrës, një shoqëri shtetërore nën përgjegjësinë e Ministrisë së Mbrojtjes. Komisioni</w:t>
      </w:r>
      <w:r w:rsidR="00F36B0D">
        <w:rPr>
          <w:rFonts w:ascii="Garamond" w:hAnsi="Garamond" w:cs="Times New Roman"/>
          <w:color w:val="000000"/>
        </w:rPr>
        <w:t>,</w:t>
      </w:r>
      <w:r w:rsidRPr="004A07CF">
        <w:rPr>
          <w:rFonts w:ascii="Garamond" w:hAnsi="Garamond" w:cs="Times New Roman"/>
          <w:color w:val="000000"/>
        </w:rPr>
        <w:t xml:space="preserve"> gjithashtu</w:t>
      </w:r>
      <w:r w:rsidR="00F36B0D">
        <w:rPr>
          <w:rFonts w:ascii="Garamond" w:hAnsi="Garamond" w:cs="Times New Roman"/>
          <w:color w:val="000000"/>
        </w:rPr>
        <w:t>,</w:t>
      </w:r>
      <w:r w:rsidRPr="004A07CF">
        <w:rPr>
          <w:rFonts w:ascii="Garamond" w:hAnsi="Garamond" w:cs="Times New Roman"/>
          <w:color w:val="000000"/>
        </w:rPr>
        <w:t xml:space="preserve"> urdhëroi kthimin e parcelës te kërkuesi dhe familja e tij.</w:t>
      </w:r>
    </w:p>
    <w:p w14:paraId="1AB89D1E" w14:textId="1F2EC6E0"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 xml:space="preserve">6. Më 12 dhjetor 1995, kërkuesi regjistroi pronësinë e tij në Zyrën e Regjistrimit të Pasurive të Paluajtshme (ZRPP); megjithatë, Shtëpia e Pushimit të Ushtarakëve vazhdoi të administronte parcelën e tokës, duke ia dhënë atë me qira një pale të tretë më 24 prill 1999. </w:t>
      </w:r>
    </w:p>
    <w:p w14:paraId="6BE41288" w14:textId="778AF003" w:rsidR="004E5425" w:rsidRPr="00F36B0D" w:rsidRDefault="004E5425" w:rsidP="00F36B0D">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7. Gjykata e Rrethit Durrës pranoi kërkesën e kërkuesit për të ndryshuar vendimin e Komisionit të vitit 1995. Më 14 qershor 2000, ajo njohu pronësinë e trashëguar të kërkuesit dhe bashkëpronarëve mbi një parcelë tjetër toke me sipërfaqe 6000 m</w:t>
      </w:r>
      <w:r w:rsidRPr="00F36B0D">
        <w:rPr>
          <w:rFonts w:ascii="Garamond" w:hAnsi="Garamond" w:cs="Times New Roman"/>
          <w:color w:val="000000"/>
          <w:vertAlign w:val="superscript"/>
        </w:rPr>
        <w:t>2</w:t>
      </w:r>
      <w:r w:rsidRPr="004A07CF">
        <w:rPr>
          <w:rFonts w:ascii="Garamond" w:hAnsi="Garamond" w:cs="Times New Roman"/>
          <w:color w:val="000000"/>
        </w:rPr>
        <w:t xml:space="preserve"> dhe urdhëroi kthimin e saj.</w:t>
      </w:r>
    </w:p>
    <w:p w14:paraId="27A7CFD0" w14:textId="28269E59" w:rsidR="004E5425" w:rsidRPr="004A07CF" w:rsidRDefault="004E5425" w:rsidP="004A07CF">
      <w:pPr>
        <w:keepNext/>
        <w:keepLines/>
        <w:numPr>
          <w:ilvl w:val="0"/>
          <w:numId w:val="19"/>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4A07CF">
        <w:rPr>
          <w:rFonts w:ascii="Garamond" w:hAnsi="Garamond" w:cs="Times New Roman"/>
          <w:caps/>
          <w:color w:val="000000"/>
        </w:rPr>
        <w:t>II. Procedura për kompensimin për qiranë e parcelës së tokës</w:t>
      </w:r>
    </w:p>
    <w:p w14:paraId="6BDC2152" w14:textId="4089B4D9"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8. Më 18 gusht 2000</w:t>
      </w:r>
      <w:r w:rsidR="00F36B0D">
        <w:rPr>
          <w:rFonts w:ascii="Garamond" w:hAnsi="Garamond" w:cs="Times New Roman"/>
          <w:color w:val="000000"/>
        </w:rPr>
        <w:t>,</w:t>
      </w:r>
      <w:r w:rsidRPr="004A07CF">
        <w:rPr>
          <w:rFonts w:ascii="Garamond" w:hAnsi="Garamond" w:cs="Times New Roman"/>
          <w:color w:val="000000"/>
        </w:rPr>
        <w:t xml:space="preserve"> kërkuesi me bashkëpronarët e parcelës së tokës filluan procesin ligjor kundër Shtëpisë së Pushimit të Ushtarakëve dhe Ministrisë së Mbrojtjes</w:t>
      </w:r>
      <w:r w:rsidR="00F36B0D">
        <w:rPr>
          <w:rFonts w:ascii="Garamond" w:hAnsi="Garamond" w:cs="Times New Roman"/>
          <w:color w:val="000000"/>
        </w:rPr>
        <w:t>,</w:t>
      </w:r>
      <w:r w:rsidRPr="004A07CF">
        <w:rPr>
          <w:rFonts w:ascii="Garamond" w:hAnsi="Garamond" w:cs="Times New Roman"/>
          <w:color w:val="000000"/>
        </w:rPr>
        <w:t xml:space="preserve"> duke pretenduar shumat që pala e tretë i kishte paguar të paditurve sipas kontratës së qirasë.</w:t>
      </w:r>
    </w:p>
    <w:p w14:paraId="76F740EB" w14:textId="584795C7"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9. Më 6 shkurt dhe 27 qershor 2001, gjykata e shkallës së parë dhe e apelit</w:t>
      </w:r>
      <w:r w:rsidR="00F36B0D">
        <w:rPr>
          <w:rFonts w:ascii="Garamond" w:hAnsi="Garamond" w:cs="Times New Roman"/>
          <w:color w:val="000000"/>
        </w:rPr>
        <w:t>,</w:t>
      </w:r>
      <w:r w:rsidRPr="004A07CF">
        <w:rPr>
          <w:rFonts w:ascii="Garamond" w:hAnsi="Garamond" w:cs="Times New Roman"/>
          <w:color w:val="000000"/>
        </w:rPr>
        <w:t xml:space="preserve"> përkatësisht, vendosën në favor të paditësve. Këto vendime u prishën më 20 mars 2002</w:t>
      </w:r>
      <w:r w:rsidR="00F36B0D">
        <w:rPr>
          <w:rFonts w:ascii="Garamond" w:hAnsi="Garamond" w:cs="Times New Roman"/>
          <w:color w:val="000000"/>
        </w:rPr>
        <w:t>,</w:t>
      </w:r>
      <w:r w:rsidRPr="004A07CF">
        <w:rPr>
          <w:rFonts w:ascii="Garamond" w:hAnsi="Garamond" w:cs="Times New Roman"/>
          <w:color w:val="000000"/>
        </w:rPr>
        <w:t xml:space="preserve"> nga Gjykata e Lartë e cila e ktheu çështjen për rigjykim në gjykatën e shkallës së parë. Gjykata e Lartë vendosi që gjykatat më të ulëta duhej të kishin ftuar në proces qiramarrësin.</w:t>
      </w:r>
    </w:p>
    <w:p w14:paraId="06827A93" w14:textId="4D49CD22"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 xml:space="preserve">10. Më 30 shtator 2002, Gjykata e Rrethit Durrës miratoi kërkesën e kërkuesit për masë sigurimi dhe ngriu 187.485 dollarë (USD) që i takonin Shtëpisë së Pushimit të Ushtarakëve. Më tej vendosi </w:t>
      </w:r>
      <w:r w:rsidRPr="004A07CF">
        <w:rPr>
          <w:rFonts w:ascii="Garamond" w:hAnsi="Garamond" w:cs="Times New Roman"/>
          <w:color w:val="000000"/>
        </w:rPr>
        <w:lastRenderedPageBreak/>
        <w:t>të pezullojë procesin deri në vendimin e gjykatës së brendshme në procese paralele</w:t>
      </w:r>
      <w:r w:rsidR="00F36B0D">
        <w:rPr>
          <w:rFonts w:ascii="Garamond" w:hAnsi="Garamond" w:cs="Times New Roman"/>
          <w:color w:val="000000"/>
        </w:rPr>
        <w:t>,</w:t>
      </w:r>
      <w:r w:rsidRPr="004A07CF">
        <w:rPr>
          <w:rFonts w:ascii="Garamond" w:hAnsi="Garamond" w:cs="Times New Roman"/>
          <w:color w:val="000000"/>
        </w:rPr>
        <w:t xml:space="preserve"> ku u kundërshtua pronësia e kërkuesit mbi parcelën e tokës (shihni paragrafin 18 më poshtë). </w:t>
      </w:r>
    </w:p>
    <w:p w14:paraId="56A50EFA" w14:textId="595DB091"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11. Masa e sigurimit u hoq më 30 janar 2003</w:t>
      </w:r>
      <w:r w:rsidR="00F36B0D">
        <w:rPr>
          <w:rFonts w:ascii="Garamond" w:hAnsi="Garamond" w:cs="Times New Roman"/>
          <w:color w:val="000000"/>
        </w:rPr>
        <w:t>,</w:t>
      </w:r>
      <w:r w:rsidRPr="004A07CF">
        <w:rPr>
          <w:rFonts w:ascii="Garamond" w:hAnsi="Garamond" w:cs="Times New Roman"/>
          <w:color w:val="000000"/>
        </w:rPr>
        <w:t xml:space="preserve"> kur Gjykata e Apelit Durrës</w:t>
      </w:r>
      <w:r w:rsidR="00F36B0D">
        <w:rPr>
          <w:rFonts w:ascii="Garamond" w:hAnsi="Garamond" w:cs="Times New Roman"/>
          <w:color w:val="000000"/>
        </w:rPr>
        <w:t>,</w:t>
      </w:r>
      <w:r w:rsidRPr="004A07CF">
        <w:rPr>
          <w:rFonts w:ascii="Garamond" w:hAnsi="Garamond" w:cs="Times New Roman"/>
          <w:color w:val="000000"/>
        </w:rPr>
        <w:t xml:space="preserve"> gjithashtu</w:t>
      </w:r>
      <w:r w:rsidR="00F36B0D">
        <w:rPr>
          <w:rFonts w:ascii="Garamond" w:hAnsi="Garamond" w:cs="Times New Roman"/>
          <w:color w:val="000000"/>
        </w:rPr>
        <w:t>,</w:t>
      </w:r>
      <w:r w:rsidRPr="004A07CF">
        <w:rPr>
          <w:rFonts w:ascii="Garamond" w:hAnsi="Garamond" w:cs="Times New Roman"/>
          <w:color w:val="000000"/>
        </w:rPr>
        <w:t xml:space="preserve"> la në fuqi vendimin për pezullimin e procesit. Procesi rifilloi më 25 maj 2008. Më pas</w:t>
      </w:r>
      <w:r w:rsidR="00F36B0D">
        <w:rPr>
          <w:rFonts w:ascii="Garamond" w:hAnsi="Garamond" w:cs="Times New Roman"/>
          <w:color w:val="000000"/>
        </w:rPr>
        <w:t>,</w:t>
      </w:r>
      <w:r w:rsidRPr="004A07CF">
        <w:rPr>
          <w:rFonts w:ascii="Garamond" w:hAnsi="Garamond" w:cs="Times New Roman"/>
          <w:color w:val="000000"/>
        </w:rPr>
        <w:t xml:space="preserve"> disa seanca gjyqësore u shtynë sepse anëtarët e familjes së kërkuesit, bashkëpaditës në proces</w:t>
      </w:r>
      <w:r w:rsidR="00F36B0D">
        <w:rPr>
          <w:rFonts w:ascii="Garamond" w:hAnsi="Garamond" w:cs="Times New Roman"/>
          <w:color w:val="000000"/>
        </w:rPr>
        <w:t>,</w:t>
      </w:r>
      <w:r w:rsidRPr="004A07CF">
        <w:rPr>
          <w:rFonts w:ascii="Garamond" w:hAnsi="Garamond" w:cs="Times New Roman"/>
          <w:color w:val="000000"/>
        </w:rPr>
        <w:t xml:space="preserve"> nuk u njoftuan me fletëthirrje.</w:t>
      </w:r>
    </w:p>
    <w:p w14:paraId="153C61CB" w14:textId="3D5B76CF"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12. Më 15 prill 2009, gjykata pezulloi procesin për të lejuar anëtarët e familjes së kërkuesit që të nxirrnin një akt trashëgimie</w:t>
      </w:r>
      <w:r w:rsidR="00F36B0D">
        <w:rPr>
          <w:rFonts w:ascii="Garamond" w:hAnsi="Garamond" w:cs="Times New Roman"/>
          <w:color w:val="000000"/>
        </w:rPr>
        <w:t>,</w:t>
      </w:r>
      <w:r w:rsidRPr="004A07CF">
        <w:rPr>
          <w:rFonts w:ascii="Garamond" w:hAnsi="Garamond" w:cs="Times New Roman"/>
          <w:color w:val="000000"/>
        </w:rPr>
        <w:t xml:space="preserve"> në lidhje me një familjar që kishte ndërruar jetë, një bashkëpaditës.</w:t>
      </w:r>
    </w:p>
    <w:p w14:paraId="48805B79" w14:textId="2314ACAC"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13. Edhe pse vendimi për vazhdimin e procesit doli më 9 shtator 2009, seanca e kësaj date u shty sepse mungonte gjyqtari. Dy seancat e radhës u ricaktuan për të njëjtën arsye.</w:t>
      </w:r>
    </w:p>
    <w:p w14:paraId="7F4209AB" w14:textId="3DFCE05B"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14. Më 16 mars 2010, Shtëpia e Pushimit të Ushtarakëve kërkoi pezullimin e procesit sepse po bënte riorganizim të brendshëm dhe nuk ishte e qartë se cili subjekt do ta pasonte. Gjykata pranoi kërkesën dhe pezulloi procesin.</w:t>
      </w:r>
    </w:p>
    <w:p w14:paraId="2379E7B9" w14:textId="06B6FBA5"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15. Procesi rifilloi më 2 nëntor 2012.</w:t>
      </w:r>
    </w:p>
    <w:p w14:paraId="16BB6EC3" w14:textId="0A19D4E4"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 xml:space="preserve">16. Më 23 janar 2013, gjykata vuri re që kërkuesi nuk u paraqit, pa ndonjë arsye të fortë, dhe ndërpreu procesin në lidhje me atë. </w:t>
      </w:r>
    </w:p>
    <w:p w14:paraId="2F94FE6A" w14:textId="59761213"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17. Ndërmjet 23 janarit dhe 30 tetorit 2013, gjykata u mbështet në të njëjtat shkaqe për të ndërprerë procesin në lidhje me paditësit e mbetur.</w:t>
      </w:r>
    </w:p>
    <w:p w14:paraId="01F0FE9B" w14:textId="425DA561" w:rsidR="004E5425" w:rsidRPr="004A07CF" w:rsidRDefault="004E5425" w:rsidP="004A07CF">
      <w:pPr>
        <w:keepNext/>
        <w:keepLines/>
        <w:numPr>
          <w:ilvl w:val="0"/>
          <w:numId w:val="19"/>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4A07CF">
        <w:rPr>
          <w:rFonts w:ascii="Garamond" w:hAnsi="Garamond" w:cs="Times New Roman"/>
          <w:caps/>
          <w:color w:val="000000"/>
        </w:rPr>
        <w:t>III. Proceset në lidhje me shfuqizimin e pronësisë së kërkuesit</w:t>
      </w:r>
    </w:p>
    <w:p w14:paraId="15642879" w14:textId="20B3DEC8"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18. Më 22 tetor 2001, Shtëpia e Pushimit të Ushtarakëve paditi kërkuesin përpara Gjykatës së Rrethit Gjyqësor Durrës, me kërkesën për të prishur vendimin e Komisionit të vitit 1995.</w:t>
      </w:r>
    </w:p>
    <w:p w14:paraId="3E716B39" w14:textId="2477494F"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19. Gjykata e Rrethit Gjyqësor Durrës pezulloi procesin</w:t>
      </w:r>
      <w:r w:rsidR="00F36B0D">
        <w:rPr>
          <w:rFonts w:ascii="Garamond" w:hAnsi="Garamond" w:cs="Times New Roman"/>
          <w:color w:val="000000"/>
        </w:rPr>
        <w:t>,</w:t>
      </w:r>
      <w:r w:rsidRPr="004A07CF">
        <w:rPr>
          <w:rFonts w:ascii="Garamond" w:hAnsi="Garamond" w:cs="Times New Roman"/>
          <w:color w:val="000000"/>
        </w:rPr>
        <w:t xml:space="preserve"> më 7 tetor 2002</w:t>
      </w:r>
      <w:r w:rsidR="00F36B0D">
        <w:rPr>
          <w:rFonts w:ascii="Garamond" w:hAnsi="Garamond" w:cs="Times New Roman"/>
          <w:color w:val="000000"/>
        </w:rPr>
        <w:t>,</w:t>
      </w:r>
      <w:r w:rsidRPr="004A07CF">
        <w:rPr>
          <w:rFonts w:ascii="Garamond" w:hAnsi="Garamond" w:cs="Times New Roman"/>
          <w:color w:val="000000"/>
        </w:rPr>
        <w:t xml:space="preserve"> sepse vlerësoi që paditësi kishte filluar proces të ngjashëm dhe të ndërlidhur përpara Gjykatës së Rrethit Gjyqësor Tiranë. Ky vendim u la në fuqi në apel më 12 dhjetor 2002</w:t>
      </w:r>
      <w:r w:rsidR="00F36B0D">
        <w:rPr>
          <w:rFonts w:ascii="Garamond" w:hAnsi="Garamond" w:cs="Times New Roman"/>
          <w:color w:val="000000"/>
        </w:rPr>
        <w:t>,</w:t>
      </w:r>
      <w:r w:rsidRPr="004A07CF">
        <w:rPr>
          <w:rFonts w:ascii="Garamond" w:hAnsi="Garamond" w:cs="Times New Roman"/>
          <w:color w:val="000000"/>
        </w:rPr>
        <w:t xml:space="preserve"> nga Gjykata e Apelit Durrës.</w:t>
      </w:r>
    </w:p>
    <w:p w14:paraId="202B3C35" w14:textId="70751BF9"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20. Më 11 mars 2004, Gjykata e Lartë gjeti që nuk kishte arsye për të pezulluar procesin dhe e ktheu çështjen për shqyrtim në Gjykatën e Rrethit Gjyqësor.</w:t>
      </w:r>
    </w:p>
    <w:p w14:paraId="35B17035" w14:textId="7D3584F0"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21. Gjykata e Rrethit Gjyqësor Durrës, më 17 korrik 2006, prishi pjesërisht vendimin e Komisionit të vitit 1995. Ajo vendosi që kërkuesi duhet të dëmshpërblehet në një nga mënyrat e parashikuara në ligj, në lidhje me 10000 m</w:t>
      </w:r>
      <w:r w:rsidRPr="00F36B0D">
        <w:rPr>
          <w:rFonts w:ascii="Garamond" w:hAnsi="Garamond" w:cs="Times New Roman"/>
          <w:color w:val="000000"/>
          <w:vertAlign w:val="superscript"/>
        </w:rPr>
        <w:t>2</w:t>
      </w:r>
      <w:r w:rsidRPr="004A07CF">
        <w:rPr>
          <w:rFonts w:ascii="Garamond" w:hAnsi="Garamond" w:cs="Times New Roman"/>
          <w:color w:val="000000"/>
        </w:rPr>
        <w:t xml:space="preserve"> </w:t>
      </w:r>
      <w:r w:rsidRPr="004A07CF">
        <w:rPr>
          <w:rFonts w:ascii="Garamond" w:hAnsi="Garamond" w:cs="Times New Roman"/>
          <w:i/>
          <w:iCs/>
          <w:color w:val="000000"/>
        </w:rPr>
        <w:t>në vend të</w:t>
      </w:r>
      <w:r w:rsidRPr="004A07CF">
        <w:rPr>
          <w:rFonts w:ascii="Garamond" w:hAnsi="Garamond" w:cs="Times New Roman"/>
          <w:color w:val="000000"/>
        </w:rPr>
        <w:t xml:space="preserve"> kthimit të pronës.</w:t>
      </w:r>
    </w:p>
    <w:p w14:paraId="732A6882" w14:textId="172ACF65"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22. Më 21 janar 2008, Gjykata e Apelit e ndryshoi atë vendim dhe vendosi që kërkuesi të dëmshpërblehej në një nga mënyrat e parashikuara në ligj, në lidhje me 10000 m</w:t>
      </w:r>
      <w:r w:rsidRPr="00F36B0D">
        <w:rPr>
          <w:rFonts w:ascii="Garamond" w:hAnsi="Garamond" w:cs="Times New Roman"/>
          <w:color w:val="000000"/>
          <w:vertAlign w:val="superscript"/>
        </w:rPr>
        <w:t>2</w:t>
      </w:r>
      <w:r w:rsidRPr="004A07CF">
        <w:rPr>
          <w:rFonts w:ascii="Garamond" w:hAnsi="Garamond" w:cs="Times New Roman"/>
          <w:color w:val="000000"/>
        </w:rPr>
        <w:t xml:space="preserve"> </w:t>
      </w:r>
      <w:r w:rsidRPr="004A07CF">
        <w:rPr>
          <w:rFonts w:ascii="Garamond" w:hAnsi="Garamond" w:cs="Times New Roman"/>
          <w:i/>
          <w:iCs/>
          <w:color w:val="000000"/>
        </w:rPr>
        <w:t>në vend të</w:t>
      </w:r>
      <w:r w:rsidRPr="004A07CF">
        <w:rPr>
          <w:rFonts w:ascii="Garamond" w:hAnsi="Garamond" w:cs="Times New Roman"/>
          <w:color w:val="000000"/>
        </w:rPr>
        <w:t xml:space="preserve"> kthimit të pronës.</w:t>
      </w:r>
    </w:p>
    <w:p w14:paraId="3CF83977" w14:textId="0F4414CC" w:rsidR="004E5425" w:rsidRPr="004A07CF" w:rsidRDefault="004E5425" w:rsidP="004A07CF">
      <w:pPr>
        <w:keepNext/>
        <w:keepLines/>
        <w:tabs>
          <w:tab w:val="left" w:pos="360"/>
        </w:tabs>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23.</w:t>
      </w:r>
      <w:r w:rsidR="00F36B0D">
        <w:rPr>
          <w:rFonts w:ascii="Garamond" w:hAnsi="Garamond" w:cs="Times New Roman"/>
          <w:color w:val="000000"/>
        </w:rPr>
        <w:t xml:space="preserve"> </w:t>
      </w:r>
      <w:r w:rsidRPr="004A07CF">
        <w:rPr>
          <w:rFonts w:ascii="Garamond" w:hAnsi="Garamond" w:cs="Times New Roman"/>
          <w:color w:val="000000"/>
        </w:rPr>
        <w:t>Më 24 tetor 2012, Gjykata e Lartë i prishi ato vendime dhe e rrëzoi padinë kundër kërkuesve si të pabazuar. Ajo e gjeti të ligjshëm dhe të vlefshëm vendimin e Komisionit të vitit 1995.</w:t>
      </w:r>
    </w:p>
    <w:p w14:paraId="19C155FC" w14:textId="41DE9952" w:rsidR="004E5425" w:rsidRPr="004A07CF" w:rsidRDefault="004E5425" w:rsidP="004A07CF">
      <w:pPr>
        <w:keepNext/>
        <w:tabs>
          <w:tab w:val="left" w:pos="360"/>
        </w:tabs>
        <w:autoSpaceDE w:val="0"/>
        <w:autoSpaceDN w:val="0"/>
        <w:adjustRightInd w:val="0"/>
        <w:ind w:firstLine="284"/>
        <w:jc w:val="both"/>
        <w:rPr>
          <w:rFonts w:ascii="Garamond" w:hAnsi="Garamond" w:cs="Times New Roman"/>
          <w:caps/>
          <w:color w:val="000000"/>
        </w:rPr>
      </w:pPr>
      <w:r w:rsidRPr="004A07CF">
        <w:rPr>
          <w:rFonts w:ascii="Garamond" w:hAnsi="Garamond" w:cs="Times New Roman"/>
          <w:caps/>
          <w:color w:val="000000"/>
        </w:rPr>
        <w:t>LEGJISLACIONI</w:t>
      </w:r>
    </w:p>
    <w:p w14:paraId="290C7087" w14:textId="374A254D" w:rsidR="004E5425" w:rsidRPr="004A07CF" w:rsidRDefault="004E5425" w:rsidP="004A07CF">
      <w:pPr>
        <w:keepNext/>
        <w:numPr>
          <w:ilvl w:val="0"/>
          <w:numId w:val="19"/>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4A07CF">
        <w:rPr>
          <w:rFonts w:ascii="Garamond" w:hAnsi="Garamond" w:cs="Times New Roman"/>
          <w:caps/>
          <w:color w:val="000000"/>
        </w:rPr>
        <w:t>I. SHKELJA E PRETENDUAR E NENIT 6 § 1 TË KONVENTËS</w:t>
      </w:r>
    </w:p>
    <w:p w14:paraId="5D45A58F" w14:textId="13ACB602"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24. Kërkuesi u ankua që kohëzgjatja e dy proceseve civile nuk ishte në përputhje me kërkesën e “kohës së arsyeshme”. Ai u mbështet në paragrafin 1</w:t>
      </w:r>
      <w:r w:rsidR="00F36B0D">
        <w:rPr>
          <w:rFonts w:ascii="Garamond" w:hAnsi="Garamond" w:cs="Times New Roman"/>
          <w:color w:val="000000"/>
        </w:rPr>
        <w:t>,</w:t>
      </w:r>
      <w:r w:rsidRPr="004A07CF">
        <w:rPr>
          <w:rFonts w:ascii="Garamond" w:hAnsi="Garamond" w:cs="Times New Roman"/>
          <w:color w:val="000000"/>
        </w:rPr>
        <w:t xml:space="preserve"> të nenit 6 të Konventës.</w:t>
      </w:r>
    </w:p>
    <w:p w14:paraId="53ED59D5" w14:textId="6A316995" w:rsidR="004E5425" w:rsidRPr="004A07CF" w:rsidRDefault="004E5425" w:rsidP="004A07CF">
      <w:pPr>
        <w:keepNext/>
        <w:keepLines/>
        <w:numPr>
          <w:ilvl w:val="0"/>
          <w:numId w:val="19"/>
        </w:numPr>
        <w:tabs>
          <w:tab w:val="left" w:pos="360"/>
        </w:tabs>
        <w:autoSpaceDE w:val="0"/>
        <w:autoSpaceDN w:val="0"/>
        <w:adjustRightInd w:val="0"/>
        <w:ind w:firstLine="284"/>
        <w:jc w:val="both"/>
        <w:rPr>
          <w:rFonts w:ascii="Garamond" w:hAnsi="Garamond" w:cs="Times New Roman"/>
          <w:b/>
          <w:bCs/>
          <w:color w:val="000000"/>
        </w:rPr>
      </w:pPr>
      <w:r w:rsidRPr="004A07CF">
        <w:rPr>
          <w:rFonts w:ascii="Garamond" w:hAnsi="Garamond" w:cs="Times New Roman"/>
          <w:b/>
          <w:bCs/>
          <w:color w:val="000000"/>
        </w:rPr>
        <w:t>A. Parimet e zbatueshme</w:t>
      </w:r>
    </w:p>
    <w:p w14:paraId="539C1605" w14:textId="0688899A" w:rsidR="004E5425" w:rsidRPr="004A07CF" w:rsidRDefault="004E5425" w:rsidP="004A07CF">
      <w:pPr>
        <w:autoSpaceDE w:val="0"/>
        <w:autoSpaceDN w:val="0"/>
        <w:adjustRightInd w:val="0"/>
        <w:ind w:firstLine="284"/>
        <w:jc w:val="both"/>
        <w:rPr>
          <w:rFonts w:ascii="Garamond" w:hAnsi="Garamond" w:cs="Times New Roman"/>
          <w:strike/>
          <w:color w:val="000000"/>
        </w:rPr>
      </w:pPr>
      <w:r w:rsidRPr="004A07CF">
        <w:rPr>
          <w:rFonts w:ascii="Garamond" w:hAnsi="Garamond" w:cs="Times New Roman"/>
          <w:color w:val="000000"/>
        </w:rPr>
        <w:t>25. Gjykata thekson se arsyeshmëria e kohëzgjatjes së proceseve duhet të vlerësohet duke pasur parasysh rrethanat e çështjes dhe duke iu referuar kritereve të mëposhtme: kompleksitetit të çështjes, sjelljes së kërkuesit dhe autoriteteve përkatëse</w:t>
      </w:r>
      <w:r w:rsidR="00F36B0D">
        <w:rPr>
          <w:rFonts w:ascii="Garamond" w:hAnsi="Garamond" w:cs="Times New Roman"/>
          <w:color w:val="000000"/>
        </w:rPr>
        <w:t>,</w:t>
      </w:r>
      <w:r w:rsidRPr="004A07CF">
        <w:rPr>
          <w:rFonts w:ascii="Garamond" w:hAnsi="Garamond" w:cs="Times New Roman"/>
          <w:color w:val="000000"/>
        </w:rPr>
        <w:t xml:space="preserve"> dhe atë që ishte në diskutim për kërkuesin në mosmarrëveshje (shihni </w:t>
      </w:r>
      <w:r w:rsidRPr="004A07CF">
        <w:rPr>
          <w:rFonts w:ascii="Garamond" w:hAnsi="Garamond" w:cs="Times New Roman"/>
          <w:i/>
          <w:iCs/>
          <w:color w:val="000000"/>
        </w:rPr>
        <w:t>Frydlender kundër Francës</w:t>
      </w:r>
      <w:r w:rsidRPr="004A07CF">
        <w:rPr>
          <w:rFonts w:ascii="Garamond" w:hAnsi="Garamond" w:cs="Times New Roman"/>
          <w:color w:val="000000"/>
        </w:rPr>
        <w:t xml:space="preserve"> [DHM], nr. 30979/96, § 43 GJEDNJ 2000-VII).</w:t>
      </w:r>
    </w:p>
    <w:p w14:paraId="2605AF42" w14:textId="644BF854"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 xml:space="preserve">26. Në çështjet kryesuese </w:t>
      </w:r>
      <w:r w:rsidRPr="004A07CF">
        <w:rPr>
          <w:rFonts w:ascii="Garamond" w:hAnsi="Garamond" w:cs="Times New Roman"/>
          <w:i/>
          <w:iCs/>
          <w:color w:val="000000"/>
        </w:rPr>
        <w:t xml:space="preserve">Luli dhe të tjerë kundër Shqipërisë </w:t>
      </w:r>
      <w:r w:rsidRPr="004A07CF">
        <w:rPr>
          <w:rFonts w:ascii="Garamond" w:hAnsi="Garamond" w:cs="Times New Roman"/>
          <w:color w:val="000000"/>
        </w:rPr>
        <w:t xml:space="preserve">(nr. 64480/09 dhe 5 të tjera, 1 prill 2014) dhe </w:t>
      </w:r>
      <w:r w:rsidRPr="004A07CF">
        <w:rPr>
          <w:rFonts w:ascii="Garamond" w:hAnsi="Garamond" w:cs="Times New Roman"/>
          <w:i/>
          <w:iCs/>
          <w:color w:val="000000"/>
        </w:rPr>
        <w:t xml:space="preserve">Mishgjoni kundër Shqipërisë </w:t>
      </w:r>
      <w:r w:rsidRPr="004A07CF">
        <w:rPr>
          <w:rFonts w:ascii="Garamond" w:hAnsi="Garamond" w:cs="Times New Roman"/>
          <w:color w:val="000000"/>
        </w:rPr>
        <w:t>(nr. 18381/05, 7 dhjetor 201</w:t>
      </w:r>
      <w:bookmarkStart w:id="0" w:name="_GoBack"/>
      <w:bookmarkEnd w:id="0"/>
      <w:r w:rsidRPr="0056221C">
        <w:rPr>
          <w:rFonts w:ascii="Garamond" w:hAnsi="Garamond" w:cs="Times New Roman"/>
          <w:color w:val="000000"/>
        </w:rPr>
        <w:t>0</w:t>
      </w:r>
      <w:r w:rsidR="00F36B0D" w:rsidRPr="0056221C">
        <w:rPr>
          <w:rFonts w:ascii="Garamond" w:hAnsi="Garamond" w:cs="Times New Roman"/>
          <w:color w:val="000000"/>
        </w:rPr>
        <w:t>)</w:t>
      </w:r>
      <w:r w:rsidRPr="0056221C">
        <w:rPr>
          <w:rFonts w:ascii="Garamond" w:hAnsi="Garamond" w:cs="Times New Roman"/>
          <w:color w:val="000000"/>
        </w:rPr>
        <w:t>,</w:t>
      </w:r>
      <w:r w:rsidRPr="004A07CF">
        <w:rPr>
          <w:rFonts w:ascii="Garamond" w:hAnsi="Garamond" w:cs="Times New Roman"/>
          <w:color w:val="000000"/>
        </w:rPr>
        <w:t xml:space="preserve"> Gjykata tashmë ka gjetur shkelje</w:t>
      </w:r>
      <w:r w:rsidR="00F36B0D">
        <w:rPr>
          <w:rFonts w:ascii="Garamond" w:hAnsi="Garamond" w:cs="Times New Roman"/>
          <w:color w:val="000000"/>
        </w:rPr>
        <w:t>,</w:t>
      </w:r>
      <w:r w:rsidRPr="004A07CF">
        <w:rPr>
          <w:rFonts w:ascii="Garamond" w:hAnsi="Garamond" w:cs="Times New Roman"/>
          <w:color w:val="000000"/>
        </w:rPr>
        <w:t xml:space="preserve"> në lidhje me probleme të ngjashme me ato në këtë çështje.</w:t>
      </w:r>
    </w:p>
    <w:p w14:paraId="432150F7" w14:textId="6525412A" w:rsidR="004E5425" w:rsidRPr="004A07CF" w:rsidRDefault="004E5425" w:rsidP="004A07CF">
      <w:pPr>
        <w:keepNext/>
        <w:keepLines/>
        <w:numPr>
          <w:ilvl w:val="0"/>
          <w:numId w:val="19"/>
        </w:numPr>
        <w:tabs>
          <w:tab w:val="left" w:pos="360"/>
        </w:tabs>
        <w:autoSpaceDE w:val="0"/>
        <w:autoSpaceDN w:val="0"/>
        <w:adjustRightInd w:val="0"/>
        <w:ind w:firstLine="284"/>
        <w:jc w:val="both"/>
        <w:rPr>
          <w:rFonts w:ascii="Garamond" w:hAnsi="Garamond" w:cs="Times New Roman"/>
          <w:b/>
          <w:bCs/>
          <w:color w:val="000000"/>
        </w:rPr>
      </w:pPr>
      <w:r w:rsidRPr="004A07CF">
        <w:rPr>
          <w:rFonts w:ascii="Garamond" w:hAnsi="Garamond" w:cs="Times New Roman"/>
          <w:b/>
          <w:bCs/>
          <w:color w:val="000000"/>
        </w:rPr>
        <w:lastRenderedPageBreak/>
        <w:t>B. Vlerësimi i Gjykatës</w:t>
      </w:r>
    </w:p>
    <w:p w14:paraId="702BF356" w14:textId="362143D4" w:rsidR="004E5425" w:rsidRPr="004A07CF" w:rsidRDefault="004E5425" w:rsidP="004A07CF">
      <w:pPr>
        <w:keepNext/>
        <w:numPr>
          <w:ilvl w:val="0"/>
          <w:numId w:val="19"/>
        </w:numPr>
        <w:tabs>
          <w:tab w:val="left" w:pos="360"/>
        </w:tabs>
        <w:autoSpaceDE w:val="0"/>
        <w:autoSpaceDN w:val="0"/>
        <w:adjustRightInd w:val="0"/>
        <w:ind w:firstLine="284"/>
        <w:jc w:val="both"/>
        <w:rPr>
          <w:rFonts w:ascii="Garamond" w:hAnsi="Garamond" w:cs="Times New Roman"/>
          <w:i/>
          <w:iCs/>
          <w:color w:val="000000"/>
        </w:rPr>
      </w:pPr>
      <w:r w:rsidRPr="004A07CF">
        <w:rPr>
          <w:rFonts w:ascii="Garamond" w:hAnsi="Garamond" w:cs="Times New Roman"/>
          <w:i/>
          <w:iCs/>
          <w:color w:val="000000"/>
        </w:rPr>
        <w:t>1. Procese për pretendimin e kërkuesit për kompensim</w:t>
      </w:r>
    </w:p>
    <w:p w14:paraId="612321C0" w14:textId="63B84EC1"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27. Procesi filloi më 18 gusht 2000 (shihni paragrafin 8 më sipër) dhe përfundoi më 23 janar 2013 (shihni paragrafin 16 më sipër). Prandaj</w:t>
      </w:r>
      <w:r w:rsidR="00F36B0D">
        <w:rPr>
          <w:rFonts w:ascii="Garamond" w:hAnsi="Garamond" w:cs="Times New Roman"/>
          <w:color w:val="000000"/>
        </w:rPr>
        <w:t>,</w:t>
      </w:r>
      <w:r w:rsidRPr="004A07CF">
        <w:rPr>
          <w:rFonts w:ascii="Garamond" w:hAnsi="Garamond" w:cs="Times New Roman"/>
          <w:color w:val="000000"/>
        </w:rPr>
        <w:t xml:space="preserve"> ai zgjati disi më shumë se dymbëdhjetë vjet dhe pesë muaj përpara tr</w:t>
      </w:r>
      <w:r w:rsidR="00F36B0D">
        <w:rPr>
          <w:rFonts w:ascii="Garamond" w:hAnsi="Garamond" w:cs="Times New Roman"/>
          <w:color w:val="000000"/>
        </w:rPr>
        <w:t>i</w:t>
      </w:r>
      <w:r w:rsidRPr="004A07CF">
        <w:rPr>
          <w:rFonts w:ascii="Garamond" w:hAnsi="Garamond" w:cs="Times New Roman"/>
          <w:color w:val="000000"/>
        </w:rPr>
        <w:t xml:space="preserve"> niveleve të juridiksionit ku çështja u shqyrtua në katër raunde procesesh.</w:t>
      </w:r>
    </w:p>
    <w:p w14:paraId="1BD2B82A" w14:textId="61006E87"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28. Objekti kryesor përpara gjykatave të brendshme nuk ishte veçanërisht kompleks dhe kërkonte vetëm vendimin për të drejtën e kërkuesit</w:t>
      </w:r>
      <w:r w:rsidR="00F36B0D">
        <w:rPr>
          <w:rFonts w:ascii="Garamond" w:hAnsi="Garamond" w:cs="Times New Roman"/>
          <w:color w:val="000000"/>
        </w:rPr>
        <w:t>,</w:t>
      </w:r>
      <w:r w:rsidRPr="004A07CF">
        <w:rPr>
          <w:rFonts w:ascii="Garamond" w:hAnsi="Garamond" w:cs="Times New Roman"/>
          <w:color w:val="000000"/>
        </w:rPr>
        <w:t xml:space="preserve"> për shumat që të paditurit kishin mbledhur për dhënien me qira të parcelës së tokës te</w:t>
      </w:r>
      <w:r w:rsidR="00F36B0D">
        <w:rPr>
          <w:rFonts w:ascii="Garamond" w:hAnsi="Garamond" w:cs="Times New Roman"/>
          <w:color w:val="000000"/>
        </w:rPr>
        <w:t>k</w:t>
      </w:r>
      <w:r w:rsidRPr="004A07CF">
        <w:rPr>
          <w:rFonts w:ascii="Garamond" w:hAnsi="Garamond" w:cs="Times New Roman"/>
          <w:color w:val="000000"/>
        </w:rPr>
        <w:t xml:space="preserve"> një palë e tretë.</w:t>
      </w:r>
    </w:p>
    <w:p w14:paraId="7DEFEEEF" w14:textId="6B6115A7"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29. Vonesa në fillim ndodhi për faktin se vendimi i parë i gjykatës së faktit dhe të apelit u rrëzuan në ankimin përpara Gjykatës së Lartë (shihni paragrafin 9 më sipër)</w:t>
      </w:r>
      <w:r w:rsidR="00F36B0D">
        <w:rPr>
          <w:rFonts w:ascii="Garamond" w:hAnsi="Garamond" w:cs="Times New Roman"/>
          <w:color w:val="000000"/>
        </w:rPr>
        <w:t>.</w:t>
      </w:r>
      <w:r w:rsidRPr="004A07CF">
        <w:rPr>
          <w:rFonts w:ascii="Garamond" w:hAnsi="Garamond" w:cs="Times New Roman"/>
          <w:color w:val="000000"/>
        </w:rPr>
        <w:t xml:space="preserve"> Edhe pse nuk i takon Gjykatës që të analizojë cilësinë e vendimmarrjes së gjykatave të brendshme, kthimi i çështjeve për rishqyrtim zakonisht urdhërohet si rezultat i gabimeve të kryera nga gjykatat më ulëta, përsëritja e këtyre urdhrave brenda një procesi tregon një të metë të rëndë në sistemin gjyqësor. Gjithashtu, kjo e metë i ngarkohet autoriteteve dhe jo kërkuesve (shihni </w:t>
      </w:r>
      <w:r w:rsidRPr="004A07CF">
        <w:rPr>
          <w:rFonts w:ascii="Garamond" w:hAnsi="Garamond" w:cs="Times New Roman"/>
          <w:i/>
          <w:iCs/>
          <w:color w:val="000000"/>
        </w:rPr>
        <w:t>Vlad dhe të tjerë kundër Rumanisë</w:t>
      </w:r>
      <w:r w:rsidRPr="004A07CF">
        <w:rPr>
          <w:rFonts w:ascii="Garamond" w:hAnsi="Garamond" w:cs="Times New Roman"/>
          <w:color w:val="000000"/>
        </w:rPr>
        <w:t>, nr. 40756/06 dhe 2 të tjerë, § 133, 26 nëntor 2013, me referenca të mëtejshme).</w:t>
      </w:r>
    </w:p>
    <w:p w14:paraId="78AE3231" w14:textId="524883F6"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30. Një vonesë e konsiderueshme prej pothuajse gjashtë vjet ndodhi si pasojë e pezullimit të procesit për shkak se pronësia e kërkuesit u kundërshtua në procese paralele (shihni paragrafin 10 më sipër dhe </w:t>
      </w:r>
      <w:r w:rsidRPr="004A07CF">
        <w:rPr>
          <w:rFonts w:ascii="Garamond" w:hAnsi="Garamond" w:cs="Times New Roman"/>
          <w:i/>
          <w:iCs/>
          <w:color w:val="000000"/>
        </w:rPr>
        <w:t>Gjonbocari dhe të tjerë kundër Shqipërisë</w:t>
      </w:r>
      <w:r w:rsidRPr="004A07CF">
        <w:rPr>
          <w:rFonts w:ascii="Garamond" w:hAnsi="Garamond" w:cs="Times New Roman"/>
          <w:color w:val="000000"/>
        </w:rPr>
        <w:t>, nr. 10508/02, §§66</w:t>
      </w:r>
      <w:r w:rsidR="00F36B0D">
        <w:rPr>
          <w:rFonts w:ascii="Garamond" w:hAnsi="Garamond" w:cs="Times New Roman"/>
          <w:color w:val="000000"/>
        </w:rPr>
        <w:t>–</w:t>
      </w:r>
      <w:r w:rsidRPr="004A07CF">
        <w:rPr>
          <w:rFonts w:ascii="Garamond" w:hAnsi="Garamond" w:cs="Times New Roman"/>
          <w:color w:val="000000"/>
        </w:rPr>
        <w:t>67, 23 tetor 2007</w:t>
      </w:r>
      <w:r w:rsidR="00F36B0D">
        <w:rPr>
          <w:rFonts w:ascii="Garamond" w:hAnsi="Garamond" w:cs="Times New Roman"/>
          <w:color w:val="000000"/>
        </w:rPr>
        <w:t>,</w:t>
      </w:r>
      <w:r w:rsidRPr="004A07CF">
        <w:rPr>
          <w:rFonts w:ascii="Garamond" w:hAnsi="Garamond" w:cs="Times New Roman"/>
          <w:i/>
          <w:iCs/>
          <w:color w:val="000000"/>
        </w:rPr>
        <w:t xml:space="preserve"> </w:t>
      </w:r>
      <w:r w:rsidRPr="004A07CF">
        <w:rPr>
          <w:rFonts w:ascii="Garamond" w:hAnsi="Garamond" w:cs="Times New Roman"/>
          <w:color w:val="000000"/>
        </w:rPr>
        <w:t>në lidhje me paaftësinë e autoriteteve të brendshme për të menaxhuar si duhet shumëfishimin e proceseve për të njëjtën çështje). Një tjetër vonesë prej një viti e gjysmë rezultoi nga pezullimi i dytë i procesit për të lejuar të paditurin që të bëjë një riorganizim të brendshëm (shihni paragrafët 14</w:t>
      </w:r>
      <w:r w:rsidR="00F36B0D">
        <w:rPr>
          <w:rFonts w:ascii="Garamond" w:hAnsi="Garamond" w:cs="Times New Roman"/>
          <w:color w:val="000000"/>
        </w:rPr>
        <w:t xml:space="preserve"> </w:t>
      </w:r>
      <w:r w:rsidRPr="004A07CF">
        <w:rPr>
          <w:rFonts w:ascii="Garamond" w:hAnsi="Garamond" w:cs="Times New Roman"/>
          <w:color w:val="000000"/>
        </w:rPr>
        <w:t>dhe 15 më sipër).</w:t>
      </w:r>
    </w:p>
    <w:p w14:paraId="4DC88D3E" w14:textId="3C590B6B"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 xml:space="preserve">31. Asnjë nga këto vonesa nuk i atribuohet kërkuesit dhe ndryshe nga pretendimi i </w:t>
      </w:r>
      <w:r w:rsidR="00F36B0D">
        <w:rPr>
          <w:rFonts w:ascii="Garamond" w:hAnsi="Garamond" w:cs="Times New Roman"/>
          <w:color w:val="000000"/>
        </w:rPr>
        <w:t>q</w:t>
      </w:r>
      <w:r w:rsidRPr="004A07CF">
        <w:rPr>
          <w:rFonts w:ascii="Garamond" w:hAnsi="Garamond" w:cs="Times New Roman"/>
          <w:color w:val="000000"/>
        </w:rPr>
        <w:t>everisë, ai konkluzion nuk ndryshohet nga fakti që proceset në fund u ndërprenë për shkak se kërkuesi nuk u paraqit në gjykatë. As qeveria nuk parashtroi ndonjë shpjegim tjetër për vonesën.</w:t>
      </w:r>
    </w:p>
    <w:p w14:paraId="21DF5EB7" w14:textId="236EDB20" w:rsidR="004E5425" w:rsidRPr="004A07CF" w:rsidRDefault="004E5425" w:rsidP="004A07CF">
      <w:pPr>
        <w:keepNext/>
        <w:keepLines/>
        <w:numPr>
          <w:ilvl w:val="0"/>
          <w:numId w:val="19"/>
        </w:numPr>
        <w:tabs>
          <w:tab w:val="left" w:pos="360"/>
        </w:tabs>
        <w:autoSpaceDE w:val="0"/>
        <w:autoSpaceDN w:val="0"/>
        <w:adjustRightInd w:val="0"/>
        <w:ind w:firstLine="284"/>
        <w:jc w:val="both"/>
        <w:rPr>
          <w:rFonts w:ascii="Garamond" w:hAnsi="Garamond" w:cs="Times New Roman"/>
          <w:i/>
          <w:iCs/>
          <w:color w:val="000000"/>
        </w:rPr>
      </w:pPr>
      <w:r w:rsidRPr="004A07CF">
        <w:rPr>
          <w:rFonts w:ascii="Garamond" w:hAnsi="Garamond" w:cs="Times New Roman"/>
          <w:i/>
          <w:iCs/>
          <w:color w:val="000000"/>
        </w:rPr>
        <w:t>2. Proceset në lidhje me kundërshtimin e pronësisë së kërkuesit</w:t>
      </w:r>
    </w:p>
    <w:p w14:paraId="11414822" w14:textId="3F17EF1F"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32. Procesi përkatës filloi më 22 tetor 2001 (shihni paragrafin 18 më sipër) dhe përfundoi më 24 tetor 2012 (shihni paragrafin 23 më sipër). Kështu</w:t>
      </w:r>
      <w:r w:rsidR="00F36B0D">
        <w:rPr>
          <w:rFonts w:ascii="Garamond" w:hAnsi="Garamond" w:cs="Times New Roman"/>
          <w:color w:val="000000"/>
        </w:rPr>
        <w:t>,</w:t>
      </w:r>
      <w:r w:rsidRPr="004A07CF">
        <w:rPr>
          <w:rFonts w:ascii="Garamond" w:hAnsi="Garamond" w:cs="Times New Roman"/>
          <w:color w:val="000000"/>
        </w:rPr>
        <w:t xml:space="preserve"> ai zgjati njëmbëdhjetë vjet përpara tre shkallëve të juridiksionit.</w:t>
      </w:r>
    </w:p>
    <w:p w14:paraId="1078F5EE" w14:textId="179C4EAC"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33. Gjykata vëren se vendimet e gjykatës së faktit dhe apelit nuk qëndruan përpara Gjykatës së Lartë (shihni paragraf</w:t>
      </w:r>
      <w:r w:rsidR="00F36B0D">
        <w:rPr>
          <w:rFonts w:ascii="Garamond" w:hAnsi="Garamond" w:cs="Times New Roman"/>
          <w:color w:val="000000"/>
        </w:rPr>
        <w:t>ët</w:t>
      </w:r>
      <w:r w:rsidRPr="004A07CF">
        <w:rPr>
          <w:rFonts w:ascii="Garamond" w:hAnsi="Garamond" w:cs="Times New Roman"/>
          <w:color w:val="000000"/>
        </w:rPr>
        <w:t xml:space="preserve"> 20 dhe 29 më sipër). Pas vendimit të Gjykatës së Lartë për të kthyer çështjen, gjykatës së rrethit ju deshën dymbëdhjetë muaj të tjerë për të vendosur për çështjen (shihni paragrafin 21 më sipër). Tetëmbëdhjetë muaj më vonë, gjykata e apelit nxori vendimin e dytë dhe katër vjet e shtatë muaj më vonë Gjykata e Lartë dha vendimin përfundimtar për atë çështje (shihni paragraf</w:t>
      </w:r>
      <w:r w:rsidR="00F36B0D">
        <w:rPr>
          <w:rFonts w:ascii="Garamond" w:hAnsi="Garamond" w:cs="Times New Roman"/>
          <w:color w:val="000000"/>
        </w:rPr>
        <w:t>ët</w:t>
      </w:r>
      <w:r w:rsidRPr="004A07CF">
        <w:rPr>
          <w:rFonts w:ascii="Garamond" w:hAnsi="Garamond" w:cs="Times New Roman"/>
          <w:color w:val="000000"/>
        </w:rPr>
        <w:t xml:space="preserve"> 22 dhe 23 më sipër).</w:t>
      </w:r>
    </w:p>
    <w:p w14:paraId="0B7F5A12" w14:textId="7D3E9012"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34. Kërkuesi nuk kontribuoi në asnjë nga këto vonesa. Gjithashtu</w:t>
      </w:r>
      <w:r w:rsidR="00F36B0D">
        <w:rPr>
          <w:rFonts w:ascii="Garamond" w:hAnsi="Garamond" w:cs="Times New Roman"/>
          <w:color w:val="000000"/>
        </w:rPr>
        <w:t>,</w:t>
      </w:r>
      <w:r w:rsidRPr="004A07CF">
        <w:rPr>
          <w:rFonts w:ascii="Garamond" w:hAnsi="Garamond" w:cs="Times New Roman"/>
          <w:color w:val="000000"/>
        </w:rPr>
        <w:t xml:space="preserve"> çështja nuk ishte komplekse dhe </w:t>
      </w:r>
      <w:r w:rsidR="00F36B0D">
        <w:rPr>
          <w:rFonts w:ascii="Garamond" w:hAnsi="Garamond" w:cs="Times New Roman"/>
          <w:color w:val="000000"/>
        </w:rPr>
        <w:t>q</w:t>
      </w:r>
      <w:r w:rsidRPr="004A07CF">
        <w:rPr>
          <w:rFonts w:ascii="Garamond" w:hAnsi="Garamond" w:cs="Times New Roman"/>
          <w:color w:val="000000"/>
        </w:rPr>
        <w:t>everia nuk pretendoi të kundërtën.</w:t>
      </w:r>
    </w:p>
    <w:p w14:paraId="2FAF1744" w14:textId="1801ACFE" w:rsidR="004E5425" w:rsidRPr="004A07CF" w:rsidRDefault="004E5425" w:rsidP="004A07CF">
      <w:pPr>
        <w:keepNext/>
        <w:keepLines/>
        <w:numPr>
          <w:ilvl w:val="0"/>
          <w:numId w:val="19"/>
        </w:numPr>
        <w:tabs>
          <w:tab w:val="left" w:pos="360"/>
        </w:tabs>
        <w:autoSpaceDE w:val="0"/>
        <w:autoSpaceDN w:val="0"/>
        <w:adjustRightInd w:val="0"/>
        <w:ind w:firstLine="284"/>
        <w:jc w:val="both"/>
        <w:rPr>
          <w:rFonts w:ascii="Garamond" w:hAnsi="Garamond" w:cs="Times New Roman"/>
          <w:i/>
          <w:iCs/>
          <w:color w:val="000000"/>
        </w:rPr>
      </w:pPr>
      <w:r w:rsidRPr="004A07CF">
        <w:rPr>
          <w:rFonts w:ascii="Garamond" w:hAnsi="Garamond" w:cs="Times New Roman"/>
          <w:i/>
          <w:iCs/>
          <w:color w:val="000000"/>
        </w:rPr>
        <w:t>3. Konkluzion</w:t>
      </w:r>
    </w:p>
    <w:p w14:paraId="6B1C646A" w14:textId="6927F41D"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 xml:space="preserve">35. Pas shqyrtimit të të gjithë materialit të paraqitur, Gjykata nuk ka gjetur ndonjë fakt ose argument që mund të justifikojë kohëzgjatjen e përgjithshme të dy proceseve të përshkruara më sipër. Duke pasur parasysh praktikën e saj gjyqësore për temën, Gjykata vlerëson se në këtë çështje kohëzgjatja e proceseve ishte e tejkaluar dhe nuk plotësonte kërkesën e “kohës së arsyeshme”. </w:t>
      </w:r>
    </w:p>
    <w:p w14:paraId="3B45391C" w14:textId="4650861E"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36. Prandaj</w:t>
      </w:r>
      <w:r w:rsidR="00F36B0D">
        <w:rPr>
          <w:rFonts w:ascii="Garamond" w:hAnsi="Garamond" w:cs="Times New Roman"/>
          <w:color w:val="000000"/>
        </w:rPr>
        <w:t>,</w:t>
      </w:r>
      <w:r w:rsidRPr="004A07CF">
        <w:rPr>
          <w:rFonts w:ascii="Garamond" w:hAnsi="Garamond" w:cs="Times New Roman"/>
          <w:color w:val="000000"/>
        </w:rPr>
        <w:t xml:space="preserve"> ankimi është i pranueshëm dhe tregon shkelje të paragrafit 1</w:t>
      </w:r>
      <w:r w:rsidR="00F36B0D">
        <w:rPr>
          <w:rFonts w:ascii="Garamond" w:hAnsi="Garamond" w:cs="Times New Roman"/>
          <w:color w:val="000000"/>
        </w:rPr>
        <w:t>,</w:t>
      </w:r>
      <w:r w:rsidRPr="004A07CF">
        <w:rPr>
          <w:rFonts w:ascii="Garamond" w:hAnsi="Garamond" w:cs="Times New Roman"/>
          <w:color w:val="000000"/>
        </w:rPr>
        <w:t xml:space="preserve"> të nenit 6</w:t>
      </w:r>
      <w:r w:rsidR="00F36B0D">
        <w:rPr>
          <w:rFonts w:ascii="Garamond" w:hAnsi="Garamond" w:cs="Times New Roman"/>
          <w:color w:val="000000"/>
        </w:rPr>
        <w:t>,</w:t>
      </w:r>
      <w:r w:rsidRPr="004A07CF">
        <w:rPr>
          <w:rFonts w:ascii="Garamond" w:hAnsi="Garamond" w:cs="Times New Roman"/>
          <w:color w:val="000000"/>
        </w:rPr>
        <w:t xml:space="preserve"> të Konventës.</w:t>
      </w:r>
    </w:p>
    <w:p w14:paraId="69ACB1B9" w14:textId="6E2C022E" w:rsidR="004E5425" w:rsidRPr="004A07CF" w:rsidRDefault="004E5425" w:rsidP="004A07CF">
      <w:pPr>
        <w:keepNext/>
        <w:keepLines/>
        <w:numPr>
          <w:ilvl w:val="0"/>
          <w:numId w:val="19"/>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4A07CF">
        <w:rPr>
          <w:rFonts w:ascii="Garamond" w:hAnsi="Garamond" w:cs="Times New Roman"/>
          <w:caps/>
          <w:color w:val="000000"/>
        </w:rPr>
        <w:t>II. ANKIMET E MBETURA</w:t>
      </w:r>
    </w:p>
    <w:p w14:paraId="212AFC25" w14:textId="67156D01"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37. Gjithashtu</w:t>
      </w:r>
      <w:r w:rsidR="00F36B0D">
        <w:rPr>
          <w:rFonts w:ascii="Garamond" w:hAnsi="Garamond" w:cs="Times New Roman"/>
          <w:color w:val="000000"/>
        </w:rPr>
        <w:t>,</w:t>
      </w:r>
      <w:r w:rsidRPr="004A07CF">
        <w:rPr>
          <w:rFonts w:ascii="Garamond" w:hAnsi="Garamond" w:cs="Times New Roman"/>
          <w:color w:val="000000"/>
        </w:rPr>
        <w:t xml:space="preserve"> kërkuesi u ankua për shkelje të nenit 1</w:t>
      </w:r>
      <w:r w:rsidR="00F36B0D">
        <w:rPr>
          <w:rFonts w:ascii="Garamond" w:hAnsi="Garamond" w:cs="Times New Roman"/>
          <w:color w:val="000000"/>
        </w:rPr>
        <w:t>,</w:t>
      </w:r>
      <w:r w:rsidRPr="004A07CF">
        <w:rPr>
          <w:rFonts w:ascii="Garamond" w:hAnsi="Garamond" w:cs="Times New Roman"/>
          <w:color w:val="000000"/>
        </w:rPr>
        <w:t xml:space="preserve"> të Protokollit nr.1</w:t>
      </w:r>
      <w:r w:rsidR="00F36B0D">
        <w:rPr>
          <w:rFonts w:ascii="Garamond" w:hAnsi="Garamond" w:cs="Times New Roman"/>
          <w:color w:val="000000"/>
        </w:rPr>
        <w:t>,</w:t>
      </w:r>
      <w:r w:rsidRPr="004A07CF">
        <w:rPr>
          <w:rFonts w:ascii="Garamond" w:hAnsi="Garamond" w:cs="Times New Roman"/>
          <w:color w:val="000000"/>
        </w:rPr>
        <w:t xml:space="preserve"> të Konventës</w:t>
      </w:r>
      <w:r w:rsidR="00F36B0D">
        <w:rPr>
          <w:rFonts w:ascii="Garamond" w:hAnsi="Garamond" w:cs="Times New Roman"/>
          <w:color w:val="000000"/>
        </w:rPr>
        <w:t>,</w:t>
      </w:r>
      <w:r w:rsidRPr="004A07CF">
        <w:rPr>
          <w:rFonts w:ascii="Garamond" w:hAnsi="Garamond" w:cs="Times New Roman"/>
          <w:color w:val="000000"/>
        </w:rPr>
        <w:t xml:space="preserve"> në lidhje me qiradhënien e pronës së tij nga autoritetet te</w:t>
      </w:r>
      <w:r w:rsidR="00F36B0D">
        <w:rPr>
          <w:rFonts w:ascii="Garamond" w:hAnsi="Garamond" w:cs="Times New Roman"/>
          <w:color w:val="000000"/>
        </w:rPr>
        <w:t>k</w:t>
      </w:r>
      <w:r w:rsidRPr="004A07CF">
        <w:rPr>
          <w:rFonts w:ascii="Garamond" w:hAnsi="Garamond" w:cs="Times New Roman"/>
          <w:color w:val="000000"/>
        </w:rPr>
        <w:t xml:space="preserve"> palët e treta. Gjithashtu, sipas nenit 13 të Konventës</w:t>
      </w:r>
      <w:r w:rsidR="00F36B0D">
        <w:rPr>
          <w:rFonts w:ascii="Garamond" w:hAnsi="Garamond" w:cs="Times New Roman"/>
          <w:color w:val="000000"/>
        </w:rPr>
        <w:t>,</w:t>
      </w:r>
      <w:r w:rsidRPr="004A07CF">
        <w:rPr>
          <w:rFonts w:ascii="Garamond" w:hAnsi="Garamond" w:cs="Times New Roman"/>
          <w:color w:val="000000"/>
        </w:rPr>
        <w:t xml:space="preserve"> ai u ankua që nuk kishte pasur ndonjë zgjidhje efektive për ankimet e tij sipas Konventës.</w:t>
      </w:r>
    </w:p>
    <w:p w14:paraId="0917ED8A" w14:textId="7A6342B8"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 xml:space="preserve">38. Duke pasur parasysh faktet e çështjes, parashtrimet e palëve, dhe gjetjet e saj, Gjykata vlerëson se ka shqyrtuar pyetjen kryesore ligjore të ngritur në këtë çështje. Kështu ajo vëren që nuk </w:t>
      </w:r>
      <w:r w:rsidRPr="004A07CF">
        <w:rPr>
          <w:rFonts w:ascii="Garamond" w:hAnsi="Garamond" w:cs="Times New Roman"/>
          <w:color w:val="000000"/>
        </w:rPr>
        <w:lastRenderedPageBreak/>
        <w:t xml:space="preserve">ka pse të marrë një vendim të veçantë për këto ankime (shihni </w:t>
      </w:r>
      <w:r w:rsidRPr="004A07CF">
        <w:rPr>
          <w:rFonts w:ascii="Garamond" w:hAnsi="Garamond" w:cs="Times New Roman"/>
          <w:i/>
          <w:iCs/>
          <w:color w:val="000000"/>
        </w:rPr>
        <w:t>Qendra për Burime Ligjore në emër të Valentin Câmpeanu kundër Rumanisë</w:t>
      </w:r>
      <w:r w:rsidRPr="004A07CF">
        <w:rPr>
          <w:rFonts w:ascii="Garamond" w:hAnsi="Garamond" w:cs="Times New Roman"/>
          <w:color w:val="000000"/>
        </w:rPr>
        <w:t xml:space="preserve"> [DHM], nr. 47848/08, § 156, GJEDNJ 2014).</w:t>
      </w:r>
    </w:p>
    <w:p w14:paraId="76006F4B" w14:textId="5E07AE42" w:rsidR="004E5425" w:rsidRPr="004A07CF" w:rsidRDefault="004E5425" w:rsidP="004A07CF">
      <w:pPr>
        <w:keepNext/>
        <w:keepLines/>
        <w:numPr>
          <w:ilvl w:val="0"/>
          <w:numId w:val="19"/>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4A07CF">
        <w:rPr>
          <w:rFonts w:ascii="Garamond" w:hAnsi="Garamond" w:cs="Times New Roman"/>
          <w:caps/>
          <w:color w:val="000000"/>
        </w:rPr>
        <w:t>III. ZBATIMI I NENIT 41 TË KONVENTËS</w:t>
      </w:r>
    </w:p>
    <w:p w14:paraId="09BA77E0" w14:textId="3C03A498" w:rsidR="004E5425" w:rsidRPr="004A07CF" w:rsidRDefault="004E5425" w:rsidP="004A07CF">
      <w:pPr>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 xml:space="preserve">39. Duke pasur parasysh dokumentet në dispozicion dhe praktikën e saj gjyqësore (shihni, në veçanti, </w:t>
      </w:r>
      <w:r w:rsidRPr="004A07CF">
        <w:rPr>
          <w:rFonts w:ascii="Garamond" w:hAnsi="Garamond" w:cs="Times New Roman"/>
          <w:i/>
          <w:iCs/>
          <w:color w:val="000000"/>
        </w:rPr>
        <w:t>Luli</w:t>
      </w:r>
      <w:r w:rsidRPr="004A07CF">
        <w:rPr>
          <w:rFonts w:ascii="Garamond" w:hAnsi="Garamond" w:cs="Times New Roman"/>
          <w:color w:val="000000"/>
        </w:rPr>
        <w:t xml:space="preserve"> dhe </w:t>
      </w:r>
      <w:r w:rsidRPr="004A07CF">
        <w:rPr>
          <w:rFonts w:ascii="Garamond" w:hAnsi="Garamond" w:cs="Times New Roman"/>
          <w:i/>
          <w:iCs/>
          <w:color w:val="000000"/>
        </w:rPr>
        <w:t>Mishgjoni,</w:t>
      </w:r>
      <w:r w:rsidRPr="004A07CF">
        <w:rPr>
          <w:rFonts w:ascii="Garamond" w:hAnsi="Garamond" w:cs="Times New Roman"/>
          <w:color w:val="000000"/>
        </w:rPr>
        <w:t xml:space="preserve"> të dy të cituar më sipër), Gjykata e vlerëson të arsyeshme dhënien e shumave të treguara në tabelën bashkëngjitur.</w:t>
      </w:r>
    </w:p>
    <w:p w14:paraId="519587F1" w14:textId="18F60306" w:rsidR="004E5425" w:rsidRPr="004A07CF" w:rsidRDefault="004E5425" w:rsidP="004A07CF">
      <w:pPr>
        <w:keepNext/>
        <w:keepLines/>
        <w:tabs>
          <w:tab w:val="left" w:pos="360"/>
        </w:tabs>
        <w:autoSpaceDE w:val="0"/>
        <w:autoSpaceDN w:val="0"/>
        <w:adjustRightInd w:val="0"/>
        <w:ind w:firstLine="284"/>
        <w:jc w:val="both"/>
        <w:rPr>
          <w:rFonts w:ascii="Garamond" w:hAnsi="Garamond" w:cs="Times New Roman"/>
          <w:caps/>
          <w:color w:val="000000"/>
        </w:rPr>
      </w:pPr>
      <w:r w:rsidRPr="004A07CF">
        <w:rPr>
          <w:rFonts w:ascii="Garamond" w:hAnsi="Garamond" w:cs="Times New Roman"/>
          <w:color w:val="000000"/>
        </w:rPr>
        <w:t xml:space="preserve"> </w:t>
      </w:r>
      <w:r w:rsidR="00F36B0D" w:rsidRPr="004A07CF">
        <w:rPr>
          <w:rFonts w:ascii="Garamond" w:hAnsi="Garamond" w:cs="Times New Roman"/>
          <w:color w:val="000000"/>
        </w:rPr>
        <w:t>Për këto arsye, Gjykata, unanimisht</w:t>
      </w:r>
      <w:r w:rsidR="00F36B0D">
        <w:rPr>
          <w:rFonts w:ascii="Garamond" w:hAnsi="Garamond" w:cs="Times New Roman"/>
          <w:color w:val="000000"/>
        </w:rPr>
        <w:t>,</w:t>
      </w:r>
    </w:p>
    <w:p w14:paraId="708D11E6" w14:textId="5D8E10B7" w:rsidR="004E5425" w:rsidRPr="004A07CF" w:rsidRDefault="004E5425" w:rsidP="004A07CF">
      <w:pPr>
        <w:numPr>
          <w:ilvl w:val="0"/>
          <w:numId w:val="19"/>
        </w:numPr>
        <w:tabs>
          <w:tab w:val="left" w:pos="340"/>
        </w:tabs>
        <w:autoSpaceDE w:val="0"/>
        <w:autoSpaceDN w:val="0"/>
        <w:adjustRightInd w:val="0"/>
        <w:ind w:firstLine="284"/>
        <w:jc w:val="both"/>
        <w:rPr>
          <w:rFonts w:ascii="Garamond" w:hAnsi="Garamond" w:cs="Times New Roman"/>
          <w:color w:val="000000"/>
        </w:rPr>
      </w:pPr>
      <w:r w:rsidRPr="004A07CF">
        <w:rPr>
          <w:rFonts w:ascii="Garamond" w:hAnsi="Garamond" w:cs="Times New Roman"/>
          <w:i/>
          <w:iCs/>
          <w:color w:val="000000"/>
        </w:rPr>
        <w:t xml:space="preserve">1. </w:t>
      </w:r>
      <w:r w:rsidR="00F36B0D" w:rsidRPr="004A07CF">
        <w:rPr>
          <w:rFonts w:ascii="Garamond" w:hAnsi="Garamond" w:cs="Times New Roman"/>
          <w:i/>
          <w:iCs/>
          <w:color w:val="000000"/>
        </w:rPr>
        <w:t>Shpall</w:t>
      </w:r>
      <w:r w:rsidR="00F36B0D" w:rsidRPr="004A07CF">
        <w:rPr>
          <w:rFonts w:ascii="Garamond" w:hAnsi="Garamond" w:cs="Times New Roman"/>
          <w:color w:val="000000"/>
        </w:rPr>
        <w:t xml:space="preserve"> </w:t>
      </w:r>
      <w:r w:rsidRPr="004A07CF">
        <w:rPr>
          <w:rFonts w:ascii="Garamond" w:hAnsi="Garamond" w:cs="Times New Roman"/>
          <w:color w:val="000000"/>
        </w:rPr>
        <w:t>të pranueshëm ankimin sipas paragrafit 1</w:t>
      </w:r>
      <w:r w:rsidR="00F36B0D">
        <w:rPr>
          <w:rFonts w:ascii="Garamond" w:hAnsi="Garamond" w:cs="Times New Roman"/>
          <w:color w:val="000000"/>
        </w:rPr>
        <w:t>,</w:t>
      </w:r>
      <w:r w:rsidRPr="004A07CF">
        <w:rPr>
          <w:rFonts w:ascii="Garamond" w:hAnsi="Garamond" w:cs="Times New Roman"/>
          <w:color w:val="000000"/>
        </w:rPr>
        <w:t xml:space="preserve"> të nenit 6 të Konventës</w:t>
      </w:r>
      <w:r w:rsidR="00F36B0D">
        <w:rPr>
          <w:rFonts w:ascii="Garamond" w:hAnsi="Garamond" w:cs="Times New Roman"/>
          <w:color w:val="000000"/>
        </w:rPr>
        <w:t>,</w:t>
      </w:r>
      <w:r w:rsidRPr="004A07CF">
        <w:rPr>
          <w:rFonts w:ascii="Garamond" w:hAnsi="Garamond" w:cs="Times New Roman"/>
          <w:color w:val="000000"/>
        </w:rPr>
        <w:t xml:space="preserve"> në lidhje me tejkalimin e kohëzgjatjes së dy proceseve civile dhe </w:t>
      </w:r>
      <w:r w:rsidRPr="004A07CF">
        <w:rPr>
          <w:rFonts w:ascii="Garamond" w:hAnsi="Garamond" w:cs="Times New Roman"/>
          <w:i/>
          <w:iCs/>
          <w:color w:val="000000"/>
        </w:rPr>
        <w:t xml:space="preserve">vendos </w:t>
      </w:r>
      <w:r w:rsidRPr="004A07CF">
        <w:rPr>
          <w:rFonts w:ascii="Garamond" w:hAnsi="Garamond" w:cs="Times New Roman"/>
          <w:color w:val="000000"/>
        </w:rPr>
        <w:t>që nuk ka nevojë të shqyrtojë veçmas ankimet e kërkuesit</w:t>
      </w:r>
      <w:r w:rsidR="00F36B0D">
        <w:rPr>
          <w:rFonts w:ascii="Garamond" w:hAnsi="Garamond" w:cs="Times New Roman"/>
          <w:color w:val="000000"/>
        </w:rPr>
        <w:t>,</w:t>
      </w:r>
      <w:r w:rsidRPr="004A07CF">
        <w:rPr>
          <w:rFonts w:ascii="Garamond" w:hAnsi="Garamond" w:cs="Times New Roman"/>
          <w:color w:val="000000"/>
        </w:rPr>
        <w:t xml:space="preserve"> sipas nenit 13 të Konventës dhe nenit 1</w:t>
      </w:r>
      <w:r w:rsidR="00F36B0D">
        <w:rPr>
          <w:rFonts w:ascii="Garamond" w:hAnsi="Garamond" w:cs="Times New Roman"/>
          <w:color w:val="000000"/>
        </w:rPr>
        <w:t>,</w:t>
      </w:r>
      <w:r w:rsidRPr="004A07CF">
        <w:rPr>
          <w:rFonts w:ascii="Garamond" w:hAnsi="Garamond" w:cs="Times New Roman"/>
          <w:color w:val="000000"/>
        </w:rPr>
        <w:t xml:space="preserve"> të Protokollit nr. 1;</w:t>
      </w:r>
    </w:p>
    <w:p w14:paraId="6EF48D3A" w14:textId="31B4EB0A" w:rsidR="004E5425" w:rsidRPr="004A07CF" w:rsidRDefault="004E5425" w:rsidP="004A07CF">
      <w:pPr>
        <w:numPr>
          <w:ilvl w:val="0"/>
          <w:numId w:val="19"/>
        </w:numPr>
        <w:tabs>
          <w:tab w:val="left" w:pos="340"/>
        </w:tabs>
        <w:autoSpaceDE w:val="0"/>
        <w:autoSpaceDN w:val="0"/>
        <w:adjustRightInd w:val="0"/>
        <w:ind w:firstLine="284"/>
        <w:jc w:val="both"/>
        <w:rPr>
          <w:rFonts w:ascii="Garamond" w:hAnsi="Garamond" w:cs="Times New Roman"/>
          <w:color w:val="000000"/>
        </w:rPr>
      </w:pPr>
      <w:r w:rsidRPr="004A07CF">
        <w:rPr>
          <w:rFonts w:ascii="Garamond" w:hAnsi="Garamond" w:cs="Times New Roman"/>
          <w:i/>
          <w:iCs/>
          <w:color w:val="000000"/>
        </w:rPr>
        <w:t xml:space="preserve">2. </w:t>
      </w:r>
      <w:r w:rsidR="00F36B0D" w:rsidRPr="004A07CF">
        <w:rPr>
          <w:rFonts w:ascii="Garamond" w:hAnsi="Garamond" w:cs="Times New Roman"/>
          <w:i/>
          <w:iCs/>
          <w:color w:val="000000"/>
        </w:rPr>
        <w:t xml:space="preserve">Vendos </w:t>
      </w:r>
      <w:r w:rsidRPr="004A07CF">
        <w:rPr>
          <w:rFonts w:ascii="Garamond" w:hAnsi="Garamond" w:cs="Times New Roman"/>
          <w:color w:val="000000"/>
        </w:rPr>
        <w:t>që është gjetur shkelje e paragrafit 1</w:t>
      </w:r>
      <w:r w:rsidR="00F36B0D">
        <w:rPr>
          <w:rFonts w:ascii="Garamond" w:hAnsi="Garamond" w:cs="Times New Roman"/>
          <w:color w:val="000000"/>
        </w:rPr>
        <w:t>,</w:t>
      </w:r>
      <w:r w:rsidRPr="004A07CF">
        <w:rPr>
          <w:rFonts w:ascii="Garamond" w:hAnsi="Garamond" w:cs="Times New Roman"/>
          <w:color w:val="000000"/>
        </w:rPr>
        <w:t xml:space="preserve"> të nenit 6 të Konventës</w:t>
      </w:r>
      <w:r w:rsidR="00F36B0D">
        <w:rPr>
          <w:rFonts w:ascii="Garamond" w:hAnsi="Garamond" w:cs="Times New Roman"/>
          <w:color w:val="000000"/>
        </w:rPr>
        <w:t>,</w:t>
      </w:r>
      <w:r w:rsidRPr="004A07CF">
        <w:rPr>
          <w:rFonts w:ascii="Garamond" w:hAnsi="Garamond" w:cs="Times New Roman"/>
          <w:color w:val="000000"/>
        </w:rPr>
        <w:t xml:space="preserve"> në lidhje me tejkalimin e kohëzgjatjes së dy proceseve civile;</w:t>
      </w:r>
    </w:p>
    <w:p w14:paraId="36DAE0D5" w14:textId="78EC7110" w:rsidR="004E5425" w:rsidRPr="004A07CF" w:rsidRDefault="004E5425" w:rsidP="004A07CF">
      <w:pPr>
        <w:numPr>
          <w:ilvl w:val="0"/>
          <w:numId w:val="19"/>
        </w:numPr>
        <w:tabs>
          <w:tab w:val="left" w:pos="340"/>
        </w:tabs>
        <w:autoSpaceDE w:val="0"/>
        <w:autoSpaceDN w:val="0"/>
        <w:adjustRightInd w:val="0"/>
        <w:ind w:firstLine="284"/>
        <w:jc w:val="both"/>
        <w:rPr>
          <w:rFonts w:ascii="Garamond" w:hAnsi="Garamond" w:cs="Times New Roman"/>
          <w:color w:val="000000"/>
        </w:rPr>
      </w:pPr>
      <w:r w:rsidRPr="004A07CF">
        <w:rPr>
          <w:rFonts w:ascii="Garamond" w:hAnsi="Garamond" w:cs="Times New Roman"/>
          <w:i/>
          <w:iCs/>
          <w:color w:val="000000"/>
        </w:rPr>
        <w:t>3. Vendos</w:t>
      </w:r>
    </w:p>
    <w:p w14:paraId="05F0217A" w14:textId="0712AC13" w:rsidR="004E5425" w:rsidRPr="004A07CF" w:rsidRDefault="004E5425" w:rsidP="004A07CF">
      <w:pPr>
        <w:tabs>
          <w:tab w:val="left" w:pos="680"/>
        </w:tabs>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 xml:space="preserve">a) që </w:t>
      </w:r>
      <w:r w:rsidR="00F36B0D">
        <w:rPr>
          <w:rFonts w:ascii="Garamond" w:hAnsi="Garamond" w:cs="Times New Roman"/>
          <w:color w:val="000000"/>
        </w:rPr>
        <w:t>s</w:t>
      </w:r>
      <w:r w:rsidRPr="004A07CF">
        <w:rPr>
          <w:rFonts w:ascii="Garamond" w:hAnsi="Garamond" w:cs="Times New Roman"/>
          <w:color w:val="000000"/>
        </w:rPr>
        <w:t xml:space="preserve">hteti i paditur t’i paguajë kërkuesit, brenda tre muajve, shumën e treguar në tabelën bashkëngjitur, që do të konvertohet në monedhën e </w:t>
      </w:r>
      <w:r w:rsidR="00F36B0D">
        <w:rPr>
          <w:rFonts w:ascii="Garamond" w:hAnsi="Garamond" w:cs="Times New Roman"/>
          <w:color w:val="000000"/>
        </w:rPr>
        <w:t>s</w:t>
      </w:r>
      <w:r w:rsidRPr="004A07CF">
        <w:rPr>
          <w:rFonts w:ascii="Garamond" w:hAnsi="Garamond" w:cs="Times New Roman"/>
          <w:color w:val="000000"/>
        </w:rPr>
        <w:t>htetit të paditur me normën në fuqi në datën e shlyerjes;</w:t>
      </w:r>
    </w:p>
    <w:p w14:paraId="6840ED7B" w14:textId="3CBABB2D" w:rsidR="004E5425" w:rsidRPr="004A07CF" w:rsidRDefault="004E5425" w:rsidP="004A07CF">
      <w:pPr>
        <w:tabs>
          <w:tab w:val="left" w:pos="680"/>
        </w:tabs>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 xml:space="preserve">që nga mbarimi i afatit tremujor të sipërpërmendur deri në shlyerje, të paguhet interes i thjeshtë për shumën e mësipërme sipas normës </w:t>
      </w:r>
      <w:r w:rsidR="00F36B0D">
        <w:rPr>
          <w:rFonts w:ascii="Garamond" w:hAnsi="Garamond" w:cs="Times New Roman"/>
          <w:color w:val="000000"/>
        </w:rPr>
        <w:t>s</w:t>
      </w:r>
      <w:r w:rsidRPr="004A07CF">
        <w:rPr>
          <w:rFonts w:ascii="Garamond" w:hAnsi="Garamond" w:cs="Times New Roman"/>
          <w:color w:val="000000"/>
        </w:rPr>
        <w:t>ë njëjtë me normën marxhinale të kreditimit të Bankës Qendrore E</w:t>
      </w:r>
      <w:r w:rsidR="00F36B0D">
        <w:rPr>
          <w:rFonts w:ascii="Garamond" w:hAnsi="Garamond" w:cs="Times New Roman"/>
          <w:color w:val="000000"/>
        </w:rPr>
        <w:t>v</w:t>
      </w:r>
      <w:r w:rsidRPr="004A07CF">
        <w:rPr>
          <w:rFonts w:ascii="Garamond" w:hAnsi="Garamond" w:cs="Times New Roman"/>
          <w:color w:val="000000"/>
        </w:rPr>
        <w:t>ropiane gjatë periudhës së mospagimit plus tre pikë përqindje.</w:t>
      </w:r>
    </w:p>
    <w:p w14:paraId="1DE36F50" w14:textId="1CD2139F" w:rsidR="004E5425" w:rsidRPr="004A07CF" w:rsidRDefault="004E5425" w:rsidP="004A07CF">
      <w:pPr>
        <w:keepNext/>
        <w:keepLines/>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Bërë në gjuhën angleze dhe njoftuar me shkrim më 18 korrik 2024</w:t>
      </w:r>
      <w:r w:rsidR="00F36B0D">
        <w:rPr>
          <w:rFonts w:ascii="Garamond" w:hAnsi="Garamond" w:cs="Times New Roman"/>
          <w:color w:val="000000"/>
        </w:rPr>
        <w:t>,</w:t>
      </w:r>
      <w:r w:rsidRPr="004A07CF">
        <w:rPr>
          <w:rFonts w:ascii="Garamond" w:hAnsi="Garamond" w:cs="Times New Roman"/>
          <w:color w:val="000000"/>
        </w:rPr>
        <w:t xml:space="preserve"> sipas </w:t>
      </w:r>
      <w:r w:rsidR="00F36B0D">
        <w:rPr>
          <w:rFonts w:ascii="Garamond" w:hAnsi="Garamond" w:cs="Times New Roman"/>
          <w:color w:val="000000"/>
        </w:rPr>
        <w:t>r</w:t>
      </w:r>
      <w:r w:rsidRPr="004A07CF">
        <w:rPr>
          <w:rFonts w:ascii="Garamond" w:hAnsi="Garamond" w:cs="Times New Roman"/>
          <w:color w:val="000000"/>
        </w:rPr>
        <w:t>regullit 77 §§ 2 dhe 3 të Rregullores së Gjykatës.</w:t>
      </w:r>
    </w:p>
    <w:p w14:paraId="39320B8E" w14:textId="7CF443B8" w:rsidR="004E5425" w:rsidRPr="004A07CF" w:rsidRDefault="004E5425" w:rsidP="004A07CF">
      <w:pPr>
        <w:tabs>
          <w:tab w:val="center" w:pos="1400"/>
          <w:tab w:val="center" w:pos="5940"/>
        </w:tabs>
        <w:autoSpaceDE w:val="0"/>
        <w:autoSpaceDN w:val="0"/>
        <w:adjustRightInd w:val="0"/>
        <w:ind w:firstLine="284"/>
        <w:jc w:val="both"/>
        <w:rPr>
          <w:rFonts w:ascii="Garamond" w:hAnsi="Garamond" w:cs="Times New Roman"/>
          <w:color w:val="FFFFFF"/>
        </w:rPr>
      </w:pPr>
      <w:r w:rsidRPr="004A07CF">
        <w:rPr>
          <w:rFonts w:ascii="Garamond" w:hAnsi="Garamond" w:cs="Times New Roman"/>
          <w:color w:val="FFFFFF"/>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2128"/>
      </w:tblGrid>
      <w:tr w:rsidR="004E5425" w:rsidRPr="004A07CF" w14:paraId="66834229" w14:textId="77777777" w:rsidTr="00F36B0D">
        <w:trPr>
          <w:jc w:val="center"/>
        </w:trPr>
        <w:tc>
          <w:tcPr>
            <w:tcW w:w="5220" w:type="dxa"/>
            <w:vAlign w:val="center"/>
          </w:tcPr>
          <w:p w14:paraId="2354B37A" w14:textId="3ED9CEFD" w:rsidR="004E5425" w:rsidRPr="004A07CF" w:rsidRDefault="004E5425" w:rsidP="00F36B0D">
            <w:pPr>
              <w:tabs>
                <w:tab w:val="center" w:pos="1400"/>
                <w:tab w:val="center" w:pos="5940"/>
              </w:tabs>
              <w:autoSpaceDE w:val="0"/>
              <w:autoSpaceDN w:val="0"/>
              <w:adjustRightInd w:val="0"/>
              <w:jc w:val="center"/>
              <w:rPr>
                <w:rFonts w:ascii="Garamond" w:hAnsi="Garamond" w:cs="Times New Roman"/>
                <w:b/>
                <w:color w:val="000000"/>
              </w:rPr>
            </w:pPr>
            <w:r w:rsidRPr="004A07CF">
              <w:rPr>
                <w:rFonts w:ascii="Garamond" w:hAnsi="Garamond" w:cs="Times New Roman"/>
                <w:b/>
                <w:color w:val="000000"/>
              </w:rPr>
              <w:t>Viktoriya Maradudina</w:t>
            </w:r>
          </w:p>
        </w:tc>
        <w:tc>
          <w:tcPr>
            <w:tcW w:w="2128" w:type="dxa"/>
            <w:vAlign w:val="center"/>
          </w:tcPr>
          <w:p w14:paraId="03762558" w14:textId="61751AB0" w:rsidR="004E5425" w:rsidRPr="004A07CF" w:rsidRDefault="004E5425" w:rsidP="00F36B0D">
            <w:pPr>
              <w:tabs>
                <w:tab w:val="center" w:pos="1400"/>
                <w:tab w:val="center" w:pos="5940"/>
              </w:tabs>
              <w:autoSpaceDE w:val="0"/>
              <w:autoSpaceDN w:val="0"/>
              <w:adjustRightInd w:val="0"/>
              <w:jc w:val="center"/>
              <w:rPr>
                <w:rFonts w:ascii="Garamond" w:hAnsi="Garamond" w:cs="Times New Roman"/>
                <w:b/>
                <w:color w:val="000000"/>
              </w:rPr>
            </w:pPr>
            <w:r w:rsidRPr="004A07CF">
              <w:rPr>
                <w:rFonts w:ascii="Garamond" w:hAnsi="Garamond" w:cs="Times New Roman"/>
                <w:b/>
                <w:color w:val="000000"/>
              </w:rPr>
              <w:t>Peeter Roosma</w:t>
            </w:r>
          </w:p>
        </w:tc>
      </w:tr>
      <w:tr w:rsidR="004E5425" w:rsidRPr="004A07CF" w14:paraId="3DF0805A" w14:textId="77777777" w:rsidTr="00F36B0D">
        <w:trPr>
          <w:jc w:val="center"/>
        </w:trPr>
        <w:tc>
          <w:tcPr>
            <w:tcW w:w="5220" w:type="dxa"/>
            <w:vAlign w:val="center"/>
          </w:tcPr>
          <w:p w14:paraId="548E0AA4" w14:textId="545625F9" w:rsidR="004E5425" w:rsidRPr="004A07CF" w:rsidRDefault="004E5425" w:rsidP="00F36B0D">
            <w:pPr>
              <w:tabs>
                <w:tab w:val="center" w:pos="1400"/>
                <w:tab w:val="center" w:pos="5940"/>
              </w:tabs>
              <w:autoSpaceDE w:val="0"/>
              <w:autoSpaceDN w:val="0"/>
              <w:adjustRightInd w:val="0"/>
              <w:jc w:val="center"/>
              <w:rPr>
                <w:rFonts w:ascii="Garamond" w:hAnsi="Garamond" w:cs="Times New Roman"/>
                <w:color w:val="000000"/>
              </w:rPr>
            </w:pPr>
            <w:r w:rsidRPr="004A07CF">
              <w:rPr>
                <w:rFonts w:ascii="Garamond" w:hAnsi="Garamond" w:cs="Times New Roman"/>
                <w:color w:val="000000"/>
              </w:rPr>
              <w:t>ZËVENDËSKANCELARE</w:t>
            </w:r>
            <w:r w:rsidR="00F36B0D">
              <w:rPr>
                <w:rFonts w:ascii="Garamond" w:hAnsi="Garamond" w:cs="Times New Roman"/>
                <w:color w:val="000000"/>
              </w:rPr>
              <w:t xml:space="preserve"> </w:t>
            </w:r>
            <w:r w:rsidRPr="004A07CF">
              <w:rPr>
                <w:rFonts w:ascii="Garamond" w:hAnsi="Garamond" w:cs="Times New Roman"/>
                <w:color w:val="000000"/>
              </w:rPr>
              <w:t>NË DETYRË</w:t>
            </w:r>
          </w:p>
        </w:tc>
        <w:tc>
          <w:tcPr>
            <w:tcW w:w="2128" w:type="dxa"/>
            <w:vAlign w:val="center"/>
          </w:tcPr>
          <w:p w14:paraId="683B170F" w14:textId="27A37497" w:rsidR="004E5425" w:rsidRPr="004A07CF" w:rsidRDefault="004E5425" w:rsidP="00F36B0D">
            <w:pPr>
              <w:tabs>
                <w:tab w:val="center" w:pos="1400"/>
                <w:tab w:val="center" w:pos="5940"/>
              </w:tabs>
              <w:autoSpaceDE w:val="0"/>
              <w:autoSpaceDN w:val="0"/>
              <w:adjustRightInd w:val="0"/>
              <w:ind w:firstLine="284"/>
              <w:jc w:val="center"/>
              <w:rPr>
                <w:rFonts w:ascii="Garamond" w:hAnsi="Garamond" w:cs="Times New Roman"/>
                <w:color w:val="000000"/>
              </w:rPr>
            </w:pPr>
            <w:r w:rsidRPr="004A07CF">
              <w:rPr>
                <w:rFonts w:ascii="Garamond" w:hAnsi="Garamond" w:cs="Times New Roman"/>
                <w:color w:val="000000"/>
              </w:rPr>
              <w:t>PRESIDENT</w:t>
            </w:r>
          </w:p>
        </w:tc>
      </w:tr>
    </w:tbl>
    <w:p w14:paraId="51C6924E" w14:textId="77777777" w:rsidR="004E5425" w:rsidRPr="004A07CF" w:rsidRDefault="004E5425" w:rsidP="004A07CF">
      <w:pPr>
        <w:tabs>
          <w:tab w:val="center" w:pos="1400"/>
          <w:tab w:val="center" w:pos="5940"/>
        </w:tabs>
        <w:autoSpaceDE w:val="0"/>
        <w:autoSpaceDN w:val="0"/>
        <w:adjustRightInd w:val="0"/>
        <w:ind w:firstLine="284"/>
        <w:jc w:val="both"/>
        <w:rPr>
          <w:rFonts w:ascii="Garamond" w:hAnsi="Garamond" w:cs="Times New Roman"/>
          <w:color w:val="000000"/>
        </w:rPr>
      </w:pPr>
    </w:p>
    <w:p w14:paraId="4FF228F7" w14:textId="4669BC99" w:rsidR="004E5425" w:rsidRPr="004A07CF" w:rsidRDefault="004E5425" w:rsidP="004A07CF">
      <w:pPr>
        <w:tabs>
          <w:tab w:val="center" w:pos="1400"/>
          <w:tab w:val="center" w:pos="5940"/>
        </w:tabs>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 xml:space="preserve"> </w:t>
      </w:r>
    </w:p>
    <w:p w14:paraId="4A8EA2FE" w14:textId="77777777" w:rsidR="004E5425" w:rsidRPr="004A07CF" w:rsidRDefault="004E5425" w:rsidP="004A07CF">
      <w:pPr>
        <w:autoSpaceDE w:val="0"/>
        <w:autoSpaceDN w:val="0"/>
        <w:adjustRightInd w:val="0"/>
        <w:ind w:firstLine="284"/>
        <w:jc w:val="both"/>
        <w:rPr>
          <w:rFonts w:ascii="Garamond" w:hAnsi="Garamond" w:cs="Times New Roman"/>
          <w:color w:val="000000"/>
        </w:rPr>
      </w:pPr>
    </w:p>
    <w:p w14:paraId="5D0FBCD8" w14:textId="0279A5C2" w:rsidR="004E5425" w:rsidRPr="004A07CF" w:rsidRDefault="004E5425" w:rsidP="004A07CF">
      <w:pPr>
        <w:tabs>
          <w:tab w:val="center" w:pos="1400"/>
          <w:tab w:val="left" w:pos="5100"/>
          <w:tab w:val="center" w:pos="5940"/>
        </w:tabs>
        <w:autoSpaceDE w:val="0"/>
        <w:autoSpaceDN w:val="0"/>
        <w:adjustRightInd w:val="0"/>
        <w:ind w:firstLine="284"/>
        <w:jc w:val="both"/>
        <w:rPr>
          <w:rFonts w:ascii="Garamond" w:hAnsi="Garamond" w:cs="Times New Roman"/>
          <w:color w:val="000000"/>
        </w:rPr>
      </w:pPr>
      <w:r w:rsidRPr="004A07CF">
        <w:rPr>
          <w:rFonts w:ascii="Garamond" w:hAnsi="Garamond" w:cs="Times New Roman"/>
          <w:color w:val="000000"/>
        </w:rPr>
        <w:t xml:space="preserve"> </w:t>
      </w:r>
    </w:p>
    <w:p w14:paraId="28F03948" w14:textId="77777777" w:rsidR="00606600" w:rsidRPr="004A07CF" w:rsidRDefault="00606600" w:rsidP="004A07CF">
      <w:pPr>
        <w:pStyle w:val="JuSigned"/>
        <w:tabs>
          <w:tab w:val="center" w:pos="1134"/>
        </w:tabs>
        <w:spacing w:before="0"/>
        <w:ind w:firstLine="284"/>
        <w:contextualSpacing/>
        <w:jc w:val="both"/>
        <w:rPr>
          <w:rFonts w:ascii="Garamond" w:eastAsia="PMingLiU" w:hAnsi="Garamond"/>
        </w:rPr>
      </w:pPr>
    </w:p>
    <w:p w14:paraId="22D244EB" w14:textId="77777777" w:rsidR="00606600" w:rsidRPr="004A07CF" w:rsidRDefault="00606600" w:rsidP="004A07CF">
      <w:pPr>
        <w:pStyle w:val="JuParaLast"/>
        <w:spacing w:before="0" w:after="0"/>
        <w:rPr>
          <w:rFonts w:ascii="Garamond" w:hAnsi="Garamond"/>
        </w:rPr>
        <w:sectPr w:rsidR="00606600" w:rsidRPr="004A07CF" w:rsidSect="004A07CF">
          <w:footnotePr>
            <w:numRestart w:val="eachPage"/>
          </w:footnotePr>
          <w:endnotePr>
            <w:numFmt w:val="decimal"/>
          </w:endnotePr>
          <w:type w:val="oddPage"/>
          <w:pgSz w:w="11906" w:h="16838" w:code="9"/>
          <w:pgMar w:top="1440" w:right="1440" w:bottom="1440" w:left="1440" w:header="1701" w:footer="720" w:gutter="0"/>
          <w:pgNumType w:start="1"/>
          <w:cols w:space="720"/>
          <w:docGrid w:linePitch="326"/>
        </w:sectPr>
      </w:pPr>
    </w:p>
    <w:p w14:paraId="77AAA2F7" w14:textId="77777777" w:rsidR="00606600" w:rsidRPr="004A07CF" w:rsidRDefault="00B56D17" w:rsidP="004A07CF">
      <w:pPr>
        <w:pStyle w:val="DecHTitle"/>
        <w:spacing w:after="0"/>
        <w:ind w:firstLine="284"/>
        <w:jc w:val="both"/>
        <w:rPr>
          <w:rFonts w:ascii="Garamond" w:hAnsi="Garamond"/>
          <w:sz w:val="24"/>
        </w:rPr>
      </w:pPr>
      <w:r w:rsidRPr="004A07CF">
        <w:rPr>
          <w:rFonts w:ascii="Garamond" w:hAnsi="Garamond"/>
          <w:sz w:val="24"/>
        </w:rPr>
        <w:lastRenderedPageBreak/>
        <w:t>SHTOJCË</w:t>
      </w:r>
    </w:p>
    <w:p w14:paraId="683AD564" w14:textId="692192EA" w:rsidR="00606600" w:rsidRPr="00F36B0D" w:rsidRDefault="00B56D17" w:rsidP="00F36B0D">
      <w:pPr>
        <w:pStyle w:val="DecHCase"/>
        <w:spacing w:after="0"/>
        <w:ind w:firstLine="284"/>
        <w:contextualSpacing/>
        <w:rPr>
          <w:rFonts w:ascii="Garamond" w:hAnsi="Garamond"/>
          <w:b/>
          <w:i/>
          <w:color w:val="3E3E3E" w:themeColor="background2" w:themeShade="40"/>
        </w:rPr>
      </w:pPr>
      <w:r w:rsidRPr="00F36B0D">
        <w:rPr>
          <w:rFonts w:ascii="Garamond" w:hAnsi="Garamond"/>
          <w:b/>
          <w:color w:val="3E3E3E" w:themeColor="background2" w:themeShade="40"/>
        </w:rPr>
        <w:t>Kërkesa që paraqet ankimin sipas paragrafit 1</w:t>
      </w:r>
      <w:r w:rsidR="00F36B0D">
        <w:rPr>
          <w:rFonts w:ascii="Garamond" w:hAnsi="Garamond"/>
          <w:b/>
          <w:color w:val="3E3E3E" w:themeColor="background2" w:themeShade="40"/>
        </w:rPr>
        <w:t>,</w:t>
      </w:r>
      <w:r w:rsidRPr="00F36B0D">
        <w:rPr>
          <w:rFonts w:ascii="Garamond" w:hAnsi="Garamond"/>
          <w:b/>
          <w:color w:val="3E3E3E" w:themeColor="background2" w:themeShade="40"/>
        </w:rPr>
        <w:t xml:space="preserve"> të nenit 6 të Konventës</w:t>
      </w:r>
    </w:p>
    <w:p w14:paraId="34193A51" w14:textId="595691BB" w:rsidR="00606600" w:rsidRPr="00F36B0D" w:rsidRDefault="00B56D17" w:rsidP="00F36B0D">
      <w:pPr>
        <w:pStyle w:val="DecHCase"/>
        <w:spacing w:after="0"/>
        <w:ind w:firstLine="284"/>
        <w:contextualSpacing/>
        <w:rPr>
          <w:rFonts w:ascii="Garamond" w:hAnsi="Garamond"/>
          <w:b/>
          <w:i/>
        </w:rPr>
      </w:pPr>
      <w:r w:rsidRPr="00F36B0D">
        <w:rPr>
          <w:rFonts w:ascii="Garamond" w:hAnsi="Garamond"/>
          <w:b/>
          <w:color w:val="3E3E3E" w:themeColor="background2" w:themeShade="40"/>
        </w:rPr>
        <w:t>(</w:t>
      </w:r>
      <w:r w:rsidR="00F36B0D">
        <w:rPr>
          <w:rFonts w:ascii="Garamond" w:hAnsi="Garamond"/>
          <w:b/>
          <w:color w:val="3E3E3E" w:themeColor="background2" w:themeShade="40"/>
        </w:rPr>
        <w:t>t</w:t>
      </w:r>
      <w:r w:rsidRPr="00F36B0D">
        <w:rPr>
          <w:rFonts w:ascii="Garamond" w:hAnsi="Garamond"/>
          <w:b/>
          <w:color w:val="3E3E3E" w:themeColor="background2" w:themeShade="40"/>
        </w:rPr>
        <w:t>ejkalimi i kohëzgjatjes së procesit civil)</w:t>
      </w:r>
    </w:p>
    <w:tbl>
      <w:tblPr>
        <w:tblStyle w:val="ECHRListTable"/>
        <w:tblW w:w="0" w:type="auto"/>
        <w:jc w:val="center"/>
        <w:tblLook w:val="0420" w:firstRow="1" w:lastRow="0" w:firstColumn="0" w:lastColumn="0" w:noHBand="0" w:noVBand="1"/>
      </w:tblPr>
      <w:tblGrid>
        <w:gridCol w:w="1463"/>
        <w:gridCol w:w="2720"/>
        <w:gridCol w:w="1472"/>
        <w:gridCol w:w="1552"/>
        <w:gridCol w:w="2911"/>
        <w:gridCol w:w="3830"/>
      </w:tblGrid>
      <w:tr w:rsidR="002A50F1" w:rsidRPr="004A07CF" w14:paraId="4A1EE5E9" w14:textId="77777777" w:rsidTr="004E5425">
        <w:trPr>
          <w:cnfStyle w:val="100000000000" w:firstRow="1" w:lastRow="0" w:firstColumn="0" w:lastColumn="0" w:oddVBand="0" w:evenVBand="0" w:oddHBand="0" w:evenHBand="0" w:firstRowFirstColumn="0" w:firstRowLastColumn="0" w:lastRowFirstColumn="0" w:lastRowLastColumn="0"/>
          <w:trHeight w:val="20"/>
          <w:jc w:val="center"/>
        </w:trPr>
        <w:tc>
          <w:tcPr>
            <w:tcW w:w="0" w:type="auto"/>
            <w:vAlign w:val="center"/>
          </w:tcPr>
          <w:p w14:paraId="46DEF8DC" w14:textId="77777777" w:rsidR="008B1368" w:rsidRPr="004A07CF" w:rsidRDefault="00B56D17" w:rsidP="00F36B0D">
            <w:pPr>
              <w:jc w:val="center"/>
              <w:rPr>
                <w:rFonts w:ascii="Garamond" w:hAnsi="Garamond"/>
              </w:rPr>
            </w:pPr>
            <w:bookmarkStart w:id="1" w:name="WECLListStart"/>
            <w:bookmarkEnd w:id="1"/>
            <w:r w:rsidRPr="004A07CF">
              <w:rPr>
                <w:rFonts w:ascii="Garamond" w:hAnsi="Garamond"/>
              </w:rPr>
              <w:t>Kërkesa nr.</w:t>
            </w:r>
          </w:p>
          <w:p w14:paraId="72FDFC0A" w14:textId="5E622D5E" w:rsidR="008B1368" w:rsidRPr="004A07CF" w:rsidRDefault="00F36B0D" w:rsidP="00F36B0D">
            <w:pPr>
              <w:jc w:val="center"/>
              <w:rPr>
                <w:rFonts w:ascii="Garamond" w:hAnsi="Garamond"/>
              </w:rPr>
            </w:pPr>
            <w:r>
              <w:rPr>
                <w:rFonts w:ascii="Garamond" w:hAnsi="Garamond"/>
              </w:rPr>
              <w:t>d</w:t>
            </w:r>
            <w:r w:rsidR="00B56D17" w:rsidRPr="004A07CF">
              <w:rPr>
                <w:rFonts w:ascii="Garamond" w:hAnsi="Garamond"/>
              </w:rPr>
              <w:t>ata e paraqitjes</w:t>
            </w:r>
          </w:p>
        </w:tc>
        <w:tc>
          <w:tcPr>
            <w:tcW w:w="0" w:type="auto"/>
            <w:vAlign w:val="center"/>
          </w:tcPr>
          <w:p w14:paraId="14BB0FF6" w14:textId="77735C17" w:rsidR="008B1368" w:rsidRPr="004A07CF" w:rsidRDefault="00B56D17" w:rsidP="00F36B0D">
            <w:pPr>
              <w:jc w:val="center"/>
              <w:rPr>
                <w:rFonts w:ascii="Garamond" w:hAnsi="Garamond"/>
              </w:rPr>
            </w:pPr>
            <w:r w:rsidRPr="004A07CF">
              <w:rPr>
                <w:rFonts w:ascii="Garamond" w:hAnsi="Garamond"/>
              </w:rPr>
              <w:t>Emri i kërkuesit</w:t>
            </w:r>
            <w:r w:rsidR="00F36B0D">
              <w:rPr>
                <w:rFonts w:ascii="Garamond" w:hAnsi="Garamond"/>
              </w:rPr>
              <w:t>,</w:t>
            </w:r>
          </w:p>
          <w:p w14:paraId="683E559F" w14:textId="10BDD1DF" w:rsidR="008B1368" w:rsidRPr="004A07CF" w:rsidRDefault="00F36B0D" w:rsidP="00F36B0D">
            <w:pPr>
              <w:jc w:val="center"/>
              <w:rPr>
                <w:rFonts w:ascii="Garamond" w:hAnsi="Garamond"/>
              </w:rPr>
            </w:pPr>
            <w:r>
              <w:rPr>
                <w:rFonts w:ascii="Garamond" w:hAnsi="Garamond"/>
              </w:rPr>
              <w:t>v</w:t>
            </w:r>
            <w:r w:rsidR="00B56D17" w:rsidRPr="004A07CF">
              <w:rPr>
                <w:rFonts w:ascii="Garamond" w:hAnsi="Garamond"/>
              </w:rPr>
              <w:t>iti i lindjes</w:t>
            </w:r>
          </w:p>
        </w:tc>
        <w:tc>
          <w:tcPr>
            <w:tcW w:w="0" w:type="auto"/>
            <w:vAlign w:val="center"/>
          </w:tcPr>
          <w:p w14:paraId="3A67B5B7" w14:textId="77777777" w:rsidR="008B1368" w:rsidRPr="004A07CF" w:rsidRDefault="00B56D17" w:rsidP="00F36B0D">
            <w:pPr>
              <w:jc w:val="center"/>
              <w:rPr>
                <w:rFonts w:ascii="Garamond" w:hAnsi="Garamond"/>
              </w:rPr>
            </w:pPr>
            <w:r w:rsidRPr="004A07CF">
              <w:rPr>
                <w:rFonts w:ascii="Garamond" w:hAnsi="Garamond"/>
              </w:rPr>
              <w:t>Fillimi i procesit</w:t>
            </w:r>
          </w:p>
        </w:tc>
        <w:tc>
          <w:tcPr>
            <w:tcW w:w="0" w:type="auto"/>
            <w:vAlign w:val="center"/>
          </w:tcPr>
          <w:p w14:paraId="37B2F81C" w14:textId="77777777" w:rsidR="008B1368" w:rsidRPr="004A07CF" w:rsidRDefault="00B56D17" w:rsidP="00F36B0D">
            <w:pPr>
              <w:jc w:val="center"/>
              <w:rPr>
                <w:rFonts w:ascii="Garamond" w:hAnsi="Garamond"/>
              </w:rPr>
            </w:pPr>
            <w:r w:rsidRPr="004A07CF">
              <w:rPr>
                <w:rFonts w:ascii="Garamond" w:hAnsi="Garamond"/>
              </w:rPr>
              <w:t>Mbarimi i procesit</w:t>
            </w:r>
          </w:p>
        </w:tc>
        <w:tc>
          <w:tcPr>
            <w:tcW w:w="0" w:type="auto"/>
            <w:vAlign w:val="center"/>
          </w:tcPr>
          <w:p w14:paraId="67E520B6" w14:textId="77777777" w:rsidR="008B1368" w:rsidRPr="004A07CF" w:rsidRDefault="00B56D17" w:rsidP="00F36B0D">
            <w:pPr>
              <w:jc w:val="center"/>
              <w:rPr>
                <w:rFonts w:ascii="Garamond" w:hAnsi="Garamond"/>
              </w:rPr>
            </w:pPr>
            <w:r w:rsidRPr="004A07CF">
              <w:rPr>
                <w:rFonts w:ascii="Garamond" w:hAnsi="Garamond"/>
              </w:rPr>
              <w:t>Kohëzgjatja e plotë</w:t>
            </w:r>
          </w:p>
          <w:p w14:paraId="5C24DE73" w14:textId="77777777" w:rsidR="008B1368" w:rsidRPr="004A07CF" w:rsidRDefault="008B1368" w:rsidP="00F36B0D">
            <w:pPr>
              <w:jc w:val="center"/>
              <w:rPr>
                <w:rFonts w:ascii="Garamond" w:hAnsi="Garamond"/>
              </w:rPr>
            </w:pPr>
          </w:p>
        </w:tc>
        <w:tc>
          <w:tcPr>
            <w:tcW w:w="0" w:type="auto"/>
            <w:vAlign w:val="center"/>
          </w:tcPr>
          <w:p w14:paraId="0D76D70B" w14:textId="666DA13B" w:rsidR="008B1368" w:rsidRPr="004A07CF" w:rsidRDefault="00B56D17" w:rsidP="00F36B0D">
            <w:pPr>
              <w:jc w:val="center"/>
              <w:rPr>
                <w:rFonts w:ascii="Garamond" w:hAnsi="Garamond"/>
              </w:rPr>
            </w:pPr>
            <w:r w:rsidRPr="004A07CF">
              <w:rPr>
                <w:rFonts w:ascii="Garamond" w:hAnsi="Garamond"/>
              </w:rPr>
              <w:t>Shuma e caktuar për dëmin jopasuror dhe kosto</w:t>
            </w:r>
            <w:r w:rsidR="00F36B0D">
              <w:rPr>
                <w:rFonts w:ascii="Garamond" w:hAnsi="Garamond"/>
              </w:rPr>
              <w:t>,</w:t>
            </w:r>
            <w:r w:rsidRPr="004A07CF">
              <w:rPr>
                <w:rFonts w:ascii="Garamond" w:hAnsi="Garamond"/>
              </w:rPr>
              <w:t xml:space="preserve"> dhe shpenzime për kërkues</w:t>
            </w:r>
          </w:p>
          <w:p w14:paraId="23247EBD" w14:textId="77777777" w:rsidR="008B1368" w:rsidRPr="004A07CF" w:rsidRDefault="00B56D17" w:rsidP="00F36B0D">
            <w:pPr>
              <w:jc w:val="center"/>
              <w:rPr>
                <w:rFonts w:ascii="Garamond" w:hAnsi="Garamond"/>
              </w:rPr>
            </w:pPr>
            <w:r w:rsidRPr="004A07CF">
              <w:rPr>
                <w:rFonts w:ascii="Garamond" w:hAnsi="Garamond"/>
              </w:rPr>
              <w:t>(në euro)</w:t>
            </w:r>
            <w:r w:rsidRPr="004A07CF">
              <w:rPr>
                <w:rStyle w:val="FootnoteReference"/>
                <w:rFonts w:ascii="Garamond" w:hAnsi="Garamond"/>
              </w:rPr>
              <w:footnoteReference w:id="2"/>
            </w:r>
          </w:p>
        </w:tc>
      </w:tr>
      <w:tr w:rsidR="002A50F1" w:rsidRPr="004A07CF" w14:paraId="79A678E3" w14:textId="77777777" w:rsidTr="004E5425">
        <w:trPr>
          <w:trHeight w:val="20"/>
          <w:jc w:val="center"/>
        </w:trPr>
        <w:tc>
          <w:tcPr>
            <w:tcW w:w="0" w:type="auto"/>
            <w:vMerge w:val="restart"/>
            <w:vAlign w:val="center"/>
          </w:tcPr>
          <w:p w14:paraId="1E66FFE7" w14:textId="77777777" w:rsidR="008B1368" w:rsidRPr="004A07CF" w:rsidRDefault="00B56D17" w:rsidP="00F36B0D">
            <w:pPr>
              <w:jc w:val="center"/>
              <w:rPr>
                <w:rFonts w:ascii="Garamond" w:hAnsi="Garamond"/>
              </w:rPr>
            </w:pPr>
            <w:r w:rsidRPr="004A07CF">
              <w:rPr>
                <w:rFonts w:ascii="Garamond" w:hAnsi="Garamond"/>
              </w:rPr>
              <w:t>7568/08</w:t>
            </w:r>
          </w:p>
          <w:p w14:paraId="7073F5BD" w14:textId="57859BC0" w:rsidR="008B1368" w:rsidRPr="004A07CF" w:rsidRDefault="00B56D17" w:rsidP="00F36B0D">
            <w:pPr>
              <w:jc w:val="center"/>
              <w:rPr>
                <w:rFonts w:ascii="Garamond" w:hAnsi="Garamond"/>
              </w:rPr>
            </w:pPr>
            <w:r w:rsidRPr="004A07CF">
              <w:rPr>
                <w:rFonts w:ascii="Garamond" w:hAnsi="Garamond"/>
              </w:rPr>
              <w:t>18</w:t>
            </w:r>
            <w:r w:rsidR="00F36B0D">
              <w:rPr>
                <w:rFonts w:ascii="Garamond" w:hAnsi="Garamond"/>
              </w:rPr>
              <w:t>.</w:t>
            </w:r>
            <w:r w:rsidRPr="004A07CF">
              <w:rPr>
                <w:rFonts w:ascii="Garamond" w:hAnsi="Garamond"/>
              </w:rPr>
              <w:t>1</w:t>
            </w:r>
            <w:r w:rsidR="00F36B0D">
              <w:rPr>
                <w:rFonts w:ascii="Garamond" w:hAnsi="Garamond"/>
              </w:rPr>
              <w:t>.</w:t>
            </w:r>
            <w:r w:rsidRPr="004A07CF">
              <w:rPr>
                <w:rFonts w:ascii="Garamond" w:hAnsi="Garamond"/>
              </w:rPr>
              <w:t>2008</w:t>
            </w:r>
          </w:p>
        </w:tc>
        <w:tc>
          <w:tcPr>
            <w:tcW w:w="0" w:type="auto"/>
            <w:vMerge w:val="restart"/>
            <w:vAlign w:val="center"/>
          </w:tcPr>
          <w:p w14:paraId="2BA75609" w14:textId="77777777" w:rsidR="008B1368" w:rsidRPr="004A07CF" w:rsidRDefault="00B56D17" w:rsidP="00F36B0D">
            <w:pPr>
              <w:jc w:val="center"/>
              <w:rPr>
                <w:rFonts w:ascii="Garamond" w:hAnsi="Garamond"/>
              </w:rPr>
            </w:pPr>
            <w:r w:rsidRPr="004A07CF">
              <w:rPr>
                <w:rFonts w:ascii="Garamond" w:hAnsi="Garamond"/>
                <w:b/>
              </w:rPr>
              <w:t>Minella PAPAKOSTANDINI</w:t>
            </w:r>
          </w:p>
        </w:tc>
        <w:tc>
          <w:tcPr>
            <w:tcW w:w="0" w:type="auto"/>
            <w:vAlign w:val="center"/>
          </w:tcPr>
          <w:p w14:paraId="4D9C7335" w14:textId="5609B30F" w:rsidR="008B1368" w:rsidRPr="004A07CF" w:rsidRDefault="00B56D17" w:rsidP="00F36B0D">
            <w:pPr>
              <w:jc w:val="center"/>
              <w:rPr>
                <w:rFonts w:ascii="Garamond" w:hAnsi="Garamond"/>
              </w:rPr>
            </w:pPr>
            <w:r w:rsidRPr="004A07CF">
              <w:rPr>
                <w:rFonts w:ascii="Garamond" w:hAnsi="Garamond"/>
              </w:rPr>
              <w:t>18</w:t>
            </w:r>
            <w:r w:rsidR="00F36B0D">
              <w:rPr>
                <w:rFonts w:ascii="Garamond" w:hAnsi="Garamond"/>
              </w:rPr>
              <w:t>.</w:t>
            </w:r>
            <w:r w:rsidRPr="004A07CF">
              <w:rPr>
                <w:rFonts w:ascii="Garamond" w:hAnsi="Garamond"/>
              </w:rPr>
              <w:t>8</w:t>
            </w:r>
            <w:r w:rsidR="00F36B0D">
              <w:rPr>
                <w:rFonts w:ascii="Garamond" w:hAnsi="Garamond"/>
              </w:rPr>
              <w:t>.</w:t>
            </w:r>
            <w:r w:rsidRPr="004A07CF">
              <w:rPr>
                <w:rFonts w:ascii="Garamond" w:hAnsi="Garamond"/>
              </w:rPr>
              <w:t>2000</w:t>
            </w:r>
          </w:p>
        </w:tc>
        <w:tc>
          <w:tcPr>
            <w:tcW w:w="0" w:type="auto"/>
            <w:vAlign w:val="center"/>
          </w:tcPr>
          <w:p w14:paraId="05FC8D3A" w14:textId="2D5E8A5D" w:rsidR="008B1368" w:rsidRPr="004A07CF" w:rsidRDefault="00B56D17" w:rsidP="00F36B0D">
            <w:pPr>
              <w:jc w:val="center"/>
              <w:rPr>
                <w:rFonts w:ascii="Garamond" w:hAnsi="Garamond"/>
              </w:rPr>
            </w:pPr>
            <w:r w:rsidRPr="004A07CF">
              <w:rPr>
                <w:rFonts w:ascii="Garamond" w:hAnsi="Garamond"/>
              </w:rPr>
              <w:t>23</w:t>
            </w:r>
            <w:r w:rsidR="00F36B0D">
              <w:rPr>
                <w:rFonts w:ascii="Garamond" w:hAnsi="Garamond"/>
              </w:rPr>
              <w:t>.</w:t>
            </w:r>
            <w:r w:rsidRPr="004A07CF">
              <w:rPr>
                <w:rFonts w:ascii="Garamond" w:hAnsi="Garamond"/>
              </w:rPr>
              <w:t>1</w:t>
            </w:r>
            <w:r w:rsidR="00F36B0D">
              <w:rPr>
                <w:rFonts w:ascii="Garamond" w:hAnsi="Garamond"/>
              </w:rPr>
              <w:t>.</w:t>
            </w:r>
            <w:r w:rsidRPr="004A07CF">
              <w:rPr>
                <w:rFonts w:ascii="Garamond" w:hAnsi="Garamond"/>
              </w:rPr>
              <w:t>2013</w:t>
            </w:r>
          </w:p>
        </w:tc>
        <w:tc>
          <w:tcPr>
            <w:tcW w:w="0" w:type="auto"/>
            <w:vAlign w:val="center"/>
          </w:tcPr>
          <w:p w14:paraId="44C29CCC" w14:textId="77777777" w:rsidR="008B1368" w:rsidRPr="004A07CF" w:rsidRDefault="00B56D17" w:rsidP="00F36B0D">
            <w:pPr>
              <w:jc w:val="center"/>
              <w:rPr>
                <w:rFonts w:ascii="Garamond" w:hAnsi="Garamond"/>
              </w:rPr>
            </w:pPr>
            <w:r w:rsidRPr="004A07CF">
              <w:rPr>
                <w:rFonts w:ascii="Garamond" w:hAnsi="Garamond"/>
              </w:rPr>
              <w:t>11 vjet e 10 muaj përpara katër shkallëve të juridiksionit</w:t>
            </w:r>
          </w:p>
        </w:tc>
        <w:tc>
          <w:tcPr>
            <w:tcW w:w="0" w:type="auto"/>
            <w:vMerge w:val="restart"/>
            <w:vAlign w:val="center"/>
          </w:tcPr>
          <w:p w14:paraId="790616D2" w14:textId="77777777" w:rsidR="008B1368" w:rsidRPr="004A07CF" w:rsidRDefault="00B56D17" w:rsidP="00F36B0D">
            <w:pPr>
              <w:jc w:val="center"/>
              <w:rPr>
                <w:rFonts w:ascii="Garamond" w:hAnsi="Garamond"/>
              </w:rPr>
            </w:pPr>
            <w:r w:rsidRPr="004A07CF">
              <w:rPr>
                <w:rFonts w:ascii="Garamond" w:hAnsi="Garamond"/>
              </w:rPr>
              <w:t>4.700</w:t>
            </w:r>
          </w:p>
        </w:tc>
      </w:tr>
      <w:tr w:rsidR="002A50F1" w:rsidRPr="004A07CF" w14:paraId="3A1D9698" w14:textId="77777777" w:rsidTr="004E5425">
        <w:trPr>
          <w:trHeight w:val="20"/>
          <w:jc w:val="center"/>
        </w:trPr>
        <w:tc>
          <w:tcPr>
            <w:tcW w:w="0" w:type="auto"/>
            <w:vMerge/>
            <w:vAlign w:val="center"/>
          </w:tcPr>
          <w:p w14:paraId="02788D63" w14:textId="77777777" w:rsidR="008B1368" w:rsidRPr="004A07CF" w:rsidRDefault="008B1368" w:rsidP="00F36B0D">
            <w:pPr>
              <w:jc w:val="center"/>
              <w:rPr>
                <w:rFonts w:ascii="Garamond" w:hAnsi="Garamond"/>
              </w:rPr>
            </w:pPr>
          </w:p>
        </w:tc>
        <w:tc>
          <w:tcPr>
            <w:tcW w:w="0" w:type="auto"/>
            <w:vMerge/>
            <w:vAlign w:val="center"/>
          </w:tcPr>
          <w:p w14:paraId="65D4B840" w14:textId="77777777" w:rsidR="008B1368" w:rsidRPr="004A07CF" w:rsidRDefault="008B1368" w:rsidP="00F36B0D">
            <w:pPr>
              <w:jc w:val="center"/>
              <w:rPr>
                <w:rFonts w:ascii="Garamond" w:hAnsi="Garamond"/>
                <w:b/>
              </w:rPr>
            </w:pPr>
          </w:p>
        </w:tc>
        <w:tc>
          <w:tcPr>
            <w:tcW w:w="0" w:type="auto"/>
            <w:vAlign w:val="center"/>
          </w:tcPr>
          <w:p w14:paraId="2CAD4C51" w14:textId="1E2D25D7" w:rsidR="008B1368" w:rsidRPr="004A07CF" w:rsidRDefault="00B56D17" w:rsidP="00F36B0D">
            <w:pPr>
              <w:jc w:val="center"/>
              <w:rPr>
                <w:rFonts w:ascii="Garamond" w:hAnsi="Garamond"/>
              </w:rPr>
            </w:pPr>
            <w:r w:rsidRPr="004A07CF">
              <w:rPr>
                <w:rFonts w:ascii="Garamond" w:hAnsi="Garamond"/>
              </w:rPr>
              <w:t>22</w:t>
            </w:r>
            <w:r w:rsidR="00F36B0D">
              <w:rPr>
                <w:rFonts w:ascii="Garamond" w:hAnsi="Garamond"/>
              </w:rPr>
              <w:t>.</w:t>
            </w:r>
            <w:r w:rsidRPr="004A07CF">
              <w:rPr>
                <w:rFonts w:ascii="Garamond" w:hAnsi="Garamond"/>
              </w:rPr>
              <w:t>10</w:t>
            </w:r>
            <w:r w:rsidR="00F36B0D">
              <w:rPr>
                <w:rFonts w:ascii="Garamond" w:hAnsi="Garamond"/>
              </w:rPr>
              <w:t>.</w:t>
            </w:r>
            <w:r w:rsidRPr="004A07CF">
              <w:rPr>
                <w:rFonts w:ascii="Garamond" w:hAnsi="Garamond"/>
              </w:rPr>
              <w:t>2001</w:t>
            </w:r>
          </w:p>
        </w:tc>
        <w:tc>
          <w:tcPr>
            <w:tcW w:w="0" w:type="auto"/>
            <w:vAlign w:val="center"/>
          </w:tcPr>
          <w:p w14:paraId="0F557A79" w14:textId="0D17017D" w:rsidR="008B1368" w:rsidRPr="004A07CF" w:rsidRDefault="00B56D17" w:rsidP="00F36B0D">
            <w:pPr>
              <w:jc w:val="center"/>
              <w:rPr>
                <w:rFonts w:ascii="Garamond" w:hAnsi="Garamond"/>
              </w:rPr>
            </w:pPr>
            <w:r w:rsidRPr="004A07CF">
              <w:rPr>
                <w:rFonts w:ascii="Garamond" w:hAnsi="Garamond"/>
              </w:rPr>
              <w:t>24</w:t>
            </w:r>
            <w:r w:rsidR="00F36B0D">
              <w:rPr>
                <w:rFonts w:ascii="Garamond" w:hAnsi="Garamond"/>
              </w:rPr>
              <w:t>.</w:t>
            </w:r>
            <w:r w:rsidRPr="004A07CF">
              <w:rPr>
                <w:rFonts w:ascii="Garamond" w:hAnsi="Garamond"/>
              </w:rPr>
              <w:t>10</w:t>
            </w:r>
            <w:r w:rsidR="00F36B0D">
              <w:rPr>
                <w:rFonts w:ascii="Garamond" w:hAnsi="Garamond"/>
              </w:rPr>
              <w:t>.</w:t>
            </w:r>
            <w:r w:rsidRPr="004A07CF">
              <w:rPr>
                <w:rFonts w:ascii="Garamond" w:hAnsi="Garamond"/>
              </w:rPr>
              <w:t>2012</w:t>
            </w:r>
          </w:p>
        </w:tc>
        <w:tc>
          <w:tcPr>
            <w:tcW w:w="0" w:type="auto"/>
            <w:vAlign w:val="center"/>
          </w:tcPr>
          <w:p w14:paraId="5D482C87" w14:textId="2B5C588D" w:rsidR="008B1368" w:rsidRPr="004A07CF" w:rsidRDefault="00B56D17" w:rsidP="00F36B0D">
            <w:pPr>
              <w:jc w:val="center"/>
              <w:rPr>
                <w:rFonts w:ascii="Garamond" w:hAnsi="Garamond"/>
              </w:rPr>
            </w:pPr>
            <w:r w:rsidRPr="004A07CF">
              <w:rPr>
                <w:rFonts w:ascii="Garamond" w:hAnsi="Garamond"/>
              </w:rPr>
              <w:t>11 vjet përpara tr</w:t>
            </w:r>
            <w:r w:rsidR="00F36B0D">
              <w:rPr>
                <w:rFonts w:ascii="Garamond" w:hAnsi="Garamond"/>
              </w:rPr>
              <w:t>i</w:t>
            </w:r>
            <w:r w:rsidRPr="004A07CF">
              <w:rPr>
                <w:rFonts w:ascii="Garamond" w:hAnsi="Garamond"/>
              </w:rPr>
              <w:t xml:space="preserve"> shkallëve të juridiksionit</w:t>
            </w:r>
          </w:p>
        </w:tc>
        <w:tc>
          <w:tcPr>
            <w:tcW w:w="0" w:type="auto"/>
            <w:vMerge/>
            <w:vAlign w:val="center"/>
          </w:tcPr>
          <w:p w14:paraId="34E11634" w14:textId="77777777" w:rsidR="008B1368" w:rsidRPr="004A07CF" w:rsidRDefault="008B1368" w:rsidP="004A07CF">
            <w:pPr>
              <w:jc w:val="both"/>
              <w:rPr>
                <w:rFonts w:ascii="Garamond" w:hAnsi="Garamond"/>
              </w:rPr>
            </w:pPr>
          </w:p>
        </w:tc>
      </w:tr>
    </w:tbl>
    <w:p w14:paraId="1C27068F" w14:textId="77777777" w:rsidR="00606600" w:rsidRPr="004A07CF" w:rsidRDefault="00606600" w:rsidP="004A07CF">
      <w:pPr>
        <w:ind w:firstLine="284"/>
        <w:jc w:val="both"/>
        <w:rPr>
          <w:rFonts w:ascii="Garamond" w:hAnsi="Garamond"/>
        </w:rPr>
      </w:pPr>
    </w:p>
    <w:p w14:paraId="20335E6A" w14:textId="77777777" w:rsidR="00606600" w:rsidRPr="004A07CF" w:rsidRDefault="00606600" w:rsidP="004A07CF">
      <w:pPr>
        <w:ind w:firstLine="284"/>
        <w:jc w:val="both"/>
        <w:rPr>
          <w:rFonts w:ascii="Garamond" w:hAnsi="Garamond"/>
        </w:rPr>
      </w:pPr>
    </w:p>
    <w:sectPr w:rsidR="00606600" w:rsidRPr="004A07CF" w:rsidSect="004A07CF">
      <w:headerReference w:type="even" r:id="rId13"/>
      <w:headerReference w:type="default" r:id="rId14"/>
      <w:footnotePr>
        <w:numRestart w:val="eachPage"/>
      </w:footnotePr>
      <w:endnotePr>
        <w:numFmt w:val="decimal"/>
      </w:endnotePr>
      <w:pgSz w:w="16838" w:h="11906" w:orient="landscape" w:code="9"/>
      <w:pgMar w:top="1440" w:right="1440" w:bottom="1440" w:left="1440"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BA82AA" w14:textId="77777777" w:rsidR="0056221C" w:rsidRDefault="0056221C">
      <w:r>
        <w:separator/>
      </w:r>
    </w:p>
  </w:endnote>
  <w:endnote w:type="continuationSeparator" w:id="0">
    <w:p w14:paraId="3EFA78B7" w14:textId="77777777" w:rsidR="0056221C" w:rsidRDefault="0056221C">
      <w:r>
        <w:continuationSeparator/>
      </w:r>
    </w:p>
  </w:endnote>
  <w:endnote w:type="continuationNotice" w:id="1">
    <w:p w14:paraId="5816E4B1" w14:textId="77777777" w:rsidR="0056221C" w:rsidRDefault="005622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47C5DD" w14:textId="77777777" w:rsidR="0056221C" w:rsidRPr="00611E1D" w:rsidRDefault="0056221C" w:rsidP="004A07CF">
      <w:r w:rsidRPr="00611E1D">
        <w:separator/>
      </w:r>
    </w:p>
  </w:footnote>
  <w:footnote w:type="continuationSeparator" w:id="0">
    <w:p w14:paraId="52C4ABCF" w14:textId="77777777" w:rsidR="0056221C" w:rsidRPr="00611E1D" w:rsidRDefault="0056221C" w:rsidP="004A07CF">
      <w:r w:rsidRPr="00611E1D">
        <w:continuationSeparator/>
      </w:r>
    </w:p>
  </w:footnote>
  <w:footnote w:type="continuationNotice" w:id="1">
    <w:p w14:paraId="43765823" w14:textId="77777777" w:rsidR="0056221C" w:rsidRDefault="0056221C"/>
  </w:footnote>
  <w:footnote w:id="2">
    <w:p w14:paraId="68ED8AD9" w14:textId="0854C0CE" w:rsidR="0056221C" w:rsidRPr="0061394A" w:rsidRDefault="0056221C" w:rsidP="008B1368">
      <w:pPr>
        <w:pStyle w:val="FootnoteText"/>
        <w:rPr>
          <w:rFonts w:ascii="Garamond" w:hAnsi="Garamond"/>
        </w:rPr>
      </w:pPr>
      <w:r w:rsidRPr="0061394A">
        <w:rPr>
          <w:rStyle w:val="FootnoteReference"/>
          <w:rFonts w:ascii="Garamond" w:hAnsi="Garamond"/>
        </w:rPr>
        <w:footnoteRef/>
      </w:r>
      <w:r w:rsidRPr="0061394A">
        <w:rPr>
          <w:rStyle w:val="FootnoteReference"/>
          <w:rFonts w:ascii="Garamond" w:hAnsi="Garamond"/>
        </w:rPr>
        <w:t xml:space="preserve"> </w:t>
      </w:r>
      <w:r w:rsidRPr="0061394A">
        <w:rPr>
          <w:rFonts w:ascii="Garamond" w:hAnsi="Garamond"/>
        </w:rPr>
        <w:t>Plus çdo taksë që mund t</w:t>
      </w:r>
      <w:r>
        <w:rPr>
          <w:rFonts w:ascii="Garamond" w:hAnsi="Garamond"/>
        </w:rPr>
        <w:t>’</w:t>
      </w:r>
      <w:r w:rsidRPr="0061394A">
        <w:rPr>
          <w:rFonts w:ascii="Garamond" w:hAnsi="Garamond"/>
        </w:rPr>
        <w:t>i ngarkohet kërkuesit.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A5556C" w14:textId="2C3F82F8" w:rsidR="0056221C" w:rsidRPr="004E5425" w:rsidRDefault="0056221C" w:rsidP="004E54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D65FD9" w14:textId="63381DA1" w:rsidR="0056221C" w:rsidRPr="00DE7D3F" w:rsidRDefault="0056221C" w:rsidP="00E026EC">
    <w:pPr>
      <w:pStyle w:val="Ju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848C6260">
      <w:start w:val="1"/>
      <w:numFmt w:val="bullet"/>
      <w:pStyle w:val="ListBullet"/>
      <w:lvlText w:val=""/>
      <w:lvlJc w:val="left"/>
      <w:pPr>
        <w:tabs>
          <w:tab w:val="num" w:pos="851"/>
        </w:tabs>
        <w:ind w:left="568" w:firstLine="0"/>
      </w:pPr>
      <w:rPr>
        <w:rFonts w:ascii="Wingdings" w:hAnsi="Wingdings" w:hint="default"/>
        <w:color w:val="808080"/>
        <w:sz w:val="16"/>
      </w:rPr>
    </w:lvl>
    <w:lvl w:ilvl="1" w:tplc="91E0EBAC" w:tentative="1">
      <w:start w:val="1"/>
      <w:numFmt w:val="bullet"/>
      <w:lvlText w:val="o"/>
      <w:lvlJc w:val="left"/>
      <w:pPr>
        <w:tabs>
          <w:tab w:val="num" w:pos="1724"/>
        </w:tabs>
        <w:ind w:left="1724" w:hanging="360"/>
      </w:pPr>
      <w:rPr>
        <w:rFonts w:ascii="Courier New" w:hAnsi="Courier New" w:cs="Courier New" w:hint="default"/>
      </w:rPr>
    </w:lvl>
    <w:lvl w:ilvl="2" w:tplc="CFE895C2" w:tentative="1">
      <w:start w:val="1"/>
      <w:numFmt w:val="bullet"/>
      <w:lvlText w:val=""/>
      <w:lvlJc w:val="left"/>
      <w:pPr>
        <w:tabs>
          <w:tab w:val="num" w:pos="2444"/>
        </w:tabs>
        <w:ind w:left="2444" w:hanging="360"/>
      </w:pPr>
      <w:rPr>
        <w:rFonts w:ascii="Wingdings" w:hAnsi="Wingdings" w:hint="default"/>
      </w:rPr>
    </w:lvl>
    <w:lvl w:ilvl="3" w:tplc="B038E884" w:tentative="1">
      <w:start w:val="1"/>
      <w:numFmt w:val="bullet"/>
      <w:lvlText w:val=""/>
      <w:lvlJc w:val="left"/>
      <w:pPr>
        <w:tabs>
          <w:tab w:val="num" w:pos="3164"/>
        </w:tabs>
        <w:ind w:left="3164" w:hanging="360"/>
      </w:pPr>
      <w:rPr>
        <w:rFonts w:ascii="Symbol" w:hAnsi="Symbol" w:hint="default"/>
      </w:rPr>
    </w:lvl>
    <w:lvl w:ilvl="4" w:tplc="9FF62D36" w:tentative="1">
      <w:start w:val="1"/>
      <w:numFmt w:val="bullet"/>
      <w:lvlText w:val="o"/>
      <w:lvlJc w:val="left"/>
      <w:pPr>
        <w:tabs>
          <w:tab w:val="num" w:pos="3884"/>
        </w:tabs>
        <w:ind w:left="3884" w:hanging="360"/>
      </w:pPr>
      <w:rPr>
        <w:rFonts w:ascii="Courier New" w:hAnsi="Courier New" w:cs="Courier New" w:hint="default"/>
      </w:rPr>
    </w:lvl>
    <w:lvl w:ilvl="5" w:tplc="E2BCF248" w:tentative="1">
      <w:start w:val="1"/>
      <w:numFmt w:val="bullet"/>
      <w:lvlText w:val=""/>
      <w:lvlJc w:val="left"/>
      <w:pPr>
        <w:tabs>
          <w:tab w:val="num" w:pos="4604"/>
        </w:tabs>
        <w:ind w:left="4604" w:hanging="360"/>
      </w:pPr>
      <w:rPr>
        <w:rFonts w:ascii="Wingdings" w:hAnsi="Wingdings" w:hint="default"/>
      </w:rPr>
    </w:lvl>
    <w:lvl w:ilvl="6" w:tplc="5C8E497A" w:tentative="1">
      <w:start w:val="1"/>
      <w:numFmt w:val="bullet"/>
      <w:lvlText w:val=""/>
      <w:lvlJc w:val="left"/>
      <w:pPr>
        <w:tabs>
          <w:tab w:val="num" w:pos="5324"/>
        </w:tabs>
        <w:ind w:left="5324" w:hanging="360"/>
      </w:pPr>
      <w:rPr>
        <w:rFonts w:ascii="Symbol" w:hAnsi="Symbol" w:hint="default"/>
      </w:rPr>
    </w:lvl>
    <w:lvl w:ilvl="7" w:tplc="21DE8AE0" w:tentative="1">
      <w:start w:val="1"/>
      <w:numFmt w:val="bullet"/>
      <w:lvlText w:val="o"/>
      <w:lvlJc w:val="left"/>
      <w:pPr>
        <w:tabs>
          <w:tab w:val="num" w:pos="6044"/>
        </w:tabs>
        <w:ind w:left="6044" w:hanging="360"/>
      </w:pPr>
      <w:rPr>
        <w:rFonts w:ascii="Courier New" w:hAnsi="Courier New" w:cs="Courier New" w:hint="default"/>
      </w:rPr>
    </w:lvl>
    <w:lvl w:ilvl="8" w:tplc="5156AFC2"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3"/>
  </w:num>
  <w:num w:numId="16">
    <w:abstractNumId w:val="16"/>
  </w:num>
  <w:num w:numId="17">
    <w:abstractNumId w:val="15"/>
  </w:num>
  <w:num w:numId="18">
    <w:abstractNumId w:val="16"/>
  </w:num>
  <w:num w:numId="19">
    <w:abstractNumId w:val="10"/>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 w:name="Plural" w:val="0"/>
  </w:docVars>
  <w:rsids>
    <w:rsidRoot w:val="008B1368"/>
    <w:rsid w:val="00006F29"/>
    <w:rsid w:val="000318F7"/>
    <w:rsid w:val="000C10AB"/>
    <w:rsid w:val="000C5149"/>
    <w:rsid w:val="00135384"/>
    <w:rsid w:val="00141C13"/>
    <w:rsid w:val="00150BFA"/>
    <w:rsid w:val="00173A91"/>
    <w:rsid w:val="00177329"/>
    <w:rsid w:val="001A15B6"/>
    <w:rsid w:val="001A3C4A"/>
    <w:rsid w:val="001D7CD3"/>
    <w:rsid w:val="001E5E7D"/>
    <w:rsid w:val="001F3812"/>
    <w:rsid w:val="002056B7"/>
    <w:rsid w:val="0020718E"/>
    <w:rsid w:val="002248AE"/>
    <w:rsid w:val="0023364D"/>
    <w:rsid w:val="0029309A"/>
    <w:rsid w:val="002A50F1"/>
    <w:rsid w:val="002C20C4"/>
    <w:rsid w:val="002C5B23"/>
    <w:rsid w:val="002D1513"/>
    <w:rsid w:val="00337785"/>
    <w:rsid w:val="0037589C"/>
    <w:rsid w:val="003B3ECB"/>
    <w:rsid w:val="004760FB"/>
    <w:rsid w:val="0048584C"/>
    <w:rsid w:val="00497FF8"/>
    <w:rsid w:val="004A07CF"/>
    <w:rsid w:val="004B0B4E"/>
    <w:rsid w:val="004B3357"/>
    <w:rsid w:val="004D042B"/>
    <w:rsid w:val="004D0EC7"/>
    <w:rsid w:val="004E5425"/>
    <w:rsid w:val="004F56E2"/>
    <w:rsid w:val="00555A1D"/>
    <w:rsid w:val="0056221C"/>
    <w:rsid w:val="00573202"/>
    <w:rsid w:val="005B102C"/>
    <w:rsid w:val="005B16C1"/>
    <w:rsid w:val="005C3A15"/>
    <w:rsid w:val="005F60F9"/>
    <w:rsid w:val="00606600"/>
    <w:rsid w:val="00611E1D"/>
    <w:rsid w:val="0061394A"/>
    <w:rsid w:val="006372F5"/>
    <w:rsid w:val="00646383"/>
    <w:rsid w:val="00656431"/>
    <w:rsid w:val="006D324D"/>
    <w:rsid w:val="00743B2A"/>
    <w:rsid w:val="00787C95"/>
    <w:rsid w:val="007A72B4"/>
    <w:rsid w:val="007F018A"/>
    <w:rsid w:val="008215A8"/>
    <w:rsid w:val="008522DD"/>
    <w:rsid w:val="00860732"/>
    <w:rsid w:val="008A0E2E"/>
    <w:rsid w:val="008B1368"/>
    <w:rsid w:val="008D197B"/>
    <w:rsid w:val="008D51B6"/>
    <w:rsid w:val="009522DD"/>
    <w:rsid w:val="00A329E0"/>
    <w:rsid w:val="00A34A54"/>
    <w:rsid w:val="00A44415"/>
    <w:rsid w:val="00A45145"/>
    <w:rsid w:val="00A6104A"/>
    <w:rsid w:val="00A94CA7"/>
    <w:rsid w:val="00AC03BB"/>
    <w:rsid w:val="00B03BC0"/>
    <w:rsid w:val="00B042AB"/>
    <w:rsid w:val="00B216C1"/>
    <w:rsid w:val="00B56D17"/>
    <w:rsid w:val="00B64153"/>
    <w:rsid w:val="00B91668"/>
    <w:rsid w:val="00BD554D"/>
    <w:rsid w:val="00BE2415"/>
    <w:rsid w:val="00C0198F"/>
    <w:rsid w:val="00C20CC3"/>
    <w:rsid w:val="00C877A3"/>
    <w:rsid w:val="00DE7D3F"/>
    <w:rsid w:val="00E026EC"/>
    <w:rsid w:val="00E6230A"/>
    <w:rsid w:val="00ED7723"/>
    <w:rsid w:val="00F36B0D"/>
    <w:rsid w:val="00FB16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452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E5E7D"/>
    <w:rPr>
      <w:sz w:val="24"/>
      <w:szCs w:val="24"/>
    </w:rPr>
  </w:style>
  <w:style w:type="paragraph" w:styleId="Heading1">
    <w:name w:val="heading 1"/>
    <w:basedOn w:val="Normal"/>
    <w:next w:val="Normal"/>
    <w:link w:val="Heading1Char"/>
    <w:uiPriority w:val="98"/>
    <w:semiHidden/>
    <w:rsid w:val="001E5E7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E5E7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E5E7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E5E7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E5E7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E5E7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E5E7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E5E7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E5E7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E5E7D"/>
    <w:rPr>
      <w:rFonts w:ascii="Tahoma" w:hAnsi="Tahoma" w:cs="Tahoma"/>
      <w:sz w:val="16"/>
      <w:szCs w:val="16"/>
    </w:rPr>
  </w:style>
  <w:style w:type="character" w:customStyle="1" w:styleId="BalloonTextChar">
    <w:name w:val="Balloon Text Char"/>
    <w:basedOn w:val="DefaultParagraphFont"/>
    <w:link w:val="BalloonText"/>
    <w:uiPriority w:val="98"/>
    <w:semiHidden/>
    <w:rsid w:val="001E5E7D"/>
    <w:rPr>
      <w:rFonts w:ascii="Tahoma" w:hAnsi="Tahoma" w:cs="Tahoma"/>
      <w:sz w:val="16"/>
      <w:szCs w:val="16"/>
      <w:lang w:val="sq-AL"/>
    </w:rPr>
  </w:style>
  <w:style w:type="character" w:styleId="BookTitle">
    <w:name w:val="Book Title"/>
    <w:uiPriority w:val="98"/>
    <w:semiHidden/>
    <w:qFormat/>
    <w:rsid w:val="001E5E7D"/>
    <w:rPr>
      <w:i/>
      <w:iCs/>
      <w:smallCaps/>
      <w:spacing w:val="5"/>
    </w:rPr>
  </w:style>
  <w:style w:type="paragraph" w:customStyle="1" w:styleId="JuHeader">
    <w:name w:val="Ju_Header"/>
    <w:aliases w:val="_Header"/>
    <w:basedOn w:val="Header"/>
    <w:uiPriority w:val="29"/>
    <w:qFormat/>
    <w:rsid w:val="001E5E7D"/>
    <w:pPr>
      <w:tabs>
        <w:tab w:val="clear" w:pos="4536"/>
        <w:tab w:val="clear" w:pos="9072"/>
      </w:tabs>
      <w:jc w:val="center"/>
    </w:pPr>
    <w:rPr>
      <w:sz w:val="18"/>
    </w:rPr>
  </w:style>
  <w:style w:type="paragraph" w:customStyle="1" w:styleId="DummyStyle">
    <w:name w:val="Dummy_Style"/>
    <w:aliases w:val="_Dummy"/>
    <w:basedOn w:val="Normal"/>
    <w:semiHidden/>
    <w:qFormat/>
    <w:rsid w:val="001E5E7D"/>
    <w:rPr>
      <w:color w:val="00B050"/>
      <w:sz w:val="22"/>
    </w:rPr>
  </w:style>
  <w:style w:type="character" w:styleId="Strong">
    <w:name w:val="Strong"/>
    <w:uiPriority w:val="98"/>
    <w:semiHidden/>
    <w:qFormat/>
    <w:rsid w:val="001E5E7D"/>
    <w:rPr>
      <w:b/>
      <w:bCs/>
    </w:rPr>
  </w:style>
  <w:style w:type="paragraph" w:styleId="NoSpacing">
    <w:name w:val="No Spacing"/>
    <w:basedOn w:val="Normal"/>
    <w:link w:val="NoSpacingChar"/>
    <w:uiPriority w:val="98"/>
    <w:semiHidden/>
    <w:qFormat/>
    <w:rsid w:val="001E5E7D"/>
  </w:style>
  <w:style w:type="character" w:customStyle="1" w:styleId="NoSpacingChar">
    <w:name w:val="No Spacing Char"/>
    <w:basedOn w:val="DefaultParagraphFont"/>
    <w:link w:val="NoSpacing"/>
    <w:uiPriority w:val="98"/>
    <w:semiHidden/>
    <w:rsid w:val="001E5E7D"/>
    <w:rPr>
      <w:sz w:val="24"/>
      <w:szCs w:val="24"/>
      <w:lang w:val="sq-AL"/>
    </w:rPr>
  </w:style>
  <w:style w:type="paragraph" w:customStyle="1" w:styleId="JuQuot">
    <w:name w:val="Ju_Quot"/>
    <w:aliases w:val="_Quote"/>
    <w:basedOn w:val="NormalJustified"/>
    <w:uiPriority w:val="20"/>
    <w:qFormat/>
    <w:rsid w:val="001E5E7D"/>
    <w:pPr>
      <w:spacing w:before="120" w:after="120"/>
      <w:ind w:left="425" w:firstLine="142"/>
    </w:pPr>
    <w:rPr>
      <w:sz w:val="20"/>
    </w:rPr>
  </w:style>
  <w:style w:type="paragraph" w:customStyle="1" w:styleId="JuList">
    <w:name w:val="Ju_List"/>
    <w:aliases w:val="_List_1"/>
    <w:basedOn w:val="NormalJustified"/>
    <w:uiPriority w:val="23"/>
    <w:qFormat/>
    <w:rsid w:val="001E5E7D"/>
    <w:pPr>
      <w:numPr>
        <w:numId w:val="20"/>
      </w:numPr>
      <w:spacing w:before="280" w:after="60"/>
    </w:pPr>
  </w:style>
  <w:style w:type="paragraph" w:customStyle="1" w:styleId="JuListi">
    <w:name w:val="Ju_List_i"/>
    <w:aliases w:val="_List_3"/>
    <w:basedOn w:val="NormalJustified"/>
    <w:uiPriority w:val="23"/>
    <w:rsid w:val="001E5E7D"/>
    <w:pPr>
      <w:numPr>
        <w:ilvl w:val="2"/>
        <w:numId w:val="20"/>
      </w:numPr>
    </w:pPr>
  </w:style>
  <w:style w:type="paragraph" w:customStyle="1" w:styleId="JuTitle">
    <w:name w:val="Ju_Title"/>
    <w:aliases w:val="_Title_2"/>
    <w:basedOn w:val="Normal"/>
    <w:next w:val="JuPara"/>
    <w:uiPriority w:val="99"/>
    <w:qFormat/>
    <w:rsid w:val="001E5E7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99"/>
    <w:qFormat/>
    <w:rsid w:val="001E5E7D"/>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1E5E7D"/>
    <w:pPr>
      <w:keepNext/>
      <w:spacing w:before="100" w:beforeAutospacing="1" w:after="120"/>
      <w:contextualSpacing/>
      <w:jc w:val="center"/>
    </w:pPr>
    <w:rPr>
      <w:b/>
      <w:sz w:val="20"/>
    </w:rPr>
  </w:style>
  <w:style w:type="numbering" w:customStyle="1" w:styleId="ECHRA1StyleBulletedSquare">
    <w:name w:val="ECHR_A1_Style_Bulleted_Square"/>
    <w:basedOn w:val="NoList"/>
    <w:rsid w:val="001E5E7D"/>
    <w:pPr>
      <w:numPr>
        <w:numId w:val="14"/>
      </w:numPr>
    </w:pPr>
  </w:style>
  <w:style w:type="numbering" w:customStyle="1" w:styleId="ECHRA1StyleList">
    <w:name w:val="ECHR_A1_Style_List"/>
    <w:basedOn w:val="NoList"/>
    <w:uiPriority w:val="99"/>
    <w:rsid w:val="001E5E7D"/>
    <w:pPr>
      <w:numPr>
        <w:numId w:val="15"/>
      </w:numPr>
    </w:pPr>
  </w:style>
  <w:style w:type="paragraph" w:customStyle="1" w:styleId="JuHHead">
    <w:name w:val="Ju_H_Head"/>
    <w:aliases w:val="_Head_1"/>
    <w:basedOn w:val="Heading1"/>
    <w:next w:val="JuPara"/>
    <w:uiPriority w:val="99"/>
    <w:qFormat/>
    <w:rsid w:val="001E5E7D"/>
    <w:pPr>
      <w:keepNext/>
      <w:keepLines/>
      <w:numPr>
        <w:numId w:val="1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1E5E7D"/>
    <w:pPr>
      <w:numPr>
        <w:numId w:val="16"/>
      </w:numPr>
    </w:pPr>
  </w:style>
  <w:style w:type="table" w:customStyle="1" w:styleId="ECHRTable2019">
    <w:name w:val="ECHR_Table_2019"/>
    <w:basedOn w:val="TableNormal"/>
    <w:uiPriority w:val="99"/>
    <w:rsid w:val="001E5E7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1E5E7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E5E7D"/>
    <w:rPr>
      <w:rFonts w:asciiTheme="majorHAnsi" w:eastAsiaTheme="majorEastAsia" w:hAnsiTheme="majorHAnsi" w:cstheme="majorBidi"/>
      <w:spacing w:val="5"/>
      <w:sz w:val="52"/>
      <w:szCs w:val="52"/>
      <w:lang w:val="sq-AL"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1E5E7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1E5E7D"/>
    <w:pPr>
      <w:tabs>
        <w:tab w:val="center" w:pos="6407"/>
      </w:tabs>
      <w:spacing w:before="720"/>
      <w:jc w:val="right"/>
    </w:pPr>
  </w:style>
  <w:style w:type="character" w:customStyle="1" w:styleId="JuITMark">
    <w:name w:val="Ju_ITMark"/>
    <w:aliases w:val="_ITMark"/>
    <w:basedOn w:val="DefaultParagraphFont"/>
    <w:uiPriority w:val="54"/>
    <w:semiHidden/>
    <w:qFormat/>
    <w:rsid w:val="001E5E7D"/>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99"/>
    <w:qFormat/>
    <w:rsid w:val="001E5E7D"/>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99"/>
    <w:qFormat/>
    <w:rsid w:val="001E5E7D"/>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99"/>
    <w:rsid w:val="001E5E7D"/>
    <w:pPr>
      <w:keepNext/>
      <w:keepLines/>
      <w:numPr>
        <w:ilvl w:val="3"/>
        <w:numId w:val="1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1E5E7D"/>
    <w:pPr>
      <w:keepNext/>
      <w:keepLines/>
      <w:numPr>
        <w:ilvl w:val="4"/>
        <w:numId w:val="19"/>
      </w:numPr>
      <w:spacing w:before="100" w:beforeAutospacing="1" w:after="120"/>
      <w:jc w:val="both"/>
    </w:pPr>
    <w:rPr>
      <w:color w:val="auto"/>
      <w:sz w:val="20"/>
    </w:rPr>
  </w:style>
  <w:style w:type="paragraph" w:styleId="Header">
    <w:name w:val="header"/>
    <w:basedOn w:val="Normal"/>
    <w:link w:val="HeaderChar"/>
    <w:uiPriority w:val="98"/>
    <w:semiHidden/>
    <w:rsid w:val="001E5E7D"/>
    <w:pPr>
      <w:tabs>
        <w:tab w:val="center" w:pos="4536"/>
        <w:tab w:val="right" w:pos="9072"/>
      </w:tabs>
    </w:pPr>
  </w:style>
  <w:style w:type="character" w:customStyle="1" w:styleId="HeaderChar">
    <w:name w:val="Header Char"/>
    <w:basedOn w:val="DefaultParagraphFont"/>
    <w:link w:val="Header"/>
    <w:uiPriority w:val="98"/>
    <w:semiHidden/>
    <w:rsid w:val="001E5E7D"/>
    <w:rPr>
      <w:sz w:val="24"/>
      <w:szCs w:val="24"/>
      <w:lang w:val="sq-AL"/>
    </w:rPr>
  </w:style>
  <w:style w:type="character" w:customStyle="1" w:styleId="Heading1Char">
    <w:name w:val="Heading 1 Char"/>
    <w:basedOn w:val="DefaultParagraphFont"/>
    <w:link w:val="Heading1"/>
    <w:uiPriority w:val="98"/>
    <w:semiHidden/>
    <w:rsid w:val="001E5E7D"/>
    <w:rPr>
      <w:rFonts w:asciiTheme="majorHAnsi" w:eastAsiaTheme="majorEastAsia" w:hAnsiTheme="majorHAnsi" w:cstheme="majorBidi"/>
      <w:b/>
      <w:bCs/>
      <w:color w:val="333333"/>
      <w:sz w:val="28"/>
      <w:szCs w:val="28"/>
      <w:lang w:val="sq-AL"/>
    </w:rPr>
  </w:style>
  <w:style w:type="paragraph" w:customStyle="1" w:styleId="JuHi">
    <w:name w:val="Ju_H_i"/>
    <w:aliases w:val="_Head_6"/>
    <w:basedOn w:val="Heading6"/>
    <w:next w:val="JuPara"/>
    <w:uiPriority w:val="17"/>
    <w:rsid w:val="001E5E7D"/>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1E5E7D"/>
    <w:pPr>
      <w:keepNext/>
      <w:keepLines/>
      <w:numPr>
        <w:ilvl w:val="6"/>
        <w:numId w:val="1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1E5E7D"/>
    <w:rPr>
      <w:rFonts w:asciiTheme="majorHAnsi" w:eastAsiaTheme="majorEastAsia" w:hAnsiTheme="majorHAnsi" w:cstheme="majorBidi"/>
      <w:b/>
      <w:bCs/>
      <w:color w:val="4D4D4D"/>
      <w:sz w:val="26"/>
      <w:szCs w:val="26"/>
      <w:lang w:val="sq-AL"/>
    </w:rPr>
  </w:style>
  <w:style w:type="paragraph" w:customStyle="1" w:styleId="JuH">
    <w:name w:val="Ju_H_–"/>
    <w:aliases w:val="_Head_8"/>
    <w:basedOn w:val="Heading8"/>
    <w:next w:val="JuPara"/>
    <w:uiPriority w:val="17"/>
    <w:rsid w:val="001E5E7D"/>
    <w:pPr>
      <w:keepNext/>
      <w:keepLines/>
      <w:numPr>
        <w:ilvl w:val="7"/>
        <w:numId w:val="19"/>
      </w:numPr>
      <w:spacing w:before="100" w:beforeAutospacing="1" w:after="120"/>
      <w:jc w:val="both"/>
    </w:pPr>
    <w:rPr>
      <w:i/>
    </w:rPr>
  </w:style>
  <w:style w:type="character" w:customStyle="1" w:styleId="JUNAMES">
    <w:name w:val="JU_NAMES"/>
    <w:aliases w:val="_Ju_Names"/>
    <w:uiPriority w:val="33"/>
    <w:qFormat/>
    <w:rsid w:val="001E5E7D"/>
    <w:rPr>
      <w:caps w:val="0"/>
      <w:smallCaps/>
    </w:rPr>
  </w:style>
  <w:style w:type="character" w:customStyle="1" w:styleId="Heading3Char">
    <w:name w:val="Heading 3 Char"/>
    <w:basedOn w:val="DefaultParagraphFont"/>
    <w:link w:val="Heading3"/>
    <w:uiPriority w:val="98"/>
    <w:semiHidden/>
    <w:rsid w:val="001E5E7D"/>
    <w:rPr>
      <w:rFonts w:asciiTheme="majorHAnsi" w:eastAsiaTheme="majorEastAsia" w:hAnsiTheme="majorHAnsi" w:cstheme="majorBidi"/>
      <w:b/>
      <w:bCs/>
      <w:color w:val="5F5F5F"/>
      <w:lang w:val="sq-AL"/>
    </w:rPr>
  </w:style>
  <w:style w:type="paragraph" w:customStyle="1" w:styleId="JuLista">
    <w:name w:val="Ju_List_a"/>
    <w:aliases w:val="_List_2"/>
    <w:basedOn w:val="NormalJustified"/>
    <w:uiPriority w:val="99"/>
    <w:rsid w:val="001E5E7D"/>
    <w:pPr>
      <w:numPr>
        <w:ilvl w:val="1"/>
        <w:numId w:val="20"/>
      </w:numPr>
    </w:pPr>
  </w:style>
  <w:style w:type="paragraph" w:customStyle="1" w:styleId="NormalJustified">
    <w:name w:val="Normal_Justified"/>
    <w:basedOn w:val="Normal"/>
    <w:semiHidden/>
    <w:rsid w:val="001E5E7D"/>
    <w:pPr>
      <w:jc w:val="both"/>
    </w:pPr>
  </w:style>
  <w:style w:type="character" w:customStyle="1" w:styleId="Heading4Char">
    <w:name w:val="Heading 4 Char"/>
    <w:basedOn w:val="DefaultParagraphFont"/>
    <w:link w:val="Heading4"/>
    <w:uiPriority w:val="98"/>
    <w:semiHidden/>
    <w:rsid w:val="001E5E7D"/>
    <w:rPr>
      <w:rFonts w:asciiTheme="majorHAnsi" w:eastAsiaTheme="majorEastAsia" w:hAnsiTheme="majorHAnsi" w:cstheme="majorBidi"/>
      <w:b/>
      <w:bCs/>
      <w:i/>
      <w:iCs/>
      <w:color w:val="777777"/>
      <w:lang w:val="sq-AL"/>
    </w:rPr>
  </w:style>
  <w:style w:type="character" w:customStyle="1" w:styleId="Heading5Char">
    <w:name w:val="Heading 5 Char"/>
    <w:basedOn w:val="DefaultParagraphFont"/>
    <w:link w:val="Heading5"/>
    <w:uiPriority w:val="98"/>
    <w:semiHidden/>
    <w:rsid w:val="001E5E7D"/>
    <w:rPr>
      <w:rFonts w:asciiTheme="majorHAnsi" w:eastAsiaTheme="majorEastAsia" w:hAnsiTheme="majorHAnsi" w:cstheme="majorBidi"/>
      <w:b/>
      <w:bCs/>
      <w:color w:val="808080"/>
      <w:lang w:val="sq-AL"/>
    </w:rPr>
  </w:style>
  <w:style w:type="character" w:styleId="SubtleEmphasis">
    <w:name w:val="Subtle Emphasis"/>
    <w:uiPriority w:val="98"/>
    <w:semiHidden/>
    <w:qFormat/>
    <w:rsid w:val="001E5E7D"/>
    <w:rPr>
      <w:i/>
      <w:iCs/>
    </w:rPr>
  </w:style>
  <w:style w:type="table" w:customStyle="1" w:styleId="ECHRTable">
    <w:name w:val="ECHR_Table"/>
    <w:basedOn w:val="TableNormal"/>
    <w:rsid w:val="001E5E7D"/>
    <w:rPr>
      <w:rFonts w:eastAsia="Times New Roman" w:cs="Times New Roman"/>
      <w:sz w:val="20"/>
      <w:szCs w:val="20"/>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E5E7D"/>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1E5E7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E5E7D"/>
    <w:rPr>
      <w:rFonts w:asciiTheme="majorHAnsi" w:eastAsiaTheme="majorEastAsia" w:hAnsiTheme="majorHAnsi" w:cstheme="majorBidi"/>
      <w:i/>
      <w:iCs/>
      <w:spacing w:val="13"/>
      <w:sz w:val="24"/>
      <w:szCs w:val="24"/>
      <w:lang w:val="sq-AL" w:bidi="en-US"/>
    </w:rPr>
  </w:style>
  <w:style w:type="paragraph" w:customStyle="1" w:styleId="DecHCase">
    <w:name w:val="Dec_H_Case"/>
    <w:aliases w:val="_Title_3"/>
    <w:basedOn w:val="JuPara"/>
    <w:next w:val="JuPara"/>
    <w:uiPriority w:val="99"/>
    <w:qFormat/>
    <w:rsid w:val="001E5E7D"/>
    <w:pPr>
      <w:keepNext/>
      <w:keepLines/>
      <w:spacing w:after="280"/>
      <w:ind w:firstLine="0"/>
      <w:jc w:val="center"/>
    </w:pPr>
    <w:rPr>
      <w:rFonts w:asciiTheme="majorHAnsi" w:hAnsiTheme="majorHAnsi"/>
    </w:rPr>
  </w:style>
  <w:style w:type="character" w:styleId="Emphasis">
    <w:name w:val="Emphasis"/>
    <w:uiPriority w:val="98"/>
    <w:semiHidden/>
    <w:qFormat/>
    <w:rsid w:val="001E5E7D"/>
    <w:rPr>
      <w:b/>
      <w:bCs/>
      <w:i/>
      <w:iCs/>
      <w:spacing w:val="10"/>
      <w:bdr w:val="none" w:sz="0" w:space="0" w:color="auto"/>
      <w:shd w:val="clear" w:color="auto" w:fill="auto"/>
    </w:rPr>
  </w:style>
  <w:style w:type="paragraph" w:styleId="Footer0">
    <w:name w:val="footer"/>
    <w:basedOn w:val="Normal"/>
    <w:link w:val="FooterChar"/>
    <w:uiPriority w:val="98"/>
    <w:semiHidden/>
    <w:rsid w:val="001E5E7D"/>
    <w:pPr>
      <w:tabs>
        <w:tab w:val="center" w:pos="3686"/>
        <w:tab w:val="right" w:pos="7371"/>
      </w:tabs>
    </w:pPr>
  </w:style>
  <w:style w:type="character" w:customStyle="1" w:styleId="FooterChar">
    <w:name w:val="Footer Char"/>
    <w:basedOn w:val="DefaultParagraphFont"/>
    <w:link w:val="Footer0"/>
    <w:uiPriority w:val="98"/>
    <w:semiHidden/>
    <w:rsid w:val="001E5E7D"/>
    <w:rPr>
      <w:sz w:val="24"/>
      <w:szCs w:val="24"/>
      <w:lang w:val="sq-AL"/>
    </w:rPr>
  </w:style>
  <w:style w:type="character" w:styleId="FootnoteReference">
    <w:name w:val="footnote reference"/>
    <w:basedOn w:val="DefaultParagraphFont"/>
    <w:uiPriority w:val="98"/>
    <w:semiHidden/>
    <w:rsid w:val="001E5E7D"/>
    <w:rPr>
      <w:vertAlign w:val="superscript"/>
    </w:rPr>
  </w:style>
  <w:style w:type="paragraph" w:styleId="FootnoteText">
    <w:name w:val="footnote text"/>
    <w:basedOn w:val="NormalJustified"/>
    <w:link w:val="FootnoteTextChar"/>
    <w:uiPriority w:val="98"/>
    <w:semiHidden/>
    <w:rsid w:val="001E5E7D"/>
    <w:rPr>
      <w:sz w:val="20"/>
      <w:szCs w:val="20"/>
    </w:rPr>
  </w:style>
  <w:style w:type="character" w:customStyle="1" w:styleId="FootnoteTextChar">
    <w:name w:val="Footnote Text Char"/>
    <w:basedOn w:val="DefaultParagraphFont"/>
    <w:link w:val="FootnoteText"/>
    <w:uiPriority w:val="98"/>
    <w:semiHidden/>
    <w:rsid w:val="001E5E7D"/>
    <w:rPr>
      <w:sz w:val="20"/>
      <w:szCs w:val="20"/>
      <w:lang w:val="sq-AL"/>
    </w:rPr>
  </w:style>
  <w:style w:type="character" w:customStyle="1" w:styleId="Heading6Char">
    <w:name w:val="Heading 6 Char"/>
    <w:basedOn w:val="DefaultParagraphFont"/>
    <w:link w:val="Heading6"/>
    <w:uiPriority w:val="98"/>
    <w:semiHidden/>
    <w:rsid w:val="001E5E7D"/>
    <w:rPr>
      <w:rFonts w:asciiTheme="majorHAnsi" w:eastAsiaTheme="majorEastAsia" w:hAnsiTheme="majorHAnsi" w:cstheme="majorBidi"/>
      <w:b/>
      <w:bCs/>
      <w:i/>
      <w:iCs/>
      <w:color w:val="7F7F7F" w:themeColor="text1" w:themeTint="80"/>
      <w:lang w:val="sq-AL" w:bidi="en-US"/>
    </w:rPr>
  </w:style>
  <w:style w:type="character" w:customStyle="1" w:styleId="Heading7Char">
    <w:name w:val="Heading 7 Char"/>
    <w:basedOn w:val="DefaultParagraphFont"/>
    <w:link w:val="Heading7"/>
    <w:uiPriority w:val="98"/>
    <w:semiHidden/>
    <w:rsid w:val="001E5E7D"/>
    <w:rPr>
      <w:rFonts w:asciiTheme="majorHAnsi" w:eastAsiaTheme="majorEastAsia" w:hAnsiTheme="majorHAnsi" w:cstheme="majorBidi"/>
      <w:i/>
      <w:iCs/>
      <w:lang w:val="sq-AL" w:bidi="en-US"/>
    </w:rPr>
  </w:style>
  <w:style w:type="character" w:customStyle="1" w:styleId="Heading8Char">
    <w:name w:val="Heading 8 Char"/>
    <w:basedOn w:val="DefaultParagraphFont"/>
    <w:link w:val="Heading8"/>
    <w:uiPriority w:val="98"/>
    <w:semiHidden/>
    <w:rsid w:val="001E5E7D"/>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1E5E7D"/>
    <w:rPr>
      <w:rFonts w:asciiTheme="majorHAnsi" w:eastAsiaTheme="majorEastAsia" w:hAnsiTheme="majorHAnsi" w:cstheme="majorBidi"/>
      <w:i/>
      <w:iCs/>
      <w:spacing w:val="5"/>
      <w:sz w:val="20"/>
      <w:szCs w:val="20"/>
      <w:lang w:val="sq-AL" w:bidi="en-US"/>
    </w:rPr>
  </w:style>
  <w:style w:type="character" w:styleId="IntenseEmphasis">
    <w:name w:val="Intense Emphasis"/>
    <w:uiPriority w:val="98"/>
    <w:semiHidden/>
    <w:qFormat/>
    <w:rsid w:val="001E5E7D"/>
    <w:rPr>
      <w:b/>
      <w:bCs/>
    </w:rPr>
  </w:style>
  <w:style w:type="paragraph" w:styleId="IntenseQuote">
    <w:name w:val="Intense Quote"/>
    <w:basedOn w:val="Normal"/>
    <w:next w:val="Normal"/>
    <w:link w:val="IntenseQuoteChar"/>
    <w:uiPriority w:val="98"/>
    <w:semiHidden/>
    <w:qFormat/>
    <w:rsid w:val="001E5E7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E5E7D"/>
    <w:rPr>
      <w:b/>
      <w:bCs/>
      <w:i/>
      <w:iCs/>
      <w:sz w:val="24"/>
      <w:szCs w:val="24"/>
      <w:lang w:val="sq-AL" w:bidi="en-US"/>
    </w:rPr>
  </w:style>
  <w:style w:type="character" w:styleId="IntenseReference">
    <w:name w:val="Intense Reference"/>
    <w:uiPriority w:val="98"/>
    <w:semiHidden/>
    <w:qFormat/>
    <w:rsid w:val="001E5E7D"/>
    <w:rPr>
      <w:smallCaps/>
      <w:spacing w:val="5"/>
      <w:u w:val="single"/>
    </w:rPr>
  </w:style>
  <w:style w:type="paragraph" w:styleId="ListParagraph">
    <w:name w:val="List Paragraph"/>
    <w:basedOn w:val="Normal"/>
    <w:uiPriority w:val="98"/>
    <w:semiHidden/>
    <w:qFormat/>
    <w:rsid w:val="001E5E7D"/>
    <w:pPr>
      <w:ind w:left="720"/>
      <w:contextualSpacing/>
    </w:pPr>
  </w:style>
  <w:style w:type="table" w:customStyle="1" w:styleId="LtrTableAddress">
    <w:name w:val="Ltr_Table_Address"/>
    <w:aliases w:val="ECHR_Ltr_Table_Address"/>
    <w:basedOn w:val="TableNormal"/>
    <w:uiPriority w:val="99"/>
    <w:rsid w:val="001E5E7D"/>
    <w:rPr>
      <w:sz w:val="24"/>
      <w:szCs w:val="24"/>
    </w:rPr>
    <w:tblPr>
      <w:tblInd w:w="5103" w:type="dxa"/>
    </w:tblPr>
  </w:style>
  <w:style w:type="paragraph" w:styleId="Quote">
    <w:name w:val="Quote"/>
    <w:basedOn w:val="Normal"/>
    <w:next w:val="Normal"/>
    <w:link w:val="QuoteChar"/>
    <w:uiPriority w:val="98"/>
    <w:semiHidden/>
    <w:qFormat/>
    <w:rsid w:val="001E5E7D"/>
    <w:pPr>
      <w:spacing w:before="200"/>
      <w:ind w:left="360" w:right="360"/>
    </w:pPr>
    <w:rPr>
      <w:i/>
      <w:iCs/>
      <w:lang w:bidi="en-US"/>
    </w:rPr>
  </w:style>
  <w:style w:type="character" w:customStyle="1" w:styleId="QuoteChar">
    <w:name w:val="Quote Char"/>
    <w:basedOn w:val="DefaultParagraphFont"/>
    <w:link w:val="Quote"/>
    <w:uiPriority w:val="98"/>
    <w:semiHidden/>
    <w:rsid w:val="001E5E7D"/>
    <w:rPr>
      <w:i/>
      <w:iCs/>
      <w:sz w:val="24"/>
      <w:szCs w:val="24"/>
      <w:lang w:val="sq-AL" w:bidi="en-US"/>
    </w:rPr>
  </w:style>
  <w:style w:type="character" w:styleId="SubtleReference">
    <w:name w:val="Subtle Reference"/>
    <w:uiPriority w:val="98"/>
    <w:semiHidden/>
    <w:qFormat/>
    <w:rsid w:val="001E5E7D"/>
    <w:rPr>
      <w:smallCaps/>
    </w:rPr>
  </w:style>
  <w:style w:type="table" w:styleId="TableGrid">
    <w:name w:val="Table Grid"/>
    <w:basedOn w:val="TableNormal"/>
    <w:uiPriority w:val="59"/>
    <w:semiHidden/>
    <w:rsid w:val="001E5E7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E5E7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E5E7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E5E7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E5E7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E5E7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E5E7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1E5E7D"/>
    <w:rPr>
      <w:rFonts w:eastAsiaTheme="minorEastAsia"/>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E5E7D"/>
    <w:rPr>
      <w:rFonts w:eastAsiaTheme="minorEastAsia"/>
      <w:sz w:val="24"/>
      <w:szCs w:val="24"/>
      <w:lang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E5E7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E5E7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1E5E7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E5E7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E5E7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1E5E7D"/>
    <w:pPr>
      <w:numPr>
        <w:numId w:val="1"/>
      </w:numPr>
    </w:pPr>
  </w:style>
  <w:style w:type="numbering" w:styleId="1ai">
    <w:name w:val="Outline List 1"/>
    <w:basedOn w:val="NoList"/>
    <w:uiPriority w:val="99"/>
    <w:semiHidden/>
    <w:unhideWhenUsed/>
    <w:rsid w:val="001E5E7D"/>
    <w:pPr>
      <w:numPr>
        <w:numId w:val="2"/>
      </w:numPr>
    </w:pPr>
  </w:style>
  <w:style w:type="paragraph" w:styleId="Bibliography">
    <w:name w:val="Bibliography"/>
    <w:basedOn w:val="Normal"/>
    <w:next w:val="Normal"/>
    <w:uiPriority w:val="98"/>
    <w:semiHidden/>
    <w:rsid w:val="001E5E7D"/>
  </w:style>
  <w:style w:type="paragraph" w:customStyle="1" w:styleId="JuPara">
    <w:name w:val="Ju_Para"/>
    <w:aliases w:val="_Para"/>
    <w:basedOn w:val="NormalJustified"/>
    <w:link w:val="JuParaChar"/>
    <w:uiPriority w:val="99"/>
    <w:qFormat/>
    <w:rsid w:val="001E5E7D"/>
    <w:pPr>
      <w:ind w:firstLine="284"/>
    </w:pPr>
  </w:style>
  <w:style w:type="paragraph" w:styleId="BlockText">
    <w:name w:val="Block Text"/>
    <w:basedOn w:val="Normal"/>
    <w:uiPriority w:val="98"/>
    <w:semiHidden/>
    <w:rsid w:val="001E5E7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1E5E7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1E5E7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1E5E7D"/>
    <w:pPr>
      <w:spacing w:after="120"/>
    </w:pPr>
  </w:style>
  <w:style w:type="table" w:customStyle="1" w:styleId="ECHRTableForInternalUse">
    <w:name w:val="ECHR_Table_For_Internal_Use"/>
    <w:basedOn w:val="TableNormal"/>
    <w:uiPriority w:val="99"/>
    <w:rsid w:val="001E5E7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1E5E7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1E5E7D"/>
    <w:rPr>
      <w:sz w:val="24"/>
      <w:szCs w:val="24"/>
      <w:lang w:val="sq-AL"/>
    </w:rPr>
  </w:style>
  <w:style w:type="paragraph" w:styleId="BodyText2">
    <w:name w:val="Body Text 2"/>
    <w:basedOn w:val="Normal"/>
    <w:link w:val="BodyText2Char"/>
    <w:uiPriority w:val="98"/>
    <w:semiHidden/>
    <w:rsid w:val="001E5E7D"/>
    <w:pPr>
      <w:spacing w:after="120" w:line="480" w:lineRule="auto"/>
    </w:pPr>
  </w:style>
  <w:style w:type="table" w:customStyle="1" w:styleId="ECHRHeaderTable">
    <w:name w:val="ECHR_Header_Table"/>
    <w:basedOn w:val="TableNormal"/>
    <w:uiPriority w:val="99"/>
    <w:rsid w:val="001E5E7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1E5E7D"/>
    <w:rPr>
      <w:sz w:val="24"/>
      <w:szCs w:val="24"/>
      <w:lang w:val="sq-AL"/>
    </w:rPr>
  </w:style>
  <w:style w:type="paragraph" w:styleId="BodyText3">
    <w:name w:val="Body Text 3"/>
    <w:basedOn w:val="Normal"/>
    <w:link w:val="BodyText3Char"/>
    <w:uiPriority w:val="98"/>
    <w:semiHidden/>
    <w:rsid w:val="001E5E7D"/>
    <w:pPr>
      <w:spacing w:after="120"/>
    </w:pPr>
    <w:rPr>
      <w:sz w:val="16"/>
      <w:szCs w:val="16"/>
    </w:rPr>
  </w:style>
  <w:style w:type="table" w:customStyle="1" w:styleId="ECHRTableOddBanded">
    <w:name w:val="ECHR_Table_Odd_Banded"/>
    <w:basedOn w:val="TableNormal"/>
    <w:uiPriority w:val="99"/>
    <w:rsid w:val="001E5E7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99"/>
    <w:qFormat/>
    <w:rsid w:val="001E5E7D"/>
    <w:pPr>
      <w:tabs>
        <w:tab w:val="left" w:pos="567"/>
        <w:tab w:val="left" w:pos="1134"/>
      </w:tabs>
    </w:pPr>
  </w:style>
  <w:style w:type="table" w:customStyle="1" w:styleId="ECHRHeaderTableReduced">
    <w:name w:val="ECHR_Header_Table_Reduced"/>
    <w:basedOn w:val="TableNormal"/>
    <w:uiPriority w:val="99"/>
    <w:rsid w:val="001E5E7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1E5E7D"/>
    <w:rPr>
      <w:sz w:val="16"/>
      <w:szCs w:val="16"/>
      <w:lang w:val="sq-AL"/>
    </w:rPr>
  </w:style>
  <w:style w:type="paragraph" w:styleId="BodyTextFirstIndent">
    <w:name w:val="Body Text First Indent"/>
    <w:basedOn w:val="BodyText"/>
    <w:link w:val="BodyTextFirstIndentChar"/>
    <w:uiPriority w:val="98"/>
    <w:semiHidden/>
    <w:rsid w:val="001E5E7D"/>
    <w:pPr>
      <w:spacing w:after="0"/>
      <w:ind w:firstLine="360"/>
    </w:pPr>
  </w:style>
  <w:style w:type="character" w:customStyle="1" w:styleId="BodyTextFirstIndentChar">
    <w:name w:val="Body Text First Indent Char"/>
    <w:basedOn w:val="BodyTextChar"/>
    <w:link w:val="BodyTextFirstIndent"/>
    <w:uiPriority w:val="98"/>
    <w:semiHidden/>
    <w:rsid w:val="001E5E7D"/>
    <w:rPr>
      <w:sz w:val="24"/>
      <w:szCs w:val="24"/>
      <w:lang w:val="sq-AL"/>
    </w:rPr>
  </w:style>
  <w:style w:type="character" w:styleId="PlaceholderText">
    <w:name w:val="Placeholder Text"/>
    <w:basedOn w:val="DefaultParagraphFont"/>
    <w:uiPriority w:val="98"/>
    <w:semiHidden/>
    <w:rsid w:val="001E5E7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99"/>
    <w:qFormat/>
    <w:rsid w:val="001E5E7D"/>
    <w:pPr>
      <w:tabs>
        <w:tab w:val="center" w:pos="1418"/>
        <w:tab w:val="center" w:pos="5954"/>
      </w:tabs>
      <w:spacing w:before="720"/>
    </w:pPr>
  </w:style>
  <w:style w:type="character" w:styleId="PageNumber">
    <w:name w:val="page number"/>
    <w:uiPriority w:val="98"/>
    <w:semiHidden/>
    <w:rsid w:val="001E5E7D"/>
    <w:rPr>
      <w:sz w:val="18"/>
    </w:rPr>
  </w:style>
  <w:style w:type="character" w:styleId="CommentReference">
    <w:name w:val="annotation reference"/>
    <w:basedOn w:val="DefaultParagraphFont"/>
    <w:uiPriority w:val="98"/>
    <w:semiHidden/>
    <w:rsid w:val="001E5E7D"/>
    <w:rPr>
      <w:sz w:val="16"/>
      <w:szCs w:val="16"/>
    </w:rPr>
  </w:style>
  <w:style w:type="paragraph" w:styleId="CommentText">
    <w:name w:val="annotation text"/>
    <w:basedOn w:val="Normal"/>
    <w:link w:val="CommentTextChar"/>
    <w:uiPriority w:val="98"/>
    <w:semiHidden/>
    <w:rsid w:val="001E5E7D"/>
    <w:rPr>
      <w:sz w:val="20"/>
      <w:szCs w:val="20"/>
    </w:rPr>
  </w:style>
  <w:style w:type="character" w:customStyle="1" w:styleId="CommentTextChar">
    <w:name w:val="Comment Text Char"/>
    <w:basedOn w:val="DefaultParagraphFont"/>
    <w:link w:val="CommentText"/>
    <w:uiPriority w:val="98"/>
    <w:semiHidden/>
    <w:rsid w:val="001E5E7D"/>
    <w:rPr>
      <w:sz w:val="20"/>
      <w:szCs w:val="20"/>
      <w:lang w:val="sq-AL"/>
    </w:rPr>
  </w:style>
  <w:style w:type="paragraph" w:customStyle="1" w:styleId="DecHTitle">
    <w:name w:val="Dec_H_Title"/>
    <w:aliases w:val="_Title_1"/>
    <w:basedOn w:val="JuPara"/>
    <w:next w:val="JuPara"/>
    <w:uiPriority w:val="99"/>
    <w:qFormat/>
    <w:rsid w:val="001E5E7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99"/>
    <w:qFormat/>
    <w:rsid w:val="001E5E7D"/>
    <w:pPr>
      <w:keepNext/>
      <w:keepLines/>
      <w:spacing w:before="240" w:after="240"/>
      <w:ind w:firstLine="284"/>
    </w:pPr>
  </w:style>
  <w:style w:type="numbering" w:styleId="ArticleSection">
    <w:name w:val="Outline List 3"/>
    <w:basedOn w:val="NoList"/>
    <w:uiPriority w:val="99"/>
    <w:semiHidden/>
    <w:unhideWhenUsed/>
    <w:rsid w:val="001E5E7D"/>
    <w:pPr>
      <w:numPr>
        <w:numId w:val="3"/>
      </w:numPr>
    </w:pPr>
  </w:style>
  <w:style w:type="paragraph" w:styleId="ListBullet">
    <w:name w:val="List Bullet"/>
    <w:basedOn w:val="Normal"/>
    <w:uiPriority w:val="98"/>
    <w:semiHidden/>
    <w:rsid w:val="001E5E7D"/>
    <w:pPr>
      <w:numPr>
        <w:numId w:val="4"/>
      </w:numPr>
    </w:pPr>
  </w:style>
  <w:style w:type="character" w:customStyle="1" w:styleId="JuParaChar">
    <w:name w:val="Ju_Para Char"/>
    <w:aliases w:val="_Para Char"/>
    <w:basedOn w:val="DefaultParagraphFont"/>
    <w:link w:val="JuPara"/>
    <w:uiPriority w:val="4"/>
    <w:rsid w:val="00787E12"/>
    <w:rPr>
      <w:sz w:val="24"/>
      <w:szCs w:val="24"/>
      <w:lang w:val="sq-AL"/>
    </w:rPr>
  </w:style>
  <w:style w:type="paragraph" w:customStyle="1" w:styleId="JuCase">
    <w:name w:val="Ju_Case"/>
    <w:aliases w:val="_Case_Name"/>
    <w:basedOn w:val="NormalJustified"/>
    <w:next w:val="JuPara"/>
    <w:uiPriority w:val="99"/>
    <w:rsid w:val="001E5E7D"/>
    <w:pPr>
      <w:ind w:firstLine="284"/>
    </w:pPr>
    <w:rPr>
      <w:b/>
    </w:rPr>
  </w:style>
  <w:style w:type="paragraph" w:styleId="BodyTextIndent">
    <w:name w:val="Body Text Indent"/>
    <w:basedOn w:val="Normal"/>
    <w:link w:val="BodyTextIndentChar"/>
    <w:uiPriority w:val="98"/>
    <w:semiHidden/>
    <w:rsid w:val="001E5E7D"/>
    <w:pPr>
      <w:spacing w:after="120"/>
      <w:ind w:left="283"/>
    </w:pPr>
  </w:style>
  <w:style w:type="character" w:customStyle="1" w:styleId="BodyTextIndentChar">
    <w:name w:val="Body Text Indent Char"/>
    <w:basedOn w:val="DefaultParagraphFont"/>
    <w:link w:val="BodyTextIndent"/>
    <w:uiPriority w:val="98"/>
    <w:semiHidden/>
    <w:rsid w:val="001E5E7D"/>
    <w:rPr>
      <w:sz w:val="24"/>
      <w:szCs w:val="24"/>
      <w:lang w:val="sq-AL"/>
    </w:rPr>
  </w:style>
  <w:style w:type="paragraph" w:styleId="BodyTextFirstIndent2">
    <w:name w:val="Body Text First Indent 2"/>
    <w:basedOn w:val="BodyTextIndent"/>
    <w:link w:val="BodyTextFirstIndent2Char"/>
    <w:uiPriority w:val="98"/>
    <w:semiHidden/>
    <w:rsid w:val="001E5E7D"/>
    <w:pPr>
      <w:spacing w:after="0"/>
      <w:ind w:left="360" w:firstLine="360"/>
    </w:pPr>
  </w:style>
  <w:style w:type="character" w:customStyle="1" w:styleId="BodyTextFirstIndent2Char">
    <w:name w:val="Body Text First Indent 2 Char"/>
    <w:basedOn w:val="BodyTextIndentChar"/>
    <w:link w:val="BodyTextFirstIndent2"/>
    <w:uiPriority w:val="98"/>
    <w:semiHidden/>
    <w:rsid w:val="001E5E7D"/>
    <w:rPr>
      <w:sz w:val="24"/>
      <w:szCs w:val="24"/>
      <w:lang w:val="sq-AL"/>
    </w:rPr>
  </w:style>
  <w:style w:type="paragraph" w:styleId="BodyTextIndent2">
    <w:name w:val="Body Text Indent 2"/>
    <w:basedOn w:val="Normal"/>
    <w:link w:val="BodyTextIndent2Char"/>
    <w:uiPriority w:val="98"/>
    <w:semiHidden/>
    <w:rsid w:val="001E5E7D"/>
    <w:pPr>
      <w:spacing w:after="120" w:line="480" w:lineRule="auto"/>
      <w:ind w:left="283"/>
    </w:pPr>
  </w:style>
  <w:style w:type="character" w:customStyle="1" w:styleId="BodyTextIndent2Char">
    <w:name w:val="Body Text Indent 2 Char"/>
    <w:basedOn w:val="DefaultParagraphFont"/>
    <w:link w:val="BodyTextIndent2"/>
    <w:uiPriority w:val="98"/>
    <w:semiHidden/>
    <w:rsid w:val="001E5E7D"/>
    <w:rPr>
      <w:sz w:val="24"/>
      <w:szCs w:val="24"/>
      <w:lang w:val="sq-AL"/>
    </w:rPr>
  </w:style>
  <w:style w:type="paragraph" w:styleId="BodyTextIndent3">
    <w:name w:val="Body Text Indent 3"/>
    <w:basedOn w:val="Normal"/>
    <w:link w:val="BodyTextIndent3Char"/>
    <w:uiPriority w:val="98"/>
    <w:semiHidden/>
    <w:rsid w:val="001E5E7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E5E7D"/>
    <w:rPr>
      <w:sz w:val="16"/>
      <w:szCs w:val="16"/>
      <w:lang w:val="sq-AL"/>
    </w:rPr>
  </w:style>
  <w:style w:type="paragraph" w:styleId="Caption">
    <w:name w:val="caption"/>
    <w:basedOn w:val="Normal"/>
    <w:next w:val="Normal"/>
    <w:uiPriority w:val="98"/>
    <w:semiHidden/>
    <w:qFormat/>
    <w:rsid w:val="001E5E7D"/>
    <w:pPr>
      <w:spacing w:after="200"/>
    </w:pPr>
    <w:rPr>
      <w:b/>
      <w:bCs/>
      <w:color w:val="0072BC" w:themeColor="accent1"/>
      <w:sz w:val="18"/>
      <w:szCs w:val="18"/>
    </w:rPr>
  </w:style>
  <w:style w:type="paragraph" w:styleId="Closing">
    <w:name w:val="Closing"/>
    <w:basedOn w:val="Normal"/>
    <w:link w:val="ClosingChar"/>
    <w:uiPriority w:val="98"/>
    <w:semiHidden/>
    <w:rsid w:val="001E5E7D"/>
    <w:pPr>
      <w:ind w:left="4252"/>
    </w:pPr>
  </w:style>
  <w:style w:type="character" w:customStyle="1" w:styleId="ClosingChar">
    <w:name w:val="Closing Char"/>
    <w:basedOn w:val="DefaultParagraphFont"/>
    <w:link w:val="Closing"/>
    <w:uiPriority w:val="98"/>
    <w:semiHidden/>
    <w:rsid w:val="001E5E7D"/>
    <w:rPr>
      <w:sz w:val="24"/>
      <w:szCs w:val="24"/>
      <w:lang w:val="sq-AL"/>
    </w:rPr>
  </w:style>
  <w:style w:type="table" w:styleId="ColorfulGrid">
    <w:name w:val="Colorful Grid"/>
    <w:basedOn w:val="TableNormal"/>
    <w:uiPriority w:val="73"/>
    <w:semiHidden/>
    <w:rsid w:val="001E5E7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E5E7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E5E7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E5E7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1E5E7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E5E7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E5E7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E5E7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E5E7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E5E7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E5E7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1E5E7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E5E7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E5E7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E5E7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E5E7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E5E7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E5E7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1E5E7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E5E7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E5E7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E5E7D"/>
    <w:rPr>
      <w:b/>
      <w:bCs/>
    </w:rPr>
  </w:style>
  <w:style w:type="character" w:customStyle="1" w:styleId="CommentSubjectChar">
    <w:name w:val="Comment Subject Char"/>
    <w:basedOn w:val="CommentTextChar"/>
    <w:link w:val="CommentSubject"/>
    <w:uiPriority w:val="98"/>
    <w:semiHidden/>
    <w:rsid w:val="001E5E7D"/>
    <w:rPr>
      <w:b/>
      <w:bCs/>
      <w:sz w:val="20"/>
      <w:szCs w:val="20"/>
      <w:lang w:val="sq-AL"/>
    </w:rPr>
  </w:style>
  <w:style w:type="table" w:styleId="DarkList">
    <w:name w:val="Dark List"/>
    <w:basedOn w:val="TableNormal"/>
    <w:uiPriority w:val="70"/>
    <w:semiHidden/>
    <w:rsid w:val="001E5E7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E5E7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E5E7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E5E7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1E5E7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E5E7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E5E7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E5E7D"/>
  </w:style>
  <w:style w:type="character" w:customStyle="1" w:styleId="DateChar">
    <w:name w:val="Date Char"/>
    <w:basedOn w:val="DefaultParagraphFont"/>
    <w:link w:val="Date"/>
    <w:uiPriority w:val="98"/>
    <w:semiHidden/>
    <w:rsid w:val="001E5E7D"/>
    <w:rPr>
      <w:sz w:val="24"/>
      <w:szCs w:val="24"/>
      <w:lang w:val="sq-AL"/>
    </w:rPr>
  </w:style>
  <w:style w:type="paragraph" w:styleId="DocumentMap">
    <w:name w:val="Document Map"/>
    <w:basedOn w:val="Normal"/>
    <w:link w:val="DocumentMapChar"/>
    <w:uiPriority w:val="98"/>
    <w:semiHidden/>
    <w:rsid w:val="001E5E7D"/>
    <w:rPr>
      <w:rFonts w:ascii="Tahoma" w:hAnsi="Tahoma" w:cs="Tahoma"/>
      <w:sz w:val="16"/>
      <w:szCs w:val="16"/>
    </w:rPr>
  </w:style>
  <w:style w:type="character" w:customStyle="1" w:styleId="DocumentMapChar">
    <w:name w:val="Document Map Char"/>
    <w:basedOn w:val="DefaultParagraphFont"/>
    <w:link w:val="DocumentMap"/>
    <w:uiPriority w:val="98"/>
    <w:semiHidden/>
    <w:rsid w:val="001E5E7D"/>
    <w:rPr>
      <w:rFonts w:ascii="Tahoma" w:hAnsi="Tahoma" w:cs="Tahoma"/>
      <w:sz w:val="16"/>
      <w:szCs w:val="16"/>
      <w:lang w:val="sq-AL"/>
    </w:rPr>
  </w:style>
  <w:style w:type="paragraph" w:styleId="E-mailSignature">
    <w:name w:val="E-mail Signature"/>
    <w:basedOn w:val="Normal"/>
    <w:link w:val="E-mailSignatureChar"/>
    <w:uiPriority w:val="98"/>
    <w:semiHidden/>
    <w:rsid w:val="001E5E7D"/>
  </w:style>
  <w:style w:type="character" w:customStyle="1" w:styleId="E-mailSignatureChar">
    <w:name w:val="E-mail Signature Char"/>
    <w:basedOn w:val="DefaultParagraphFont"/>
    <w:link w:val="E-mailSignature"/>
    <w:uiPriority w:val="98"/>
    <w:semiHidden/>
    <w:rsid w:val="001E5E7D"/>
    <w:rPr>
      <w:sz w:val="24"/>
      <w:szCs w:val="24"/>
      <w:lang w:val="sq-AL"/>
    </w:rPr>
  </w:style>
  <w:style w:type="character" w:styleId="EndnoteReference">
    <w:name w:val="endnote reference"/>
    <w:basedOn w:val="DefaultParagraphFont"/>
    <w:uiPriority w:val="98"/>
    <w:semiHidden/>
    <w:rsid w:val="001E5E7D"/>
    <w:rPr>
      <w:vertAlign w:val="superscript"/>
    </w:rPr>
  </w:style>
  <w:style w:type="paragraph" w:styleId="EndnoteText">
    <w:name w:val="endnote text"/>
    <w:basedOn w:val="Normal"/>
    <w:link w:val="EndnoteTextChar"/>
    <w:uiPriority w:val="98"/>
    <w:semiHidden/>
    <w:rsid w:val="001E5E7D"/>
    <w:rPr>
      <w:sz w:val="20"/>
      <w:szCs w:val="20"/>
    </w:rPr>
  </w:style>
  <w:style w:type="character" w:customStyle="1" w:styleId="EndnoteTextChar">
    <w:name w:val="Endnote Text Char"/>
    <w:basedOn w:val="DefaultParagraphFont"/>
    <w:link w:val="EndnoteText"/>
    <w:uiPriority w:val="98"/>
    <w:semiHidden/>
    <w:rsid w:val="001E5E7D"/>
    <w:rPr>
      <w:sz w:val="20"/>
      <w:szCs w:val="20"/>
      <w:lang w:val="sq-AL"/>
    </w:rPr>
  </w:style>
  <w:style w:type="paragraph" w:styleId="EnvelopeAddress">
    <w:name w:val="envelope address"/>
    <w:basedOn w:val="Normal"/>
    <w:uiPriority w:val="98"/>
    <w:semiHidden/>
    <w:rsid w:val="001E5E7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E5E7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E5E7D"/>
    <w:rPr>
      <w:color w:val="7030A0" w:themeColor="followedHyperlink"/>
      <w:u w:val="single"/>
    </w:rPr>
  </w:style>
  <w:style w:type="character" w:styleId="HTMLAcronym">
    <w:name w:val="HTML Acronym"/>
    <w:basedOn w:val="DefaultParagraphFont"/>
    <w:uiPriority w:val="98"/>
    <w:semiHidden/>
    <w:rsid w:val="001E5E7D"/>
  </w:style>
  <w:style w:type="paragraph" w:styleId="HTMLAddress">
    <w:name w:val="HTML Address"/>
    <w:basedOn w:val="Normal"/>
    <w:link w:val="HTMLAddressChar"/>
    <w:uiPriority w:val="98"/>
    <w:semiHidden/>
    <w:rsid w:val="001E5E7D"/>
    <w:rPr>
      <w:i/>
      <w:iCs/>
    </w:rPr>
  </w:style>
  <w:style w:type="character" w:customStyle="1" w:styleId="HTMLAddressChar">
    <w:name w:val="HTML Address Char"/>
    <w:basedOn w:val="DefaultParagraphFont"/>
    <w:link w:val="HTMLAddress"/>
    <w:uiPriority w:val="98"/>
    <w:semiHidden/>
    <w:rsid w:val="001E5E7D"/>
    <w:rPr>
      <w:i/>
      <w:iCs/>
      <w:sz w:val="24"/>
      <w:szCs w:val="24"/>
      <w:lang w:val="sq-AL"/>
    </w:rPr>
  </w:style>
  <w:style w:type="character" w:styleId="HTMLCite">
    <w:name w:val="HTML Cite"/>
    <w:basedOn w:val="DefaultParagraphFont"/>
    <w:uiPriority w:val="98"/>
    <w:semiHidden/>
    <w:rsid w:val="001E5E7D"/>
    <w:rPr>
      <w:i/>
      <w:iCs/>
    </w:rPr>
  </w:style>
  <w:style w:type="character" w:styleId="HTMLCode">
    <w:name w:val="HTML Code"/>
    <w:basedOn w:val="DefaultParagraphFont"/>
    <w:uiPriority w:val="98"/>
    <w:semiHidden/>
    <w:rsid w:val="001E5E7D"/>
    <w:rPr>
      <w:rFonts w:ascii="Consolas" w:hAnsi="Consolas" w:cs="Consolas"/>
      <w:sz w:val="20"/>
      <w:szCs w:val="20"/>
    </w:rPr>
  </w:style>
  <w:style w:type="character" w:styleId="HTMLDefinition">
    <w:name w:val="HTML Definition"/>
    <w:basedOn w:val="DefaultParagraphFont"/>
    <w:uiPriority w:val="98"/>
    <w:semiHidden/>
    <w:rsid w:val="001E5E7D"/>
    <w:rPr>
      <w:i/>
      <w:iCs/>
    </w:rPr>
  </w:style>
  <w:style w:type="character" w:styleId="HTMLKeyboard">
    <w:name w:val="HTML Keyboard"/>
    <w:basedOn w:val="DefaultParagraphFont"/>
    <w:uiPriority w:val="98"/>
    <w:semiHidden/>
    <w:rsid w:val="001E5E7D"/>
    <w:rPr>
      <w:rFonts w:ascii="Consolas" w:hAnsi="Consolas" w:cs="Consolas"/>
      <w:sz w:val="20"/>
      <w:szCs w:val="20"/>
    </w:rPr>
  </w:style>
  <w:style w:type="paragraph" w:styleId="HTMLPreformatted">
    <w:name w:val="HTML Preformatted"/>
    <w:basedOn w:val="Normal"/>
    <w:link w:val="HTMLPreformattedChar"/>
    <w:uiPriority w:val="98"/>
    <w:semiHidden/>
    <w:rsid w:val="001E5E7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E5E7D"/>
    <w:rPr>
      <w:rFonts w:ascii="Consolas" w:hAnsi="Consolas" w:cs="Consolas"/>
      <w:sz w:val="20"/>
      <w:szCs w:val="20"/>
      <w:lang w:val="sq-AL"/>
    </w:rPr>
  </w:style>
  <w:style w:type="character" w:styleId="HTMLSample">
    <w:name w:val="HTML Sample"/>
    <w:basedOn w:val="DefaultParagraphFont"/>
    <w:uiPriority w:val="98"/>
    <w:semiHidden/>
    <w:rsid w:val="001E5E7D"/>
    <w:rPr>
      <w:rFonts w:ascii="Consolas" w:hAnsi="Consolas" w:cs="Consolas"/>
      <w:sz w:val="24"/>
      <w:szCs w:val="24"/>
    </w:rPr>
  </w:style>
  <w:style w:type="character" w:styleId="HTMLTypewriter">
    <w:name w:val="HTML Typewriter"/>
    <w:basedOn w:val="DefaultParagraphFont"/>
    <w:uiPriority w:val="98"/>
    <w:semiHidden/>
    <w:rsid w:val="001E5E7D"/>
    <w:rPr>
      <w:rFonts w:ascii="Consolas" w:hAnsi="Consolas" w:cs="Consolas"/>
      <w:sz w:val="20"/>
      <w:szCs w:val="20"/>
    </w:rPr>
  </w:style>
  <w:style w:type="character" w:styleId="HTMLVariable">
    <w:name w:val="HTML Variable"/>
    <w:basedOn w:val="DefaultParagraphFont"/>
    <w:uiPriority w:val="98"/>
    <w:semiHidden/>
    <w:rsid w:val="001E5E7D"/>
    <w:rPr>
      <w:i/>
      <w:iCs/>
    </w:rPr>
  </w:style>
  <w:style w:type="paragraph" w:styleId="Index1">
    <w:name w:val="index 1"/>
    <w:basedOn w:val="Normal"/>
    <w:next w:val="Normal"/>
    <w:autoRedefine/>
    <w:uiPriority w:val="98"/>
    <w:semiHidden/>
    <w:rsid w:val="001E5E7D"/>
    <w:pPr>
      <w:ind w:left="240" w:hanging="240"/>
    </w:pPr>
  </w:style>
  <w:style w:type="paragraph" w:styleId="Index2">
    <w:name w:val="index 2"/>
    <w:basedOn w:val="Normal"/>
    <w:next w:val="Normal"/>
    <w:autoRedefine/>
    <w:uiPriority w:val="98"/>
    <w:semiHidden/>
    <w:rsid w:val="001E5E7D"/>
    <w:pPr>
      <w:ind w:left="480" w:hanging="240"/>
    </w:pPr>
  </w:style>
  <w:style w:type="paragraph" w:styleId="Index3">
    <w:name w:val="index 3"/>
    <w:basedOn w:val="Normal"/>
    <w:next w:val="Normal"/>
    <w:autoRedefine/>
    <w:uiPriority w:val="98"/>
    <w:semiHidden/>
    <w:rsid w:val="001E5E7D"/>
    <w:pPr>
      <w:ind w:left="720" w:hanging="240"/>
    </w:pPr>
  </w:style>
  <w:style w:type="paragraph" w:styleId="Index4">
    <w:name w:val="index 4"/>
    <w:basedOn w:val="Normal"/>
    <w:next w:val="Normal"/>
    <w:autoRedefine/>
    <w:uiPriority w:val="98"/>
    <w:semiHidden/>
    <w:rsid w:val="001E5E7D"/>
    <w:pPr>
      <w:ind w:left="960" w:hanging="240"/>
    </w:pPr>
  </w:style>
  <w:style w:type="paragraph" w:styleId="Index5">
    <w:name w:val="index 5"/>
    <w:basedOn w:val="Normal"/>
    <w:next w:val="Normal"/>
    <w:autoRedefine/>
    <w:uiPriority w:val="98"/>
    <w:semiHidden/>
    <w:rsid w:val="001E5E7D"/>
    <w:pPr>
      <w:ind w:left="1200" w:hanging="240"/>
    </w:pPr>
  </w:style>
  <w:style w:type="paragraph" w:styleId="Index6">
    <w:name w:val="index 6"/>
    <w:basedOn w:val="Normal"/>
    <w:next w:val="Normal"/>
    <w:autoRedefine/>
    <w:uiPriority w:val="98"/>
    <w:semiHidden/>
    <w:rsid w:val="001E5E7D"/>
    <w:pPr>
      <w:ind w:left="1440" w:hanging="240"/>
    </w:pPr>
  </w:style>
  <w:style w:type="paragraph" w:styleId="Index7">
    <w:name w:val="index 7"/>
    <w:basedOn w:val="Normal"/>
    <w:next w:val="Normal"/>
    <w:autoRedefine/>
    <w:uiPriority w:val="98"/>
    <w:semiHidden/>
    <w:rsid w:val="001E5E7D"/>
    <w:pPr>
      <w:ind w:left="1680" w:hanging="240"/>
    </w:pPr>
  </w:style>
  <w:style w:type="paragraph" w:styleId="Index8">
    <w:name w:val="index 8"/>
    <w:basedOn w:val="Normal"/>
    <w:next w:val="Normal"/>
    <w:autoRedefine/>
    <w:uiPriority w:val="98"/>
    <w:semiHidden/>
    <w:rsid w:val="001E5E7D"/>
    <w:pPr>
      <w:ind w:left="1920" w:hanging="240"/>
    </w:pPr>
  </w:style>
  <w:style w:type="paragraph" w:styleId="Index9">
    <w:name w:val="index 9"/>
    <w:basedOn w:val="Normal"/>
    <w:next w:val="Normal"/>
    <w:autoRedefine/>
    <w:uiPriority w:val="98"/>
    <w:semiHidden/>
    <w:rsid w:val="001E5E7D"/>
    <w:pPr>
      <w:ind w:left="2160" w:hanging="240"/>
    </w:pPr>
  </w:style>
  <w:style w:type="paragraph" w:styleId="IndexHeading">
    <w:name w:val="index heading"/>
    <w:basedOn w:val="Normal"/>
    <w:next w:val="Index1"/>
    <w:uiPriority w:val="98"/>
    <w:semiHidden/>
    <w:rsid w:val="001E5E7D"/>
    <w:rPr>
      <w:rFonts w:asciiTheme="majorHAnsi" w:eastAsiaTheme="majorEastAsia" w:hAnsiTheme="majorHAnsi" w:cstheme="majorBidi"/>
      <w:b/>
      <w:bCs/>
    </w:rPr>
  </w:style>
  <w:style w:type="table" w:styleId="LightGrid">
    <w:name w:val="Light Grid"/>
    <w:basedOn w:val="TableNormal"/>
    <w:uiPriority w:val="62"/>
    <w:semiHidden/>
    <w:rsid w:val="001E5E7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E5E7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E5E7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E5E7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1E5E7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E5E7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E5E7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E5E7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E5E7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E5E7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E5E7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1E5E7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E5E7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E5E7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E5E7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E5E7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E5E7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E5E7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1E5E7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E5E7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E5E7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E5E7D"/>
  </w:style>
  <w:style w:type="paragraph" w:styleId="List">
    <w:name w:val="List"/>
    <w:basedOn w:val="Normal"/>
    <w:uiPriority w:val="98"/>
    <w:semiHidden/>
    <w:rsid w:val="001E5E7D"/>
    <w:pPr>
      <w:ind w:left="283" w:hanging="283"/>
      <w:contextualSpacing/>
    </w:pPr>
  </w:style>
  <w:style w:type="paragraph" w:styleId="List2">
    <w:name w:val="List 2"/>
    <w:basedOn w:val="Normal"/>
    <w:uiPriority w:val="98"/>
    <w:semiHidden/>
    <w:rsid w:val="001E5E7D"/>
    <w:pPr>
      <w:ind w:left="566" w:hanging="283"/>
      <w:contextualSpacing/>
    </w:pPr>
  </w:style>
  <w:style w:type="paragraph" w:styleId="List3">
    <w:name w:val="List 3"/>
    <w:basedOn w:val="Normal"/>
    <w:uiPriority w:val="98"/>
    <w:semiHidden/>
    <w:rsid w:val="001E5E7D"/>
    <w:pPr>
      <w:ind w:left="849" w:hanging="283"/>
      <w:contextualSpacing/>
    </w:pPr>
  </w:style>
  <w:style w:type="paragraph" w:styleId="List4">
    <w:name w:val="List 4"/>
    <w:basedOn w:val="Normal"/>
    <w:uiPriority w:val="98"/>
    <w:semiHidden/>
    <w:rsid w:val="001E5E7D"/>
    <w:pPr>
      <w:ind w:left="1132" w:hanging="283"/>
      <w:contextualSpacing/>
    </w:pPr>
  </w:style>
  <w:style w:type="paragraph" w:styleId="List5">
    <w:name w:val="List 5"/>
    <w:basedOn w:val="Normal"/>
    <w:uiPriority w:val="98"/>
    <w:semiHidden/>
    <w:rsid w:val="001E5E7D"/>
    <w:pPr>
      <w:ind w:left="1415" w:hanging="283"/>
      <w:contextualSpacing/>
    </w:pPr>
  </w:style>
  <w:style w:type="paragraph" w:styleId="ListBullet2">
    <w:name w:val="List Bullet 2"/>
    <w:basedOn w:val="Normal"/>
    <w:uiPriority w:val="98"/>
    <w:semiHidden/>
    <w:rsid w:val="001E5E7D"/>
    <w:pPr>
      <w:numPr>
        <w:numId w:val="5"/>
      </w:numPr>
      <w:contextualSpacing/>
    </w:pPr>
  </w:style>
  <w:style w:type="paragraph" w:styleId="ListBullet3">
    <w:name w:val="List Bullet 3"/>
    <w:basedOn w:val="Normal"/>
    <w:uiPriority w:val="98"/>
    <w:semiHidden/>
    <w:rsid w:val="001E5E7D"/>
    <w:pPr>
      <w:numPr>
        <w:numId w:val="6"/>
      </w:numPr>
      <w:contextualSpacing/>
    </w:pPr>
  </w:style>
  <w:style w:type="paragraph" w:styleId="ListBullet4">
    <w:name w:val="List Bullet 4"/>
    <w:basedOn w:val="Normal"/>
    <w:uiPriority w:val="98"/>
    <w:semiHidden/>
    <w:rsid w:val="001E5E7D"/>
    <w:pPr>
      <w:numPr>
        <w:numId w:val="7"/>
      </w:numPr>
      <w:contextualSpacing/>
    </w:pPr>
  </w:style>
  <w:style w:type="paragraph" w:styleId="ListBullet5">
    <w:name w:val="List Bullet 5"/>
    <w:basedOn w:val="Normal"/>
    <w:uiPriority w:val="98"/>
    <w:semiHidden/>
    <w:rsid w:val="001E5E7D"/>
    <w:pPr>
      <w:numPr>
        <w:numId w:val="8"/>
      </w:numPr>
      <w:contextualSpacing/>
    </w:pPr>
  </w:style>
  <w:style w:type="paragraph" w:styleId="ListContinue">
    <w:name w:val="List Continue"/>
    <w:basedOn w:val="Normal"/>
    <w:uiPriority w:val="98"/>
    <w:semiHidden/>
    <w:rsid w:val="001E5E7D"/>
    <w:pPr>
      <w:spacing w:after="120"/>
      <w:ind w:left="283"/>
      <w:contextualSpacing/>
    </w:pPr>
  </w:style>
  <w:style w:type="paragraph" w:styleId="ListContinue2">
    <w:name w:val="List Continue 2"/>
    <w:basedOn w:val="Normal"/>
    <w:uiPriority w:val="98"/>
    <w:semiHidden/>
    <w:rsid w:val="001E5E7D"/>
    <w:pPr>
      <w:spacing w:after="120"/>
      <w:ind w:left="566"/>
      <w:contextualSpacing/>
    </w:pPr>
  </w:style>
  <w:style w:type="paragraph" w:styleId="ListContinue3">
    <w:name w:val="List Continue 3"/>
    <w:basedOn w:val="Normal"/>
    <w:uiPriority w:val="98"/>
    <w:semiHidden/>
    <w:rsid w:val="001E5E7D"/>
    <w:pPr>
      <w:spacing w:after="120"/>
      <w:ind w:left="849"/>
      <w:contextualSpacing/>
    </w:pPr>
  </w:style>
  <w:style w:type="paragraph" w:styleId="ListContinue4">
    <w:name w:val="List Continue 4"/>
    <w:basedOn w:val="Normal"/>
    <w:uiPriority w:val="98"/>
    <w:semiHidden/>
    <w:rsid w:val="001E5E7D"/>
    <w:pPr>
      <w:spacing w:after="120"/>
      <w:ind w:left="1132"/>
      <w:contextualSpacing/>
    </w:pPr>
  </w:style>
  <w:style w:type="paragraph" w:styleId="ListContinue5">
    <w:name w:val="List Continue 5"/>
    <w:basedOn w:val="Normal"/>
    <w:uiPriority w:val="98"/>
    <w:semiHidden/>
    <w:rsid w:val="001E5E7D"/>
    <w:pPr>
      <w:spacing w:after="120"/>
      <w:ind w:left="1415"/>
      <w:contextualSpacing/>
    </w:pPr>
  </w:style>
  <w:style w:type="paragraph" w:styleId="ListNumber">
    <w:name w:val="List Number"/>
    <w:basedOn w:val="Normal"/>
    <w:uiPriority w:val="98"/>
    <w:semiHidden/>
    <w:rsid w:val="001E5E7D"/>
    <w:pPr>
      <w:numPr>
        <w:numId w:val="9"/>
      </w:numPr>
      <w:contextualSpacing/>
    </w:pPr>
  </w:style>
  <w:style w:type="paragraph" w:styleId="ListNumber2">
    <w:name w:val="List Number 2"/>
    <w:basedOn w:val="Normal"/>
    <w:uiPriority w:val="98"/>
    <w:semiHidden/>
    <w:rsid w:val="001E5E7D"/>
    <w:pPr>
      <w:numPr>
        <w:numId w:val="10"/>
      </w:numPr>
      <w:contextualSpacing/>
    </w:pPr>
  </w:style>
  <w:style w:type="paragraph" w:styleId="ListNumber3">
    <w:name w:val="List Number 3"/>
    <w:basedOn w:val="Normal"/>
    <w:uiPriority w:val="98"/>
    <w:semiHidden/>
    <w:rsid w:val="001E5E7D"/>
    <w:pPr>
      <w:numPr>
        <w:numId w:val="11"/>
      </w:numPr>
      <w:contextualSpacing/>
    </w:pPr>
  </w:style>
  <w:style w:type="paragraph" w:styleId="ListNumber4">
    <w:name w:val="List Number 4"/>
    <w:basedOn w:val="Normal"/>
    <w:uiPriority w:val="98"/>
    <w:semiHidden/>
    <w:rsid w:val="001E5E7D"/>
    <w:pPr>
      <w:numPr>
        <w:numId w:val="12"/>
      </w:numPr>
      <w:contextualSpacing/>
    </w:pPr>
  </w:style>
  <w:style w:type="paragraph" w:styleId="ListNumber5">
    <w:name w:val="List Number 5"/>
    <w:basedOn w:val="Normal"/>
    <w:uiPriority w:val="98"/>
    <w:semiHidden/>
    <w:rsid w:val="001E5E7D"/>
    <w:pPr>
      <w:numPr>
        <w:numId w:val="13"/>
      </w:numPr>
      <w:contextualSpacing/>
    </w:pPr>
  </w:style>
  <w:style w:type="paragraph" w:styleId="MacroText">
    <w:name w:val="macro"/>
    <w:link w:val="MacroTextChar"/>
    <w:uiPriority w:val="98"/>
    <w:semiHidden/>
    <w:rsid w:val="001E5E7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1E5E7D"/>
    <w:rPr>
      <w:rFonts w:ascii="Consolas" w:eastAsiaTheme="minorEastAsia" w:hAnsi="Consolas" w:cs="Consolas"/>
      <w:sz w:val="20"/>
      <w:szCs w:val="20"/>
    </w:rPr>
  </w:style>
  <w:style w:type="table" w:styleId="MediumGrid1">
    <w:name w:val="Medium Grid 1"/>
    <w:basedOn w:val="TableNormal"/>
    <w:uiPriority w:val="67"/>
    <w:semiHidden/>
    <w:rsid w:val="001E5E7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E5E7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E5E7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E5E7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1E5E7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E5E7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E5E7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E5E7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E5E7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E5E7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E5E7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E5E7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E5E7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E5E7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E5E7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E5E7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E5E7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E5E7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1E5E7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E5E7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E5E7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1E5E7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E5E7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E5E7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E5E7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1E5E7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E5E7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E5E7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E5E7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E5E7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E5E7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E5E7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E5E7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E5E7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E5E7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E5E7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E5E7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E5E7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E5E7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E5E7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E5E7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E5E7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E5E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E5E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E5E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E5E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E5E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E5E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E5E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E5E7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E5E7D"/>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1E5E7D"/>
    <w:rPr>
      <w:rFonts w:ascii="Times New Roman" w:hAnsi="Times New Roman" w:cs="Times New Roman"/>
    </w:rPr>
  </w:style>
  <w:style w:type="paragraph" w:styleId="NormalIndent">
    <w:name w:val="Normal Indent"/>
    <w:basedOn w:val="Normal"/>
    <w:uiPriority w:val="98"/>
    <w:semiHidden/>
    <w:rsid w:val="001E5E7D"/>
    <w:pPr>
      <w:ind w:left="720"/>
    </w:pPr>
  </w:style>
  <w:style w:type="paragraph" w:customStyle="1" w:styleId="ECHRHeaderLandscape">
    <w:name w:val="ECHR_Header_Landscape"/>
    <w:aliases w:val="_Header_Landscape"/>
    <w:basedOn w:val="JuHeader"/>
    <w:uiPriority w:val="29"/>
    <w:semiHidden/>
    <w:rsid w:val="001E5E7D"/>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1E5E7D"/>
    <w:rPr>
      <w:sz w:val="24"/>
      <w:szCs w:val="24"/>
      <w:lang w:val="sq-AL"/>
    </w:rPr>
  </w:style>
  <w:style w:type="paragraph" w:styleId="PlainText">
    <w:name w:val="Plain Text"/>
    <w:basedOn w:val="Normal"/>
    <w:link w:val="PlainTextChar"/>
    <w:uiPriority w:val="98"/>
    <w:semiHidden/>
    <w:rsid w:val="001E5E7D"/>
    <w:rPr>
      <w:rFonts w:ascii="Consolas" w:hAnsi="Consolas" w:cs="Consolas"/>
      <w:sz w:val="21"/>
      <w:szCs w:val="21"/>
    </w:rPr>
  </w:style>
  <w:style w:type="character" w:customStyle="1" w:styleId="PlainTextChar">
    <w:name w:val="Plain Text Char"/>
    <w:basedOn w:val="DefaultParagraphFont"/>
    <w:link w:val="PlainText"/>
    <w:uiPriority w:val="98"/>
    <w:semiHidden/>
    <w:rsid w:val="001E5E7D"/>
    <w:rPr>
      <w:rFonts w:ascii="Consolas" w:hAnsi="Consolas" w:cs="Consolas"/>
      <w:sz w:val="21"/>
      <w:szCs w:val="21"/>
      <w:lang w:val="sq-AL"/>
    </w:rPr>
  </w:style>
  <w:style w:type="paragraph" w:styleId="Salutation">
    <w:name w:val="Salutation"/>
    <w:basedOn w:val="Normal"/>
    <w:next w:val="Normal"/>
    <w:link w:val="SalutationChar"/>
    <w:uiPriority w:val="98"/>
    <w:semiHidden/>
    <w:rsid w:val="001E5E7D"/>
  </w:style>
  <w:style w:type="character" w:customStyle="1" w:styleId="SalutationChar">
    <w:name w:val="Salutation Char"/>
    <w:basedOn w:val="DefaultParagraphFont"/>
    <w:link w:val="Salutation"/>
    <w:uiPriority w:val="98"/>
    <w:semiHidden/>
    <w:rsid w:val="001E5E7D"/>
    <w:rPr>
      <w:sz w:val="24"/>
      <w:szCs w:val="24"/>
      <w:lang w:val="sq-AL"/>
    </w:rPr>
  </w:style>
  <w:style w:type="paragraph" w:styleId="Signature">
    <w:name w:val="Signature"/>
    <w:basedOn w:val="Normal"/>
    <w:link w:val="SignatureChar"/>
    <w:uiPriority w:val="98"/>
    <w:semiHidden/>
    <w:rsid w:val="001E5E7D"/>
    <w:pPr>
      <w:ind w:left="4252"/>
    </w:pPr>
  </w:style>
  <w:style w:type="character" w:customStyle="1" w:styleId="SignatureChar">
    <w:name w:val="Signature Char"/>
    <w:basedOn w:val="DefaultParagraphFont"/>
    <w:link w:val="Signature"/>
    <w:uiPriority w:val="98"/>
    <w:semiHidden/>
    <w:rsid w:val="001E5E7D"/>
    <w:rPr>
      <w:sz w:val="24"/>
      <w:szCs w:val="24"/>
      <w:lang w:val="sq-AL"/>
    </w:rPr>
  </w:style>
  <w:style w:type="table" w:styleId="Table3Deffects1">
    <w:name w:val="Table 3D effects 1"/>
    <w:basedOn w:val="TableNormal"/>
    <w:uiPriority w:val="99"/>
    <w:semiHidden/>
    <w:unhideWhenUsed/>
    <w:rsid w:val="001E5E7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E5E7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E5E7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E5E7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E5E7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E5E7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E5E7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E5E7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E5E7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E5E7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E5E7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E5E7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E5E7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E5E7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E5E7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E5E7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E5E7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E5E7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E5E7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E5E7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E5E7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E5E7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E5E7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E5E7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E5E7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E5E7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E5E7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E5E7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E5E7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E5E7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E5E7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E5E7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E5E7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E5E7D"/>
    <w:pPr>
      <w:ind w:left="240" w:hanging="240"/>
    </w:pPr>
  </w:style>
  <w:style w:type="paragraph" w:styleId="TableofFigures">
    <w:name w:val="table of figures"/>
    <w:basedOn w:val="Normal"/>
    <w:next w:val="Normal"/>
    <w:uiPriority w:val="98"/>
    <w:semiHidden/>
    <w:rsid w:val="001E5E7D"/>
  </w:style>
  <w:style w:type="table" w:styleId="TableProfessional">
    <w:name w:val="Table Professional"/>
    <w:basedOn w:val="TableNormal"/>
    <w:uiPriority w:val="99"/>
    <w:semiHidden/>
    <w:unhideWhenUsed/>
    <w:rsid w:val="001E5E7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E5E7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E5E7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E5E7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E5E7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E5E7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E5E7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E5E7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E5E7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E5E7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E5E7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E5E7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E5E7D"/>
    <w:pPr>
      <w:spacing w:after="100"/>
      <w:ind w:left="1680"/>
    </w:pPr>
  </w:style>
  <w:style w:type="paragraph" w:styleId="TOC9">
    <w:name w:val="toc 9"/>
    <w:basedOn w:val="Normal"/>
    <w:next w:val="Normal"/>
    <w:autoRedefine/>
    <w:uiPriority w:val="98"/>
    <w:semiHidden/>
    <w:rsid w:val="001E5E7D"/>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ECHRFooterLine">
    <w:name w:val="ECHR_Footer_Line"/>
    <w:aliases w:val="_Footer_Line"/>
    <w:basedOn w:val="Normal"/>
    <w:next w:val="Normal"/>
    <w:uiPriority w:val="30"/>
    <w:semiHidden/>
    <w:rsid w:val="001E5E7D"/>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1E5E7D"/>
    <w:rPr>
      <w:color w:val="0072BC" w:themeColor="hyperlink"/>
      <w:u w:val="single"/>
    </w:rPr>
  </w:style>
  <w:style w:type="paragraph" w:styleId="NoteHeading">
    <w:name w:val="Note Heading"/>
    <w:basedOn w:val="Normal"/>
    <w:next w:val="Normal"/>
    <w:link w:val="NoteHeadingChar"/>
    <w:uiPriority w:val="98"/>
    <w:semiHidden/>
    <w:rsid w:val="001E5E7D"/>
  </w:style>
  <w:style w:type="paragraph" w:customStyle="1" w:styleId="DecList">
    <w:name w:val="Dec_List"/>
    <w:aliases w:val="_List"/>
    <w:basedOn w:val="JuList"/>
    <w:uiPriority w:val="22"/>
    <w:rsid w:val="001E5E7D"/>
    <w:pPr>
      <w:numPr>
        <w:numId w:val="0"/>
      </w:numPr>
      <w:ind w:left="284"/>
    </w:pPr>
  </w:style>
  <w:style w:type="paragraph" w:customStyle="1" w:styleId="ECHRPlaceholder">
    <w:name w:val="ECHR_Placeholder"/>
    <w:aliases w:val="_Placeholder"/>
    <w:basedOn w:val="JuSigned"/>
    <w:rsid w:val="001E5E7D"/>
    <w:rPr>
      <w:color w:val="FFFFFF"/>
    </w:rPr>
  </w:style>
  <w:style w:type="paragraph" w:customStyle="1" w:styleId="ECHRBullet1">
    <w:name w:val="ECHR_Bullet_1"/>
    <w:aliases w:val="_Bul_1"/>
    <w:basedOn w:val="NormalJustified"/>
    <w:uiPriority w:val="23"/>
    <w:semiHidden/>
    <w:qFormat/>
    <w:rsid w:val="001E5E7D"/>
    <w:pPr>
      <w:numPr>
        <w:numId w:val="17"/>
      </w:numPr>
      <w:spacing w:before="60" w:after="60"/>
    </w:pPr>
  </w:style>
  <w:style w:type="paragraph" w:customStyle="1" w:styleId="ECHRBullet2">
    <w:name w:val="ECHR_Bullet_2"/>
    <w:aliases w:val="_Bul_2"/>
    <w:basedOn w:val="ECHRBullet1"/>
    <w:uiPriority w:val="23"/>
    <w:semiHidden/>
    <w:rsid w:val="001E5E7D"/>
    <w:pPr>
      <w:numPr>
        <w:ilvl w:val="1"/>
      </w:numPr>
    </w:pPr>
  </w:style>
  <w:style w:type="paragraph" w:customStyle="1" w:styleId="ECHRBullet3">
    <w:name w:val="ECHR_Bullet_3"/>
    <w:aliases w:val="_Bul_3"/>
    <w:basedOn w:val="ECHRBullet2"/>
    <w:uiPriority w:val="23"/>
    <w:semiHidden/>
    <w:rsid w:val="001E5E7D"/>
    <w:pPr>
      <w:numPr>
        <w:ilvl w:val="2"/>
      </w:numPr>
    </w:pPr>
  </w:style>
  <w:style w:type="paragraph" w:customStyle="1" w:styleId="ECHRBullet4">
    <w:name w:val="ECHR_Bullet_4"/>
    <w:aliases w:val="_Bul_4"/>
    <w:basedOn w:val="ECHRBullet3"/>
    <w:uiPriority w:val="23"/>
    <w:semiHidden/>
    <w:rsid w:val="001E5E7D"/>
    <w:pPr>
      <w:numPr>
        <w:ilvl w:val="3"/>
      </w:numPr>
    </w:pPr>
  </w:style>
  <w:style w:type="paragraph" w:customStyle="1" w:styleId="ECHRConfidential">
    <w:name w:val="ECHR_Confidential"/>
    <w:aliases w:val="_Confidential"/>
    <w:basedOn w:val="Normal"/>
    <w:next w:val="Normal"/>
    <w:uiPriority w:val="42"/>
    <w:semiHidden/>
    <w:qFormat/>
    <w:rsid w:val="001E5E7D"/>
    <w:pPr>
      <w:jc w:val="right"/>
    </w:pPr>
    <w:rPr>
      <w:color w:val="C00000"/>
      <w:sz w:val="20"/>
    </w:rPr>
  </w:style>
  <w:style w:type="paragraph" w:customStyle="1" w:styleId="ECHRDecisionBody">
    <w:name w:val="ECHR_Decision_Body"/>
    <w:aliases w:val="_Decision_Body"/>
    <w:basedOn w:val="NormalJustified"/>
    <w:uiPriority w:val="54"/>
    <w:semiHidden/>
    <w:rsid w:val="001E5E7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E5E7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E5E7D"/>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semiHidden/>
    <w:rsid w:val="001E5E7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1E5E7D"/>
    <w:pPr>
      <w:jc w:val="right"/>
    </w:pPr>
    <w:rPr>
      <w:sz w:val="20"/>
    </w:rPr>
  </w:style>
  <w:style w:type="paragraph" w:customStyle="1" w:styleId="ECHRHeaderRefIt">
    <w:name w:val="ECHR_Header_Ref_It"/>
    <w:aliases w:val="_Ref_Ital"/>
    <w:basedOn w:val="Normal"/>
    <w:next w:val="ECHRHeaderDate"/>
    <w:uiPriority w:val="43"/>
    <w:semiHidden/>
    <w:qFormat/>
    <w:rsid w:val="001E5E7D"/>
    <w:pPr>
      <w:jc w:val="right"/>
    </w:pPr>
    <w:rPr>
      <w:i/>
      <w:sz w:val="20"/>
    </w:rPr>
  </w:style>
  <w:style w:type="paragraph" w:customStyle="1" w:styleId="ECHRHeading9">
    <w:name w:val="ECHR_Heading_9"/>
    <w:aliases w:val="_Head_9"/>
    <w:basedOn w:val="Heading9"/>
    <w:uiPriority w:val="17"/>
    <w:semiHidden/>
    <w:rsid w:val="001E5E7D"/>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E5E7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E5E7D"/>
    <w:pPr>
      <w:numPr>
        <w:numId w:val="18"/>
      </w:numPr>
      <w:spacing w:before="60" w:after="60"/>
    </w:pPr>
  </w:style>
  <w:style w:type="paragraph" w:customStyle="1" w:styleId="ECHRNumberedList2">
    <w:name w:val="ECHR_Numbered_List_2"/>
    <w:aliases w:val="_Num_2"/>
    <w:basedOn w:val="ECHRNumberedList1"/>
    <w:uiPriority w:val="23"/>
    <w:semiHidden/>
    <w:rsid w:val="001E5E7D"/>
    <w:pPr>
      <w:numPr>
        <w:ilvl w:val="1"/>
      </w:numPr>
    </w:pPr>
  </w:style>
  <w:style w:type="paragraph" w:customStyle="1" w:styleId="ECHRNumberedList3">
    <w:name w:val="ECHR_Numbered_List_3"/>
    <w:aliases w:val="_Num_3"/>
    <w:basedOn w:val="ECHRNumberedList2"/>
    <w:uiPriority w:val="23"/>
    <w:semiHidden/>
    <w:rsid w:val="001E5E7D"/>
    <w:pPr>
      <w:numPr>
        <w:ilvl w:val="2"/>
      </w:numPr>
    </w:pPr>
  </w:style>
  <w:style w:type="paragraph" w:customStyle="1" w:styleId="ECHRParaHanging">
    <w:name w:val="ECHR_Para_Hanging"/>
    <w:aliases w:val="_Hanging"/>
    <w:basedOn w:val="NormalJustified"/>
    <w:uiPriority w:val="8"/>
    <w:semiHidden/>
    <w:qFormat/>
    <w:rsid w:val="001E5E7D"/>
    <w:pPr>
      <w:ind w:left="567" w:hanging="567"/>
    </w:pPr>
  </w:style>
  <w:style w:type="paragraph" w:customStyle="1" w:styleId="ECHRParaIndent">
    <w:name w:val="ECHR_Para_Indent"/>
    <w:aliases w:val="_Indent"/>
    <w:basedOn w:val="NormalJustified"/>
    <w:uiPriority w:val="7"/>
    <w:semiHidden/>
    <w:qFormat/>
    <w:rsid w:val="001E5E7D"/>
    <w:pPr>
      <w:spacing w:before="120" w:after="120"/>
      <w:ind w:left="284"/>
    </w:pPr>
  </w:style>
  <w:style w:type="character" w:customStyle="1" w:styleId="ECHRRed">
    <w:name w:val="ECHR_Red"/>
    <w:aliases w:val="_Red"/>
    <w:basedOn w:val="DefaultParagraphFont"/>
    <w:uiPriority w:val="15"/>
    <w:semiHidden/>
    <w:qFormat/>
    <w:rsid w:val="001E5E7D"/>
    <w:rPr>
      <w:color w:val="C00000" w:themeColor="accent2"/>
    </w:rPr>
  </w:style>
  <w:style w:type="paragraph" w:customStyle="1" w:styleId="ECHRSpacer">
    <w:name w:val="ECHR_Spacer"/>
    <w:aliases w:val="_Spacer"/>
    <w:basedOn w:val="Normal"/>
    <w:uiPriority w:val="45"/>
    <w:semiHidden/>
    <w:rsid w:val="001E5E7D"/>
    <w:rPr>
      <w:sz w:val="4"/>
    </w:rPr>
  </w:style>
  <w:style w:type="table" w:customStyle="1" w:styleId="ECHRTable2">
    <w:name w:val="ECHR_Table_2"/>
    <w:basedOn w:val="TableNormal"/>
    <w:uiPriority w:val="99"/>
    <w:rsid w:val="001E5E7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E5E7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1E5E7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1E5E7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1E5E7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1E5E7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1E5E7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1E5E7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1E5E7D"/>
    <w:pPr>
      <w:outlineLvl w:val="0"/>
    </w:pPr>
  </w:style>
  <w:style w:type="paragraph" w:customStyle="1" w:styleId="ECHRTitleTOC1">
    <w:name w:val="ECHR_Title_TOC_1"/>
    <w:aliases w:val="_Title_L_TOC"/>
    <w:basedOn w:val="ECHRTitle1"/>
    <w:next w:val="Normal"/>
    <w:uiPriority w:val="27"/>
    <w:semiHidden/>
    <w:qFormat/>
    <w:rsid w:val="001E5E7D"/>
    <w:pPr>
      <w:outlineLvl w:val="0"/>
    </w:pPr>
  </w:style>
  <w:style w:type="table" w:customStyle="1" w:styleId="ECHRTableGrey">
    <w:name w:val="ECHR_Table_Grey"/>
    <w:basedOn w:val="TableNormal"/>
    <w:uiPriority w:val="99"/>
    <w:rsid w:val="001E5E7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1E5E7D"/>
    <w:rPr>
      <w:color w:val="605E5C"/>
      <w:shd w:val="clear" w:color="auto" w:fill="E1DFDD"/>
    </w:rPr>
  </w:style>
  <w:style w:type="table" w:styleId="GridTable1Light">
    <w:name w:val="Grid Table 1 Light"/>
    <w:basedOn w:val="TableNormal"/>
    <w:uiPriority w:val="46"/>
    <w:semiHidden/>
    <w:rsid w:val="002C20C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C20C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C20C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C20C4"/>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C20C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C20C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C20C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C20C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C20C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C20C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C20C4"/>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C20C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C20C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C20C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C20C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C20C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C20C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C20C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C20C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C20C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C20C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C20C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C20C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C20C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C20C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C20C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C20C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C20C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C20C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C20C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C20C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C20C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C20C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C20C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C20C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C20C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C20C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C20C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C20C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C20C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C20C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C20C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C20C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C20C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C20C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C20C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C20C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C20C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C20C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2C20C4"/>
    <w:rPr>
      <w:color w:val="2B579A"/>
      <w:shd w:val="clear" w:color="auto" w:fill="E1DFDD"/>
    </w:rPr>
  </w:style>
  <w:style w:type="table" w:styleId="ListTable1Light">
    <w:name w:val="List Table 1 Light"/>
    <w:basedOn w:val="TableNormal"/>
    <w:uiPriority w:val="46"/>
    <w:semiHidden/>
    <w:rsid w:val="002C20C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C20C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C20C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C20C4"/>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C20C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C20C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C20C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C20C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C20C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C20C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C20C4"/>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C20C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C20C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C20C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C20C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C20C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C20C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C20C4"/>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C20C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C20C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C20C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C20C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C20C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C20C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C20C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C20C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C20C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C20C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C20C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C20C4"/>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C20C4"/>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C20C4"/>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C20C4"/>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C20C4"/>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C20C4"/>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C20C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C20C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C20C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C20C4"/>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C20C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C20C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C20C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C20C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C20C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C20C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C20C4"/>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C20C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C20C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C20C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2C20C4"/>
    <w:rPr>
      <w:color w:val="2B579A"/>
      <w:shd w:val="clear" w:color="auto" w:fill="E1DFDD"/>
    </w:rPr>
  </w:style>
  <w:style w:type="table" w:styleId="PlainTable1">
    <w:name w:val="Plain Table 1"/>
    <w:basedOn w:val="TableNormal"/>
    <w:uiPriority w:val="41"/>
    <w:semiHidden/>
    <w:rsid w:val="002C20C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C20C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C20C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C20C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C20C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2C20C4"/>
    <w:rPr>
      <w:u w:val="dotted"/>
    </w:rPr>
  </w:style>
  <w:style w:type="character" w:customStyle="1" w:styleId="SmartLink">
    <w:name w:val="Smart Link"/>
    <w:basedOn w:val="DefaultParagraphFont"/>
    <w:uiPriority w:val="99"/>
    <w:semiHidden/>
    <w:unhideWhenUsed/>
    <w:rsid w:val="002C20C4"/>
    <w:rPr>
      <w:color w:val="0000FF"/>
      <w:u w:val="single"/>
      <w:shd w:val="clear" w:color="auto" w:fill="F3F2F1"/>
    </w:rPr>
  </w:style>
  <w:style w:type="table" w:styleId="TableGridLight">
    <w:name w:val="Grid Table Light"/>
    <w:basedOn w:val="TableNormal"/>
    <w:uiPriority w:val="40"/>
    <w:semiHidden/>
    <w:rsid w:val="002C20C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049461B3B57467A8F9D6CFE59A038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7568-08</Nr_x002e__x0020_akti>
    <Data_x0020_e_x0020_Krijimit xmlns="0e656187-b300-4fb0-8bf4-3a50f872073c">2024-08-09T07:15:31Z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JUD</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2024-08-08T00:00:00Z</Date_x0020_protokolli>
    <Titulli xmlns="0e656187-b300-4fb0-8bf4-3a50f872073c">Çështja Papakostandini kundër Shqipërisë</Titulli>
    <Modifikuesi xmlns="0e656187-b300-4fb0-8bf4-3a50f872073c">Fjora.Cahani</Modifikuesi>
    <Nr_x002e__x0020_prot_x0020_QBZ xmlns="0e656187-b300-4fb0-8bf4-3a50f872073c">1479/1</Nr_x002e__x0020_prot_x0020_QBZ>
    <Data_x0020_e_x0020_Modifikimit xmlns="0e656187-b300-4fb0-8bf4-3a50f872073c">2024-08-09T11:23:53Z</Data_x0020_e_x0020_Modifikimit>
    <Dekretuar xmlns="0e656187-b300-4fb0-8bf4-3a50f872073c">false</Dekretuar>
    <Data xmlns="0e656187-b300-4fb0-8bf4-3a50f872073c">2024-07-18T00:00:00Z</Data>
    <Nr_x002e__x0020_protokolli_x0020_i_x0020_aktit xmlns="0e656187-b300-4fb0-8bf4-3a50f872073c">4153/1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049461B3B57467A8F9D6CFE59A038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E5AB9-B0E4-4316-ABC0-283611C183A0}">
  <ds:schemaRefs>
    <ds:schemaRef ds:uri="http://schemas.microsoft.com/sharepoint/v3/contenttype/forms"/>
  </ds:schemaRefs>
</ds:datastoreItem>
</file>

<file path=customXml/itemProps2.xml><?xml version="1.0" encoding="utf-8"?>
<ds:datastoreItem xmlns:ds="http://schemas.openxmlformats.org/officeDocument/2006/customXml" ds:itemID="{DBCA5D2F-E977-4210-BF58-491464BF94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A79283B-C31D-4828-9629-923F42023047}">
  <ds:schemaRefs>
    <ds:schemaRef ds:uri="http://purl.org/dc/elements/1.1/"/>
    <ds:schemaRef ds:uri="http://purl.org/dc/terms/"/>
    <ds:schemaRef ds:uri="0e656187-b300-4fb0-8bf4-3a50f872073c"/>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2B921BC-6C0C-431C-9FF8-D9033798E85F}">
  <ds:schemaRefs>
    <ds:schemaRef ds:uri="http://schemas.microsoft.com/sharepoint/v3/contenttype/forms"/>
  </ds:schemaRefs>
</ds:datastoreItem>
</file>

<file path=customXml/itemProps5.xml><?xml version="1.0" encoding="utf-8"?>
<ds:datastoreItem xmlns:ds="http://schemas.openxmlformats.org/officeDocument/2006/customXml" ds:itemID="{5B7C5EBC-5BA2-4668-9957-C6F7B57210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6673FB1-A8D0-4EFC-9B5E-563E75B8D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1913</Words>
  <Characters>10906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Çështja Papakostandini kundër Shqipërisë</vt:lpstr>
    </vt:vector>
  </TitlesOfParts>
  <Company/>
  <LinksUpToDate>false</LinksUpToDate>
  <CharactersWithSpaces>12794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Papakostandini kundër Shqipërisë</dc:title>
  <dc:subject>JUD</dc:subject>
  <cp:lastModifiedBy/>
  <cp:revision>1</cp:revision>
  <dcterms:created xsi:type="dcterms:W3CDTF">2024-07-11T12:37:00Z</dcterms:created>
  <dcterms:modified xsi:type="dcterms:W3CDTF">2024-08-12T12:17:00Z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491714</vt:lpwstr>
  </property>
  <property fmtid="{D5CDD505-2E9C-101B-9397-08002B2CF9AE}" pid="3" name="cstLanguage">
    <vt:i4>2057</vt:i4>
  </property>
  <property fmtid="{D5CDD505-2E9C-101B-9397-08002B2CF9AE}" pid="4" name="RegisteredNo">
    <vt:lpwstr>7568/08</vt:lpwstr>
  </property>
</Properties>
</file>