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AD5863" w14:textId="5AE77B56" w:rsidR="00664CB3" w:rsidRPr="005D6486" w:rsidRDefault="00664CB3" w:rsidP="00664CB3">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GJYKATA EVROPIANE  E TË DREJTAVE TË NJERIUT</w:t>
      </w:r>
    </w:p>
    <w:p w14:paraId="0EF01F64" w14:textId="77777777" w:rsidR="00664CB3" w:rsidRPr="005D6486" w:rsidRDefault="00664CB3" w:rsidP="00664CB3">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221A438" w14:textId="6E24A58E" w:rsidR="00664CB3" w:rsidRPr="005D6486" w:rsidRDefault="00664CB3" w:rsidP="00664CB3">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SEKSIONI I TRETË</w:t>
      </w:r>
    </w:p>
    <w:p w14:paraId="0FA5F1A8" w14:textId="77777777" w:rsidR="00664CB3" w:rsidRPr="005D6486" w:rsidRDefault="00664CB3" w:rsidP="00664CB3">
      <w:pPr>
        <w:tabs>
          <w:tab w:val="left" w:pos="5520"/>
        </w:tabs>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5D6486">
        <w:rPr>
          <w:rFonts w:ascii="Garamond" w:eastAsiaTheme="minorHAnsi" w:hAnsi="Garamond"/>
          <w:color w:val="000000"/>
          <w:sz w:val="24"/>
          <w:szCs w:val="24"/>
          <w14:ligatures w14:val="standardContextual"/>
        </w:rPr>
        <w:t>VENDIM</w:t>
      </w:r>
    </w:p>
    <w:p w14:paraId="6C347080" w14:textId="77777777" w:rsidR="00664CB3" w:rsidRPr="005D6486" w:rsidRDefault="00664CB3" w:rsidP="00664CB3">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2CCE0BA" w14:textId="77777777" w:rsidR="00664CB3" w:rsidRPr="005D6486" w:rsidRDefault="00664CB3" w:rsidP="00664CB3">
      <w:pPr>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r w:rsidRPr="005D6486">
        <w:rPr>
          <w:rFonts w:ascii="Garamond" w:eastAsiaTheme="minorHAnsi" w:hAnsi="Garamond"/>
          <w:b/>
          <w:color w:val="000000"/>
          <w:sz w:val="24"/>
          <w:szCs w:val="24"/>
          <w14:ligatures w14:val="standardContextual"/>
        </w:rPr>
        <w:t>Kërkesa nr. 4607/09</w:t>
      </w:r>
    </w:p>
    <w:p w14:paraId="78D60DB8" w14:textId="77777777" w:rsidR="00664CB3" w:rsidRPr="005D6486" w:rsidRDefault="00664CB3" w:rsidP="00664CB3">
      <w:pPr>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r w:rsidRPr="005D6486">
        <w:rPr>
          <w:rFonts w:ascii="Garamond" w:eastAsiaTheme="minorHAnsi" w:hAnsi="Garamond"/>
          <w:b/>
          <w:color w:val="000000"/>
          <w:sz w:val="24"/>
          <w:szCs w:val="24"/>
          <w14:ligatures w14:val="standardContextual"/>
        </w:rPr>
        <w:t>Faik TOSHKËZI</w:t>
      </w:r>
    </w:p>
    <w:p w14:paraId="46D936FE" w14:textId="77777777" w:rsidR="00664CB3" w:rsidRPr="005D6486" w:rsidRDefault="00664CB3" w:rsidP="00664CB3">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5D6486">
        <w:rPr>
          <w:rFonts w:ascii="Garamond" w:eastAsiaTheme="minorHAnsi" w:hAnsi="Garamond"/>
          <w:b/>
          <w:color w:val="000000"/>
          <w:sz w:val="24"/>
          <w:szCs w:val="24"/>
          <w14:ligatures w14:val="standardContextual"/>
        </w:rPr>
        <w:t>kundër Shqipërisë</w:t>
      </w:r>
    </w:p>
    <w:p w14:paraId="161F7E86" w14:textId="77777777" w:rsidR="00664CB3" w:rsidRPr="005D6486" w:rsidRDefault="00664CB3" w:rsidP="00664CB3">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781E2A3" w14:textId="5CDDB2D0" w:rsidR="00664CB3" w:rsidRPr="005D6486" w:rsidRDefault="00664CB3" w:rsidP="00664CB3">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Gjykata Evropiane e të Drejtave të Njeriut (Seksioni i Tretë), e mbledhur më 2 </w:t>
      </w:r>
      <w:r w:rsidR="00A25172" w:rsidRPr="005D6486">
        <w:rPr>
          <w:rFonts w:ascii="Garamond" w:eastAsiaTheme="minorHAnsi" w:hAnsi="Garamond"/>
          <w:color w:val="000000"/>
          <w:sz w:val="24"/>
          <w:szCs w:val="24"/>
          <w14:ligatures w14:val="standardContextual"/>
        </w:rPr>
        <w:t>k</w:t>
      </w:r>
      <w:r w:rsidRPr="005D6486">
        <w:rPr>
          <w:rFonts w:ascii="Garamond" w:eastAsiaTheme="minorHAnsi" w:hAnsi="Garamond"/>
          <w:color w:val="000000"/>
          <w:sz w:val="24"/>
          <w:szCs w:val="24"/>
          <w14:ligatures w14:val="standardContextual"/>
        </w:rPr>
        <w:t>orrik 2024</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si një Komitet i përbërë nga:</w:t>
      </w:r>
    </w:p>
    <w:p w14:paraId="4CE07236" w14:textId="7D737DC3" w:rsidR="00664CB3" w:rsidRPr="005D6486" w:rsidRDefault="00664CB3" w:rsidP="00664CB3">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5D6486">
        <w:rPr>
          <w:rFonts w:ascii="Garamond" w:eastAsiaTheme="minorHAnsi" w:hAnsi="Garamond"/>
          <w:color w:val="000000"/>
          <w:sz w:val="24"/>
          <w:szCs w:val="24"/>
          <w14:ligatures w14:val="standardContextual"/>
        </w:rPr>
        <w:t>Ioannis Ktistakis,</w:t>
      </w:r>
      <w:r w:rsidRPr="005D6486">
        <w:rPr>
          <w:rFonts w:ascii="Garamond" w:eastAsiaTheme="minorHAnsi" w:hAnsi="Garamond"/>
          <w:i/>
          <w:iCs/>
          <w:color w:val="000000"/>
          <w:sz w:val="24"/>
          <w:szCs w:val="24"/>
          <w14:ligatures w14:val="standardContextual"/>
        </w:rPr>
        <w:t xml:space="preserve"> Kryetar,</w:t>
      </w:r>
    </w:p>
    <w:p w14:paraId="598A6A24" w14:textId="4021B326" w:rsidR="00664CB3" w:rsidRPr="005D6486" w:rsidRDefault="00664CB3" w:rsidP="00664CB3">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5D6486">
        <w:rPr>
          <w:rFonts w:ascii="Garamond" w:eastAsiaTheme="minorHAnsi" w:hAnsi="Garamond"/>
          <w:color w:val="000000"/>
          <w:sz w:val="24"/>
          <w:szCs w:val="24"/>
          <w14:ligatures w14:val="standardContextual"/>
        </w:rPr>
        <w:t>Darian Pavli,</w:t>
      </w:r>
    </w:p>
    <w:p w14:paraId="2E16CFD4" w14:textId="41D488B5" w:rsidR="00664CB3" w:rsidRPr="005D6486" w:rsidRDefault="00664CB3" w:rsidP="00664CB3">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Andreas Zünd, </w:t>
      </w:r>
      <w:r w:rsidRPr="005D6486">
        <w:rPr>
          <w:rFonts w:ascii="Garamond" w:eastAsiaTheme="minorHAnsi" w:hAnsi="Garamond"/>
          <w:i/>
          <w:iCs/>
          <w:color w:val="000000"/>
          <w:sz w:val="24"/>
          <w:szCs w:val="24"/>
          <w14:ligatures w14:val="standardContextual"/>
        </w:rPr>
        <w:t>gjyqtarë</w:t>
      </w:r>
    </w:p>
    <w:p w14:paraId="3C2FCF4F" w14:textId="41804164" w:rsidR="00664CB3" w:rsidRPr="005D6486" w:rsidRDefault="00664CB3" w:rsidP="00664CB3">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dhe Olga Chernishova, </w:t>
      </w:r>
      <w:r w:rsidR="00A25172" w:rsidRPr="005D6486">
        <w:rPr>
          <w:rFonts w:ascii="Garamond" w:eastAsiaTheme="minorHAnsi" w:hAnsi="Garamond"/>
          <w:i/>
          <w:iCs/>
          <w:color w:val="000000"/>
          <w:sz w:val="24"/>
          <w:szCs w:val="24"/>
          <w14:ligatures w14:val="standardContextual"/>
        </w:rPr>
        <w:t>z</w:t>
      </w:r>
      <w:r w:rsidRPr="005D6486">
        <w:rPr>
          <w:rFonts w:ascii="Garamond" w:eastAsiaTheme="minorHAnsi" w:hAnsi="Garamond"/>
          <w:i/>
          <w:iCs/>
          <w:color w:val="000000"/>
          <w:sz w:val="24"/>
          <w:szCs w:val="24"/>
          <w14:ligatures w14:val="standardContextual"/>
        </w:rPr>
        <w:t>ëvendëssekretare e Seksionit,</w:t>
      </w:r>
    </w:p>
    <w:p w14:paraId="1130D4A1" w14:textId="118D6F9C"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Duke mbajtur në konsideratë: </w:t>
      </w:r>
    </w:p>
    <w:p w14:paraId="1959F08B" w14:textId="6AC46CC8"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kërkesën (nr. 4607/09) kundër Republikës së Shqipërisë të depozituar në Gjykatë në mbështetje të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 xml:space="preserve">enit 34 të Konventës për Mbrojtjen e të Drejtave të Njeriut dhe Lirive Themelore (Konventa) më  13 </w:t>
      </w:r>
      <w:r w:rsidR="00A25172" w:rsidRPr="005D6486">
        <w:rPr>
          <w:rFonts w:ascii="Garamond" w:eastAsiaTheme="minorHAnsi" w:hAnsi="Garamond"/>
          <w:color w:val="000000"/>
          <w:sz w:val="24"/>
          <w:szCs w:val="24"/>
          <w14:ligatures w14:val="standardContextual"/>
        </w:rPr>
        <w:t>j</w:t>
      </w:r>
      <w:r w:rsidRPr="005D6486">
        <w:rPr>
          <w:rFonts w:ascii="Garamond" w:eastAsiaTheme="minorHAnsi" w:hAnsi="Garamond"/>
          <w:color w:val="000000"/>
          <w:sz w:val="24"/>
          <w:szCs w:val="24"/>
          <w14:ligatures w14:val="standardContextual"/>
        </w:rPr>
        <w:t>anar 2009</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nga një shtetas shqiptar, </w:t>
      </w:r>
      <w:r w:rsidR="00A25172" w:rsidRPr="005D6486">
        <w:rPr>
          <w:rFonts w:ascii="Garamond" w:eastAsiaTheme="minorHAnsi" w:hAnsi="Garamond"/>
          <w:color w:val="000000"/>
          <w:sz w:val="24"/>
          <w:szCs w:val="24"/>
          <w14:ligatures w14:val="standardContextual"/>
        </w:rPr>
        <w:t>z</w:t>
      </w:r>
      <w:r w:rsidRPr="005D6486">
        <w:rPr>
          <w:rFonts w:ascii="Garamond" w:eastAsiaTheme="minorHAnsi" w:hAnsi="Garamond"/>
          <w:color w:val="000000"/>
          <w:sz w:val="24"/>
          <w:szCs w:val="24"/>
          <w14:ligatures w14:val="standardContextual"/>
        </w:rPr>
        <w:t xml:space="preserve">. Faik Toshkëzi (kërkuesi), lindur më 1965 dhe banues në Tiranë; </w:t>
      </w:r>
    </w:p>
    <w:p w14:paraId="2A6DC5FC" w14:textId="4C3A2DB8"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 vendimin për të njoftuar mbi ankesën sipas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 xml:space="preserve">enit 6§1 – në lidhje me kohëzgjatjen e moszbatimit të vendimit përfundimtar të gjykatës – </w:t>
      </w:r>
      <w:r w:rsidR="00A25172" w:rsidRPr="005D6486">
        <w:rPr>
          <w:rFonts w:ascii="Garamond" w:eastAsiaTheme="minorHAnsi" w:hAnsi="Garamond"/>
          <w:color w:val="000000"/>
          <w:sz w:val="24"/>
          <w:szCs w:val="24"/>
          <w14:ligatures w14:val="standardContextual"/>
        </w:rPr>
        <w:t>q</w:t>
      </w:r>
      <w:r w:rsidRPr="005D6486">
        <w:rPr>
          <w:rFonts w:ascii="Garamond" w:eastAsiaTheme="minorHAnsi" w:hAnsi="Garamond"/>
          <w:color w:val="000000"/>
          <w:sz w:val="24"/>
          <w:szCs w:val="24"/>
          <w14:ligatures w14:val="standardContextual"/>
        </w:rPr>
        <w:t>everinë shqiptare (</w:t>
      </w:r>
      <w:r w:rsidR="00A25172" w:rsidRPr="005D6486">
        <w:rPr>
          <w:rFonts w:ascii="Garamond" w:eastAsiaTheme="minorHAnsi" w:hAnsi="Garamond"/>
          <w:color w:val="000000"/>
          <w:sz w:val="24"/>
          <w:szCs w:val="24"/>
          <w14:ligatures w14:val="standardContextual"/>
        </w:rPr>
        <w:t>q</w:t>
      </w:r>
      <w:r w:rsidRPr="005D6486">
        <w:rPr>
          <w:rFonts w:ascii="Garamond" w:eastAsiaTheme="minorHAnsi" w:hAnsi="Garamond"/>
          <w:color w:val="000000"/>
          <w:sz w:val="24"/>
          <w:szCs w:val="24"/>
          <w14:ligatures w14:val="standardContextual"/>
        </w:rPr>
        <w:t xml:space="preserve">everia), fillimisht e përfaqësuar nga Agjenti i saj </w:t>
      </w:r>
      <w:r w:rsidR="00A25172" w:rsidRPr="005D6486">
        <w:rPr>
          <w:rFonts w:ascii="Garamond" w:eastAsiaTheme="minorHAnsi" w:hAnsi="Garamond"/>
          <w:color w:val="000000"/>
          <w:sz w:val="24"/>
          <w:szCs w:val="24"/>
          <w14:ligatures w14:val="standardContextual"/>
        </w:rPr>
        <w:t>zn</w:t>
      </w:r>
      <w:r w:rsidRPr="005D6486">
        <w:rPr>
          <w:rFonts w:ascii="Garamond" w:eastAsiaTheme="minorHAnsi" w:hAnsi="Garamond"/>
          <w:color w:val="000000"/>
          <w:sz w:val="24"/>
          <w:szCs w:val="24"/>
          <w14:ligatures w14:val="standardContextual"/>
        </w:rPr>
        <w:t xml:space="preserve">j. A. Hicka, dhe në vijim nga </w:t>
      </w:r>
      <w:r w:rsidR="00A25172" w:rsidRPr="005D6486">
        <w:rPr>
          <w:rFonts w:ascii="Garamond" w:eastAsiaTheme="minorHAnsi" w:hAnsi="Garamond"/>
          <w:color w:val="000000"/>
          <w:sz w:val="24"/>
          <w:szCs w:val="24"/>
          <w14:ligatures w14:val="standardContextual"/>
        </w:rPr>
        <w:t>z</w:t>
      </w:r>
      <w:r w:rsidRPr="005D6486">
        <w:rPr>
          <w:rFonts w:ascii="Garamond" w:eastAsiaTheme="minorHAnsi" w:hAnsi="Garamond"/>
          <w:color w:val="000000"/>
          <w:sz w:val="24"/>
          <w:szCs w:val="24"/>
          <w14:ligatures w14:val="standardContextual"/>
        </w:rPr>
        <w:t xml:space="preserve">. O. Moçka, Avokat i Përgjithshëm i Shtetit, dhe për të deklaruar të papranueshme pjesën tjetër të kërkesës; </w:t>
      </w:r>
    </w:p>
    <w:p w14:paraId="505124F2" w14:textId="38FA0BC4"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 vërejtjet e palëve; </w:t>
      </w:r>
    </w:p>
    <w:p w14:paraId="54032DEE" w14:textId="49FF07A6"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 Pasi diskutoi, vendos si më poshtë: </w:t>
      </w:r>
    </w:p>
    <w:p w14:paraId="140A01FD" w14:textId="77777777"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LËNDA E ÇËSHTJES</w:t>
      </w:r>
    </w:p>
    <w:p w14:paraId="5E89AC72" w14:textId="3E936488"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1. Çështja ka të bëjë me kohëzgjatjen e ekzekutimit të një vendimi të brendshëm.  </w:t>
      </w:r>
    </w:p>
    <w:p w14:paraId="62A96C73" w14:textId="5BDDE623"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2. Më 20 </w:t>
      </w:r>
      <w:r w:rsidR="00A25172" w:rsidRPr="005D6486">
        <w:rPr>
          <w:rFonts w:ascii="Garamond" w:eastAsiaTheme="minorHAnsi" w:hAnsi="Garamond"/>
          <w:color w:val="000000"/>
          <w:sz w:val="24"/>
          <w:szCs w:val="24"/>
          <w14:ligatures w14:val="standardContextual"/>
        </w:rPr>
        <w:t>m</w:t>
      </w:r>
      <w:r w:rsidRPr="005D6486">
        <w:rPr>
          <w:rFonts w:ascii="Garamond" w:eastAsiaTheme="minorHAnsi" w:hAnsi="Garamond"/>
          <w:color w:val="000000"/>
          <w:sz w:val="24"/>
          <w:szCs w:val="24"/>
          <w14:ligatures w14:val="standardContextual"/>
        </w:rPr>
        <w:t xml:space="preserve">ars 1995, Komisioni për Rikthimin dhe Kompensimin e Pronave Lushnjë (Komisioni) rrëzoi kërkesën e vëllait të kërkuesit për njohjen dhe rikthimin e pronës së gjyshit të tyre, me arsyetimin se prona në fjalë ishte tokë bujqësore. </w:t>
      </w:r>
    </w:p>
    <w:p w14:paraId="18B26C38" w14:textId="2B916B3D"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3. Vëllai i kërkuesit e kundërshtoi vendimin dhe më 16 </w:t>
      </w:r>
      <w:r w:rsidR="00A25172" w:rsidRPr="005D6486">
        <w:rPr>
          <w:rFonts w:ascii="Garamond" w:eastAsiaTheme="minorHAnsi" w:hAnsi="Garamond"/>
          <w:color w:val="000000"/>
          <w:sz w:val="24"/>
          <w:szCs w:val="24"/>
          <w14:ligatures w14:val="standardContextual"/>
        </w:rPr>
        <w:t>j</w:t>
      </w:r>
      <w:r w:rsidRPr="005D6486">
        <w:rPr>
          <w:rFonts w:ascii="Garamond" w:eastAsiaTheme="minorHAnsi" w:hAnsi="Garamond"/>
          <w:color w:val="000000"/>
          <w:sz w:val="24"/>
          <w:szCs w:val="24"/>
          <w14:ligatures w14:val="standardContextual"/>
        </w:rPr>
        <w:t>anar 1996, Gjykata e Rrethit Lushnjë (Gjykata e Rrethit) njohu të drejtën ndaj një prone të kërkuesit dhe të trashëgimtarëve të tjerë të gjyshit të kërkuesit, dhe urdhëroi Komisionin t’i njihte si bashkëpronarë të një sipërfaqe toke më përmasat 40,000 metra katrorë (</w:t>
      </w:r>
      <w:r w:rsidR="00A25172" w:rsidRPr="005D6486">
        <w:rPr>
          <w:rFonts w:ascii="Garamond" w:eastAsiaTheme="minorHAnsi" w:hAnsi="Garamond"/>
          <w:color w:val="000000"/>
          <w:sz w:val="24"/>
          <w:szCs w:val="24"/>
          <w14:ligatures w14:val="standardContextual"/>
        </w:rPr>
        <w:t>m</w:t>
      </w:r>
      <w:r w:rsidR="00A25172" w:rsidRPr="005D6486">
        <w:rPr>
          <w:rFonts w:ascii="Garamond" w:eastAsiaTheme="minorHAnsi" w:hAnsi="Garamond"/>
          <w:color w:val="000000"/>
          <w:sz w:val="24"/>
          <w:szCs w:val="24"/>
          <w:vertAlign w:val="superscript"/>
          <w14:ligatures w14:val="standardContextual"/>
        </w:rPr>
        <w:t>2</w:t>
      </w:r>
      <w:r w:rsidRPr="005D6486">
        <w:rPr>
          <w:rFonts w:ascii="Garamond" w:eastAsiaTheme="minorHAnsi" w:hAnsi="Garamond"/>
          <w:color w:val="000000"/>
          <w:sz w:val="24"/>
          <w:szCs w:val="24"/>
          <w14:ligatures w14:val="standardContextual"/>
        </w:rPr>
        <w:t xml:space="preserve">) në Golem, Kavajë. Procedurat u mbështetën në </w:t>
      </w:r>
      <w:r w:rsidR="00A25172" w:rsidRPr="005D6486">
        <w:rPr>
          <w:rFonts w:ascii="Garamond" w:eastAsiaTheme="minorHAnsi" w:hAnsi="Garamond"/>
          <w:color w:val="000000"/>
          <w:sz w:val="24"/>
          <w:szCs w:val="24"/>
          <w14:ligatures w14:val="standardContextual"/>
        </w:rPr>
        <w:t>l</w:t>
      </w:r>
      <w:r w:rsidRPr="005D6486">
        <w:rPr>
          <w:rFonts w:ascii="Garamond" w:eastAsiaTheme="minorHAnsi" w:hAnsi="Garamond"/>
          <w:color w:val="000000"/>
          <w:sz w:val="24"/>
          <w:szCs w:val="24"/>
          <w14:ligatures w14:val="standardContextual"/>
        </w:rPr>
        <w:t>igjin nr. 7698/1993</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“Për </w:t>
      </w:r>
      <w:r w:rsidR="00A25172" w:rsidRPr="005D6486">
        <w:rPr>
          <w:rFonts w:ascii="Garamond" w:eastAsiaTheme="minorHAnsi" w:hAnsi="Garamond"/>
          <w:color w:val="000000"/>
          <w:sz w:val="24"/>
          <w:szCs w:val="24"/>
          <w14:ligatures w14:val="standardContextual"/>
        </w:rPr>
        <w:t>rikthimin dhe kompensimin e pronave</w:t>
      </w:r>
      <w:r w:rsidRPr="005D6486">
        <w:rPr>
          <w:rFonts w:ascii="Garamond" w:eastAsiaTheme="minorHAnsi" w:hAnsi="Garamond"/>
          <w:color w:val="000000"/>
          <w:sz w:val="24"/>
          <w:szCs w:val="24"/>
          <w14:ligatures w14:val="standardContextual"/>
        </w:rPr>
        <w:t>”, edhe pse nuk u mor asnjë vendim</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në lidhje me mënyrën ekzakte të rikthimit ose kompensimit të pronës. Më 7 </w:t>
      </w:r>
      <w:r w:rsidR="00A25172" w:rsidRPr="005D6486">
        <w:rPr>
          <w:rFonts w:ascii="Garamond" w:eastAsiaTheme="minorHAnsi" w:hAnsi="Garamond"/>
          <w:color w:val="000000"/>
          <w:sz w:val="24"/>
          <w:szCs w:val="24"/>
          <w14:ligatures w14:val="standardContextual"/>
        </w:rPr>
        <w:t>q</w:t>
      </w:r>
      <w:r w:rsidRPr="005D6486">
        <w:rPr>
          <w:rFonts w:ascii="Garamond" w:eastAsiaTheme="minorHAnsi" w:hAnsi="Garamond"/>
          <w:color w:val="000000"/>
          <w:sz w:val="24"/>
          <w:szCs w:val="24"/>
          <w14:ligatures w14:val="standardContextual"/>
        </w:rPr>
        <w:t>ershor 1996, vendimi i Gjykatës së Rrethit u bë përfundimtar.</w:t>
      </w:r>
    </w:p>
    <w:p w14:paraId="0FEE5E2A" w14:textId="3F8FA306"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4. Më 30 </w:t>
      </w:r>
      <w:r w:rsidR="00A25172" w:rsidRPr="005D6486">
        <w:rPr>
          <w:rFonts w:ascii="Garamond" w:eastAsiaTheme="minorHAnsi" w:hAnsi="Garamond"/>
          <w:color w:val="000000"/>
          <w:sz w:val="24"/>
          <w:szCs w:val="24"/>
          <w14:ligatures w14:val="standardContextual"/>
        </w:rPr>
        <w:t>p</w:t>
      </w:r>
      <w:r w:rsidRPr="005D6486">
        <w:rPr>
          <w:rFonts w:ascii="Garamond" w:eastAsiaTheme="minorHAnsi" w:hAnsi="Garamond"/>
          <w:color w:val="000000"/>
          <w:sz w:val="24"/>
          <w:szCs w:val="24"/>
          <w14:ligatures w14:val="standardContextual"/>
        </w:rPr>
        <w:t xml:space="preserve">rill 2002, Gjykata e Rrethit lëshoi urdhërekzekutimin për vendimin e saj të vitit 1996. Kërkuesi i kërkoi zyrës së përmbarimit që ta zbatonte urdhrin me anë të Zyrës së Regjistrimit të Pronave të Paluajtshme, dhe me anë të Komisionit. Më 26 </w:t>
      </w:r>
      <w:r w:rsidR="00A25172" w:rsidRPr="005D6486">
        <w:rPr>
          <w:rFonts w:ascii="Garamond" w:eastAsiaTheme="minorHAnsi" w:hAnsi="Garamond"/>
          <w:color w:val="000000"/>
          <w:sz w:val="24"/>
          <w:szCs w:val="24"/>
          <w14:ligatures w14:val="standardContextual"/>
        </w:rPr>
        <w:t>s</w:t>
      </w:r>
      <w:r w:rsidRPr="005D6486">
        <w:rPr>
          <w:rFonts w:ascii="Garamond" w:eastAsiaTheme="minorHAnsi" w:hAnsi="Garamond"/>
          <w:color w:val="000000"/>
          <w:sz w:val="24"/>
          <w:szCs w:val="24"/>
          <w14:ligatures w14:val="standardContextual"/>
        </w:rPr>
        <w:t xml:space="preserve">htator 2002, përmbaruesi i ndërpreu procedurat e ekzekutimit pasi titulli i pretenduar nuk mund të regjistrohej në Regjistrin e Tokave.  </w:t>
      </w:r>
    </w:p>
    <w:p w14:paraId="469F1F1D" w14:textId="2A44A52D"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5. Më 1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ëntor 2002, Gjykata e Rrethit pranoi pjesërisht padinë e kërkuesit ndaj zyrës së përmbarimit. Ajo vendosi se vendimi i vitit 1966 nuk parashikonte rikthimin e tokës në fjalë, për këtë arsye kjo e fundit nuk mund të regjistrohej në Regjistrin e Tokës në emër të kërkuesit dhe të trashëgimtarëve të tjerë. Sidoqoftë, Gjykata e Rrethit e pranoi padinë për pjesën që kishte të bënte me procedurat ekzekutuese për njohjen e të drejtës së tyre ndaj tokës dhe e urdhëroi përmbaruesin që të vepronte sipas këtij vendimi.</w:t>
      </w:r>
    </w:p>
    <w:p w14:paraId="61797BAB" w14:textId="12FCDC61"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6. Më 7 </w:t>
      </w:r>
      <w:r w:rsidR="00A25172" w:rsidRPr="005D6486">
        <w:rPr>
          <w:rFonts w:ascii="Garamond" w:eastAsiaTheme="minorHAnsi" w:hAnsi="Garamond"/>
          <w:color w:val="000000"/>
          <w:sz w:val="24"/>
          <w:szCs w:val="24"/>
          <w14:ligatures w14:val="standardContextual"/>
        </w:rPr>
        <w:t>p</w:t>
      </w:r>
      <w:r w:rsidRPr="005D6486">
        <w:rPr>
          <w:rFonts w:ascii="Garamond" w:eastAsiaTheme="minorHAnsi" w:hAnsi="Garamond"/>
          <w:color w:val="000000"/>
          <w:sz w:val="24"/>
          <w:szCs w:val="24"/>
          <w14:ligatures w14:val="standardContextual"/>
        </w:rPr>
        <w:t>rill 2004, zyra e përmbarimit rrëzoi një kërkesë tjetër të kërkuesit, bërë në një datë të pacaktuar, me arsyetimin se vendimi i Gjykatës së Rrethit nuk ishte i zbatueshëm. Kërkuesi nuk bëri ankesë ndaj këtij vendimi.</w:t>
      </w:r>
    </w:p>
    <w:p w14:paraId="0C8A2AB0" w14:textId="2A1FE162"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7. As kërkuesi dhe as trashëgimtarët e tjerë nuk kanë paraqitur kërkesa për zbatimin e vendimit të Gjykatës së Rrethit të vitit 1996, as pranë Komisionit dhe as pranë institucioneve të tjera të linjës, </w:t>
      </w:r>
      <w:r w:rsidRPr="005D6486">
        <w:rPr>
          <w:rFonts w:ascii="Garamond" w:eastAsiaTheme="minorHAnsi" w:hAnsi="Garamond"/>
          <w:color w:val="000000"/>
          <w:sz w:val="24"/>
          <w:szCs w:val="24"/>
          <w14:ligatures w14:val="standardContextual"/>
        </w:rPr>
        <w:lastRenderedPageBreak/>
        <w:t>Agjencia për Rikthimin dhe Kompensimin e Pronave (ARKP) dhe Agjencia për Trajtimin e Pronës (ATP)</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sipas parashikimit në </w:t>
      </w:r>
      <w:r w:rsidR="00A25172" w:rsidRPr="005D6486">
        <w:rPr>
          <w:rFonts w:ascii="Garamond" w:eastAsiaTheme="minorHAnsi" w:hAnsi="Garamond"/>
          <w:color w:val="000000"/>
          <w:sz w:val="24"/>
          <w:szCs w:val="24"/>
          <w14:ligatures w14:val="standardContextual"/>
        </w:rPr>
        <w:t>l</w:t>
      </w:r>
      <w:r w:rsidRPr="005D6486">
        <w:rPr>
          <w:rFonts w:ascii="Garamond" w:eastAsiaTheme="minorHAnsi" w:hAnsi="Garamond"/>
          <w:color w:val="000000"/>
          <w:sz w:val="24"/>
          <w:szCs w:val="24"/>
          <w14:ligatures w14:val="standardContextual"/>
        </w:rPr>
        <w:t xml:space="preserve">igjin nr. 9235/2004 dhe </w:t>
      </w:r>
      <w:r w:rsidR="00A25172" w:rsidRPr="005D6486">
        <w:rPr>
          <w:rFonts w:ascii="Garamond" w:eastAsiaTheme="minorHAnsi" w:hAnsi="Garamond"/>
          <w:color w:val="000000"/>
          <w:sz w:val="24"/>
          <w:szCs w:val="24"/>
          <w14:ligatures w14:val="standardContextual"/>
        </w:rPr>
        <w:t>l</w:t>
      </w:r>
      <w:r w:rsidRPr="005D6486">
        <w:rPr>
          <w:rFonts w:ascii="Garamond" w:eastAsiaTheme="minorHAnsi" w:hAnsi="Garamond"/>
          <w:color w:val="000000"/>
          <w:sz w:val="24"/>
          <w:szCs w:val="24"/>
          <w14:ligatures w14:val="standardContextual"/>
        </w:rPr>
        <w:t>igjin nr. 133/2015.</w:t>
      </w:r>
    </w:p>
    <w:p w14:paraId="2B945411" w14:textId="4854D650"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8. Në një datë të paspecifikuar në vitin 2004, kërkuesi dhe trashëgimtarët e tjerë ngritën një padi civile sipas së cilës kërkonin anulimin e privatizimit të një fabrike tullash, të ndërtuar pjesërisht në sipërfaqen e tokës në fjalë. Më 28 </w:t>
      </w:r>
      <w:r w:rsidR="00A25172" w:rsidRPr="005D6486">
        <w:rPr>
          <w:rFonts w:ascii="Garamond" w:eastAsiaTheme="minorHAnsi" w:hAnsi="Garamond"/>
          <w:color w:val="000000"/>
          <w:sz w:val="24"/>
          <w:szCs w:val="24"/>
          <w14:ligatures w14:val="standardContextual"/>
        </w:rPr>
        <w:t>t</w:t>
      </w:r>
      <w:r w:rsidRPr="005D6486">
        <w:rPr>
          <w:rFonts w:ascii="Garamond" w:eastAsiaTheme="minorHAnsi" w:hAnsi="Garamond"/>
          <w:color w:val="000000"/>
          <w:sz w:val="24"/>
          <w:szCs w:val="24"/>
          <w14:ligatures w14:val="standardContextual"/>
        </w:rPr>
        <w:t xml:space="preserve">etor 2004, Gjykata e Rrethit Tiranë e rrëzoi padinë, duke konstatuar se paditësit nuk kishin argument juridik, pasi ata nuk kishin titull pronësie ndaj tokës. Gjykata argumentoi se nuk ekzistonte asnjë vendim nga Komisioni për rikthimin e tokës tek paditësit. Ky vendim u la në fuqi nga Gjykata e Apelit Tiranë dhe Gjykata e Lartë më 15 </w:t>
      </w:r>
      <w:r w:rsidR="00A25172" w:rsidRPr="005D6486">
        <w:rPr>
          <w:rFonts w:ascii="Garamond" w:eastAsiaTheme="minorHAnsi" w:hAnsi="Garamond"/>
          <w:color w:val="000000"/>
          <w:sz w:val="24"/>
          <w:szCs w:val="24"/>
          <w14:ligatures w14:val="standardContextual"/>
        </w:rPr>
        <w:t>m</w:t>
      </w:r>
      <w:r w:rsidRPr="005D6486">
        <w:rPr>
          <w:rFonts w:ascii="Garamond" w:eastAsiaTheme="minorHAnsi" w:hAnsi="Garamond"/>
          <w:color w:val="000000"/>
          <w:sz w:val="24"/>
          <w:szCs w:val="24"/>
          <w14:ligatures w14:val="standardContextual"/>
        </w:rPr>
        <w:t xml:space="preserve">ars dhe 23 </w:t>
      </w:r>
      <w:r w:rsidR="00A25172" w:rsidRPr="005D6486">
        <w:rPr>
          <w:rFonts w:ascii="Garamond" w:eastAsiaTheme="minorHAnsi" w:hAnsi="Garamond"/>
          <w:color w:val="000000"/>
          <w:sz w:val="24"/>
          <w:szCs w:val="24"/>
          <w14:ligatures w14:val="standardContextual"/>
        </w:rPr>
        <w:t>d</w:t>
      </w:r>
      <w:r w:rsidRPr="005D6486">
        <w:rPr>
          <w:rFonts w:ascii="Garamond" w:eastAsiaTheme="minorHAnsi" w:hAnsi="Garamond"/>
          <w:color w:val="000000"/>
          <w:sz w:val="24"/>
          <w:szCs w:val="24"/>
          <w14:ligatures w14:val="standardContextual"/>
        </w:rPr>
        <w:t xml:space="preserve">hjetor 2005, respektivisht. </w:t>
      </w:r>
    </w:p>
    <w:p w14:paraId="7469D781" w14:textId="0AD89E0E"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9. Më 13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ëntor 2011, Gjykata e Rrethit rrëzoi kërkesën për interpretimin e vendimit të saj të vitit 1996</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sipas së cilit kërkohej njohja e titullit të pronësisë ndaj sipërfaqes prej 40,000</w:t>
      </w:r>
      <w:r w:rsidR="00A25172" w:rsidRPr="005D6486">
        <w:rPr>
          <w:rFonts w:ascii="Garamond" w:eastAsiaTheme="minorHAnsi" w:hAnsi="Garamond"/>
          <w:color w:val="000000"/>
          <w:sz w:val="24"/>
          <w:szCs w:val="24"/>
          <w14:ligatures w14:val="standardContextual"/>
        </w:rPr>
        <w:t>m</w:t>
      </w:r>
      <w:r w:rsidR="00A25172" w:rsidRPr="005D6486">
        <w:rPr>
          <w:rFonts w:ascii="Garamond" w:eastAsiaTheme="minorHAnsi" w:hAnsi="Garamond"/>
          <w:color w:val="000000"/>
          <w:sz w:val="24"/>
          <w:szCs w:val="24"/>
          <w:vertAlign w:val="superscript"/>
          <w14:ligatures w14:val="standardContextual"/>
        </w:rPr>
        <w:t>2</w:t>
      </w:r>
      <w:r w:rsidR="00A25172" w:rsidRPr="005D6486">
        <w:rPr>
          <w:rFonts w:ascii="Garamond" w:eastAsiaTheme="minorHAnsi" w:hAnsi="Garamond"/>
          <w:color w:val="000000"/>
          <w:sz w:val="24"/>
          <w:szCs w:val="24"/>
          <w14:ligatures w14:val="standardContextual"/>
        </w:rPr>
        <w:t xml:space="preserve"> d</w:t>
      </w:r>
      <w:r w:rsidRPr="005D6486">
        <w:rPr>
          <w:rFonts w:ascii="Garamond" w:eastAsiaTheme="minorHAnsi" w:hAnsi="Garamond"/>
          <w:color w:val="000000"/>
          <w:sz w:val="24"/>
          <w:szCs w:val="24"/>
          <w14:ligatures w14:val="standardContextual"/>
        </w:rPr>
        <w:t xml:space="preserve">he/ose të drejtën e trashëgimtarëve për të qenë të parët për një vendimmarrje, duke konstatuar se vendimi i vitit 1996 nuk i adresonte këto problematika. Vendimi u la në fuqi nga Gjykata e Apelit Vlorë dhe Gjykata e Lartë më 4 </w:t>
      </w:r>
      <w:r w:rsidR="00A25172" w:rsidRPr="005D6486">
        <w:rPr>
          <w:rFonts w:ascii="Garamond" w:eastAsiaTheme="minorHAnsi" w:hAnsi="Garamond"/>
          <w:color w:val="000000"/>
          <w:sz w:val="24"/>
          <w:szCs w:val="24"/>
          <w14:ligatures w14:val="standardContextual"/>
        </w:rPr>
        <w:t>d</w:t>
      </w:r>
      <w:r w:rsidRPr="005D6486">
        <w:rPr>
          <w:rFonts w:ascii="Garamond" w:eastAsiaTheme="minorHAnsi" w:hAnsi="Garamond"/>
          <w:color w:val="000000"/>
          <w:sz w:val="24"/>
          <w:szCs w:val="24"/>
          <w14:ligatures w14:val="standardContextual"/>
        </w:rPr>
        <w:t xml:space="preserve">hjetor 2012 dhe 15 </w:t>
      </w:r>
      <w:r w:rsidR="00A25172" w:rsidRPr="005D6486">
        <w:rPr>
          <w:rFonts w:ascii="Garamond" w:eastAsiaTheme="minorHAnsi" w:hAnsi="Garamond"/>
          <w:color w:val="000000"/>
          <w:sz w:val="24"/>
          <w:szCs w:val="24"/>
          <w14:ligatures w14:val="standardContextual"/>
        </w:rPr>
        <w:t>t</w:t>
      </w:r>
      <w:r w:rsidRPr="005D6486">
        <w:rPr>
          <w:rFonts w:ascii="Garamond" w:eastAsiaTheme="minorHAnsi" w:hAnsi="Garamond"/>
          <w:color w:val="000000"/>
          <w:sz w:val="24"/>
          <w:szCs w:val="24"/>
          <w14:ligatures w14:val="standardContextual"/>
        </w:rPr>
        <w:t xml:space="preserve">etor 2015, respektivisht. </w:t>
      </w:r>
    </w:p>
    <w:p w14:paraId="1B7D6D12" w14:textId="333434F6"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10. Sipas palëve, nuk ka pasur zhvillime të reja në këtë çështje pas këtij momenti.</w:t>
      </w:r>
    </w:p>
    <w:p w14:paraId="3DBF6B77" w14:textId="77777777"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LEGJISLACIONI PËRKATËS I BRENDSHËM </w:t>
      </w:r>
    </w:p>
    <w:p w14:paraId="269E4D06" w14:textId="5135F12F"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11. Legjislacioni përkatës i brendshëm</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në lidhje me rikthimin dhe kompensimin e pronave</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përshkruhet në detaje, </w:t>
      </w:r>
      <w:r w:rsidRPr="005D6486">
        <w:rPr>
          <w:rFonts w:ascii="Garamond" w:eastAsiaTheme="minorHAnsi" w:hAnsi="Garamond"/>
          <w:i/>
          <w:iCs/>
          <w:color w:val="000000"/>
          <w:sz w:val="24"/>
          <w:szCs w:val="24"/>
          <w14:ligatures w14:val="standardContextual"/>
        </w:rPr>
        <w:t>inter alia</w:t>
      </w:r>
      <w:r w:rsidRPr="005D6486">
        <w:rPr>
          <w:rFonts w:ascii="Garamond" w:eastAsiaTheme="minorHAnsi" w:hAnsi="Garamond"/>
          <w:color w:val="000000"/>
          <w:sz w:val="24"/>
          <w:szCs w:val="24"/>
          <w14:ligatures w14:val="standardContextual"/>
        </w:rPr>
        <w:t xml:space="preserve">, në vendimet </w:t>
      </w:r>
      <w:r w:rsidRPr="005D6486">
        <w:rPr>
          <w:rFonts w:ascii="Garamond" w:eastAsiaTheme="minorHAnsi" w:hAnsi="Garamond"/>
          <w:i/>
          <w:iCs/>
          <w:color w:val="000000"/>
          <w:sz w:val="24"/>
          <w:szCs w:val="24"/>
          <w14:ligatures w14:val="standardContextual"/>
        </w:rPr>
        <w:t xml:space="preserve">Gjonbocari dhe të Tjerë kundër Shqipërisë </w:t>
      </w:r>
      <w:r w:rsidRPr="005D6486">
        <w:rPr>
          <w:rFonts w:ascii="Garamond" w:eastAsiaTheme="minorHAnsi" w:hAnsi="Garamond"/>
          <w:color w:val="000000"/>
          <w:sz w:val="24"/>
          <w:szCs w:val="24"/>
          <w14:ligatures w14:val="standardContextual"/>
        </w:rPr>
        <w:t>(nr. 10508/02, §§ 36</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43, 23 </w:t>
      </w:r>
      <w:r w:rsidR="00A25172" w:rsidRPr="005D6486">
        <w:rPr>
          <w:rFonts w:ascii="Garamond" w:eastAsiaTheme="minorHAnsi" w:hAnsi="Garamond"/>
          <w:color w:val="000000"/>
          <w:sz w:val="24"/>
          <w:szCs w:val="24"/>
          <w14:ligatures w14:val="standardContextual"/>
        </w:rPr>
        <w:t>t</w:t>
      </w:r>
      <w:r w:rsidRPr="005D6486">
        <w:rPr>
          <w:rFonts w:ascii="Garamond" w:eastAsiaTheme="minorHAnsi" w:hAnsi="Garamond"/>
          <w:color w:val="000000"/>
          <w:sz w:val="24"/>
          <w:szCs w:val="24"/>
          <w14:ligatures w14:val="standardContextual"/>
        </w:rPr>
        <w:t xml:space="preserve">etor 2007) dhe </w:t>
      </w:r>
      <w:r w:rsidRPr="005D6486">
        <w:rPr>
          <w:rFonts w:ascii="Garamond" w:eastAsiaTheme="minorHAnsi" w:hAnsi="Garamond"/>
          <w:i/>
          <w:iCs/>
          <w:color w:val="000000"/>
          <w:sz w:val="24"/>
          <w:szCs w:val="24"/>
          <w14:ligatures w14:val="standardContextual"/>
        </w:rPr>
        <w:t xml:space="preserve">Manushaqe Puto dhe të </w:t>
      </w:r>
      <w:r w:rsidR="00A25172" w:rsidRPr="005D6486">
        <w:rPr>
          <w:rFonts w:ascii="Garamond" w:eastAsiaTheme="minorHAnsi" w:hAnsi="Garamond"/>
          <w:i/>
          <w:iCs/>
          <w:color w:val="000000"/>
          <w:sz w:val="24"/>
          <w:szCs w:val="24"/>
          <w14:ligatures w14:val="standardContextual"/>
        </w:rPr>
        <w:t>t</w:t>
      </w:r>
      <w:r w:rsidRPr="005D6486">
        <w:rPr>
          <w:rFonts w:ascii="Garamond" w:eastAsiaTheme="minorHAnsi" w:hAnsi="Garamond"/>
          <w:i/>
          <w:iCs/>
          <w:color w:val="000000"/>
          <w:sz w:val="24"/>
          <w:szCs w:val="24"/>
          <w14:ligatures w14:val="standardContextual"/>
        </w:rPr>
        <w:t xml:space="preserve">jerë kundër Shqipërisë </w:t>
      </w:r>
      <w:r w:rsidRPr="005D6486">
        <w:rPr>
          <w:rFonts w:ascii="Garamond" w:eastAsiaTheme="minorHAnsi" w:hAnsi="Garamond"/>
          <w:color w:val="000000"/>
          <w:sz w:val="24"/>
          <w:szCs w:val="24"/>
          <w14:ligatures w14:val="standardContextual"/>
        </w:rPr>
        <w:t>(nr. 604/07 dhe 3 të tjerë, §§ 23</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53, 31 </w:t>
      </w:r>
      <w:r w:rsidR="00A25172" w:rsidRPr="005D6486">
        <w:rPr>
          <w:rFonts w:ascii="Garamond" w:eastAsiaTheme="minorHAnsi" w:hAnsi="Garamond"/>
          <w:color w:val="000000"/>
          <w:sz w:val="24"/>
          <w:szCs w:val="24"/>
          <w14:ligatures w14:val="standardContextual"/>
        </w:rPr>
        <w:t>k</w:t>
      </w:r>
      <w:r w:rsidRPr="005D6486">
        <w:rPr>
          <w:rFonts w:ascii="Garamond" w:eastAsiaTheme="minorHAnsi" w:hAnsi="Garamond"/>
          <w:color w:val="000000"/>
          <w:sz w:val="24"/>
          <w:szCs w:val="24"/>
          <w14:ligatures w14:val="standardContextual"/>
        </w:rPr>
        <w:t xml:space="preserve">orrik 2012). </w:t>
      </w:r>
    </w:p>
    <w:p w14:paraId="21FD93DB" w14:textId="5F15C402"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12. Një përmbledhje e legjislacionit dhe praktikës përkatëse të brendshme</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në lidhje me </w:t>
      </w:r>
      <w:r w:rsidR="00A25172" w:rsidRPr="005D6486">
        <w:rPr>
          <w:rFonts w:ascii="Garamond" w:eastAsiaTheme="minorHAnsi" w:hAnsi="Garamond"/>
          <w:color w:val="000000"/>
          <w:sz w:val="24"/>
          <w:szCs w:val="24"/>
          <w14:ligatures w14:val="standardContextual"/>
        </w:rPr>
        <w:t>l</w:t>
      </w:r>
      <w:r w:rsidRPr="005D6486">
        <w:rPr>
          <w:rFonts w:ascii="Garamond" w:eastAsiaTheme="minorHAnsi" w:hAnsi="Garamond"/>
          <w:color w:val="000000"/>
          <w:sz w:val="24"/>
          <w:szCs w:val="24"/>
          <w14:ligatures w14:val="standardContextual"/>
        </w:rPr>
        <w:t>igjin nr. 133/2015</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të datës 5 </w:t>
      </w:r>
      <w:r w:rsidR="00A25172" w:rsidRPr="005D6486">
        <w:rPr>
          <w:rFonts w:ascii="Garamond" w:eastAsiaTheme="minorHAnsi" w:hAnsi="Garamond"/>
          <w:color w:val="000000"/>
          <w:sz w:val="24"/>
          <w:szCs w:val="24"/>
          <w14:ligatures w14:val="standardContextual"/>
        </w:rPr>
        <w:t>d</w:t>
      </w:r>
      <w:r w:rsidRPr="005D6486">
        <w:rPr>
          <w:rFonts w:ascii="Garamond" w:eastAsiaTheme="minorHAnsi" w:hAnsi="Garamond"/>
          <w:color w:val="000000"/>
          <w:sz w:val="24"/>
          <w:szCs w:val="24"/>
          <w14:ligatures w14:val="standardContextual"/>
        </w:rPr>
        <w:t>hjetor 2015</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për Trajtimin e Pronës dhe Finalizimin e Procesit të Kompensimit të Pronave (Ligji i Pronave 2015) paraqitet në çështjen </w:t>
      </w:r>
      <w:r w:rsidRPr="005D6486">
        <w:rPr>
          <w:rFonts w:ascii="Garamond" w:eastAsiaTheme="minorHAnsi" w:hAnsi="Garamond"/>
          <w:i/>
          <w:iCs/>
          <w:color w:val="000000"/>
          <w:sz w:val="24"/>
          <w:szCs w:val="24"/>
          <w14:ligatures w14:val="standardContextual"/>
        </w:rPr>
        <w:t>Beshiri dhe të tjerë kundër Shqipërisë</w:t>
      </w:r>
      <w:r w:rsidRPr="005D6486">
        <w:rPr>
          <w:rFonts w:ascii="Garamond" w:eastAsiaTheme="minorHAnsi" w:hAnsi="Garamond"/>
          <w:color w:val="000000"/>
          <w:sz w:val="24"/>
          <w:szCs w:val="24"/>
          <w14:ligatures w14:val="standardContextual"/>
        </w:rPr>
        <w:t xml:space="preserve"> (vendim), nr. 29026/06 dhe 11 të tjerë, §§ 29</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109, 17 </w:t>
      </w:r>
      <w:r w:rsidR="00A25172" w:rsidRPr="005D6486">
        <w:rPr>
          <w:rFonts w:ascii="Garamond" w:eastAsiaTheme="minorHAnsi" w:hAnsi="Garamond"/>
          <w:color w:val="000000"/>
          <w:sz w:val="24"/>
          <w:szCs w:val="24"/>
          <w14:ligatures w14:val="standardContextual"/>
        </w:rPr>
        <w:t>m</w:t>
      </w:r>
      <w:r w:rsidRPr="005D6486">
        <w:rPr>
          <w:rFonts w:ascii="Garamond" w:eastAsiaTheme="minorHAnsi" w:hAnsi="Garamond"/>
          <w:color w:val="000000"/>
          <w:sz w:val="24"/>
          <w:szCs w:val="24"/>
          <w14:ligatures w14:val="standardContextual"/>
        </w:rPr>
        <w:t xml:space="preserve">ars 2020). </w:t>
      </w:r>
    </w:p>
    <w:p w14:paraId="52F15908" w14:textId="77777777"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VLERËSIMI I GJYKATËS</w:t>
      </w:r>
    </w:p>
    <w:p w14:paraId="396817C2" w14:textId="3A2671EE"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13. Kërkuesi u ankua mbështetur në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 xml:space="preserve">enin 6 § 1 të Konventës për kohëzgjatjen e zbatimit të vendimit të Gjykatës së Rrethit të datës 16 </w:t>
      </w:r>
      <w:r w:rsidR="00A25172" w:rsidRPr="005D6486">
        <w:rPr>
          <w:rFonts w:ascii="Garamond" w:eastAsiaTheme="minorHAnsi" w:hAnsi="Garamond"/>
          <w:color w:val="000000"/>
          <w:sz w:val="24"/>
          <w:szCs w:val="24"/>
          <w14:ligatures w14:val="standardContextual"/>
        </w:rPr>
        <w:t>j</w:t>
      </w:r>
      <w:r w:rsidRPr="005D6486">
        <w:rPr>
          <w:rFonts w:ascii="Garamond" w:eastAsiaTheme="minorHAnsi" w:hAnsi="Garamond"/>
          <w:color w:val="000000"/>
          <w:sz w:val="24"/>
          <w:szCs w:val="24"/>
          <w14:ligatures w14:val="standardContextual"/>
        </w:rPr>
        <w:t>anar 1996, me pretendimin se deri në atë datë Komisioni nuk kishte lëshuar ndonjë vendim për çështjen e tij.</w:t>
      </w:r>
    </w:p>
    <w:p w14:paraId="69644909" w14:textId="6FED8336"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14. Qeveria parashtroi se në mënyrë që të jepej një vendim përfundimtar për kërkuesin ndaj të drejtave të tij të njohura të pronësisë, ai do të duhej të niste procedura administrative pranë Komisionit. Më pas, Komisioni do të gjykonte nëse do të vendoste për rikthimin e tokës së tij plotësisht ose pjesërisht, ose për çdo formë tjetër kompensimi sipas parashikimit të ligjit. Gjykata argumentoi se kërkuesi nuk kishte ndjekur procedurën e duhur juridike për zbatimin e vendimit në fjalë.</w:t>
      </w:r>
    </w:p>
    <w:p w14:paraId="4752DD1F" w14:textId="4C29D94A"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15. Kërkuesi pretendoi se ai kishte shteruar të gjitha procedurat e disponueshme të gjykatës. </w:t>
      </w:r>
    </w:p>
    <w:p w14:paraId="50F9DBF5" w14:textId="400F9BC9"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16. Gjykata përsërit se ekzekutimi i një vendimi dhënë nga cilado gjykatë duhet të konsiderohet si një pjesë integrale e “seancës dëgjimore”</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sipas parashikimit në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enin 6. Gjithashtu, ajo i referohet praktikës së saj gjyqësore</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në lidhje me mosekzekutimin ose ekzekutimin e vonuar të vendimeve të brendshme të formës së prerë (shih </w:t>
      </w:r>
      <w:r w:rsidRPr="005D6486">
        <w:rPr>
          <w:rFonts w:ascii="Garamond" w:eastAsiaTheme="minorHAnsi" w:hAnsi="Garamond"/>
          <w:i/>
          <w:iCs/>
          <w:color w:val="000000"/>
          <w:sz w:val="24"/>
          <w:szCs w:val="24"/>
          <w14:ligatures w14:val="standardContextual"/>
        </w:rPr>
        <w:t xml:space="preserve">Hornsby kundër Greqisë, </w:t>
      </w:r>
      <w:r w:rsidRPr="005D6486">
        <w:rPr>
          <w:rFonts w:ascii="Garamond" w:eastAsiaTheme="minorHAnsi" w:hAnsi="Garamond"/>
          <w:color w:val="000000"/>
          <w:sz w:val="24"/>
          <w:szCs w:val="24"/>
          <w14:ligatures w14:val="standardContextual"/>
        </w:rPr>
        <w:t xml:space="preserve">19 </w:t>
      </w:r>
      <w:r w:rsidR="00A25172" w:rsidRPr="005D6486">
        <w:rPr>
          <w:rFonts w:ascii="Garamond" w:eastAsiaTheme="minorHAnsi" w:hAnsi="Garamond"/>
          <w:color w:val="000000"/>
          <w:sz w:val="24"/>
          <w:szCs w:val="24"/>
          <w14:ligatures w14:val="standardContextual"/>
        </w:rPr>
        <w:t>m</w:t>
      </w:r>
      <w:r w:rsidRPr="005D6486">
        <w:rPr>
          <w:rFonts w:ascii="Garamond" w:eastAsiaTheme="minorHAnsi" w:hAnsi="Garamond"/>
          <w:color w:val="000000"/>
          <w:sz w:val="24"/>
          <w:szCs w:val="24"/>
          <w14:ligatures w14:val="standardContextual"/>
        </w:rPr>
        <w:t xml:space="preserve">ars 1997, § 40, </w:t>
      </w:r>
      <w:r w:rsidRPr="005D6486">
        <w:rPr>
          <w:rFonts w:ascii="Garamond" w:eastAsiaTheme="minorHAnsi" w:hAnsi="Garamond"/>
          <w:i/>
          <w:iCs/>
          <w:color w:val="000000"/>
          <w:sz w:val="24"/>
          <w:szCs w:val="24"/>
          <w14:ligatures w14:val="standardContextual"/>
        </w:rPr>
        <w:t xml:space="preserve">Raporte të Gjykimeve dhe </w:t>
      </w:r>
      <w:r w:rsidR="00A25172" w:rsidRPr="005D6486">
        <w:rPr>
          <w:rFonts w:ascii="Garamond" w:eastAsiaTheme="minorHAnsi" w:hAnsi="Garamond"/>
          <w:i/>
          <w:iCs/>
          <w:color w:val="000000"/>
          <w:sz w:val="24"/>
          <w:szCs w:val="24"/>
          <w14:ligatures w14:val="standardContextual"/>
        </w:rPr>
        <w:t>v</w:t>
      </w:r>
      <w:r w:rsidRPr="005D6486">
        <w:rPr>
          <w:rFonts w:ascii="Garamond" w:eastAsiaTheme="minorHAnsi" w:hAnsi="Garamond"/>
          <w:i/>
          <w:iCs/>
          <w:color w:val="000000"/>
          <w:sz w:val="24"/>
          <w:szCs w:val="24"/>
          <w14:ligatures w14:val="standardContextual"/>
        </w:rPr>
        <w:t>endimeve</w:t>
      </w:r>
      <w:r w:rsidRPr="005D6486">
        <w:rPr>
          <w:rFonts w:ascii="Garamond" w:eastAsiaTheme="minorHAnsi" w:hAnsi="Garamond"/>
          <w:color w:val="000000"/>
          <w:sz w:val="24"/>
          <w:szCs w:val="24"/>
          <w14:ligatures w14:val="standardContextual"/>
        </w:rPr>
        <w:t xml:space="preserve"> 1997-II, dhe </w:t>
      </w:r>
      <w:r w:rsidRPr="005D6486">
        <w:rPr>
          <w:rFonts w:ascii="Garamond" w:eastAsiaTheme="minorHAnsi" w:hAnsi="Garamond"/>
          <w:i/>
          <w:iCs/>
          <w:color w:val="000000"/>
          <w:sz w:val="24"/>
          <w:szCs w:val="24"/>
          <w14:ligatures w14:val="standardContextual"/>
        </w:rPr>
        <w:t>Stoyanov dhe Tabakov kundër Bullgarisë (nr.</w:t>
      </w:r>
      <w:r w:rsidR="00A25172" w:rsidRPr="005D6486">
        <w:rPr>
          <w:rFonts w:ascii="Garamond" w:eastAsiaTheme="minorHAnsi" w:hAnsi="Garamond"/>
          <w:i/>
          <w:iCs/>
          <w:color w:val="000000"/>
          <w:sz w:val="24"/>
          <w:szCs w:val="24"/>
          <w14:ligatures w14:val="standardContextual"/>
        </w:rPr>
        <w:t xml:space="preserve"> </w:t>
      </w:r>
      <w:r w:rsidRPr="005D6486">
        <w:rPr>
          <w:rFonts w:ascii="Garamond" w:eastAsiaTheme="minorHAnsi" w:hAnsi="Garamond"/>
          <w:i/>
          <w:iCs/>
          <w:color w:val="000000"/>
          <w:sz w:val="24"/>
          <w:szCs w:val="24"/>
          <w14:ligatures w14:val="standardContextual"/>
        </w:rPr>
        <w:t xml:space="preserve">2), </w:t>
      </w:r>
      <w:r w:rsidRPr="005D6486">
        <w:rPr>
          <w:rFonts w:ascii="Garamond" w:eastAsiaTheme="minorHAnsi" w:hAnsi="Garamond"/>
          <w:color w:val="000000"/>
          <w:sz w:val="24"/>
          <w:szCs w:val="24"/>
          <w14:ligatures w14:val="standardContextual"/>
        </w:rPr>
        <w:t>nr. 64387/14, §</w:t>
      </w:r>
      <w:r w:rsidRPr="005D6486">
        <w:rPr>
          <w:rFonts w:ascii="Garamond" w:eastAsiaTheme="minorHAnsi" w:hAnsi="Garamond"/>
          <w:i/>
          <w:iCs/>
          <w:color w:val="000000"/>
          <w:sz w:val="24"/>
          <w:szCs w:val="24"/>
          <w14:ligatures w14:val="standardContextual"/>
        </w:rPr>
        <w:t xml:space="preserve"> 47</w:t>
      </w:r>
      <w:r w:rsidRPr="005D6486">
        <w:rPr>
          <w:rFonts w:ascii="Garamond" w:eastAsiaTheme="minorHAnsi" w:hAnsi="Garamond"/>
          <w:color w:val="000000"/>
          <w:sz w:val="24"/>
          <w:szCs w:val="24"/>
          <w14:ligatures w14:val="standardContextual"/>
        </w:rPr>
        <w:t xml:space="preserve">, 7 </w:t>
      </w:r>
      <w:r w:rsidR="00A25172" w:rsidRPr="005D6486">
        <w:rPr>
          <w:rFonts w:ascii="Garamond" w:eastAsiaTheme="minorHAnsi" w:hAnsi="Garamond"/>
          <w:color w:val="000000"/>
          <w:sz w:val="24"/>
          <w:szCs w:val="24"/>
          <w14:ligatures w14:val="standardContextual"/>
        </w:rPr>
        <w:t>d</w:t>
      </w:r>
      <w:r w:rsidRPr="005D6486">
        <w:rPr>
          <w:rFonts w:ascii="Garamond" w:eastAsiaTheme="minorHAnsi" w:hAnsi="Garamond"/>
          <w:color w:val="000000"/>
          <w:sz w:val="24"/>
          <w:szCs w:val="24"/>
          <w14:ligatures w14:val="standardContextual"/>
        </w:rPr>
        <w:t xml:space="preserve">hjetor 2021). </w:t>
      </w:r>
    </w:p>
    <w:p w14:paraId="1C781CD9" w14:textId="694B000C"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17. Parimet e përgjithshme për shterimin e mjeteve vendase janë përmbledhur në </w:t>
      </w:r>
      <w:r w:rsidRPr="005D6486">
        <w:rPr>
          <w:rFonts w:ascii="Garamond" w:eastAsiaTheme="minorHAnsi" w:hAnsi="Garamond"/>
          <w:i/>
          <w:iCs/>
          <w:color w:val="000000"/>
          <w:sz w:val="24"/>
          <w:szCs w:val="24"/>
          <w14:ligatures w14:val="standardContextual"/>
        </w:rPr>
        <w:t>Vučković</w:t>
      </w:r>
      <w:r w:rsidRPr="005D6486">
        <w:rPr>
          <w:rFonts w:ascii="Garamond" w:eastAsiaTheme="minorHAnsi" w:hAnsi="Garamond"/>
          <w:color w:val="000000"/>
          <w:sz w:val="24"/>
          <w:szCs w:val="24"/>
          <w14:ligatures w14:val="standardContextual"/>
        </w:rPr>
        <w:t xml:space="preserve"> </w:t>
      </w:r>
      <w:r w:rsidRPr="005D6486">
        <w:rPr>
          <w:rFonts w:ascii="Garamond" w:eastAsiaTheme="minorHAnsi" w:hAnsi="Garamond"/>
          <w:i/>
          <w:iCs/>
          <w:color w:val="000000"/>
          <w:sz w:val="24"/>
          <w:szCs w:val="24"/>
          <w14:ligatures w14:val="standardContextual"/>
        </w:rPr>
        <w:t xml:space="preserve">dhe të </w:t>
      </w:r>
      <w:r w:rsidR="00A25172" w:rsidRPr="005D6486">
        <w:rPr>
          <w:rFonts w:ascii="Garamond" w:eastAsiaTheme="minorHAnsi" w:hAnsi="Garamond"/>
          <w:i/>
          <w:iCs/>
          <w:color w:val="000000"/>
          <w:sz w:val="24"/>
          <w:szCs w:val="24"/>
          <w14:ligatures w14:val="standardContextual"/>
        </w:rPr>
        <w:t>t</w:t>
      </w:r>
      <w:r w:rsidRPr="005D6486">
        <w:rPr>
          <w:rFonts w:ascii="Garamond" w:eastAsiaTheme="minorHAnsi" w:hAnsi="Garamond"/>
          <w:i/>
          <w:iCs/>
          <w:color w:val="000000"/>
          <w:sz w:val="24"/>
          <w:szCs w:val="24"/>
          <w14:ligatures w14:val="standardContextual"/>
        </w:rPr>
        <w:t>jerë kundër</w:t>
      </w:r>
      <w:r w:rsidRPr="005D6486">
        <w:rPr>
          <w:rFonts w:ascii="Garamond" w:eastAsiaTheme="minorHAnsi" w:hAnsi="Garamond"/>
          <w:color w:val="000000"/>
          <w:sz w:val="24"/>
          <w:szCs w:val="24"/>
          <w14:ligatures w14:val="standardContextual"/>
        </w:rPr>
        <w:t xml:space="preserve"> </w:t>
      </w:r>
      <w:r w:rsidRPr="005D6486">
        <w:rPr>
          <w:rFonts w:ascii="Garamond" w:eastAsiaTheme="minorHAnsi" w:hAnsi="Garamond"/>
          <w:i/>
          <w:iCs/>
          <w:color w:val="000000"/>
          <w:sz w:val="24"/>
          <w:szCs w:val="24"/>
          <w14:ligatures w14:val="standardContextual"/>
        </w:rPr>
        <w:t xml:space="preserve">Serbisë </w:t>
      </w:r>
      <w:r w:rsidRPr="005D6486">
        <w:rPr>
          <w:rFonts w:ascii="Garamond" w:eastAsiaTheme="minorHAnsi" w:hAnsi="Garamond"/>
          <w:color w:val="000000"/>
          <w:sz w:val="24"/>
          <w:szCs w:val="24"/>
          <w14:ligatures w14:val="standardContextual"/>
        </w:rPr>
        <w:t>(kundërshtim paraprak) ([DHM]), nr. 17153/11 dhe 29 të tjerë, nr. 42219/07, §§ 83</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89, 9 </w:t>
      </w:r>
      <w:r w:rsidR="00A25172" w:rsidRPr="005D6486">
        <w:rPr>
          <w:rFonts w:ascii="Garamond" w:eastAsiaTheme="minorHAnsi" w:hAnsi="Garamond"/>
          <w:color w:val="000000"/>
          <w:sz w:val="24"/>
          <w:szCs w:val="24"/>
          <w14:ligatures w14:val="standardContextual"/>
        </w:rPr>
        <w:t>k</w:t>
      </w:r>
      <w:r w:rsidRPr="005D6486">
        <w:rPr>
          <w:rFonts w:ascii="Garamond" w:eastAsiaTheme="minorHAnsi" w:hAnsi="Garamond"/>
          <w:color w:val="000000"/>
          <w:sz w:val="24"/>
          <w:szCs w:val="24"/>
          <w14:ligatures w14:val="standardContextual"/>
        </w:rPr>
        <w:t xml:space="preserve">orrik 2015). </w:t>
      </w:r>
    </w:p>
    <w:p w14:paraId="46F77850" w14:textId="7B649D74"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18. Në çështjen e cituar më sipër, </w:t>
      </w:r>
      <w:r w:rsidRPr="005D6486">
        <w:rPr>
          <w:rFonts w:ascii="Garamond" w:eastAsiaTheme="minorHAnsi" w:hAnsi="Garamond"/>
          <w:i/>
          <w:iCs/>
          <w:color w:val="000000"/>
          <w:sz w:val="24"/>
          <w:szCs w:val="24"/>
          <w14:ligatures w14:val="standardContextual"/>
        </w:rPr>
        <w:t xml:space="preserve">Beshiri dhe të Tjerë, </w:t>
      </w:r>
      <w:r w:rsidRPr="005D6486">
        <w:rPr>
          <w:rFonts w:ascii="Garamond" w:eastAsiaTheme="minorHAnsi" w:hAnsi="Garamond"/>
          <w:color w:val="000000"/>
          <w:sz w:val="24"/>
          <w:szCs w:val="24"/>
          <w14:ligatures w14:val="standardContextual"/>
        </w:rPr>
        <w:t xml:space="preserve">Gjykata vlerësonte se </w:t>
      </w:r>
      <w:r w:rsidR="00A25172" w:rsidRPr="005D6486">
        <w:rPr>
          <w:rFonts w:ascii="Garamond" w:eastAsiaTheme="minorHAnsi" w:hAnsi="Garamond"/>
          <w:color w:val="000000"/>
          <w:sz w:val="24"/>
          <w:szCs w:val="24"/>
          <w14:ligatures w14:val="standardContextual"/>
        </w:rPr>
        <w:t xml:space="preserve">Ligji i Pronës </w:t>
      </w:r>
      <w:r w:rsidRPr="005D6486">
        <w:rPr>
          <w:rFonts w:ascii="Garamond" w:eastAsiaTheme="minorHAnsi" w:hAnsi="Garamond"/>
          <w:color w:val="000000"/>
          <w:sz w:val="24"/>
          <w:szCs w:val="24"/>
          <w14:ligatures w14:val="standardContextual"/>
        </w:rPr>
        <w:t xml:space="preserve">2015 ishte përgatitur për të adresuar çështjen e zbatimit të së drejtës së ish-pronarëve për kompensim në një mënyrë efektive dhe kuptimplotë, duke marrë në konsideratë kërkesat e Konventës, dhe se </w:t>
      </w:r>
      <w:r w:rsidR="00A25172" w:rsidRPr="005D6486">
        <w:rPr>
          <w:rFonts w:ascii="Garamond" w:eastAsiaTheme="minorHAnsi" w:hAnsi="Garamond"/>
          <w:color w:val="000000"/>
          <w:sz w:val="24"/>
          <w:szCs w:val="24"/>
          <w14:ligatures w14:val="standardContextual"/>
        </w:rPr>
        <w:t xml:space="preserve">Ligji </w:t>
      </w:r>
      <w:r w:rsidRPr="005D6486">
        <w:rPr>
          <w:rFonts w:ascii="Garamond" w:eastAsiaTheme="minorHAnsi" w:hAnsi="Garamond"/>
          <w:color w:val="000000"/>
          <w:sz w:val="24"/>
          <w:szCs w:val="24"/>
          <w14:ligatures w14:val="standardContextual"/>
        </w:rPr>
        <w:t xml:space="preserve">i </w:t>
      </w:r>
      <w:r w:rsidR="00A25172" w:rsidRPr="005D6486">
        <w:rPr>
          <w:rFonts w:ascii="Garamond" w:eastAsiaTheme="minorHAnsi" w:hAnsi="Garamond"/>
          <w:color w:val="000000"/>
          <w:sz w:val="24"/>
          <w:szCs w:val="24"/>
          <w14:ligatures w14:val="standardContextual"/>
        </w:rPr>
        <w:t xml:space="preserve">Pronës </w:t>
      </w:r>
      <w:r w:rsidRPr="005D6486">
        <w:rPr>
          <w:rFonts w:ascii="Garamond" w:eastAsiaTheme="minorHAnsi" w:hAnsi="Garamond"/>
          <w:color w:val="000000"/>
          <w:sz w:val="24"/>
          <w:szCs w:val="24"/>
          <w14:ligatures w14:val="standardContextual"/>
        </w:rPr>
        <w:t xml:space="preserve">zbatohej për të gjithë individët që paraqisnin një kërkesë pranë Gjykatës përpara hyrjes në fuqi të Ligjit të Pronës 2015 (shih, veçanërisht, §§ 215 dhe 217; shih edhe </w:t>
      </w:r>
      <w:r w:rsidRPr="005D6486">
        <w:rPr>
          <w:rFonts w:ascii="Garamond" w:eastAsiaTheme="minorHAnsi" w:hAnsi="Garamond"/>
          <w:i/>
          <w:iCs/>
          <w:color w:val="000000"/>
          <w:sz w:val="24"/>
          <w:szCs w:val="24"/>
          <w14:ligatures w14:val="standardContextual"/>
        </w:rPr>
        <w:t>Ruçi dhe Bejleri kundër Shqipërisë</w:t>
      </w:r>
      <w:r w:rsidRPr="005D6486">
        <w:rPr>
          <w:rFonts w:ascii="Garamond" w:eastAsiaTheme="minorHAnsi" w:hAnsi="Garamond"/>
          <w:color w:val="000000"/>
          <w:sz w:val="24"/>
          <w:szCs w:val="24"/>
          <w14:ligatures w14:val="standardContextual"/>
        </w:rPr>
        <w:t xml:space="preserve"> (vendim) [Komiteti], nr. 56937/10 dhe 191 të tjerë, §§ 7</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14 dhe 21 e në vijim, 20 </w:t>
      </w:r>
      <w:r w:rsidR="00A25172" w:rsidRPr="005D6486">
        <w:rPr>
          <w:rFonts w:ascii="Garamond" w:eastAsiaTheme="minorHAnsi" w:hAnsi="Garamond"/>
          <w:color w:val="000000"/>
          <w:sz w:val="24"/>
          <w:szCs w:val="24"/>
          <w14:ligatures w14:val="standardContextual"/>
        </w:rPr>
        <w:t>p</w:t>
      </w:r>
      <w:r w:rsidRPr="005D6486">
        <w:rPr>
          <w:rFonts w:ascii="Garamond" w:eastAsiaTheme="minorHAnsi" w:hAnsi="Garamond"/>
          <w:color w:val="000000"/>
          <w:sz w:val="24"/>
          <w:szCs w:val="24"/>
          <w14:ligatures w14:val="standardContextual"/>
        </w:rPr>
        <w:t xml:space="preserve">rill 2021). </w:t>
      </w:r>
    </w:p>
    <w:p w14:paraId="1ECF79D8" w14:textId="557881E9"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19. Gjykata thekson se vendimi i Gjykatës së Rrethit</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i datës 16 </w:t>
      </w:r>
      <w:r w:rsidR="00A25172" w:rsidRPr="005D6486">
        <w:rPr>
          <w:rFonts w:ascii="Garamond" w:eastAsiaTheme="minorHAnsi" w:hAnsi="Garamond"/>
          <w:color w:val="000000"/>
          <w:sz w:val="24"/>
          <w:szCs w:val="24"/>
          <w14:ligatures w14:val="standardContextual"/>
        </w:rPr>
        <w:t>j</w:t>
      </w:r>
      <w:r w:rsidRPr="005D6486">
        <w:rPr>
          <w:rFonts w:ascii="Garamond" w:eastAsiaTheme="minorHAnsi" w:hAnsi="Garamond"/>
          <w:color w:val="000000"/>
          <w:sz w:val="24"/>
          <w:szCs w:val="24"/>
          <w14:ligatures w14:val="standardContextual"/>
        </w:rPr>
        <w:t>anar 1996</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njihte të drejtat e trashëguara të kërkuesit ndaj një sipërfaqe toke me përmasa 40,000 </w:t>
      </w:r>
      <w:r w:rsidR="00A25172" w:rsidRPr="005D6486">
        <w:rPr>
          <w:rFonts w:ascii="Garamond" w:eastAsiaTheme="minorHAnsi" w:hAnsi="Garamond"/>
          <w:color w:val="000000"/>
          <w:sz w:val="24"/>
          <w:szCs w:val="24"/>
          <w14:ligatures w14:val="standardContextual"/>
        </w:rPr>
        <w:t>m</w:t>
      </w:r>
      <w:r w:rsidR="00A25172" w:rsidRPr="005D6486">
        <w:rPr>
          <w:rFonts w:ascii="Garamond" w:eastAsiaTheme="minorHAnsi" w:hAnsi="Garamond"/>
          <w:color w:val="000000"/>
          <w:sz w:val="24"/>
          <w:szCs w:val="24"/>
          <w:vertAlign w:val="superscript"/>
          <w14:ligatures w14:val="standardContextual"/>
        </w:rPr>
        <w:t>2</w:t>
      </w:r>
      <w:r w:rsidRPr="005D6486">
        <w:rPr>
          <w:rFonts w:ascii="Garamond" w:eastAsiaTheme="minorHAnsi" w:hAnsi="Garamond"/>
          <w:color w:val="000000"/>
          <w:sz w:val="24"/>
          <w:szCs w:val="24"/>
          <w14:ligatures w14:val="standardContextual"/>
        </w:rPr>
        <w:t xml:space="preserve">, por nuk mbante një pozicion për formën ekzakte të rikthimit ose të kompensimit të asaj prone. Sipas parashikimeve </w:t>
      </w:r>
      <w:r w:rsidRPr="005D6486">
        <w:rPr>
          <w:rFonts w:ascii="Garamond" w:eastAsiaTheme="minorHAnsi" w:hAnsi="Garamond"/>
          <w:color w:val="000000"/>
          <w:sz w:val="24"/>
          <w:szCs w:val="24"/>
          <w14:ligatures w14:val="standardContextual"/>
        </w:rPr>
        <w:lastRenderedPageBreak/>
        <w:t>ligjore në fuqi në atë periudhë, ish-pronarët e pronave të shpronësuar nga regjimi Komunist, ose trashëgimtarët e tyre ligjorë, kishin të drejtën për të kërkuar pronësinë e pronave fillestare. Pasi të jepej pronësia, ata kishin të drejtën që t’iu rikthehej prona e tyre fillestare e paluajtshme, ose t’iu jepej kompensim në natyrë (maksimumi 10,000</w:t>
      </w:r>
      <w:r w:rsidR="00A25172" w:rsidRPr="005D6486">
        <w:rPr>
          <w:rFonts w:ascii="Garamond" w:eastAsiaTheme="minorHAnsi" w:hAnsi="Garamond"/>
          <w:color w:val="000000"/>
          <w:sz w:val="24"/>
          <w:szCs w:val="24"/>
          <w14:ligatures w14:val="standardContextual"/>
        </w:rPr>
        <w:t xml:space="preserve"> m</w:t>
      </w:r>
      <w:r w:rsidR="00A25172" w:rsidRPr="005D6486">
        <w:rPr>
          <w:rFonts w:ascii="Garamond" w:eastAsiaTheme="minorHAnsi" w:hAnsi="Garamond"/>
          <w:color w:val="000000"/>
          <w:sz w:val="24"/>
          <w:szCs w:val="24"/>
          <w:vertAlign w:val="superscript"/>
          <w14:ligatures w14:val="standardContextual"/>
        </w:rPr>
        <w:t>2</w:t>
      </w:r>
      <w:r w:rsidRPr="005D6486">
        <w:rPr>
          <w:rFonts w:ascii="Garamond" w:eastAsiaTheme="minorHAnsi" w:hAnsi="Garamond"/>
          <w:color w:val="000000"/>
          <w:sz w:val="24"/>
          <w:szCs w:val="24"/>
          <w14:ligatures w14:val="standardContextual"/>
        </w:rPr>
        <w:t xml:space="preserve">), ose në vlerë, nëse përmbusheshin disa kushte të caktuara (shih </w:t>
      </w:r>
      <w:r w:rsidRPr="005D6486">
        <w:rPr>
          <w:rFonts w:ascii="Garamond" w:eastAsiaTheme="minorHAnsi" w:hAnsi="Garamond"/>
          <w:i/>
          <w:iCs/>
          <w:color w:val="000000"/>
          <w:sz w:val="24"/>
          <w:szCs w:val="24"/>
          <w14:ligatures w14:val="standardContextual"/>
        </w:rPr>
        <w:t>Gjonbocari dhe të Tjerë</w:t>
      </w:r>
      <w:r w:rsidRPr="005D6486">
        <w:rPr>
          <w:rFonts w:ascii="Garamond" w:eastAsiaTheme="minorHAnsi" w:hAnsi="Garamond"/>
          <w:color w:val="000000"/>
          <w:sz w:val="24"/>
          <w:szCs w:val="24"/>
          <w14:ligatures w14:val="standardContextual"/>
        </w:rPr>
        <w:t xml:space="preserve">, cituar më sipër, § 37). Ishte detyra e Komisionit që të verifikonte nëse këto kushte ishin përmbushur, dhe të vendoste respektivisht. </w:t>
      </w:r>
    </w:p>
    <w:p w14:paraId="188212B6" w14:textId="4E5569F4"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20. Gjykata kishte pranuar më herët se një pale ndërgjyqëse të suksesshme mund t’i kërkohej të ndërmerrte hapa proceduralë për të kompensuar borxhin e gjykimit (shih </w:t>
      </w:r>
      <w:r w:rsidRPr="005D6486">
        <w:rPr>
          <w:rFonts w:ascii="Garamond" w:eastAsiaTheme="minorHAnsi" w:hAnsi="Garamond"/>
          <w:i/>
          <w:iCs/>
          <w:color w:val="000000"/>
          <w:sz w:val="24"/>
          <w:szCs w:val="24"/>
          <w14:ligatures w14:val="standardContextual"/>
        </w:rPr>
        <w:t xml:space="preserve">Shvedov kundër Rusisë, </w:t>
      </w:r>
      <w:r w:rsidRPr="005D6486">
        <w:rPr>
          <w:rFonts w:ascii="Garamond" w:eastAsiaTheme="minorHAnsi" w:hAnsi="Garamond"/>
          <w:color w:val="000000"/>
          <w:sz w:val="24"/>
          <w:szCs w:val="24"/>
          <w14:ligatures w14:val="standardContextual"/>
        </w:rPr>
        <w:t>nr. 69306/01, § 32, 20 tetor 2005). Materialet e çështjes nuk provojnë se kërkuesi ka ndërmarrë hapa efektivë për të siguruar zbatimin e vendimit të gjykatës. Veçanërisht, ai nuk kishte depozituar një kërkesë pranë Komisionit për rikthimin ose kompensimin e pronës në fjalë për 28 vite që prej vendimit t</w:t>
      </w:r>
      <w:r w:rsidR="00A25172" w:rsidRPr="005D6486">
        <w:rPr>
          <w:rFonts w:ascii="Garamond" w:eastAsiaTheme="minorHAnsi" w:hAnsi="Garamond"/>
          <w:color w:val="000000"/>
          <w:sz w:val="24"/>
          <w:szCs w:val="24"/>
          <w14:ligatures w14:val="standardContextual"/>
        </w:rPr>
        <w:t>ë</w:t>
      </w:r>
      <w:r w:rsidRPr="005D6486">
        <w:rPr>
          <w:rFonts w:ascii="Garamond" w:eastAsiaTheme="minorHAnsi" w:hAnsi="Garamond"/>
          <w:color w:val="000000"/>
          <w:sz w:val="24"/>
          <w:szCs w:val="24"/>
          <w14:ligatures w14:val="standardContextual"/>
        </w:rPr>
        <w:t xml:space="preserve"> Gjykatës së Rrethit. Duke qenë se vendimi i gjykatës së brendshme nuk parashikonte një metodë për rikthimin ose kompensimin për tokë, një kërkesë e tillë do t’i kishte dhënë autoriteteve të brendshme një mundësi për të përcaktuar metodën e duhur të ekzekutimit. Duke marrë në konsideratë specifikat e legjislacionit për rikthimin e pronave, sipas së cilit kërkohej pjesëmarrja aktive e kërkuesit, paraqitja e një kërkese ndaj Komisionit nuk përbënte një barrë të tepërt ose të paarsyeshme ndaj tij. Gjykata vlerëson se kërkuesi nuk kishte paraqitur një arsye të justifikueshme për mosveprimin e tij për ta paraqitur një kërkesë të tillë.</w:t>
      </w:r>
    </w:p>
    <w:p w14:paraId="51148F48" w14:textId="49E9D554"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21. Së fundmi, kërkuesit iu kërkua, në mbështetje të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enit 35 § 1 të Konventës, që të shfrytëzonte mjetet e reja të brendshme të parashikuara në Ligjin e Pronës 2015</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 në përputhje me rregullat përkatës</w:t>
      </w:r>
      <w:r w:rsidR="00A25172" w:rsidRPr="005D6486">
        <w:rPr>
          <w:rFonts w:ascii="Garamond" w:eastAsiaTheme="minorHAnsi" w:hAnsi="Garamond"/>
          <w:color w:val="000000"/>
          <w:sz w:val="24"/>
          <w:szCs w:val="24"/>
          <w14:ligatures w14:val="standardContextual"/>
        </w:rPr>
        <w:t>e</w:t>
      </w:r>
      <w:r w:rsidRPr="005D6486">
        <w:rPr>
          <w:rFonts w:ascii="Garamond" w:eastAsiaTheme="minorHAnsi" w:hAnsi="Garamond"/>
          <w:color w:val="000000"/>
          <w:sz w:val="24"/>
          <w:szCs w:val="24"/>
          <w14:ligatures w14:val="standardContextual"/>
        </w:rPr>
        <w:t xml:space="preserve"> të brendshm</w:t>
      </w:r>
      <w:r w:rsidR="00A25172" w:rsidRPr="005D6486">
        <w:rPr>
          <w:rFonts w:ascii="Garamond" w:eastAsiaTheme="minorHAnsi" w:hAnsi="Garamond"/>
          <w:color w:val="000000"/>
          <w:sz w:val="24"/>
          <w:szCs w:val="24"/>
          <w14:ligatures w14:val="standardContextual"/>
        </w:rPr>
        <w:t>e</w:t>
      </w:r>
      <w:r w:rsidRPr="005D6486">
        <w:rPr>
          <w:rFonts w:ascii="Garamond" w:eastAsiaTheme="minorHAnsi" w:hAnsi="Garamond"/>
          <w:color w:val="000000"/>
          <w:sz w:val="24"/>
          <w:szCs w:val="24"/>
          <w14:ligatures w14:val="standardContextual"/>
        </w:rPr>
        <w:t xml:space="preserve">. Kërkuesi ose nuk kishte shfrytëzuar mjetet e brendshme të disponueshme, ose nuk kishte informuar Gjykatën për veprimet që mund të kishte marrë në lidhje me këtë aspekt. Gjykata nuk konstaton rrethana të jashtëzakonshme sipas së cilave kërkuesit do të përjashtoheshin nga detyrimi për të shfrytëzuar mjetet e brendshme në çështjet </w:t>
      </w:r>
      <w:r w:rsidRPr="005D6486">
        <w:rPr>
          <w:rFonts w:ascii="Garamond" w:eastAsiaTheme="minorHAnsi" w:hAnsi="Garamond"/>
          <w:i/>
          <w:iCs/>
          <w:color w:val="000000"/>
          <w:sz w:val="24"/>
          <w:szCs w:val="24"/>
          <w14:ligatures w14:val="standardContextual"/>
        </w:rPr>
        <w:t xml:space="preserve">Beshiri dhe të </w:t>
      </w:r>
      <w:r w:rsidR="00A25172" w:rsidRPr="005D6486">
        <w:rPr>
          <w:rFonts w:ascii="Garamond" w:eastAsiaTheme="minorHAnsi" w:hAnsi="Garamond"/>
          <w:i/>
          <w:iCs/>
          <w:color w:val="000000"/>
          <w:sz w:val="24"/>
          <w:szCs w:val="24"/>
          <w14:ligatures w14:val="standardContextual"/>
        </w:rPr>
        <w:t>t</w:t>
      </w:r>
      <w:r w:rsidRPr="005D6486">
        <w:rPr>
          <w:rFonts w:ascii="Garamond" w:eastAsiaTheme="minorHAnsi" w:hAnsi="Garamond"/>
          <w:i/>
          <w:iCs/>
          <w:color w:val="000000"/>
          <w:sz w:val="24"/>
          <w:szCs w:val="24"/>
          <w14:ligatures w14:val="standardContextual"/>
        </w:rPr>
        <w:t xml:space="preserve">jerë </w:t>
      </w:r>
      <w:r w:rsidRPr="005D6486">
        <w:rPr>
          <w:rFonts w:ascii="Garamond" w:eastAsiaTheme="minorHAnsi" w:hAnsi="Garamond"/>
          <w:color w:val="000000"/>
          <w:sz w:val="24"/>
          <w:szCs w:val="24"/>
          <w14:ligatures w14:val="standardContextual"/>
        </w:rPr>
        <w:t>(cituar më sipër, §§ 216</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 xml:space="preserve">18) dhe </w:t>
      </w:r>
      <w:r w:rsidRPr="005D6486">
        <w:rPr>
          <w:rFonts w:ascii="Garamond" w:eastAsiaTheme="minorHAnsi" w:hAnsi="Garamond"/>
          <w:i/>
          <w:iCs/>
          <w:color w:val="000000"/>
          <w:sz w:val="24"/>
          <w:szCs w:val="24"/>
          <w14:ligatures w14:val="standardContextual"/>
        </w:rPr>
        <w:t xml:space="preserve">Ruçi dhe Bejleri </w:t>
      </w:r>
      <w:r w:rsidRPr="005D6486">
        <w:rPr>
          <w:rFonts w:ascii="Garamond" w:eastAsiaTheme="minorHAnsi" w:hAnsi="Garamond"/>
          <w:color w:val="000000"/>
          <w:sz w:val="24"/>
          <w:szCs w:val="24"/>
          <w14:ligatures w14:val="standardContextual"/>
        </w:rPr>
        <w:t>(cituar më sipër, §§ 27</w:t>
      </w:r>
      <w:r w:rsidR="00A25172" w:rsidRPr="005D6486">
        <w:rPr>
          <w:rFonts w:ascii="Garamond" w:eastAsiaTheme="minorHAnsi" w:hAnsi="Garamond"/>
          <w:color w:val="000000"/>
          <w:sz w:val="24"/>
          <w:szCs w:val="24"/>
          <w14:ligatures w14:val="standardContextual"/>
        </w:rPr>
        <w:t>–</w:t>
      </w:r>
      <w:r w:rsidRPr="005D6486">
        <w:rPr>
          <w:rFonts w:ascii="Garamond" w:eastAsiaTheme="minorHAnsi" w:hAnsi="Garamond"/>
          <w:color w:val="000000"/>
          <w:sz w:val="24"/>
          <w:szCs w:val="24"/>
          <w14:ligatures w14:val="standardContextual"/>
        </w:rPr>
        <w:t>28), dhe po ashtu nuk gjen arsye për t’u larguar nga ai përfundim në çështjen konkrete.</w:t>
      </w:r>
    </w:p>
    <w:p w14:paraId="1CC99BB8" w14:textId="46E4FCD9"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22. Sipas këtyre rrethanave, kërkesa duhet të rrëzohet sipas </w:t>
      </w:r>
      <w:r w:rsidR="00A25172" w:rsidRPr="005D6486">
        <w:rPr>
          <w:rFonts w:ascii="Garamond" w:eastAsiaTheme="minorHAnsi" w:hAnsi="Garamond"/>
          <w:color w:val="000000"/>
          <w:sz w:val="24"/>
          <w:szCs w:val="24"/>
          <w14:ligatures w14:val="standardContextual"/>
        </w:rPr>
        <w:t>n</w:t>
      </w:r>
      <w:r w:rsidRPr="005D6486">
        <w:rPr>
          <w:rFonts w:ascii="Garamond" w:eastAsiaTheme="minorHAnsi" w:hAnsi="Garamond"/>
          <w:color w:val="000000"/>
          <w:sz w:val="24"/>
          <w:szCs w:val="24"/>
          <w14:ligatures w14:val="standardContextual"/>
        </w:rPr>
        <w:t>enit 35 §§ 1 dhe 4 të Konventës për mosshfrytëzim të mjeteve të brendshme.</w:t>
      </w:r>
    </w:p>
    <w:p w14:paraId="0B2B6D34" w14:textId="30288DA7" w:rsidR="00664CB3" w:rsidRPr="005D6486" w:rsidRDefault="00A25172"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PËR KËTO ARS</w:t>
      </w:r>
      <w:r w:rsidR="00D71220" w:rsidRPr="005D6486">
        <w:rPr>
          <w:rFonts w:ascii="Garamond" w:eastAsiaTheme="minorHAnsi" w:hAnsi="Garamond"/>
          <w:color w:val="000000"/>
          <w:sz w:val="24"/>
          <w:szCs w:val="24"/>
          <w14:ligatures w14:val="standardContextual"/>
        </w:rPr>
        <w:t>Y</w:t>
      </w:r>
      <w:r w:rsidRPr="005D6486">
        <w:rPr>
          <w:rFonts w:ascii="Garamond" w:eastAsiaTheme="minorHAnsi" w:hAnsi="Garamond"/>
          <w:color w:val="000000"/>
          <w:sz w:val="24"/>
          <w:szCs w:val="24"/>
          <w14:ligatures w14:val="standardContextual"/>
        </w:rPr>
        <w:t xml:space="preserve">E, NË MËNYRË UNANIME, GJYKATA </w:t>
      </w:r>
    </w:p>
    <w:p w14:paraId="259E2E21" w14:textId="3275237A"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i/>
          <w:iCs/>
          <w:color w:val="000000"/>
          <w:sz w:val="24"/>
          <w:szCs w:val="24"/>
          <w14:ligatures w14:val="standardContextual"/>
        </w:rPr>
        <w:t xml:space="preserve">E shpall </w:t>
      </w:r>
      <w:r w:rsidRPr="005D6486">
        <w:rPr>
          <w:rFonts w:ascii="Garamond" w:eastAsiaTheme="minorHAnsi" w:hAnsi="Garamond"/>
          <w:color w:val="000000"/>
          <w:sz w:val="24"/>
          <w:szCs w:val="24"/>
          <w14:ligatures w14:val="standardContextual"/>
        </w:rPr>
        <w:t>kërkesën të papranueshme.</w:t>
      </w:r>
    </w:p>
    <w:p w14:paraId="36C840E1" w14:textId="47806B1F"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 xml:space="preserve">Hartuar në anglisht dhe njoftuar me shkrim më 5 </w:t>
      </w:r>
      <w:r w:rsidR="00A25172" w:rsidRPr="005D6486">
        <w:rPr>
          <w:rFonts w:ascii="Garamond" w:eastAsiaTheme="minorHAnsi" w:hAnsi="Garamond"/>
          <w:color w:val="000000"/>
          <w:sz w:val="24"/>
          <w:szCs w:val="24"/>
          <w14:ligatures w14:val="standardContextual"/>
        </w:rPr>
        <w:t>s</w:t>
      </w:r>
      <w:r w:rsidRPr="005D6486">
        <w:rPr>
          <w:rFonts w:ascii="Garamond" w:eastAsiaTheme="minorHAnsi" w:hAnsi="Garamond"/>
          <w:color w:val="000000"/>
          <w:sz w:val="24"/>
          <w:szCs w:val="24"/>
          <w14:ligatures w14:val="standardContextual"/>
        </w:rPr>
        <w:t xml:space="preserve">htator 2024. </w:t>
      </w:r>
    </w:p>
    <w:tbl>
      <w:tblPr>
        <w:tblStyle w:val="TableGrid"/>
        <w:tblpPr w:leftFromText="180" w:rightFromText="180" w:vertAnchor="text" w:horzAnchor="margin" w:tblpY="188"/>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6"/>
        <w:gridCol w:w="4102"/>
      </w:tblGrid>
      <w:tr w:rsidR="00A25172" w:rsidRPr="005D6486" w14:paraId="48988099" w14:textId="77777777" w:rsidTr="00A25172">
        <w:trPr>
          <w:trHeight w:val="310"/>
        </w:trPr>
        <w:tc>
          <w:tcPr>
            <w:tcW w:w="5536" w:type="dxa"/>
          </w:tcPr>
          <w:p w14:paraId="75EC44A4" w14:textId="77777777" w:rsidR="00A25172" w:rsidRPr="005D6486" w:rsidRDefault="00A25172" w:rsidP="00A25172">
            <w:pPr>
              <w:tabs>
                <w:tab w:val="left" w:pos="560"/>
                <w:tab w:val="left" w:pos="1120"/>
              </w:tabs>
              <w:autoSpaceDE w:val="0"/>
              <w:autoSpaceDN w:val="0"/>
              <w:adjustRightInd w:val="0"/>
              <w:spacing w:after="0" w:line="240" w:lineRule="auto"/>
              <w:rPr>
                <w:rFonts w:ascii="Garamond" w:eastAsiaTheme="minorHAnsi" w:hAnsi="Garamond"/>
                <w:b/>
                <w:color w:val="000000"/>
                <w:sz w:val="24"/>
                <w:szCs w:val="24"/>
                <w14:ligatures w14:val="standardContextual"/>
              </w:rPr>
            </w:pPr>
            <w:r w:rsidRPr="005D6486">
              <w:rPr>
                <w:rFonts w:ascii="Garamond" w:eastAsiaTheme="minorHAnsi" w:hAnsi="Garamond"/>
                <w:b/>
                <w:color w:val="000000"/>
                <w:sz w:val="24"/>
                <w:szCs w:val="24"/>
                <w14:ligatures w14:val="standardContextual"/>
              </w:rPr>
              <w:t xml:space="preserve">Olga Chernishova     </w:t>
            </w:r>
          </w:p>
        </w:tc>
        <w:tc>
          <w:tcPr>
            <w:tcW w:w="4102" w:type="dxa"/>
          </w:tcPr>
          <w:p w14:paraId="04122EC2" w14:textId="77777777" w:rsidR="00A25172" w:rsidRPr="005D6486" w:rsidRDefault="00A25172" w:rsidP="00A25172">
            <w:pPr>
              <w:tabs>
                <w:tab w:val="left" w:pos="560"/>
                <w:tab w:val="left" w:pos="1120"/>
              </w:tabs>
              <w:autoSpaceDE w:val="0"/>
              <w:autoSpaceDN w:val="0"/>
              <w:adjustRightInd w:val="0"/>
              <w:spacing w:after="0" w:line="240" w:lineRule="auto"/>
              <w:rPr>
                <w:rFonts w:ascii="Garamond" w:eastAsiaTheme="minorHAnsi" w:hAnsi="Garamond"/>
                <w:b/>
                <w:color w:val="000000"/>
                <w:sz w:val="24"/>
                <w:szCs w:val="24"/>
                <w14:ligatures w14:val="standardContextual"/>
              </w:rPr>
            </w:pPr>
            <w:r w:rsidRPr="005D6486">
              <w:rPr>
                <w:rFonts w:ascii="Garamond" w:eastAsiaTheme="minorHAnsi" w:hAnsi="Garamond"/>
                <w:b/>
                <w:color w:val="000000"/>
                <w:sz w:val="24"/>
                <w:szCs w:val="24"/>
                <w14:ligatures w14:val="standardContextual"/>
              </w:rPr>
              <w:t>Ioannis Ktistakis</w:t>
            </w:r>
          </w:p>
        </w:tc>
      </w:tr>
      <w:tr w:rsidR="00A25172" w:rsidRPr="005D6486" w14:paraId="4895B3F0" w14:textId="77777777" w:rsidTr="00A25172">
        <w:trPr>
          <w:trHeight w:val="310"/>
        </w:trPr>
        <w:tc>
          <w:tcPr>
            <w:tcW w:w="5536" w:type="dxa"/>
          </w:tcPr>
          <w:p w14:paraId="1D8A494C" w14:textId="77777777" w:rsidR="00A25172" w:rsidRPr="005D6486" w:rsidRDefault="00A25172" w:rsidP="00A25172">
            <w:pPr>
              <w:tabs>
                <w:tab w:val="left" w:pos="560"/>
                <w:tab w:val="left" w:pos="1120"/>
              </w:tabs>
              <w:autoSpaceDE w:val="0"/>
              <w:autoSpaceDN w:val="0"/>
              <w:adjustRightInd w:val="0"/>
              <w:spacing w:after="0" w:line="240" w:lineRule="auto"/>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ZËVENDËSSEKRETARE</w:t>
            </w:r>
          </w:p>
        </w:tc>
        <w:tc>
          <w:tcPr>
            <w:tcW w:w="4102" w:type="dxa"/>
          </w:tcPr>
          <w:p w14:paraId="5D2AA8AC" w14:textId="77777777" w:rsidR="00A25172" w:rsidRPr="005D6486" w:rsidRDefault="00A25172" w:rsidP="00A25172">
            <w:pPr>
              <w:tabs>
                <w:tab w:val="left" w:pos="560"/>
                <w:tab w:val="left" w:pos="1120"/>
              </w:tabs>
              <w:autoSpaceDE w:val="0"/>
              <w:autoSpaceDN w:val="0"/>
              <w:adjustRightInd w:val="0"/>
              <w:spacing w:after="0" w:line="240" w:lineRule="auto"/>
              <w:rPr>
                <w:rFonts w:ascii="Garamond" w:eastAsiaTheme="minorHAnsi" w:hAnsi="Garamond"/>
                <w:color w:val="000000"/>
                <w:sz w:val="24"/>
                <w:szCs w:val="24"/>
                <w14:ligatures w14:val="standardContextual"/>
              </w:rPr>
            </w:pPr>
            <w:r w:rsidRPr="005D6486">
              <w:rPr>
                <w:rFonts w:ascii="Garamond" w:eastAsiaTheme="minorHAnsi" w:hAnsi="Garamond"/>
                <w:color w:val="000000"/>
                <w:sz w:val="24"/>
                <w:szCs w:val="24"/>
                <w14:ligatures w14:val="standardContextual"/>
              </w:rPr>
              <w:t>KRYETAR</w:t>
            </w:r>
          </w:p>
        </w:tc>
      </w:tr>
    </w:tbl>
    <w:p w14:paraId="42D9F8CE" w14:textId="77777777" w:rsidR="00664CB3" w:rsidRPr="005D6486" w:rsidRDefault="00664CB3" w:rsidP="00664CB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3B6DCF7B" w14:textId="77777777" w:rsidR="00664CB3" w:rsidRPr="005D6486" w:rsidRDefault="00664CB3" w:rsidP="00664CB3">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bookmarkStart w:id="0" w:name="_GoBack"/>
      <w:bookmarkEnd w:id="0"/>
    </w:p>
    <w:sectPr w:rsidR="00664CB3" w:rsidRPr="005D6486" w:rsidSect="00EB37E4">
      <w:footerReference w:type="default" r:id="rId11"/>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54CB4" w14:textId="77777777" w:rsidR="00A25172" w:rsidRDefault="00A25172">
      <w:pPr>
        <w:spacing w:after="0" w:line="240" w:lineRule="auto"/>
      </w:pPr>
      <w:r>
        <w:separator/>
      </w:r>
    </w:p>
  </w:endnote>
  <w:endnote w:type="continuationSeparator" w:id="0">
    <w:p w14:paraId="282AB49B" w14:textId="77777777" w:rsidR="00A25172" w:rsidRDefault="00A25172">
      <w:pPr>
        <w:spacing w:after="0" w:line="240" w:lineRule="auto"/>
      </w:pPr>
      <w:r>
        <w:continuationSeparator/>
      </w:r>
    </w:p>
  </w:endnote>
  <w:endnote w:type="continuationNotice" w:id="1">
    <w:p w14:paraId="30526EEF" w14:textId="77777777" w:rsidR="00422274" w:rsidRDefault="004222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C9323" w14:textId="77777777" w:rsidR="00A25172" w:rsidRDefault="00A25172" w:rsidP="00EA07AA">
    <w:pPr>
      <w:pStyle w:val="Footer"/>
    </w:pPr>
  </w:p>
  <w:p w14:paraId="3AC58A32" w14:textId="77777777" w:rsidR="00A25172" w:rsidRPr="00CC26CB" w:rsidRDefault="00A25172" w:rsidP="00EA0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9D023A" w14:textId="77777777" w:rsidR="00A25172" w:rsidRDefault="00A25172">
      <w:pPr>
        <w:spacing w:after="0" w:line="240" w:lineRule="auto"/>
      </w:pPr>
      <w:r>
        <w:separator/>
      </w:r>
    </w:p>
  </w:footnote>
  <w:footnote w:type="continuationSeparator" w:id="0">
    <w:p w14:paraId="4A9ECE94" w14:textId="77777777" w:rsidR="00A25172" w:rsidRDefault="00A25172">
      <w:pPr>
        <w:spacing w:after="0" w:line="240" w:lineRule="auto"/>
      </w:pPr>
      <w:r>
        <w:continuationSeparator/>
      </w:r>
    </w:p>
  </w:footnote>
  <w:footnote w:type="continuationNotice" w:id="1">
    <w:p w14:paraId="2E797C4A" w14:textId="77777777" w:rsidR="00422274" w:rsidRDefault="004222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7D47E87"/>
    <w:multiLevelType w:val="hybridMultilevel"/>
    <w:tmpl w:val="EFC4D422"/>
    <w:lvl w:ilvl="0" w:tplc="26423D08">
      <w:start w:val="1"/>
      <w:numFmt w:val="upperLetter"/>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B58418D"/>
    <w:multiLevelType w:val="hybridMultilevel"/>
    <w:tmpl w:val="135637AA"/>
    <w:lvl w:ilvl="0" w:tplc="758E3E44">
      <w:start w:val="1"/>
      <w:numFmt w:val="upperLetter"/>
      <w:lvlText w:val="%1."/>
      <w:lvlJc w:val="left"/>
      <w:pPr>
        <w:ind w:left="720" w:hanging="360"/>
      </w:pPr>
      <w:rPr>
        <w:rFonts w:hint="default"/>
        <w:b/>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D391438"/>
    <w:multiLevelType w:val="hybridMultilevel"/>
    <w:tmpl w:val="09DC89AC"/>
    <w:lvl w:ilvl="0" w:tplc="0F4C50E0">
      <w:start w:val="1"/>
      <w:numFmt w:val="upperLetter"/>
      <w:lvlText w:val="%1."/>
      <w:lvlJc w:val="left"/>
      <w:pPr>
        <w:ind w:left="720" w:hanging="360"/>
      </w:pPr>
      <w:rPr>
        <w:rFonts w:hint="default"/>
        <w:b/>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2E41BA8"/>
    <w:multiLevelType w:val="hybridMultilevel"/>
    <w:tmpl w:val="803887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3DF34EC"/>
    <w:multiLevelType w:val="hybridMultilevel"/>
    <w:tmpl w:val="9C3AD6F4"/>
    <w:lvl w:ilvl="0" w:tplc="B0D66DF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AEC2113"/>
    <w:multiLevelType w:val="hybridMultilevel"/>
    <w:tmpl w:val="97B6C27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B932EF6"/>
    <w:multiLevelType w:val="hybridMultilevel"/>
    <w:tmpl w:val="3D9603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EEC1650"/>
    <w:multiLevelType w:val="hybridMultilevel"/>
    <w:tmpl w:val="2178428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281E7A"/>
    <w:multiLevelType w:val="hybridMultilevel"/>
    <w:tmpl w:val="2F8450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B33648"/>
    <w:multiLevelType w:val="hybridMultilevel"/>
    <w:tmpl w:val="A2EE3328"/>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492E2E3E"/>
    <w:multiLevelType w:val="hybridMultilevel"/>
    <w:tmpl w:val="30FA5626"/>
    <w:lvl w:ilvl="0" w:tplc="3EFE149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4" w15:restartNumberingAfterBreak="0">
    <w:nsid w:val="4A236105"/>
    <w:multiLevelType w:val="hybridMultilevel"/>
    <w:tmpl w:val="FA60E94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11145FA"/>
    <w:multiLevelType w:val="hybridMultilevel"/>
    <w:tmpl w:val="DDF0EA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E46D46"/>
    <w:multiLevelType w:val="hybridMultilevel"/>
    <w:tmpl w:val="B63CC6C2"/>
    <w:lvl w:ilvl="0" w:tplc="AE6AACE6">
      <w:start w:val="1"/>
      <w:numFmt w:val="lowerRoman"/>
      <w:lvlText w:val="(%1)"/>
      <w:lvlJc w:val="left"/>
      <w:pPr>
        <w:ind w:left="1080" w:hanging="72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2E0201"/>
    <w:multiLevelType w:val="hybridMultilevel"/>
    <w:tmpl w:val="29E80C4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9" w15:restartNumberingAfterBreak="0">
    <w:nsid w:val="6818292A"/>
    <w:multiLevelType w:val="hybridMultilevel"/>
    <w:tmpl w:val="B01CB748"/>
    <w:lvl w:ilvl="0" w:tplc="A3D2290A">
      <w:start w:val="1"/>
      <w:numFmt w:val="lowerLetter"/>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0" w15:restartNumberingAfterBreak="0">
    <w:nsid w:val="696B6DAB"/>
    <w:multiLevelType w:val="hybridMultilevel"/>
    <w:tmpl w:val="F0F0A60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764C2380"/>
    <w:multiLevelType w:val="hybridMultilevel"/>
    <w:tmpl w:val="3F26DE9E"/>
    <w:lvl w:ilvl="0" w:tplc="8ADCB618">
      <w:start w:val="1"/>
      <w:numFmt w:val="decimal"/>
      <w:lvlText w:val="%1."/>
      <w:lvlJc w:val="left"/>
      <w:pPr>
        <w:ind w:left="644"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F3B41C3"/>
    <w:multiLevelType w:val="hybridMultilevel"/>
    <w:tmpl w:val="B35EB4C0"/>
    <w:lvl w:ilvl="0" w:tplc="E18AEAD0">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8"/>
  </w:num>
  <w:num w:numId="4">
    <w:abstractNumId w:val="20"/>
  </w:num>
  <w:num w:numId="5">
    <w:abstractNumId w:val="13"/>
  </w:num>
  <w:num w:numId="6">
    <w:abstractNumId w:val="11"/>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2"/>
  </w:num>
  <w:num w:numId="16">
    <w:abstractNumId w:val="23"/>
  </w:num>
  <w:num w:numId="17">
    <w:abstractNumId w:val="25"/>
  </w:num>
  <w:num w:numId="18">
    <w:abstractNumId w:val="21"/>
  </w:num>
  <w:num w:numId="19">
    <w:abstractNumId w:val="30"/>
  </w:num>
  <w:num w:numId="20">
    <w:abstractNumId w:val="29"/>
  </w:num>
  <w:num w:numId="21">
    <w:abstractNumId w:val="17"/>
  </w:num>
  <w:num w:numId="22">
    <w:abstractNumId w:val="18"/>
  </w:num>
  <w:num w:numId="23">
    <w:abstractNumId w:val="33"/>
  </w:num>
  <w:num w:numId="24">
    <w:abstractNumId w:val="26"/>
  </w:num>
  <w:num w:numId="25">
    <w:abstractNumId w:val="27"/>
  </w:num>
  <w:num w:numId="26">
    <w:abstractNumId w:val="24"/>
  </w:num>
  <w:num w:numId="27">
    <w:abstractNumId w:val="19"/>
  </w:num>
  <w:num w:numId="28">
    <w:abstractNumId w:val="15"/>
  </w:num>
  <w:num w:numId="29">
    <w:abstractNumId w:val="16"/>
  </w:num>
  <w:num w:numId="30">
    <w:abstractNumId w:val="31"/>
  </w:num>
  <w:num w:numId="31">
    <w:abstractNumId w:val="14"/>
  </w:num>
  <w:num w:numId="32">
    <w:abstractNumId w:val="9"/>
  </w:num>
  <w:num w:numId="33">
    <w:abstractNumId w:val="12"/>
  </w:num>
  <w:num w:numId="34">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F5"/>
    <w:rsid w:val="00005DA6"/>
    <w:rsid w:val="000173A5"/>
    <w:rsid w:val="00040178"/>
    <w:rsid w:val="0004576D"/>
    <w:rsid w:val="00062035"/>
    <w:rsid w:val="00070C72"/>
    <w:rsid w:val="00082F9E"/>
    <w:rsid w:val="00086752"/>
    <w:rsid w:val="00095CB6"/>
    <w:rsid w:val="000A126B"/>
    <w:rsid w:val="000F1B16"/>
    <w:rsid w:val="00123350"/>
    <w:rsid w:val="001259EA"/>
    <w:rsid w:val="0012609A"/>
    <w:rsid w:val="001502EF"/>
    <w:rsid w:val="00161C0C"/>
    <w:rsid w:val="001625BD"/>
    <w:rsid w:val="001769EA"/>
    <w:rsid w:val="00177BEC"/>
    <w:rsid w:val="00186D27"/>
    <w:rsid w:val="00194243"/>
    <w:rsid w:val="001A5D7C"/>
    <w:rsid w:val="001A62A2"/>
    <w:rsid w:val="001C2FB8"/>
    <w:rsid w:val="001C5EA7"/>
    <w:rsid w:val="001D5612"/>
    <w:rsid w:val="001D6272"/>
    <w:rsid w:val="001E7135"/>
    <w:rsid w:val="001F4440"/>
    <w:rsid w:val="001F7F8A"/>
    <w:rsid w:val="00216378"/>
    <w:rsid w:val="002170D8"/>
    <w:rsid w:val="00217B11"/>
    <w:rsid w:val="002278B9"/>
    <w:rsid w:val="002375AB"/>
    <w:rsid w:val="0023780F"/>
    <w:rsid w:val="00240C75"/>
    <w:rsid w:val="00250998"/>
    <w:rsid w:val="00256588"/>
    <w:rsid w:val="00290E95"/>
    <w:rsid w:val="00301408"/>
    <w:rsid w:val="00305F0A"/>
    <w:rsid w:val="00311163"/>
    <w:rsid w:val="00311626"/>
    <w:rsid w:val="00312BD8"/>
    <w:rsid w:val="00325F1D"/>
    <w:rsid w:val="00334E35"/>
    <w:rsid w:val="00335986"/>
    <w:rsid w:val="0033734D"/>
    <w:rsid w:val="003415BC"/>
    <w:rsid w:val="00345612"/>
    <w:rsid w:val="003602C9"/>
    <w:rsid w:val="00360808"/>
    <w:rsid w:val="00365A07"/>
    <w:rsid w:val="00377AAC"/>
    <w:rsid w:val="003862B8"/>
    <w:rsid w:val="00391EA1"/>
    <w:rsid w:val="00394982"/>
    <w:rsid w:val="003966F6"/>
    <w:rsid w:val="003B170A"/>
    <w:rsid w:val="003E1164"/>
    <w:rsid w:val="003E699F"/>
    <w:rsid w:val="003F671B"/>
    <w:rsid w:val="0040652B"/>
    <w:rsid w:val="00417589"/>
    <w:rsid w:val="00422274"/>
    <w:rsid w:val="00425628"/>
    <w:rsid w:val="00433CA1"/>
    <w:rsid w:val="00452D22"/>
    <w:rsid w:val="00454DB7"/>
    <w:rsid w:val="004608CF"/>
    <w:rsid w:val="004643B2"/>
    <w:rsid w:val="00483A5A"/>
    <w:rsid w:val="00495B76"/>
    <w:rsid w:val="004A466A"/>
    <w:rsid w:val="004A735A"/>
    <w:rsid w:val="004B4924"/>
    <w:rsid w:val="004C10CD"/>
    <w:rsid w:val="004C5656"/>
    <w:rsid w:val="004C5A46"/>
    <w:rsid w:val="004D2DBC"/>
    <w:rsid w:val="004E355F"/>
    <w:rsid w:val="004F3E93"/>
    <w:rsid w:val="004F64FF"/>
    <w:rsid w:val="005213BF"/>
    <w:rsid w:val="005331EE"/>
    <w:rsid w:val="00534777"/>
    <w:rsid w:val="00535912"/>
    <w:rsid w:val="00550868"/>
    <w:rsid w:val="00551FDE"/>
    <w:rsid w:val="005659DD"/>
    <w:rsid w:val="00576A36"/>
    <w:rsid w:val="00590DA0"/>
    <w:rsid w:val="0059535B"/>
    <w:rsid w:val="005A72E1"/>
    <w:rsid w:val="005B3AD7"/>
    <w:rsid w:val="005D04C3"/>
    <w:rsid w:val="005D6486"/>
    <w:rsid w:val="005F1327"/>
    <w:rsid w:val="005F4040"/>
    <w:rsid w:val="00611BDA"/>
    <w:rsid w:val="00621E0C"/>
    <w:rsid w:val="00644AD9"/>
    <w:rsid w:val="0064665C"/>
    <w:rsid w:val="00664CB3"/>
    <w:rsid w:val="006772D7"/>
    <w:rsid w:val="00681C2B"/>
    <w:rsid w:val="0069730D"/>
    <w:rsid w:val="006A28F5"/>
    <w:rsid w:val="006D3460"/>
    <w:rsid w:val="006D3FD9"/>
    <w:rsid w:val="006D747B"/>
    <w:rsid w:val="006F27B5"/>
    <w:rsid w:val="006F3359"/>
    <w:rsid w:val="006F5837"/>
    <w:rsid w:val="0070515F"/>
    <w:rsid w:val="007115B7"/>
    <w:rsid w:val="00726C99"/>
    <w:rsid w:val="007315F9"/>
    <w:rsid w:val="007339F5"/>
    <w:rsid w:val="00735DF1"/>
    <w:rsid w:val="00742F6B"/>
    <w:rsid w:val="00745EDA"/>
    <w:rsid w:val="00755978"/>
    <w:rsid w:val="00761718"/>
    <w:rsid w:val="007702E7"/>
    <w:rsid w:val="0077289D"/>
    <w:rsid w:val="00792245"/>
    <w:rsid w:val="007A3CD8"/>
    <w:rsid w:val="007C50BC"/>
    <w:rsid w:val="007C7F60"/>
    <w:rsid w:val="007D02F8"/>
    <w:rsid w:val="007E0DF9"/>
    <w:rsid w:val="007F457E"/>
    <w:rsid w:val="007F46C7"/>
    <w:rsid w:val="007F6DF5"/>
    <w:rsid w:val="00800F2B"/>
    <w:rsid w:val="00801DF6"/>
    <w:rsid w:val="00804B89"/>
    <w:rsid w:val="00812FD1"/>
    <w:rsid w:val="008321EE"/>
    <w:rsid w:val="00862440"/>
    <w:rsid w:val="0087416B"/>
    <w:rsid w:val="00875047"/>
    <w:rsid w:val="00877F32"/>
    <w:rsid w:val="0088044A"/>
    <w:rsid w:val="00881178"/>
    <w:rsid w:val="00882774"/>
    <w:rsid w:val="00885C76"/>
    <w:rsid w:val="008B3777"/>
    <w:rsid w:val="008E580A"/>
    <w:rsid w:val="008F1475"/>
    <w:rsid w:val="009156CB"/>
    <w:rsid w:val="009254EF"/>
    <w:rsid w:val="009266A7"/>
    <w:rsid w:val="00942ED8"/>
    <w:rsid w:val="00984859"/>
    <w:rsid w:val="009A5528"/>
    <w:rsid w:val="009A7B8F"/>
    <w:rsid w:val="009C67F8"/>
    <w:rsid w:val="009D1001"/>
    <w:rsid w:val="009F1225"/>
    <w:rsid w:val="00A242EC"/>
    <w:rsid w:val="00A25172"/>
    <w:rsid w:val="00A52BE9"/>
    <w:rsid w:val="00A55751"/>
    <w:rsid w:val="00A67BE9"/>
    <w:rsid w:val="00A74272"/>
    <w:rsid w:val="00A751FB"/>
    <w:rsid w:val="00A811CF"/>
    <w:rsid w:val="00A83B70"/>
    <w:rsid w:val="00AB2811"/>
    <w:rsid w:val="00AC3180"/>
    <w:rsid w:val="00AD329C"/>
    <w:rsid w:val="00B407B4"/>
    <w:rsid w:val="00B66262"/>
    <w:rsid w:val="00B725DE"/>
    <w:rsid w:val="00B8020A"/>
    <w:rsid w:val="00BA3EBA"/>
    <w:rsid w:val="00BA5E20"/>
    <w:rsid w:val="00BA6C3B"/>
    <w:rsid w:val="00BC118F"/>
    <w:rsid w:val="00BC22A2"/>
    <w:rsid w:val="00C12A0F"/>
    <w:rsid w:val="00C24D6B"/>
    <w:rsid w:val="00C55359"/>
    <w:rsid w:val="00C6300C"/>
    <w:rsid w:val="00C65AB4"/>
    <w:rsid w:val="00C70110"/>
    <w:rsid w:val="00C7090C"/>
    <w:rsid w:val="00C75650"/>
    <w:rsid w:val="00C84267"/>
    <w:rsid w:val="00C943A0"/>
    <w:rsid w:val="00CB1365"/>
    <w:rsid w:val="00CC600C"/>
    <w:rsid w:val="00CD2E0A"/>
    <w:rsid w:val="00CE748E"/>
    <w:rsid w:val="00CF60C0"/>
    <w:rsid w:val="00D71220"/>
    <w:rsid w:val="00D806F2"/>
    <w:rsid w:val="00D86B80"/>
    <w:rsid w:val="00D94762"/>
    <w:rsid w:val="00DA57BC"/>
    <w:rsid w:val="00DD5598"/>
    <w:rsid w:val="00DE2793"/>
    <w:rsid w:val="00DE315A"/>
    <w:rsid w:val="00E02FB8"/>
    <w:rsid w:val="00E30517"/>
    <w:rsid w:val="00E36DBA"/>
    <w:rsid w:val="00E42345"/>
    <w:rsid w:val="00E46C98"/>
    <w:rsid w:val="00E55FCB"/>
    <w:rsid w:val="00E65AAB"/>
    <w:rsid w:val="00E87877"/>
    <w:rsid w:val="00E96322"/>
    <w:rsid w:val="00EA07AA"/>
    <w:rsid w:val="00EA3F24"/>
    <w:rsid w:val="00EB37E4"/>
    <w:rsid w:val="00EC371A"/>
    <w:rsid w:val="00ED4F7B"/>
    <w:rsid w:val="00EE4C29"/>
    <w:rsid w:val="00EF103B"/>
    <w:rsid w:val="00EF310C"/>
    <w:rsid w:val="00F0717C"/>
    <w:rsid w:val="00F23843"/>
    <w:rsid w:val="00F40E04"/>
    <w:rsid w:val="00F42303"/>
    <w:rsid w:val="00F435F5"/>
    <w:rsid w:val="00F556C6"/>
    <w:rsid w:val="00F90304"/>
    <w:rsid w:val="00F96DD1"/>
    <w:rsid w:val="00F97A39"/>
    <w:rsid w:val="00FA25B1"/>
    <w:rsid w:val="00FA63A8"/>
    <w:rsid w:val="00FC20F3"/>
    <w:rsid w:val="00FE2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99"/>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99"/>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4607-09</Nr_x002e__x0020_akti>
    <Data_x0020_e_x0020_Krijimit xmlns="0e656187-b300-4fb0-8bf4-3a50f872073c">2024-09-26T11:40:51Z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2024-09-26T00:00:00Z</Date_x0020_protokolli>
    <Titulli xmlns="0e656187-b300-4fb0-8bf4-3a50f872073c">Faik Toshkëzi kundër Shqipërisë (kërkesa nr. 4607/09)</Titulli>
    <Modifikuesi xmlns="0e656187-b300-4fb0-8bf4-3a50f872073c">entela.suli</Modifikuesi>
    <Nr_x002e__x0020_prot_x0020_QBZ xmlns="0e656187-b300-4fb0-8bf4-3a50f872073c">1668/1</Nr_x002e__x0020_prot_x0020_QBZ>
    <Data_x0020_e_x0020_Modifikimit xmlns="0e656187-b300-4fb0-8bf4-3a50f872073c">2024-09-26T12:38:51Z</Data_x0020_e_x0020_Modifikimit>
    <Dekretuar xmlns="0e656187-b300-4fb0-8bf4-3a50f872073c">false</Dekretuar>
    <Data xmlns="0e656187-b300-4fb0-8bf4-3a50f872073c">2024-09-05T00:00:00Z</Data>
    <Nr_x002e__x0020_protokolli_x0020_i_x0020_aktit xmlns="0e656187-b300-4fb0-8bf4-3a50f872073c">4674/1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FBA8D7CC7C4D0F868E79112FAD7F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30848-F3CA-424F-B6D7-96E96FB6244B}">
  <ds:schemaRefs>
    <ds:schemaRef ds:uri="http://purl.org/dc/elements/1.1/"/>
    <ds:schemaRef ds:uri="http://www.w3.org/XML/1998/namespace"/>
    <ds:schemaRef ds:uri="http://purl.org/dc/dcmitype/"/>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056510C-FEB1-4040-8C1C-A74265DC6A0A}">
  <ds:schemaRefs>
    <ds:schemaRef ds:uri="http://schemas.microsoft.com/sharepoint/v3/contenttype/forms"/>
  </ds:schemaRefs>
</ds:datastoreItem>
</file>

<file path=customXml/itemProps3.xml><?xml version="1.0" encoding="utf-8"?>
<ds:datastoreItem xmlns:ds="http://schemas.openxmlformats.org/officeDocument/2006/customXml" ds:itemID="{7D3D0BF7-91ED-4447-BD57-C41F7AF32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240832C-10A8-4912-BDBD-E4CE3297E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1598</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"Faik Toshkëzi kundër Shqipërisë"</dc:title>
  <dc:creator>Mirela Prifti</dc:creator>
  <cp:lastModifiedBy>Fjora Cahani</cp:lastModifiedBy>
  <cp:revision>5</cp:revision>
  <dcterms:created xsi:type="dcterms:W3CDTF">2024-09-26T11:10:00Z</dcterms:created>
  <dcterms:modified xsi:type="dcterms:W3CDTF">2024-09-26T13:25:00Z</dcterms:modified>
</cp:coreProperties>
</file>