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F4CB2" w14:textId="569E5CB4" w:rsidR="00347AA2" w:rsidRPr="00461ADF" w:rsidRDefault="00347AA2" w:rsidP="00593BAD">
      <w:pPr>
        <w:pStyle w:val="Heading1"/>
        <w:spacing w:before="20" w:line="240" w:lineRule="auto"/>
        <w:jc w:val="center"/>
        <w:rPr>
          <w:rFonts w:ascii="Garamond" w:hAnsi="Garamond" w:cs="Times New Roman"/>
          <w:color w:val="auto"/>
          <w:sz w:val="24"/>
          <w:lang w:val="sq-AL"/>
        </w:rPr>
      </w:pPr>
      <w:r w:rsidRPr="00461ADF">
        <w:rPr>
          <w:rFonts w:ascii="Garamond" w:hAnsi="Garamond"/>
          <w:color w:val="auto"/>
          <w:sz w:val="24"/>
          <w:lang w:val="sq-AL"/>
        </w:rPr>
        <w:t>GJYKATA E</w:t>
      </w:r>
      <w:r w:rsidR="00C56E38" w:rsidRPr="00461ADF">
        <w:rPr>
          <w:rFonts w:ascii="Garamond" w:hAnsi="Garamond"/>
          <w:color w:val="auto"/>
          <w:sz w:val="24"/>
          <w:lang w:val="sq-AL"/>
        </w:rPr>
        <w:t>V</w:t>
      </w:r>
      <w:r w:rsidRPr="00461ADF">
        <w:rPr>
          <w:rFonts w:ascii="Garamond" w:hAnsi="Garamond"/>
          <w:color w:val="auto"/>
          <w:sz w:val="24"/>
          <w:lang w:val="sq-AL"/>
        </w:rPr>
        <w:t>ROPIANE E TË DREJTAVE TË NJERIUT</w:t>
      </w:r>
    </w:p>
    <w:p w14:paraId="1DC06E3A" w14:textId="4DCEEF4D" w:rsidR="00347AA2" w:rsidRPr="00AA1212" w:rsidRDefault="00347AA2" w:rsidP="00D9388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27AE384C" w14:textId="77777777" w:rsidR="008A34B7" w:rsidRPr="00AA1212" w:rsidRDefault="008A34B7" w:rsidP="00D9388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059348" w14:textId="18CFF0AB" w:rsidR="00347AA2" w:rsidRPr="00AA1212" w:rsidRDefault="00347AA2" w:rsidP="00D9388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BC928BB" w14:textId="77777777" w:rsidR="00C56E38" w:rsidRDefault="00C56E38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3EFFD5C" w14:textId="7C509DF8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Kërkesa nr. 57941/18</w:t>
      </w:r>
    </w:p>
    <w:p w14:paraId="18D781D9" w14:textId="77777777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NDREKAJ SHPK</w:t>
      </w:r>
    </w:p>
    <w:p w14:paraId="1E9D29FE" w14:textId="77777777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kundër Shqipërisë</w:t>
      </w:r>
    </w:p>
    <w:p w14:paraId="0E60A5AE" w14:textId="77777777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(shih tabelën bashkëlidhur)</w:t>
      </w:r>
    </w:p>
    <w:p w14:paraId="7A47D61A" w14:textId="77777777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0EDAF0A" w14:textId="7E2F0AC9" w:rsidR="00347AA2" w:rsidRPr="00AA1212" w:rsidRDefault="00347AA2" w:rsidP="00D938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Gjykata Evropiane e të Drejtave të Njeriut (Seksioni i Tretë), e mbledhur</w:t>
      </w:r>
      <w:r w:rsidR="006F0F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11 </w:t>
      </w:r>
      <w:r w:rsidR="00AA1212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orrik 2024</w:t>
      </w:r>
      <w:r w:rsidR="004778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Komitet i përbërë nga: </w:t>
      </w:r>
    </w:p>
    <w:p w14:paraId="2960D565" w14:textId="3B90C5CF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Peeter Roosma,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AA1212"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kryetar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</w:p>
    <w:p w14:paraId="02E75777" w14:textId="227347A8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Andreas Zünd,</w:t>
      </w:r>
    </w:p>
    <w:p w14:paraId="0013268F" w14:textId="48CFF8A9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Oddný Mjöll Arnardóttir,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gjyqtarë</w:t>
      </w:r>
      <w:r w:rsidR="00E279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</w:p>
    <w:p w14:paraId="79BAE383" w14:textId="068B5BAC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Viktoriya Maradudina, </w:t>
      </w:r>
      <w:r w:rsidR="00AA1212"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zëvendëssekretare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Përkohshme e Seksionit,</w:t>
      </w:r>
    </w:p>
    <w:p w14:paraId="11B705D5" w14:textId="45DCCA7D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Duke mbajtur në konsideratë kërkesën e mësipërme të depozituar</w:t>
      </w:r>
      <w:r w:rsidR="00D471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5 </w:t>
      </w:r>
      <w:r w:rsidR="00AA1212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hjetor 2018, </w:t>
      </w:r>
    </w:p>
    <w:p w14:paraId="35677ED7" w14:textId="081EC191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Duke mbajtur në konsideratë deklarimin e bërë nga Qeveria e paditur</w:t>
      </w:r>
      <w:r w:rsidR="004A7FB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i kërkonte Gjykatës të përjashtonte kërkesën nga lista e saj e çështjeve,  </w:t>
      </w:r>
    </w:p>
    <w:p w14:paraId="5E79DC5D" w14:textId="409E53B3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diskutoi, vendos si më poshtë: </w:t>
      </w:r>
    </w:p>
    <w:p w14:paraId="39B52B6E" w14:textId="77777777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FAKTET DHE PROCEDURA</w:t>
      </w:r>
    </w:p>
    <w:p w14:paraId="76019C09" w14:textId="59AF9970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Detajet e kompanisë kërkuese paraqiten në tabelën bashkëlidhur. </w:t>
      </w:r>
    </w:p>
    <w:p w14:paraId="36CC03AD" w14:textId="1016E72E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Kërkuesi u përfaqësua nga </w:t>
      </w:r>
      <w:r w:rsidR="00AA1212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Dobjani, një avokat që e ushtronte ligjin në Tiranë. </w:t>
      </w:r>
    </w:p>
    <w:p w14:paraId="4BB5C7CF" w14:textId="250D6436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Kompania kërkuese u ankua në mbështetje të </w:t>
      </w:r>
      <w:r w:rsidR="00AA1212"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enit 6§1 të Konventës në lidhje me mosekzekutimin e Gjykatës së Apelit Durrës. Vendimi nr. 115</w:t>
      </w:r>
      <w:r w:rsidR="00C80D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datës 9 shkurt 2015, që urdhëronte Bashkinë Durrës t’i paguante kompanisë disa shuma të caktuara parash sipas një kontrate për punime publike iu komunikua Qeverisë Shqiptare (“Qeveria”). Ankesat e mbështetura në të njëjtat fakte u komunikuan sipas parashikimeve të tjera të Konventës. </w:t>
      </w:r>
    </w:p>
    <w:p w14:paraId="1A49C3FE" w14:textId="4B336F28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LIGJI</w:t>
      </w:r>
    </w:p>
    <w:p w14:paraId="1A8A73A4" w14:textId="3FF23DA3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negociatave të pasuksesshme për zgjidhje miqësore, Qeveria informoi Gjykatën se ajo propozonte të bënte një parashtrim të njëanshëm me qëllim zgjidhjen e problematikave që kishin lindur nga këto ankesa. Gjithashtu, Qeveria i kërkoi Gjykatës të përjashtonte kërkesën në mbështetje të </w:t>
      </w:r>
      <w:r w:rsidR="00AA121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enit 37 të Konventës. </w:t>
      </w:r>
    </w:p>
    <w:p w14:paraId="4C832043" w14:textId="03DFE8CA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Qeveria pranoi kohëzgjatjen e tepërt të procedurave ekzekutuese. Gjithashtu, ajo pranoi se autoritetet vendase kishin shkelur të drejtat e kërkuesit të garantuara nga parashikime të tjera të Konventës. </w:t>
      </w:r>
    </w:p>
    <w:p w14:paraId="5D798155" w14:textId="6FD47D6E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Qeveria ofronte t’i paguante kërkuesit shumën e detajuar në tabelën bashkëlidhur dhe ftonte Gjykatën të përjashtonte kërkesën nga lista e çështjeve në mbështetje të </w:t>
      </w:r>
      <w:r w:rsidR="001173FE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enit 37§1 (c) të Konventës. </w:t>
      </w:r>
    </w:p>
    <w:p w14:paraId="19636F4D" w14:textId="5C5120DB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vijim, Qeveria ndërmerrte të siguronte zbatimin e vendimeve të brendshme në lidhje me këtë çështje brenda periudhës tremujore, si edhe të paguante çdo kosto për procedurat e brendshme ekzekutuese. </w:t>
      </w:r>
    </w:p>
    <w:p w14:paraId="16B19326" w14:textId="157C4AE0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Shuma do të konvertohej në monedhën e Shtetit të paditur në normën e zbatueshme në datën e pagesës dhe do të shlyhej brenda tre muajve nga data e njoftimit të vendimit të Gjykatës. Në rastin e mosshlyerjes së kësaj pagese brenda periudhës tremujore të përmendur më sipër, Qeveria ndërmerrte të paguante interes të thjeshtë për këtë shumë, nga përfundimi i periudhës së shlyerjes, në një normë të barasvlershme me normën margjinale të huadhënies së Bankës Qendrore Evropiane plus tre pikë përqindje. </w:t>
      </w:r>
    </w:p>
    <w:p w14:paraId="3566D8CB" w14:textId="0C3FAF78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Pagesa do të përbënte zgjidhjen përfundimtare të çështjes. </w:t>
      </w:r>
    </w:p>
    <w:p w14:paraId="4597C23B" w14:textId="023B4260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Kompanisë kërkuese iu dërguan kushtet e parashtrimit të njëanshëm të Qeverisë disa javë përpara datës së këtij vendimi. Gjykata nuk ka marrë një përgjigje nga kërkuesi ku ai të pranonte kushtet e parashtrimit. </w:t>
      </w:r>
    </w:p>
    <w:p w14:paraId="6A032D25" w14:textId="5377CB1B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vëren se </w:t>
      </w:r>
      <w:r w:rsidR="00BD0A8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eni 37§1 (c) i mundëson përjashtimin e çështjes nga lista e saj</w:t>
      </w:r>
      <w:r w:rsidR="000F4A6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nëse: </w:t>
      </w:r>
    </w:p>
    <w:p w14:paraId="16E7CADF" w14:textId="18182284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“... për çdo arsye tjetër që, sipas Gjykatës, nuk justifikon vazhdimin e shqyrtimit të kërkesës.”</w:t>
      </w:r>
      <w:r w:rsidR="003939E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</w:p>
    <w:p w14:paraId="555E8C1A" w14:textId="6D4220A7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mënyrë, ajo mund të përjashtojë kërkesa mbështetur në </w:t>
      </w:r>
      <w:r w:rsidR="00BD0A8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enin 37§1 (c) sipas parashtrimit të njëanshëm bërë nga një Qeveri e paditur edhe nëse kërkuesi dëshiron që të vijohet me shqyrtimin e çështjes (kundërshtimet paraprake) [DHM], nr. 26307/95, §§ 75-77, GJEDNJ 2003-VI).</w:t>
      </w:r>
    </w:p>
    <w:p w14:paraId="2731990A" w14:textId="24BEAFE5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ka krijuar një praktikë gjyqësore të qartë dhe të gjerë në lidhje me ankesat për mosekzekutimin ose ekzekutimin e vonuar të vendimeve të brendshme (shih, për shembull,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Qufaj Co. </w:t>
      </w:r>
      <w:r w:rsidR="00BD0A8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h.p.k. kundër Shqipërisë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54268/00, 18 </w:t>
      </w:r>
      <w:r w:rsidR="00BD0A8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ëntor 2004, dhe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Gjyli kundër Shqipërisë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32907/07, 29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htator 2009). </w:t>
      </w:r>
    </w:p>
    <w:p w14:paraId="34C8D512" w14:textId="26E9C160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Duke mbajtur në konsideratë parashtrimet në deklarimet e Qeverisë</w:t>
      </w:r>
      <w:r w:rsidR="000811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edhe shumën e kompensimit të propozuar – që është në përputhje me shumat e akorduara në çështje të ngjashme – Gjykata shprehet se nuk është më e justifikueshme që të vijohet me shqyrtimin e kërkesës (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37 § 1 (c)). </w:t>
      </w:r>
    </w:p>
    <w:p w14:paraId="17A2F579" w14:textId="613A8967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parashtrimeve të mësipërme, Gjykata konstaton se në respektim të të drejtave të njeriut parashtruar në Konventë dhe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rotokollet e saj, asaj nuk i kërkohet që të vijojë me shqyrtimin e kërkesës (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37 § 1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 fine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61AFE5F1" w14:textId="6ABCAAEF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fundmi, Gjykata thekson se nëse Qeveria nuk respekton kushtet në deklarimin e saj të njëanshëm, kërkesa mund të rikthehet në listë sipas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enit 37§2 të Konventës (shih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Josipović kundër Serbisë 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(vendim), nr. 18369/07, 4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ars 2008). </w:t>
      </w:r>
    </w:p>
    <w:p w14:paraId="3415373A" w14:textId="01FBFB12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sa më sipër, është me vend që çështja të përjashtohet nga lista. </w:t>
      </w:r>
    </w:p>
    <w:p w14:paraId="3EB9B344" w14:textId="77777777" w:rsidR="00B82EC4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A54FDBE" w14:textId="5C0B6EA7" w:rsidR="00347AA2" w:rsidRPr="00AA1212" w:rsidRDefault="00B82EC4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>PËR KËTO ARSYE, GJYKATA, NË MËNYRË UNANIME,</w:t>
      </w:r>
    </w:p>
    <w:p w14:paraId="13A2B4A0" w14:textId="77777777" w:rsidR="00B82EC4" w:rsidRDefault="00B82EC4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C11766" w14:textId="301AEA7E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Mban në konsideratë 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kushtet e parashtrimit të Qeverisë së paditur dhe angazhimet për të garantuar respektimin e premtimeve të bëra në të; </w:t>
      </w:r>
    </w:p>
    <w:p w14:paraId="50B5D898" w14:textId="24FC4308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A121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Vendos 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përjashtojë kërkesën nga lista e saj e çështjeve në mbështetje të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enit 37§1 (c) të Konventës. </w:t>
      </w:r>
    </w:p>
    <w:p w14:paraId="080E2729" w14:textId="497C6918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Hartuar në anglisht dhe njoftuar me shkrim më 5 </w:t>
      </w:r>
      <w:r w:rsidR="00B82EC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A121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htator 2024. </w:t>
      </w:r>
    </w:p>
    <w:p w14:paraId="2200FDAE" w14:textId="164DE5CE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</w:tblGrid>
      <w:tr w:rsidR="008A34B7" w:rsidRPr="00AA1212" w14:paraId="0839148B" w14:textId="77777777" w:rsidTr="008A34B7">
        <w:tc>
          <w:tcPr>
            <w:tcW w:w="3539" w:type="dxa"/>
          </w:tcPr>
          <w:p w14:paraId="5B50ACD7" w14:textId="62D7A950" w:rsidR="008A34B7" w:rsidRPr="00AA1212" w:rsidRDefault="008A34B7" w:rsidP="00D93881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r w:rsidRPr="00AA1212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Viktoriya Maradudina</w:t>
            </w:r>
          </w:p>
          <w:p w14:paraId="5A2DF160" w14:textId="6D91AF75" w:rsidR="008A34B7" w:rsidRPr="00AA1212" w:rsidRDefault="008A34B7" w:rsidP="00D93881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AA1212">
              <w:rPr>
                <w:rFonts w:ascii="Garamond" w:hAnsi="Garamond" w:cs="Calibri"/>
                <w:color w:val="000000"/>
                <w:sz w:val="24"/>
                <w:szCs w:val="24"/>
                <w:lang w:val="sq-AL"/>
              </w:rPr>
              <w:t xml:space="preserve">Zëvendëssekretare e </w:t>
            </w:r>
            <w:r w:rsidR="00B82EC4">
              <w:rPr>
                <w:rFonts w:ascii="Garamond" w:hAnsi="Garamond" w:cs="Calibri"/>
                <w:color w:val="000000"/>
                <w:sz w:val="24"/>
                <w:szCs w:val="24"/>
                <w:lang w:val="sq-AL"/>
              </w:rPr>
              <w:t>p</w:t>
            </w:r>
            <w:r w:rsidRPr="00AA1212">
              <w:rPr>
                <w:rFonts w:ascii="Garamond" w:hAnsi="Garamond" w:cs="Calibri"/>
                <w:color w:val="000000"/>
                <w:sz w:val="24"/>
                <w:szCs w:val="24"/>
                <w:lang w:val="sq-AL"/>
              </w:rPr>
              <w:t>ërkohshme</w:t>
            </w:r>
          </w:p>
        </w:tc>
        <w:tc>
          <w:tcPr>
            <w:tcW w:w="1843" w:type="dxa"/>
          </w:tcPr>
          <w:p w14:paraId="79E51B28" w14:textId="116D2C6A" w:rsidR="008A34B7" w:rsidRPr="00AA1212" w:rsidRDefault="008A34B7" w:rsidP="00D93881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color w:val="000000"/>
                <w:sz w:val="24"/>
                <w:szCs w:val="24"/>
                <w:lang w:val="sq-AL"/>
              </w:rPr>
            </w:pPr>
            <w:r w:rsidRPr="00AA1212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Peeter Roosma</w:t>
            </w:r>
          </w:p>
          <w:p w14:paraId="2F91D22F" w14:textId="654FC3FE" w:rsidR="008A34B7" w:rsidRPr="00AA1212" w:rsidRDefault="008A34B7" w:rsidP="00D93881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AA1212">
              <w:rPr>
                <w:rFonts w:ascii="Garamond" w:hAnsi="Garamond" w:cs="Calibri"/>
                <w:color w:val="000000"/>
                <w:sz w:val="24"/>
                <w:szCs w:val="24"/>
                <w:lang w:val="sq-AL"/>
              </w:rPr>
              <w:t>Kryetar</w:t>
            </w:r>
          </w:p>
        </w:tc>
      </w:tr>
    </w:tbl>
    <w:p w14:paraId="0BC70358" w14:textId="77777777" w:rsidR="00BB6D56" w:rsidRPr="00AA1212" w:rsidRDefault="00BB6D56" w:rsidP="00D93881">
      <w:pPr>
        <w:pStyle w:val="ECHRDecisionBody"/>
        <w:spacing w:after="0" w:line="240" w:lineRule="auto"/>
        <w:jc w:val="center"/>
        <w:rPr>
          <w:rFonts w:ascii="Garamond" w:hAnsi="Garamond"/>
          <w:b/>
          <w:bCs/>
          <w:iCs/>
        </w:rPr>
      </w:pPr>
    </w:p>
    <w:p w14:paraId="68FB530F" w14:textId="723C0DFB" w:rsidR="00BB6D56" w:rsidRPr="00AA1212" w:rsidRDefault="00BB6D56" w:rsidP="00D93881">
      <w:pPr>
        <w:pStyle w:val="ECHRDecisionBody"/>
        <w:spacing w:after="0" w:line="240" w:lineRule="auto"/>
        <w:jc w:val="center"/>
        <w:rPr>
          <w:rFonts w:ascii="Garamond" w:hAnsi="Garamond"/>
          <w:b/>
          <w:bCs/>
          <w:iCs/>
        </w:rPr>
      </w:pPr>
      <w:r w:rsidRPr="00B82EC4">
        <w:rPr>
          <w:rFonts w:ascii="Garamond" w:hAnsi="Garamond"/>
          <w:bCs/>
          <w:iCs/>
        </w:rPr>
        <w:t>SHTOJCË</w:t>
      </w:r>
    </w:p>
    <w:p w14:paraId="0CAE5BF1" w14:textId="77777777" w:rsidR="00BB6D56" w:rsidRPr="00AA1212" w:rsidRDefault="00BB6D56" w:rsidP="00D93881">
      <w:pPr>
        <w:pStyle w:val="ECHRDecisionBody"/>
        <w:spacing w:after="0" w:line="240" w:lineRule="auto"/>
        <w:jc w:val="center"/>
        <w:rPr>
          <w:rFonts w:ascii="Garamond" w:hAnsi="Garamond"/>
          <w:b/>
          <w:bCs/>
          <w:iCs/>
        </w:rPr>
      </w:pPr>
    </w:p>
    <w:p w14:paraId="1809D8D6" w14:textId="23C2A367" w:rsidR="00BB6D56" w:rsidRPr="00B82EC4" w:rsidRDefault="00BB6D56" w:rsidP="00D93881">
      <w:pPr>
        <w:pStyle w:val="ECHRDecisionBody"/>
        <w:spacing w:after="0" w:line="240" w:lineRule="auto"/>
        <w:jc w:val="center"/>
        <w:rPr>
          <w:rFonts w:ascii="Garamond" w:hAnsi="Garamond"/>
          <w:i/>
          <w:iCs/>
        </w:rPr>
      </w:pPr>
      <w:r w:rsidRPr="00B82EC4">
        <w:rPr>
          <w:rFonts w:ascii="Garamond" w:hAnsi="Garamond"/>
          <w:i/>
          <w:iCs/>
        </w:rPr>
        <w:t xml:space="preserve">Kërkesa që paraqiti ankesa në mbështetje me </w:t>
      </w:r>
      <w:r w:rsidR="00B82EC4" w:rsidRPr="00B82EC4">
        <w:rPr>
          <w:rFonts w:ascii="Garamond" w:hAnsi="Garamond"/>
          <w:i/>
          <w:iCs/>
        </w:rPr>
        <w:t>n</w:t>
      </w:r>
      <w:r w:rsidRPr="00B82EC4">
        <w:rPr>
          <w:rFonts w:ascii="Garamond" w:hAnsi="Garamond"/>
          <w:i/>
          <w:iCs/>
        </w:rPr>
        <w:t xml:space="preserve">enin 6 § 1 të Konventës </w:t>
      </w:r>
    </w:p>
    <w:p w14:paraId="6DCBE7DD" w14:textId="7D036B80" w:rsidR="00BB6D56" w:rsidRPr="00B82EC4" w:rsidRDefault="00BB6D56" w:rsidP="00D93881">
      <w:pPr>
        <w:pStyle w:val="ECHRDecisionBody"/>
        <w:spacing w:after="0" w:line="240" w:lineRule="auto"/>
        <w:jc w:val="center"/>
        <w:rPr>
          <w:rFonts w:ascii="Garamond" w:hAnsi="Garamond"/>
          <w:i/>
          <w:iCs/>
        </w:rPr>
      </w:pPr>
      <w:r w:rsidRPr="00B82EC4">
        <w:rPr>
          <w:rFonts w:ascii="Garamond" w:hAnsi="Garamond"/>
          <w:i/>
          <w:iCs/>
        </w:rPr>
        <w:t>(mosekzekutim ose ekzekutim i vonuar i vendimeve të brendshme)</w:t>
      </w:r>
    </w:p>
    <w:tbl>
      <w:tblPr>
        <w:tblStyle w:val="TableGrid"/>
        <w:tblW w:w="0" w:type="auto"/>
        <w:tblInd w:w="466" w:type="dxa"/>
        <w:tblLook w:val="04A0" w:firstRow="1" w:lastRow="0" w:firstColumn="1" w:lastColumn="0" w:noHBand="0" w:noVBand="1"/>
      </w:tblPr>
      <w:tblGrid>
        <w:gridCol w:w="1941"/>
        <w:gridCol w:w="2214"/>
        <w:gridCol w:w="2034"/>
        <w:gridCol w:w="2695"/>
      </w:tblGrid>
      <w:tr w:rsidR="00BB6D56" w:rsidRPr="00AA1212" w14:paraId="0A153275" w14:textId="77777777" w:rsidTr="00B82EC4">
        <w:trPr>
          <w:trHeight w:val="45"/>
        </w:trPr>
        <w:tc>
          <w:tcPr>
            <w:tcW w:w="1941" w:type="dxa"/>
          </w:tcPr>
          <w:p w14:paraId="428B0045" w14:textId="77777777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 xml:space="preserve">Ankesa nr. </w:t>
            </w:r>
          </w:p>
          <w:p w14:paraId="699641FD" w14:textId="77777777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>Data e paraqitjes</w:t>
            </w:r>
          </w:p>
        </w:tc>
        <w:tc>
          <w:tcPr>
            <w:tcW w:w="2214" w:type="dxa"/>
          </w:tcPr>
          <w:p w14:paraId="446E6878" w14:textId="77777777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>Emri i kërkuesit</w:t>
            </w:r>
          </w:p>
          <w:p w14:paraId="5AAA8A1A" w14:textId="77777777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>Data e regjistrimit</w:t>
            </w:r>
          </w:p>
        </w:tc>
        <w:tc>
          <w:tcPr>
            <w:tcW w:w="2034" w:type="dxa"/>
          </w:tcPr>
          <w:p w14:paraId="5B80DE5C" w14:textId="2D40CCAE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 xml:space="preserve">Data e marrjes së deklarimit të </w:t>
            </w:r>
            <w:r w:rsidR="00B82EC4">
              <w:rPr>
                <w:rFonts w:ascii="Garamond" w:hAnsi="Garamond"/>
                <w:bCs/>
                <w:i/>
                <w:iCs/>
                <w:sz w:val="20"/>
              </w:rPr>
              <w:t>q</w:t>
            </w:r>
            <w:r w:rsidRPr="00B82EC4">
              <w:rPr>
                <w:rFonts w:ascii="Garamond" w:hAnsi="Garamond"/>
                <w:bCs/>
                <w:i/>
                <w:iCs/>
                <w:sz w:val="20"/>
              </w:rPr>
              <w:t>everisë</w:t>
            </w:r>
          </w:p>
        </w:tc>
        <w:tc>
          <w:tcPr>
            <w:tcW w:w="2695" w:type="dxa"/>
          </w:tcPr>
          <w:p w14:paraId="79DF643B" w14:textId="693F787B" w:rsidR="00BB6D56" w:rsidRPr="00B82EC4" w:rsidRDefault="00BB6D56" w:rsidP="00D93881">
            <w:pPr>
              <w:pStyle w:val="ECHRDecisionBody"/>
              <w:spacing w:after="0" w:line="240" w:lineRule="auto"/>
              <w:rPr>
                <w:rFonts w:ascii="Garamond" w:hAnsi="Garamond"/>
                <w:bCs/>
                <w:i/>
                <w:iCs/>
                <w:sz w:val="20"/>
              </w:rPr>
            </w:pPr>
            <w:r w:rsidRPr="00B82EC4">
              <w:rPr>
                <w:rFonts w:ascii="Garamond" w:hAnsi="Garamond"/>
                <w:bCs/>
                <w:i/>
                <w:iCs/>
                <w:sz w:val="20"/>
              </w:rPr>
              <w:t>Shuma e akorduar për dëmin jopasuror dhe për kostot dhe shpenzimet (në euro)</w:t>
            </w:r>
            <w:r w:rsidRPr="00B82EC4">
              <w:rPr>
                <w:rStyle w:val="FootnoteReference"/>
                <w:rFonts w:ascii="Garamond" w:hAnsi="Garamond"/>
                <w:bCs/>
                <w:i/>
                <w:iCs/>
                <w:sz w:val="20"/>
              </w:rPr>
              <w:footnoteReference w:id="2"/>
            </w:r>
          </w:p>
        </w:tc>
      </w:tr>
      <w:tr w:rsidR="00BB6D56" w:rsidRPr="00AA1212" w14:paraId="47600717" w14:textId="77777777" w:rsidTr="00B82EC4">
        <w:tc>
          <w:tcPr>
            <w:tcW w:w="1941" w:type="dxa"/>
          </w:tcPr>
          <w:p w14:paraId="6A3D7244" w14:textId="77777777" w:rsidR="00BB6D56" w:rsidRPr="00AA1212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AA1212">
              <w:rPr>
                <w:rFonts w:ascii="Garamond" w:hAnsi="Garamond"/>
                <w:iCs/>
                <w:sz w:val="20"/>
              </w:rPr>
              <w:t>57941/18</w:t>
            </w:r>
          </w:p>
          <w:p w14:paraId="52558AA5" w14:textId="6AD81B1F" w:rsidR="00BB6D56" w:rsidRPr="00AA1212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AA1212">
              <w:rPr>
                <w:rFonts w:ascii="Garamond" w:hAnsi="Garamond"/>
                <w:iCs/>
                <w:sz w:val="20"/>
              </w:rPr>
              <w:t>5</w:t>
            </w:r>
            <w:r w:rsidR="00B82EC4">
              <w:rPr>
                <w:rFonts w:ascii="Garamond" w:hAnsi="Garamond"/>
                <w:iCs/>
                <w:sz w:val="20"/>
              </w:rPr>
              <w:t>.</w:t>
            </w:r>
            <w:r w:rsidRPr="00AA1212">
              <w:rPr>
                <w:rFonts w:ascii="Garamond" w:hAnsi="Garamond"/>
                <w:iCs/>
                <w:sz w:val="20"/>
              </w:rPr>
              <w:t>12</w:t>
            </w:r>
            <w:r w:rsidR="00B82EC4">
              <w:rPr>
                <w:rFonts w:ascii="Garamond" w:hAnsi="Garamond"/>
                <w:iCs/>
                <w:sz w:val="20"/>
              </w:rPr>
              <w:t>.</w:t>
            </w:r>
            <w:r w:rsidRPr="00AA1212">
              <w:rPr>
                <w:rFonts w:ascii="Garamond" w:hAnsi="Garamond"/>
                <w:iCs/>
                <w:sz w:val="20"/>
              </w:rPr>
              <w:t>2018</w:t>
            </w:r>
          </w:p>
        </w:tc>
        <w:tc>
          <w:tcPr>
            <w:tcW w:w="2214" w:type="dxa"/>
          </w:tcPr>
          <w:p w14:paraId="36B4C405" w14:textId="77777777" w:rsidR="00BB6D56" w:rsidRPr="00B82EC4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Cs/>
                <w:iCs/>
                <w:sz w:val="20"/>
              </w:rPr>
            </w:pPr>
            <w:r w:rsidRPr="00B82EC4">
              <w:rPr>
                <w:rFonts w:ascii="Garamond" w:hAnsi="Garamond"/>
                <w:bCs/>
                <w:iCs/>
                <w:sz w:val="20"/>
              </w:rPr>
              <w:t>NDREKAJ SHPK</w:t>
            </w:r>
          </w:p>
          <w:p w14:paraId="4FD0B2C1" w14:textId="77777777" w:rsidR="00BB6D56" w:rsidRPr="00AA1212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AA1212">
              <w:rPr>
                <w:rFonts w:ascii="Garamond" w:hAnsi="Garamond"/>
                <w:iCs/>
                <w:sz w:val="20"/>
              </w:rPr>
              <w:t>1996</w:t>
            </w:r>
          </w:p>
        </w:tc>
        <w:tc>
          <w:tcPr>
            <w:tcW w:w="2034" w:type="dxa"/>
          </w:tcPr>
          <w:p w14:paraId="14668622" w14:textId="1FEB9B50" w:rsidR="00BB6D56" w:rsidRPr="00AA1212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AA1212">
              <w:rPr>
                <w:rFonts w:ascii="Garamond" w:hAnsi="Garamond"/>
                <w:iCs/>
                <w:sz w:val="20"/>
              </w:rPr>
              <w:t>3</w:t>
            </w:r>
            <w:r w:rsidR="00B82EC4">
              <w:rPr>
                <w:rFonts w:ascii="Garamond" w:hAnsi="Garamond"/>
                <w:iCs/>
                <w:sz w:val="20"/>
              </w:rPr>
              <w:t>.</w:t>
            </w:r>
            <w:r w:rsidRPr="00AA1212">
              <w:rPr>
                <w:rFonts w:ascii="Garamond" w:hAnsi="Garamond"/>
                <w:iCs/>
                <w:sz w:val="20"/>
              </w:rPr>
              <w:t>11</w:t>
            </w:r>
            <w:r w:rsidR="00B82EC4">
              <w:rPr>
                <w:rFonts w:ascii="Garamond" w:hAnsi="Garamond"/>
                <w:iCs/>
                <w:sz w:val="20"/>
              </w:rPr>
              <w:t>.</w:t>
            </w:r>
            <w:r w:rsidRPr="00AA1212">
              <w:rPr>
                <w:rFonts w:ascii="Garamond" w:hAnsi="Garamond"/>
                <w:iCs/>
                <w:sz w:val="20"/>
              </w:rPr>
              <w:t>2023</w:t>
            </w:r>
          </w:p>
        </w:tc>
        <w:tc>
          <w:tcPr>
            <w:tcW w:w="2695" w:type="dxa"/>
          </w:tcPr>
          <w:p w14:paraId="3C348F08" w14:textId="77777777" w:rsidR="00BB6D56" w:rsidRPr="00AA1212" w:rsidRDefault="00BB6D56" w:rsidP="00D93881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AA1212">
              <w:rPr>
                <w:rFonts w:ascii="Garamond" w:hAnsi="Garamond"/>
                <w:iCs/>
                <w:sz w:val="20"/>
              </w:rPr>
              <w:t>3,600</w:t>
            </w:r>
          </w:p>
        </w:tc>
      </w:tr>
    </w:tbl>
    <w:p w14:paraId="49FCC762" w14:textId="77777777" w:rsidR="00BB6D56" w:rsidRPr="00AA1212" w:rsidRDefault="00BB6D56" w:rsidP="00D93881">
      <w:pPr>
        <w:pStyle w:val="ECHRDecisionBody"/>
        <w:spacing w:after="0" w:line="240" w:lineRule="auto"/>
        <w:rPr>
          <w:rFonts w:ascii="Garamond" w:hAnsi="Garamond"/>
          <w:sz w:val="20"/>
        </w:rPr>
      </w:pPr>
    </w:p>
    <w:p w14:paraId="06B6CC7F" w14:textId="77777777" w:rsidR="00347AA2" w:rsidRPr="00AA1212" w:rsidRDefault="00347AA2" w:rsidP="00D9388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347AA2" w:rsidRPr="00AA1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74330" w14:textId="77777777" w:rsidR="00E128C5" w:rsidRDefault="00E128C5" w:rsidP="00BB6D56">
      <w:pPr>
        <w:spacing w:after="0" w:line="240" w:lineRule="auto"/>
      </w:pPr>
      <w:r>
        <w:separator/>
      </w:r>
    </w:p>
  </w:endnote>
  <w:endnote w:type="continuationSeparator" w:id="0">
    <w:p w14:paraId="61F7BA75" w14:textId="77777777" w:rsidR="00E128C5" w:rsidRDefault="00E128C5" w:rsidP="00BB6D56">
      <w:pPr>
        <w:spacing w:after="0" w:line="240" w:lineRule="auto"/>
      </w:pPr>
      <w:r>
        <w:continuationSeparator/>
      </w:r>
    </w:p>
  </w:endnote>
  <w:endnote w:type="continuationNotice" w:id="1">
    <w:p w14:paraId="0E31FDC1" w14:textId="77777777" w:rsidR="00E128C5" w:rsidRDefault="00E128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17CC4" w14:textId="77777777" w:rsidR="00E128C5" w:rsidRDefault="00E128C5" w:rsidP="00BB6D56">
      <w:pPr>
        <w:spacing w:after="0" w:line="240" w:lineRule="auto"/>
      </w:pPr>
      <w:r>
        <w:separator/>
      </w:r>
    </w:p>
  </w:footnote>
  <w:footnote w:type="continuationSeparator" w:id="0">
    <w:p w14:paraId="2405FEC9" w14:textId="77777777" w:rsidR="00E128C5" w:rsidRDefault="00E128C5" w:rsidP="00BB6D56">
      <w:pPr>
        <w:spacing w:after="0" w:line="240" w:lineRule="auto"/>
      </w:pPr>
      <w:r>
        <w:continuationSeparator/>
      </w:r>
    </w:p>
  </w:footnote>
  <w:footnote w:type="continuationNotice" w:id="1">
    <w:p w14:paraId="0E229A25" w14:textId="77777777" w:rsidR="00E128C5" w:rsidRDefault="00E128C5">
      <w:pPr>
        <w:spacing w:after="0" w:line="240" w:lineRule="auto"/>
      </w:pPr>
    </w:p>
  </w:footnote>
  <w:footnote w:id="2">
    <w:p w14:paraId="3C7E2634" w14:textId="6CA5CF9F" w:rsidR="00E128C5" w:rsidRPr="00B82EC4" w:rsidRDefault="00E128C5" w:rsidP="00B82EC4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B82EC4">
        <w:rPr>
          <w:rStyle w:val="FootnoteReference"/>
          <w:rFonts w:ascii="Garamond" w:hAnsi="Garamond"/>
          <w:lang w:val="sq-AL"/>
        </w:rPr>
        <w:footnoteRef/>
      </w:r>
      <w:r w:rsidRPr="00B82EC4">
        <w:rPr>
          <w:rFonts w:ascii="Garamond" w:hAnsi="Garamond"/>
          <w:lang w:val="sq-AL"/>
        </w:rPr>
        <w:t xml:space="preserve"> Plus çdo taksë që mund t’</w:t>
      </w:r>
      <w:r>
        <w:rPr>
          <w:rFonts w:ascii="Garamond" w:hAnsi="Garamond"/>
          <w:lang w:val="sq-AL"/>
        </w:rPr>
        <w:t>u</w:t>
      </w:r>
      <w:r w:rsidRPr="00B82EC4">
        <w:rPr>
          <w:rFonts w:ascii="Garamond" w:hAnsi="Garamond"/>
          <w:lang w:val="sq-AL"/>
        </w:rPr>
        <w:t xml:space="preserve"> tarifohet kërkuesve.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5B"/>
    <w:rsid w:val="0008112E"/>
    <w:rsid w:val="00083613"/>
    <w:rsid w:val="000F4A62"/>
    <w:rsid w:val="000F74B6"/>
    <w:rsid w:val="001173FE"/>
    <w:rsid w:val="00124359"/>
    <w:rsid w:val="00185766"/>
    <w:rsid w:val="00347AA2"/>
    <w:rsid w:val="0036675B"/>
    <w:rsid w:val="003939E7"/>
    <w:rsid w:val="003D6C54"/>
    <w:rsid w:val="00420FCC"/>
    <w:rsid w:val="00461ADF"/>
    <w:rsid w:val="004778E0"/>
    <w:rsid w:val="00495544"/>
    <w:rsid w:val="004A7FBF"/>
    <w:rsid w:val="00593BAD"/>
    <w:rsid w:val="005B5F43"/>
    <w:rsid w:val="0061636A"/>
    <w:rsid w:val="0067423C"/>
    <w:rsid w:val="006F0FB7"/>
    <w:rsid w:val="007A461B"/>
    <w:rsid w:val="007D4BED"/>
    <w:rsid w:val="007F4FE3"/>
    <w:rsid w:val="008A34B7"/>
    <w:rsid w:val="008C7EE7"/>
    <w:rsid w:val="00976962"/>
    <w:rsid w:val="00AA1212"/>
    <w:rsid w:val="00AD6F91"/>
    <w:rsid w:val="00B15F34"/>
    <w:rsid w:val="00B262CA"/>
    <w:rsid w:val="00B82EC4"/>
    <w:rsid w:val="00BB6D56"/>
    <w:rsid w:val="00BD0A8F"/>
    <w:rsid w:val="00C56E38"/>
    <w:rsid w:val="00C80DC6"/>
    <w:rsid w:val="00CE361E"/>
    <w:rsid w:val="00D4718A"/>
    <w:rsid w:val="00D93881"/>
    <w:rsid w:val="00E128C5"/>
    <w:rsid w:val="00E27900"/>
    <w:rsid w:val="00EF6903"/>
    <w:rsid w:val="00F23FBB"/>
    <w:rsid w:val="00F6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0149"/>
  <w15:chartTrackingRefBased/>
  <w15:docId w15:val="{069EBAD0-DAE5-4716-8C18-310C9FA9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8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DecisionBody">
    <w:name w:val="ECHR_Decision_Body"/>
    <w:aliases w:val="Ju_Judges"/>
    <w:basedOn w:val="Normal"/>
    <w:uiPriority w:val="11"/>
    <w:qFormat/>
    <w:rsid w:val="00347AA2"/>
    <w:pPr>
      <w:tabs>
        <w:tab w:val="left" w:pos="560"/>
        <w:tab w:val="left" w:pos="1120"/>
      </w:tabs>
      <w:autoSpaceDE w:val="0"/>
      <w:autoSpaceDN w:val="0"/>
      <w:adjustRightInd w:val="0"/>
      <w:spacing w:after="200" w:line="33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ECHRPara">
    <w:name w:val="ECHR_Para"/>
    <w:aliases w:val="Ju_Para"/>
    <w:basedOn w:val="Normal"/>
    <w:uiPriority w:val="99"/>
    <w:rsid w:val="00347AA2"/>
    <w:pPr>
      <w:autoSpaceDE w:val="0"/>
      <w:autoSpaceDN w:val="0"/>
      <w:adjustRightInd w:val="0"/>
      <w:spacing w:after="200" w:line="330" w:lineRule="atLeast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8A3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B6D56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D56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BB6D56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7F4F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4FE3"/>
  </w:style>
  <w:style w:type="paragraph" w:styleId="Footer">
    <w:name w:val="footer"/>
    <w:basedOn w:val="Normal"/>
    <w:link w:val="FooterChar"/>
    <w:uiPriority w:val="99"/>
    <w:semiHidden/>
    <w:unhideWhenUsed/>
    <w:rsid w:val="007F4F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4FE3"/>
  </w:style>
  <w:style w:type="character" w:customStyle="1" w:styleId="Heading1Char">
    <w:name w:val="Heading 1 Char"/>
    <w:basedOn w:val="DefaultParagraphFont"/>
    <w:link w:val="Heading1"/>
    <w:uiPriority w:val="9"/>
    <w:rsid w:val="00E128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57941-18</Nr_x002e__x0020_akti>
    <Data_x0020_e_x0020_Krijimit xmlns="0e656187-b300-4fb0-8bf4-3a50f872073c">2024-09-26T11:40:51Z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Çështja "Ndrekaj shpk kundër Shqipërisë</Titulli>
    <Modifikuesi xmlns="0e656187-b300-4fb0-8bf4-3a50f872073c">jorina.kryeziu</Modifikuesi>
    <Nr_x002e__x0020_prot_x0020_QBZ xmlns="0e656187-b300-4fb0-8bf4-3a50f872073c">1669/1</Nr_x002e__x0020_prot_x0020_QBZ>
    <Data_x0020_e_x0020_Modifikimit xmlns="0e656187-b300-4fb0-8bf4-3a50f872073c">2024-09-26T12:26:17Z</Data_x0020_e_x0020_Modifikimit>
    <Dekretuar xmlns="0e656187-b300-4fb0-8bf4-3a50f872073c">false</Dekretuar>
    <Data xmlns="0e656187-b300-4fb0-8bf4-3a50f872073c">2024-09-05T00:00:00Z</Data>
    <Nr_x002e__x0020_protokolli_x0020_i_x0020_aktit xmlns="0e656187-b300-4fb0-8bf4-3a50f872073c">4672/1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26659EDEB488A849A046EE1F1C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26659EDEB488A849A046EE1F1C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E9C371-AAA6-4C8B-914A-C478FB5B8DDE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6F3AB5-FECF-4C08-9EA2-C4824473A2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E2616-C22C-43B0-98C9-425E14847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498401-CFF6-4F6B-8516-C97029CC4C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38ADA4-9451-46CC-8F20-9F1A4CCAC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"Ndrekaj shpk kundër Shqipërisë</vt:lpstr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"Ndrekaj shpk kundër Shqipërisë</dc:title>
  <dc:creator>Entela Suli</dc:creator>
  <cp:lastModifiedBy>Amarilda Muja</cp:lastModifiedBy>
  <cp:revision>40</cp:revision>
  <dcterms:created xsi:type="dcterms:W3CDTF">2024-09-26T10:42:00Z</dcterms:created>
  <dcterms:modified xsi:type="dcterms:W3CDTF">2024-09-26T11:32:00Z</dcterms:modified>
</cp:coreProperties>
</file>