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1D52E" w14:textId="2AB01210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GJYKATA E</w:t>
      </w:r>
      <w:r w:rsidR="00CF0649">
        <w:rPr>
          <w:rFonts w:ascii="Garamond" w:hAnsi="Garamond" w:cs="Times New Roman"/>
          <w:noProof w:val="0"/>
          <w:color w:val="000000"/>
          <w:sz w:val="24"/>
          <w:szCs w:val="24"/>
        </w:rPr>
        <w:t>V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ROPIANE E TË DREJTAVE TË NJERIUT</w:t>
      </w:r>
    </w:p>
    <w:p w14:paraId="446BF5BD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SEKSIONI I TRETË</w:t>
      </w:r>
    </w:p>
    <w:p w14:paraId="7CBF3E0E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</w:p>
    <w:p w14:paraId="4FBC9C97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VENDIM</w:t>
      </w:r>
    </w:p>
    <w:p w14:paraId="11D0304A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noProof w:val="0"/>
          <w:color w:val="000000"/>
          <w:sz w:val="24"/>
          <w:szCs w:val="24"/>
        </w:rPr>
      </w:pPr>
    </w:p>
    <w:p w14:paraId="7AD93BC7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b/>
          <w:noProof w:val="0"/>
          <w:color w:val="000000"/>
          <w:sz w:val="24"/>
          <w:szCs w:val="24"/>
        </w:rPr>
        <w:t xml:space="preserve">Kërkesa nr. 41592/14 </w:t>
      </w:r>
    </w:p>
    <w:p w14:paraId="7AD74AA2" w14:textId="20A74CA0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b/>
          <w:noProof w:val="0"/>
          <w:color w:val="000000"/>
          <w:sz w:val="24"/>
          <w:szCs w:val="24"/>
        </w:rPr>
        <w:t xml:space="preserve">Nikoll </w:t>
      </w:r>
      <w:r w:rsidR="008C541A" w:rsidRPr="002973D6">
        <w:rPr>
          <w:rFonts w:ascii="Garamond" w:hAnsi="Garamond" w:cs="Times New Roman"/>
          <w:b/>
          <w:noProof w:val="0"/>
          <w:color w:val="000000"/>
          <w:sz w:val="24"/>
          <w:szCs w:val="24"/>
        </w:rPr>
        <w:t>Dobrozi</w:t>
      </w:r>
    </w:p>
    <w:p w14:paraId="3057271B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kundër Shqipërisë</w:t>
      </w:r>
    </w:p>
    <w:p w14:paraId="1A841333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(shihni tabelën bashkëngjitur)</w:t>
      </w:r>
    </w:p>
    <w:p w14:paraId="57E13D94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</w:p>
    <w:p w14:paraId="77043D7D" w14:textId="5554780C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Gjykata E</w:t>
      </w:r>
      <w:r w:rsidR="007A2EAC">
        <w:rPr>
          <w:rFonts w:ascii="Garamond" w:hAnsi="Garamond" w:cs="Times New Roman"/>
          <w:noProof w:val="0"/>
          <w:color w:val="000000"/>
          <w:sz w:val="24"/>
          <w:szCs w:val="24"/>
        </w:rPr>
        <w:t>v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ropiane e të Drejtave të Njeriut (Seksioni i Tretë), e mbledhur më 3 tetor 2024 si Komitet i përbërë nga:</w:t>
      </w:r>
    </w:p>
    <w:p w14:paraId="78B7E5BC" w14:textId="4D335F8E" w:rsidR="00203F05" w:rsidRPr="002973D6" w:rsidRDefault="00203F05" w:rsidP="00203F05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Peeter Roosma</w:t>
      </w: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, </w:t>
      </w:r>
      <w:r w:rsidR="008C541A"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kryetar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</w:p>
    <w:p w14:paraId="41F54AEB" w14:textId="7381CE62" w:rsidR="00203F05" w:rsidRPr="002973D6" w:rsidRDefault="00203F05" w:rsidP="00203F05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Andreas Zünd,</w:t>
      </w:r>
    </w:p>
    <w:p w14:paraId="7A47E951" w14:textId="20F61D27" w:rsidR="00203F05" w:rsidRPr="002973D6" w:rsidRDefault="00203F05" w:rsidP="00203F05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Oddný Mjöll Arnardóttir</w:t>
      </w: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, gjyqtarë</w:t>
      </w:r>
      <w:r w:rsidR="00714A83"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</w:p>
    <w:p w14:paraId="33CEC15C" w14:textId="46AAE74C" w:rsidR="00203F05" w:rsidRPr="002973D6" w:rsidRDefault="00203F05" w:rsidP="00203F05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dhe Viktoriya Maradudina, </w:t>
      </w:r>
      <w:r w:rsidR="00AA6618"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zëvendëskancelare </w:t>
      </w: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në detyrë e Seksionit,</w:t>
      </w:r>
    </w:p>
    <w:p w14:paraId="1DDCC6DB" w14:textId="77777777" w:rsidR="00203F05" w:rsidRPr="002973D6" w:rsidRDefault="00203F05" w:rsidP="00203F0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Duke pasur parasysh kërkesën më sipër të depozituar më 2 qershor 2014,</w:t>
      </w:r>
    </w:p>
    <w:p w14:paraId="39C590A2" w14:textId="77777777" w:rsidR="00203F05" w:rsidRPr="002973D6" w:rsidRDefault="00203F05" w:rsidP="00203F0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Duke pasur parasysh deklaratën e paraqitur nga Qeveria e paditur me të cilën i kërkon Gjykatës të çregjistrojë kërkesën nga lista e çështjeve,</w:t>
      </w:r>
    </w:p>
    <w:p w14:paraId="6B4A5EDB" w14:textId="77777777" w:rsidR="00203F05" w:rsidRPr="002973D6" w:rsidRDefault="00203F05" w:rsidP="00203F0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Pas diskutimit, vendosi si më poshtë:</w:t>
      </w:r>
    </w:p>
    <w:p w14:paraId="1F25E6C1" w14:textId="46259AAA" w:rsidR="00203F05" w:rsidRPr="002973D6" w:rsidRDefault="00203F05" w:rsidP="00203F0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caps/>
          <w:noProof w:val="0"/>
          <w:color w:val="000000"/>
          <w:sz w:val="24"/>
          <w:szCs w:val="24"/>
        </w:rPr>
        <w:t>FAKTE DHE PROCEDURA</w:t>
      </w:r>
    </w:p>
    <w:p w14:paraId="0C1242DF" w14:textId="77777777" w:rsidR="00203F05" w:rsidRPr="002973D6" w:rsidRDefault="00203F05" w:rsidP="00203F0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Detajet e kërkuesit jepen në tabelën bashkëngjitur.</w:t>
      </w:r>
    </w:p>
    <w:p w14:paraId="339C26CD" w14:textId="77777777" w:rsidR="00203F05" w:rsidRPr="002973D6" w:rsidRDefault="00203F05" w:rsidP="00203F0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Kërkuesi u përfaqësua nga z. M. Pëllumbi, avokat i licencuar në Tiranë.</w:t>
      </w:r>
    </w:p>
    <w:p w14:paraId="08894C62" w14:textId="77777777" w:rsidR="00203F05" w:rsidRPr="002973D6" w:rsidRDefault="00203F05" w:rsidP="00203F0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Ankimet e kërkuesit sipas paragrafit 1 të nenit 6 të Konventës në lidhje me tejkalimin e kohëzgjatjes së procesit civil i janë komunikuar qeverisë shqiptare (“Qeveria”).</w:t>
      </w:r>
    </w:p>
    <w:p w14:paraId="16441123" w14:textId="77777777" w:rsidR="00203F05" w:rsidRPr="002973D6" w:rsidRDefault="00203F05" w:rsidP="00203F0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Pr="002973D6">
        <w:rPr>
          <w:rFonts w:ascii="Garamond" w:hAnsi="Garamond" w:cs="Times New Roman"/>
          <w:caps/>
          <w:noProof w:val="0"/>
          <w:color w:val="000000"/>
          <w:sz w:val="24"/>
          <w:szCs w:val="24"/>
        </w:rPr>
        <w:t>LEGJISLACIONI</w:t>
      </w:r>
    </w:p>
    <w:p w14:paraId="4C5234C5" w14:textId="67BE9323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Pas negocimit të pasuksesshëm për zgjidhje miqësore, Qeveria informoi Gjykatën që ajo propozonte të bënte një deklaratë të njëanshme</w:t>
      </w:r>
      <w:r w:rsidR="00205D98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me qëllim zgjidhjen e problemeve të ngritura në këtë ankim. Më tej, ajo i kërkoi Gjykatës të çregjistronte kërkesën në përputhje me nenin 37 të Konventës.</w:t>
      </w:r>
    </w:p>
    <w:p w14:paraId="08BF473B" w14:textId="0B30CF3D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Qeveria pranoi tejkalimin e kohëzgjatjes së procesit civil. Ajo u ofrua që t’i paguajë kërkuesit shumat e detajuara në tabelën bashkëngjitur dhe ftoi Gjykatën të çregjistrojë kërkesën nga lista e çështjeve </w:t>
      </w:r>
      <w:r w:rsidR="00205D98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në përputhje me nenin 37 § 1 (c) të Konventës. Shumat e mësipërme duhet të konvertohen në monedhën e Shtetit të paditur me kursin e këmbimit të datës së pagesës dhe duhet të paguhen brenda tre muajve nga data e njoftimit të vendimit të Gjykatës. Në rast të mospagimit të këtyre shumave brenda periudhës tremujore të lartpërmendur, Qeveria merr përsipër të paguajë një kamat</w:t>
      </w:r>
      <w:r w:rsidR="002807C5">
        <w:rPr>
          <w:rFonts w:ascii="Garamond" w:hAnsi="Garamond" w:cs="Times New Roman"/>
          <w:noProof w:val="0"/>
          <w:color w:val="000000"/>
          <w:sz w:val="24"/>
          <w:szCs w:val="24"/>
        </w:rPr>
        <w:t>ë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vonesë të thjeshtë nga mbarimi i kësaj periudhe deri në momentin e shlyerjes, me një normë të barabartë me normën e marxhinale të kreditimit të Bankës Qendrore E</w:t>
      </w:r>
      <w:r w:rsidR="00CF0649">
        <w:rPr>
          <w:rFonts w:ascii="Garamond" w:hAnsi="Garamond" w:cs="Times New Roman"/>
          <w:noProof w:val="0"/>
          <w:color w:val="000000"/>
          <w:sz w:val="24"/>
          <w:szCs w:val="24"/>
        </w:rPr>
        <w:t>v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ropiane gjatë periudhës së mospagimit plus tre pikë përqindje</w:t>
      </w:r>
      <w:r w:rsidR="008652C9">
        <w:rPr>
          <w:rFonts w:ascii="Garamond" w:hAnsi="Garamond" w:cs="Times New Roman"/>
          <w:noProof w:val="0"/>
          <w:color w:val="000000"/>
          <w:sz w:val="24"/>
          <w:szCs w:val="24"/>
        </w:rPr>
        <w:t>je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</w:p>
    <w:p w14:paraId="2D1C57DC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Pagesa do të përbëjë zgjidhjen përfundimtare të çështjes.</w:t>
      </w:r>
    </w:p>
    <w:p w14:paraId="336359F4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Kërkuesi nuk u përgjigj.</w:t>
      </w:r>
    </w:p>
    <w:p w14:paraId="057EC6FA" w14:textId="4337453B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Gjykata vëren që neni 37§1(c) mundëson çregjistrimin e një çështjeje nga lista e saj:</w:t>
      </w:r>
    </w:p>
    <w:p w14:paraId="6BA4166C" w14:textId="77777777" w:rsidR="00203F05" w:rsidRPr="009C603E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9C603E">
        <w:rPr>
          <w:rFonts w:ascii="Garamond" w:hAnsi="Garamond" w:cs="Times New Roman"/>
          <w:noProof w:val="0"/>
          <w:color w:val="000000"/>
          <w:sz w:val="24"/>
          <w:szCs w:val="24"/>
        </w:rPr>
        <w:t>“... për çdo arsye tjetër që, sipas Gjykatës, nuk justifikon vazhdimin e shqyrtimit të kërkesës”.</w:t>
      </w:r>
    </w:p>
    <w:p w14:paraId="10FD1084" w14:textId="1D57A01E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Prandaj, ajo mund të çregjistrojë kërkesën sipas nenit 37§1(c) bazuar në një deklaratë të njëanshme nga një Qeveri e paditur edhe nëse kërkuesit dëshirojnë vazhdimin e shqyrtimit të çështjes (shihni në veçanti, </w:t>
      </w:r>
      <w:r w:rsidR="004B0D23"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Çështja </w:t>
      </w: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Tahsin Acar kundër Turqisë 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vendimi (kundërshtime paraprake) [DHM], nr. 26307/95, §§75</w:t>
      </w:r>
      <w:r w:rsidR="00C950A7">
        <w:rPr>
          <w:rFonts w:ascii="Garamond" w:hAnsi="Garamond" w:cs="Times New Roman"/>
          <w:noProof w:val="0"/>
          <w:color w:val="000000"/>
          <w:sz w:val="24"/>
          <w:szCs w:val="24"/>
        </w:rPr>
        <w:t>-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77, GJEDNJ 2003-VI).</w:t>
      </w:r>
    </w:p>
    <w:p w14:paraId="576F655A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lastRenderedPageBreak/>
        <w:t xml:space="preserve">Gjykata ka krijuar praktikë gjyqësore të qartë dhe të gjerë në lidhje me ankimet për tejkalimin e kohëzgjatjes së proceseve gjyqësore (shihni për shembull, </w:t>
      </w: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Luli dhe të tjerë kundër Shqipërisë, 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nr. 64480/09 dhe 5 të tjera, 1 prill 2014 dhe </w:t>
      </w: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Mishgjoni kundër Shqipërisë, 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nr. 18381/05, 7 dhjetor 2010).</w:t>
      </w:r>
    </w:p>
    <w:p w14:paraId="67901FE2" w14:textId="454E5CCC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Duke pasur parasysh pranimet që përmban deklarata e Qeverisë</w:t>
      </w:r>
      <w:r w:rsidR="00D60E95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, 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si edhe shumën e propozuar për kompensim </w:t>
      </w:r>
      <w:r w:rsidR="009C603E">
        <w:rPr>
          <w:rFonts w:ascii="Garamond" w:hAnsi="Garamond" w:cs="Times New Roman"/>
          <w:noProof w:val="0"/>
          <w:color w:val="000000"/>
          <w:sz w:val="24"/>
          <w:szCs w:val="24"/>
        </w:rPr>
        <w:t>–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që është në përputhje me shumat e caktuara në çështje të ngjashme </w:t>
      </w:r>
      <w:r w:rsidR="009C603E">
        <w:rPr>
          <w:rFonts w:ascii="Garamond" w:hAnsi="Garamond" w:cs="Times New Roman"/>
          <w:noProof w:val="0"/>
          <w:color w:val="000000"/>
          <w:sz w:val="24"/>
          <w:szCs w:val="24"/>
        </w:rPr>
        <w:t>–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Gjykata vlerëson që nuk justifikohet më tej vazhdimi i shqyrtimit të kërkesës (</w:t>
      </w:r>
      <w:r w:rsidR="009C603E"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neni 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37§1(c)).</w:t>
      </w:r>
    </w:p>
    <w:p w14:paraId="1F241A6A" w14:textId="52C73F48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Nisur nga vlerësimet e mësipërme, Gjykata është e bindur që respektimi i të drejtave të njeriut</w:t>
      </w:r>
      <w:r w:rsidR="004F0928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siç përcaktohet në Konventë dhe Protokollet e saj</w:t>
      </w:r>
      <w:r w:rsidR="004F0928">
        <w:rPr>
          <w:rFonts w:ascii="Garamond" w:hAnsi="Garamond" w:cs="Times New Roman"/>
          <w:noProof w:val="0"/>
          <w:color w:val="000000"/>
          <w:sz w:val="24"/>
          <w:szCs w:val="24"/>
        </w:rPr>
        <w:t>,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nuk kërkon që ajo të vazhdojë të shqyrtojë kërkesën (neni 37§1 </w:t>
      </w: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in fine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).</w:t>
      </w:r>
    </w:p>
    <w:p w14:paraId="47160AE8" w14:textId="40D39708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Në përfundim, Gjykata thekson që</w:t>
      </w:r>
      <w:r w:rsidR="004F0928">
        <w:rPr>
          <w:rFonts w:ascii="Garamond" w:hAnsi="Garamond" w:cs="Times New Roman"/>
          <w:noProof w:val="0"/>
          <w:color w:val="000000"/>
          <w:sz w:val="24"/>
          <w:szCs w:val="24"/>
        </w:rPr>
        <w:t>.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nëse Qeveria nuk përmbush kushtet e deklaratës së saj të njëanshme, kërkesa mund të futet përsëri në listë në përputhje me paragrafin 2 të nenit 37 të Konventës (shihni </w:t>
      </w: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Josipović kundër Serbisë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(vendim), nr. 18369/07, 4 mars 2008).</w:t>
      </w:r>
    </w:p>
    <w:p w14:paraId="33AD3B2D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Nisur nga sa më sipër, është me vend që çështja të çregjistrohet nga lista.</w:t>
      </w:r>
    </w:p>
    <w:p w14:paraId="17C3FF79" w14:textId="48B152B1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Për këto arsye, Gjykata, unanimisht</w:t>
      </w:r>
      <w:r w:rsidR="004F0928">
        <w:rPr>
          <w:rFonts w:ascii="Garamond" w:hAnsi="Garamond" w:cs="Times New Roman"/>
          <w:noProof w:val="0"/>
          <w:color w:val="000000"/>
          <w:sz w:val="24"/>
          <w:szCs w:val="24"/>
        </w:rPr>
        <w:t>:</w:t>
      </w:r>
    </w:p>
    <w:p w14:paraId="552C7B6E" w14:textId="7A2A26D8" w:rsidR="00203F05" w:rsidRPr="002973D6" w:rsidRDefault="004F0928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 xml:space="preserve">Mban </w:t>
      </w:r>
      <w:r w:rsidR="00203F05"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parasysh</w:t>
      </w:r>
      <w:r w:rsidR="00203F05"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kushtet e deklaratave të Qeverisë së paditur dhe të rregullimeve për të siguruar përmbushjen e angazhimeve të përmendura në to;</w:t>
      </w:r>
    </w:p>
    <w:p w14:paraId="268806D3" w14:textId="7127CD19" w:rsidR="00203F05" w:rsidRPr="002973D6" w:rsidRDefault="004F0928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i/>
          <w:iCs/>
          <w:noProof w:val="0"/>
          <w:color w:val="000000"/>
          <w:sz w:val="24"/>
          <w:szCs w:val="24"/>
        </w:rPr>
        <w:t>Vendos</w:t>
      </w: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 xml:space="preserve"> </w:t>
      </w:r>
      <w:r w:rsidR="00203F05"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të çregjistrojë kërkesën nga lista e saj e çështjeve në përputhje me nenin 37§1(c) të Konventës.</w:t>
      </w:r>
    </w:p>
    <w:p w14:paraId="4B7A9AA7" w14:textId="77777777" w:rsidR="00203F05" w:rsidRPr="002973D6" w:rsidRDefault="00203F05" w:rsidP="00203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noProof w:val="0"/>
          <w:color w:val="000000"/>
          <w:sz w:val="24"/>
          <w:szCs w:val="24"/>
        </w:rPr>
      </w:pPr>
      <w:r w:rsidRPr="002973D6">
        <w:rPr>
          <w:rFonts w:ascii="Garamond" w:hAnsi="Garamond" w:cs="Times New Roman"/>
          <w:noProof w:val="0"/>
          <w:color w:val="000000"/>
          <w:sz w:val="24"/>
          <w:szCs w:val="24"/>
        </w:rPr>
        <w:t>Bërë në gjuhën angleze dhe njoftuar me shkrim më 24 tetor 2024.</w:t>
      </w:r>
    </w:p>
    <w:p w14:paraId="398BD5E1" w14:textId="77777777" w:rsidR="00FF11BA" w:rsidRPr="002973D6" w:rsidRDefault="00FF11BA" w:rsidP="00203F05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4324"/>
      </w:tblGrid>
      <w:tr w:rsidR="00203F05" w:rsidRPr="00F7773E" w14:paraId="48B3546F" w14:textId="77777777" w:rsidTr="00F7773E">
        <w:tc>
          <w:tcPr>
            <w:tcW w:w="2690" w:type="pct"/>
          </w:tcPr>
          <w:p w14:paraId="5C7E43EA" w14:textId="77777777" w:rsidR="00F7773E" w:rsidRDefault="00203F05" w:rsidP="008C541A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</w:pPr>
            <w:r w:rsidRPr="00F7773E"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  <w:t>Viktoriya Maradudina</w:t>
            </w:r>
            <w:r w:rsidRPr="00F7773E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 xml:space="preserve"> </w:t>
            </w:r>
          </w:p>
          <w:p w14:paraId="4498F114" w14:textId="51A18F95" w:rsidR="00203F05" w:rsidRPr="00F7773E" w:rsidRDefault="004F0928" w:rsidP="008C541A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noProof w:val="0"/>
                <w:color w:val="FFFFFF"/>
                <w:sz w:val="24"/>
                <w:szCs w:val="24"/>
              </w:rPr>
            </w:pPr>
            <w:r w:rsidRPr="00F7773E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>ZËVENDËS</w:t>
            </w:r>
            <w:r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>K</w:t>
            </w:r>
            <w:r w:rsidRPr="00F7773E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>ANCELARE NË DETYRË</w:t>
            </w:r>
          </w:p>
        </w:tc>
        <w:tc>
          <w:tcPr>
            <w:tcW w:w="2310" w:type="pct"/>
          </w:tcPr>
          <w:p w14:paraId="3A656C06" w14:textId="77777777" w:rsidR="00203F05" w:rsidRPr="00F7773E" w:rsidRDefault="00203F05" w:rsidP="008C541A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</w:pPr>
            <w:r w:rsidRPr="00F7773E">
              <w:rPr>
                <w:rFonts w:ascii="Garamond" w:hAnsi="Garamond" w:cs="Times New Roman"/>
                <w:b/>
                <w:noProof w:val="0"/>
                <w:color w:val="000000"/>
                <w:sz w:val="24"/>
                <w:szCs w:val="24"/>
              </w:rPr>
              <w:t>Peeter Roosma</w:t>
            </w:r>
          </w:p>
          <w:p w14:paraId="5FEE0143" w14:textId="3E2AC63E" w:rsidR="00203F05" w:rsidRPr="00F7773E" w:rsidRDefault="004F0928" w:rsidP="008C541A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noProof w:val="0"/>
                <w:color w:val="FFFFFF"/>
                <w:sz w:val="24"/>
                <w:szCs w:val="24"/>
              </w:rPr>
            </w:pPr>
            <w:r w:rsidRPr="00F7773E">
              <w:rPr>
                <w:rFonts w:ascii="Garamond" w:hAnsi="Garamond" w:cs="Times New Roman"/>
                <w:noProof w:val="0"/>
                <w:color w:val="000000"/>
                <w:sz w:val="24"/>
                <w:szCs w:val="24"/>
              </w:rPr>
              <w:t>KRYETAR</w:t>
            </w:r>
          </w:p>
        </w:tc>
      </w:tr>
    </w:tbl>
    <w:p w14:paraId="22BB1226" w14:textId="77777777" w:rsidR="00203F05" w:rsidRPr="002973D6" w:rsidRDefault="00203F05" w:rsidP="00203F05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p w14:paraId="7DB3FDE3" w14:textId="77777777" w:rsidR="00DA095C" w:rsidRPr="002973D6" w:rsidRDefault="00DA095C" w:rsidP="00203F05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p w14:paraId="7D1FF59B" w14:textId="77777777" w:rsidR="009B0C0B" w:rsidRPr="002973D6" w:rsidRDefault="009B0C0B" w:rsidP="009B0C0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973D6">
        <w:rPr>
          <w:rFonts w:ascii="Garamond" w:hAnsi="Garamond"/>
          <w:noProof w:val="0"/>
          <w:sz w:val="24"/>
          <w:szCs w:val="24"/>
        </w:rPr>
        <w:t>SHTOJCË</w:t>
      </w:r>
    </w:p>
    <w:p w14:paraId="4E1E3D29" w14:textId="6201D5C4" w:rsidR="009B0C0B" w:rsidRPr="002973D6" w:rsidRDefault="00971018" w:rsidP="009B0C0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973D6">
        <w:rPr>
          <w:rFonts w:ascii="Garamond" w:hAnsi="Garamond"/>
          <w:noProof w:val="0"/>
          <w:sz w:val="24"/>
          <w:szCs w:val="24"/>
        </w:rPr>
        <w:t>KËRKESA QË PARAQET ANKIMIN SIPAS NENIT 6 § 1 TË KONVENTËS</w:t>
      </w:r>
    </w:p>
    <w:p w14:paraId="791D1F7D" w14:textId="77777777" w:rsidR="009B0C0B" w:rsidRPr="002973D6" w:rsidRDefault="009B0C0B" w:rsidP="009B0C0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2973D6">
        <w:rPr>
          <w:rFonts w:ascii="Garamond" w:hAnsi="Garamond"/>
          <w:noProof w:val="0"/>
          <w:sz w:val="24"/>
          <w:szCs w:val="24"/>
        </w:rPr>
        <w:t>(Tejkalimi i kohëzgjatjes së procesit civil)</w:t>
      </w:r>
    </w:p>
    <w:p w14:paraId="6D4DF731" w14:textId="77777777" w:rsidR="009455FA" w:rsidRPr="002973D6" w:rsidRDefault="009455FA" w:rsidP="009B0C0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tbl>
      <w:tblPr>
        <w:tblStyle w:val="ECHRListTable"/>
        <w:tblW w:w="5000" w:type="pct"/>
        <w:jc w:val="center"/>
        <w:tblLook w:val="04A0" w:firstRow="1" w:lastRow="0" w:firstColumn="1" w:lastColumn="0" w:noHBand="0" w:noVBand="1"/>
      </w:tblPr>
      <w:tblGrid>
        <w:gridCol w:w="1278"/>
        <w:gridCol w:w="1575"/>
        <w:gridCol w:w="1378"/>
        <w:gridCol w:w="1279"/>
        <w:gridCol w:w="2164"/>
        <w:gridCol w:w="1676"/>
      </w:tblGrid>
      <w:tr w:rsidR="009455FA" w:rsidRPr="002973D6" w14:paraId="59223599" w14:textId="77777777" w:rsidTr="003C28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  <w:jc w:val="center"/>
        </w:trPr>
        <w:tc>
          <w:tcPr>
            <w:tcW w:w="68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3110B82" w14:textId="77777777" w:rsidR="009455FA" w:rsidRPr="002973D6" w:rsidRDefault="009455FA" w:rsidP="008C541A">
            <w:pPr>
              <w:ind w:left="-57" w:right="-57"/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Kërkesa nr.</w:t>
            </w: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br/>
              <w:t>Data e paraqitjes</w:t>
            </w:r>
          </w:p>
        </w:tc>
        <w:tc>
          <w:tcPr>
            <w:tcW w:w="842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FF36C0B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Emri i kërkuesit</w:t>
            </w:r>
          </w:p>
          <w:p w14:paraId="5884B876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Viti i lindjes</w:t>
            </w:r>
          </w:p>
          <w:p w14:paraId="76A5783B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0268D1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Emri dhe vendndodhja e përfaqësuesit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87BFDA9" w14:textId="77777777" w:rsidR="009455FA" w:rsidRPr="002973D6" w:rsidRDefault="009455FA" w:rsidP="008C541A">
            <w:pPr>
              <w:ind w:left="-57" w:right="-57"/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pacing w:val="-4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Data e marrjes së deklaratës së Qeverisë</w:t>
            </w:r>
          </w:p>
        </w:tc>
        <w:tc>
          <w:tcPr>
            <w:tcW w:w="1157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7BEE6CF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Shuma e dhënë për</w:t>
            </w:r>
          </w:p>
          <w:p w14:paraId="11A93F56" w14:textId="2DBB0F0F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dëmin jopasuror</w:t>
            </w:r>
          </w:p>
          <w:p w14:paraId="24EF7932" w14:textId="0975B152" w:rsidR="009455FA" w:rsidRPr="002973D6" w:rsidRDefault="009455FA" w:rsidP="008C541A">
            <w:pPr>
              <w:ind w:left="-57" w:right="-57"/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(në euro)</w:t>
            </w:r>
            <w:r w:rsidR="00495451">
              <w:rPr>
                <w:rStyle w:val="FootnoteReference"/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  <w:footnoteReference w:id="2"/>
            </w:r>
          </w:p>
        </w:tc>
        <w:tc>
          <w:tcPr>
            <w:tcW w:w="896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1842AC7" w14:textId="77777777" w:rsidR="009455FA" w:rsidRPr="002973D6" w:rsidRDefault="009455FA" w:rsidP="008C541A">
            <w:pPr>
              <w:ind w:left="-57" w:right="-57"/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Shuma e dhënë për kosto dhe shpenzime</w:t>
            </w:r>
          </w:p>
          <w:p w14:paraId="4669D255" w14:textId="4D6BAC6A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color w:val="000000" w:themeColor="text1"/>
                <w:sz w:val="16"/>
                <w:szCs w:val="16"/>
              </w:rPr>
              <w:t>(në euro)</w:t>
            </w:r>
            <w:r w:rsidR="00495451">
              <w:rPr>
                <w:rStyle w:val="FootnoteReference"/>
                <w:rFonts w:ascii="Garamond" w:eastAsia="PMingLiU" w:hAnsi="Garamond" w:cs="Times New Roman"/>
                <w:noProof w:val="0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9455FA" w:rsidRPr="002973D6" w14:paraId="227545B6" w14:textId="77777777" w:rsidTr="003C28DB">
        <w:trPr>
          <w:trHeight w:val="144"/>
          <w:jc w:val="center"/>
        </w:trPr>
        <w:tc>
          <w:tcPr>
            <w:tcW w:w="684" w:type="pct"/>
            <w:tcBorders>
              <w:top w:val="single" w:sz="4" w:space="0" w:color="auto"/>
            </w:tcBorders>
          </w:tcPr>
          <w:p w14:paraId="106F0341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41592/14</w:t>
            </w:r>
          </w:p>
          <w:p w14:paraId="0DDC91D5" w14:textId="56B69FA6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2</w:t>
            </w:r>
            <w:r w:rsidR="003C28DB">
              <w:rPr>
                <w:rFonts w:ascii="Garamond" w:hAnsi="Garamond"/>
                <w:noProof w:val="0"/>
                <w:sz w:val="16"/>
                <w:szCs w:val="16"/>
              </w:rPr>
              <w:t>.</w:t>
            </w: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6</w:t>
            </w:r>
            <w:r w:rsidR="003C28DB">
              <w:rPr>
                <w:rFonts w:ascii="Garamond" w:hAnsi="Garamond"/>
                <w:noProof w:val="0"/>
                <w:sz w:val="16"/>
                <w:szCs w:val="16"/>
              </w:rPr>
              <w:t>.</w:t>
            </w: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2014</w:t>
            </w:r>
          </w:p>
        </w:tc>
        <w:tc>
          <w:tcPr>
            <w:tcW w:w="842" w:type="pct"/>
            <w:tcBorders>
              <w:top w:val="single" w:sz="4" w:space="0" w:color="auto"/>
            </w:tcBorders>
          </w:tcPr>
          <w:p w14:paraId="61D35B37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b/>
                <w:noProof w:val="0"/>
                <w:sz w:val="16"/>
                <w:szCs w:val="16"/>
              </w:rPr>
              <w:t>Nikoll DOBROZI</w:t>
            </w:r>
          </w:p>
          <w:p w14:paraId="51839669" w14:textId="33D9B625" w:rsidR="009455FA" w:rsidRPr="002973D6" w:rsidRDefault="009455FA" w:rsidP="003C28DB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1961</w:t>
            </w:r>
          </w:p>
        </w:tc>
        <w:tc>
          <w:tcPr>
            <w:tcW w:w="737" w:type="pct"/>
            <w:tcBorders>
              <w:top w:val="single" w:sz="4" w:space="0" w:color="auto"/>
            </w:tcBorders>
          </w:tcPr>
          <w:p w14:paraId="402E0872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Mark Pëllumbi</w:t>
            </w:r>
          </w:p>
          <w:p w14:paraId="4106D023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Tiranë</w:t>
            </w:r>
          </w:p>
        </w:tc>
        <w:tc>
          <w:tcPr>
            <w:tcW w:w="684" w:type="pct"/>
            <w:tcBorders>
              <w:top w:val="single" w:sz="4" w:space="0" w:color="auto"/>
            </w:tcBorders>
          </w:tcPr>
          <w:p w14:paraId="3D6B9692" w14:textId="62B3FB42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24</w:t>
            </w:r>
            <w:r w:rsidR="003C28DB">
              <w:rPr>
                <w:rFonts w:ascii="Garamond" w:hAnsi="Garamond"/>
                <w:noProof w:val="0"/>
                <w:sz w:val="16"/>
                <w:szCs w:val="16"/>
              </w:rPr>
              <w:t>.</w:t>
            </w: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5</w:t>
            </w:r>
            <w:r w:rsidR="003C28DB">
              <w:rPr>
                <w:rFonts w:ascii="Garamond" w:hAnsi="Garamond"/>
                <w:noProof w:val="0"/>
                <w:sz w:val="16"/>
                <w:szCs w:val="16"/>
              </w:rPr>
              <w:t>.</w:t>
            </w: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2024</w:t>
            </w: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637C404B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1.200</w:t>
            </w:r>
          </w:p>
        </w:tc>
        <w:tc>
          <w:tcPr>
            <w:tcW w:w="896" w:type="pct"/>
            <w:tcBorders>
              <w:top w:val="single" w:sz="4" w:space="0" w:color="auto"/>
            </w:tcBorders>
          </w:tcPr>
          <w:p w14:paraId="30BB749C" w14:textId="77777777" w:rsidR="009455FA" w:rsidRPr="002973D6" w:rsidRDefault="009455FA" w:rsidP="008C541A">
            <w:pPr>
              <w:jc w:val="center"/>
              <w:rPr>
                <w:rFonts w:ascii="Garamond" w:eastAsia="PMingLiU" w:hAnsi="Garamond" w:cs="Times New Roman"/>
                <w:noProof w:val="0"/>
                <w:sz w:val="16"/>
                <w:szCs w:val="16"/>
              </w:rPr>
            </w:pPr>
            <w:r w:rsidRPr="002973D6">
              <w:rPr>
                <w:rFonts w:ascii="Garamond" w:hAnsi="Garamond"/>
                <w:noProof w:val="0"/>
                <w:sz w:val="16"/>
                <w:szCs w:val="16"/>
              </w:rPr>
              <w:t>250</w:t>
            </w:r>
          </w:p>
        </w:tc>
      </w:tr>
    </w:tbl>
    <w:p w14:paraId="08002413" w14:textId="77777777" w:rsidR="009455FA" w:rsidRPr="002973D6" w:rsidRDefault="009455FA" w:rsidP="009B0C0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bookmarkStart w:id="0" w:name="_GoBack"/>
      <w:bookmarkEnd w:id="0"/>
    </w:p>
    <w:sectPr w:rsidR="009455FA" w:rsidRPr="002973D6" w:rsidSect="008C541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6251C" w14:textId="77777777" w:rsidR="00715A02" w:rsidRDefault="00715A02" w:rsidP="009455FA">
      <w:pPr>
        <w:spacing w:after="0" w:line="240" w:lineRule="auto"/>
      </w:pPr>
      <w:r>
        <w:separator/>
      </w:r>
    </w:p>
  </w:endnote>
  <w:endnote w:type="continuationSeparator" w:id="0">
    <w:p w14:paraId="4DDA674B" w14:textId="77777777" w:rsidR="00715A02" w:rsidRDefault="00715A02" w:rsidP="009455FA">
      <w:pPr>
        <w:spacing w:after="0" w:line="240" w:lineRule="auto"/>
      </w:pPr>
      <w:r>
        <w:continuationSeparator/>
      </w:r>
    </w:p>
  </w:endnote>
  <w:endnote w:type="continuationNotice" w:id="1">
    <w:p w14:paraId="414CAECC" w14:textId="77777777" w:rsidR="00715A02" w:rsidRDefault="00715A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7BE84" w14:textId="77777777" w:rsidR="00715A02" w:rsidRDefault="00715A02" w:rsidP="009455FA">
      <w:pPr>
        <w:spacing w:after="0" w:line="240" w:lineRule="auto"/>
      </w:pPr>
      <w:r>
        <w:separator/>
      </w:r>
    </w:p>
  </w:footnote>
  <w:footnote w:type="continuationSeparator" w:id="0">
    <w:p w14:paraId="2D3348DD" w14:textId="77777777" w:rsidR="00715A02" w:rsidRDefault="00715A02" w:rsidP="009455FA">
      <w:pPr>
        <w:spacing w:after="0" w:line="240" w:lineRule="auto"/>
      </w:pPr>
      <w:r>
        <w:continuationSeparator/>
      </w:r>
    </w:p>
  </w:footnote>
  <w:footnote w:type="continuationNotice" w:id="1">
    <w:p w14:paraId="5DB88C0A" w14:textId="77777777" w:rsidR="00715A02" w:rsidRDefault="00715A02">
      <w:pPr>
        <w:spacing w:after="0" w:line="240" w:lineRule="auto"/>
      </w:pPr>
    </w:p>
  </w:footnote>
  <w:footnote w:id="2">
    <w:p w14:paraId="11ED3F83" w14:textId="077AB3A4" w:rsidR="00495451" w:rsidRPr="00474D87" w:rsidRDefault="00495451" w:rsidP="00474D87">
      <w:pPr>
        <w:pStyle w:val="NoSpacing"/>
        <w:rPr>
          <w:rFonts w:ascii="Garamond" w:hAnsi="Garamond"/>
          <w:sz w:val="20"/>
          <w:szCs w:val="20"/>
          <w:lang w:val="en-US"/>
        </w:rPr>
      </w:pPr>
      <w:r>
        <w:rPr>
          <w:rStyle w:val="FootnoteReference"/>
          <w:sz w:val="20"/>
          <w:szCs w:val="20"/>
        </w:rPr>
        <w:footnoteRef/>
      </w:r>
      <w:r w:rsidRPr="00474D87">
        <w:rPr>
          <w:rFonts w:ascii="Garamond" w:hAnsi="Garamond"/>
          <w:sz w:val="20"/>
          <w:szCs w:val="20"/>
        </w:rPr>
        <w:t xml:space="preserve"> Plus çdo taksë që mund t’i ngarkohet kërkuesit.</w:t>
      </w:r>
    </w:p>
  </w:footnote>
  <w:footnote w:id="3">
    <w:p w14:paraId="130F4F8E" w14:textId="52C4EDD7" w:rsidR="00495451" w:rsidRPr="00474D87" w:rsidRDefault="00495451" w:rsidP="00474D87">
      <w:pPr>
        <w:pStyle w:val="NoSpacing"/>
        <w:rPr>
          <w:rFonts w:ascii="Garamond" w:hAnsi="Garamond"/>
          <w:sz w:val="20"/>
          <w:szCs w:val="20"/>
          <w:lang w:val="en-US"/>
        </w:rPr>
      </w:pPr>
      <w:r>
        <w:rPr>
          <w:rStyle w:val="FootnoteReference"/>
          <w:sz w:val="20"/>
          <w:szCs w:val="20"/>
        </w:rPr>
        <w:footnoteRef/>
      </w:r>
      <w:r w:rsidRPr="00474D87">
        <w:rPr>
          <w:rFonts w:ascii="Garamond" w:hAnsi="Garamond"/>
          <w:sz w:val="20"/>
          <w:szCs w:val="20"/>
        </w:rPr>
        <w:t xml:space="preserve"> </w:t>
      </w:r>
      <w:r w:rsidRPr="00474D87">
        <w:rPr>
          <w:rFonts w:ascii="Garamond" w:hAnsi="Garamond"/>
          <w:sz w:val="20"/>
          <w:szCs w:val="20"/>
        </w:rPr>
        <w:t>Plus çdo taksë që mund t’i ngarkohet kërkuesit.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05"/>
    <w:rsid w:val="00070A69"/>
    <w:rsid w:val="00075966"/>
    <w:rsid w:val="00163A7E"/>
    <w:rsid w:val="002025D4"/>
    <w:rsid w:val="00203F05"/>
    <w:rsid w:val="00205D98"/>
    <w:rsid w:val="00274C27"/>
    <w:rsid w:val="002807C5"/>
    <w:rsid w:val="002973D6"/>
    <w:rsid w:val="00363186"/>
    <w:rsid w:val="003C28DB"/>
    <w:rsid w:val="00403C09"/>
    <w:rsid w:val="004364B3"/>
    <w:rsid w:val="00474D87"/>
    <w:rsid w:val="00495451"/>
    <w:rsid w:val="004B0D23"/>
    <w:rsid w:val="004C0068"/>
    <w:rsid w:val="004F0928"/>
    <w:rsid w:val="00551840"/>
    <w:rsid w:val="00650517"/>
    <w:rsid w:val="00662C2B"/>
    <w:rsid w:val="006859CF"/>
    <w:rsid w:val="00691329"/>
    <w:rsid w:val="006D4427"/>
    <w:rsid w:val="006F482E"/>
    <w:rsid w:val="006F7F4C"/>
    <w:rsid w:val="00714A83"/>
    <w:rsid w:val="00715A02"/>
    <w:rsid w:val="007209D2"/>
    <w:rsid w:val="007A2EAC"/>
    <w:rsid w:val="007B412A"/>
    <w:rsid w:val="007D27AF"/>
    <w:rsid w:val="007E240B"/>
    <w:rsid w:val="008652C9"/>
    <w:rsid w:val="008813C0"/>
    <w:rsid w:val="008C541A"/>
    <w:rsid w:val="009455FA"/>
    <w:rsid w:val="00971018"/>
    <w:rsid w:val="00986F80"/>
    <w:rsid w:val="009B0C0B"/>
    <w:rsid w:val="009C603E"/>
    <w:rsid w:val="00AA6618"/>
    <w:rsid w:val="00B73CD8"/>
    <w:rsid w:val="00C52B32"/>
    <w:rsid w:val="00C7365C"/>
    <w:rsid w:val="00C950A7"/>
    <w:rsid w:val="00CF0649"/>
    <w:rsid w:val="00D05C96"/>
    <w:rsid w:val="00D426FA"/>
    <w:rsid w:val="00D60E95"/>
    <w:rsid w:val="00DA095C"/>
    <w:rsid w:val="00E82C7D"/>
    <w:rsid w:val="00F473EF"/>
    <w:rsid w:val="00F62AD8"/>
    <w:rsid w:val="00F7773E"/>
    <w:rsid w:val="00FA6BF3"/>
    <w:rsid w:val="00FB08C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EE7E2"/>
  <w15:chartTrackingRefBased/>
  <w15:docId w15:val="{93347041-F85C-4D3F-876F-9664C69E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8" w:unhideWhenUsed="1"/>
    <w:lsdException w:name="endnote text" w:semiHidden="1" w:uiPriority="98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List">
    <w:name w:val="Dec_List"/>
    <w:aliases w:val="_List"/>
    <w:basedOn w:val="Normal"/>
    <w:rsid w:val="00203F05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paragraph" w:customStyle="1" w:styleId="JuQuot">
    <w:name w:val="Ju_Quot"/>
    <w:aliases w:val="_Quote"/>
    <w:basedOn w:val="Normal"/>
    <w:uiPriority w:val="99"/>
    <w:rsid w:val="00203F05"/>
    <w:pPr>
      <w:autoSpaceDE w:val="0"/>
      <w:autoSpaceDN w:val="0"/>
      <w:adjustRightInd w:val="0"/>
      <w:spacing w:before="120" w:after="120" w:line="240" w:lineRule="auto"/>
      <w:ind w:left="420" w:firstLine="140"/>
      <w:jc w:val="both"/>
    </w:pPr>
    <w:rPr>
      <w:rFonts w:ascii="Times New Roman" w:hAnsi="Times New Roman" w:cs="Times New Roman"/>
      <w:noProof w:val="0"/>
      <w:color w:val="000000"/>
      <w:sz w:val="20"/>
      <w:szCs w:val="20"/>
    </w:rPr>
  </w:style>
  <w:style w:type="paragraph" w:customStyle="1" w:styleId="JuParaLast">
    <w:name w:val="Ju_Para_Last"/>
    <w:aliases w:val="_Para_Spaced"/>
    <w:basedOn w:val="Normal"/>
    <w:uiPriority w:val="99"/>
    <w:rsid w:val="00203F05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paragraph" w:customStyle="1" w:styleId="JuJudges">
    <w:name w:val="Ju_Judges"/>
    <w:aliases w:val="_Judges"/>
    <w:basedOn w:val="Normal"/>
    <w:uiPriority w:val="99"/>
    <w:rsid w:val="00203F05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paragraph" w:customStyle="1" w:styleId="DecHCase">
    <w:name w:val="Dec_H_Case"/>
    <w:aliases w:val="_Title_3"/>
    <w:basedOn w:val="JuPara"/>
    <w:next w:val="JuPara"/>
    <w:uiPriority w:val="99"/>
    <w:rsid w:val="00203F05"/>
    <w:pPr>
      <w:keepNext/>
      <w:keepLines/>
      <w:spacing w:after="280"/>
      <w:jc w:val="center"/>
    </w:pPr>
  </w:style>
  <w:style w:type="paragraph" w:customStyle="1" w:styleId="JuPara">
    <w:name w:val="Ju_Para"/>
    <w:aliases w:val="_Para"/>
    <w:basedOn w:val="Normal"/>
    <w:uiPriority w:val="99"/>
    <w:rsid w:val="00203F05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noProof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03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8"/>
    <w:semiHidden/>
    <w:rsid w:val="009455F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455FA"/>
    <w:pPr>
      <w:spacing w:after="0" w:line="240" w:lineRule="auto"/>
    </w:pPr>
    <w:rPr>
      <w:noProof w:val="0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455FA"/>
    <w:rPr>
      <w:sz w:val="20"/>
      <w:szCs w:val="20"/>
    </w:rPr>
  </w:style>
  <w:style w:type="table" w:customStyle="1" w:styleId="ECHRListTable">
    <w:name w:val="ECHR_List_Table"/>
    <w:basedOn w:val="TableNormal"/>
    <w:uiPriority w:val="99"/>
    <w:rsid w:val="009455FA"/>
    <w:pPr>
      <w:spacing w:after="0" w:line="240" w:lineRule="auto"/>
    </w:pPr>
    <w:rPr>
      <w:sz w:val="24"/>
      <w:szCs w:val="24"/>
    </w:rPr>
    <w:tblPr>
      <w:tblBorders>
        <w:top w:val="single" w:sz="4" w:space="0" w:color="17365D" w:themeColor="text2" w:themeShade="BF"/>
        <w:left w:val="single" w:sz="4" w:space="0" w:color="17365D" w:themeColor="text2" w:themeShade="BF"/>
        <w:bottom w:val="single" w:sz="4" w:space="0" w:color="17365D" w:themeColor="text2" w:themeShade="BF"/>
        <w:right w:val="single" w:sz="4" w:space="0" w:color="17365D" w:themeColor="text2" w:themeShade="BF"/>
        <w:insideH w:val="single" w:sz="4" w:space="0" w:color="17365D" w:themeColor="text2" w:themeShade="BF"/>
        <w:insideV w:val="single" w:sz="4" w:space="0" w:color="17365D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76923C" w:themeColor="accent3" w:themeShade="BF"/>
      </w:rPr>
      <w:tblPr/>
      <w:trPr>
        <w:tblHeader/>
      </w:trPr>
      <w:tcPr>
        <w:tc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cBorders>
        <w:shd w:val="clear" w:color="auto" w:fill="DDD9C3" w:themeFill="background2" w:themeFillShade="E6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6D4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4427"/>
    <w:rPr>
      <w:noProof/>
    </w:rPr>
  </w:style>
  <w:style w:type="paragraph" w:styleId="Footer">
    <w:name w:val="footer"/>
    <w:basedOn w:val="Normal"/>
    <w:link w:val="FooterChar"/>
    <w:uiPriority w:val="99"/>
    <w:semiHidden/>
    <w:unhideWhenUsed/>
    <w:rsid w:val="006D4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4427"/>
    <w:rPr>
      <w:noProof/>
    </w:rPr>
  </w:style>
  <w:style w:type="paragraph" w:styleId="Revision">
    <w:name w:val="Revision"/>
    <w:hidden/>
    <w:uiPriority w:val="99"/>
    <w:semiHidden/>
    <w:rsid w:val="00714A83"/>
    <w:pPr>
      <w:spacing w:after="0" w:line="240" w:lineRule="auto"/>
    </w:pPr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83"/>
    <w:rPr>
      <w:rFonts w:ascii="Segoe UI" w:hAnsi="Segoe UI" w:cs="Segoe UI"/>
      <w:noProof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0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018"/>
    <w:rPr>
      <w:noProof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1018"/>
    <w:rPr>
      <w:vertAlign w:val="superscript"/>
    </w:rPr>
  </w:style>
  <w:style w:type="paragraph" w:styleId="NoSpacing">
    <w:name w:val="No Spacing"/>
    <w:uiPriority w:val="1"/>
    <w:qFormat/>
    <w:rsid w:val="00474D87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CC18AE587F4855B41662FA5A9DB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41592-14</Nr_x002e__x0020_akti>
    <Data_x0020_e_x0020_Krijimit xmlns="0e656187-b300-4fb0-8bf4-3a50f872073c">2024-11-19T12:59:18Z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2024-11-19T00:00:00Z</Date_x0020_protokolli>
    <Titulli xmlns="0e656187-b300-4fb0-8bf4-3a50f872073c">Çështja Nikoll Dobrozi  kundër Shqipërisë</Titulli>
    <Modifikuesi xmlns="0e656187-b300-4fb0-8bf4-3a50f872073c">Amarilda.Muja</Modifikuesi>
    <Nr_x002e__x0020_prot_x0020_QBZ xmlns="0e656187-b300-4fb0-8bf4-3a50f872073c">1976/1</Nr_x002e__x0020_prot_x0020_QBZ>
    <Data_x0020_e_x0020_Modifikimit xmlns="0e656187-b300-4fb0-8bf4-3a50f872073c">2024-11-19T14:16:34Z</Data_x0020_e_x0020_Modifikimit>
    <Dekretuar xmlns="0e656187-b300-4fb0-8bf4-3a50f872073c">false</Dekretuar>
    <Data xmlns="0e656187-b300-4fb0-8bf4-3a50f872073c">2024-10-24T00:00:00Z</Data>
    <Nr_x002e__x0020_protokolli_x0020_i_x0020_aktit xmlns="0e656187-b300-4fb0-8bf4-3a50f872073c">5725/1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78C5B-F6B3-4454-BF77-CC0A606F52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F8B6B-34EB-40BC-9A04-FB42603F7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A6B370-63A2-4BE6-8E06-A07251314F29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D752F89-FA7E-4BF8-AC3B-18A090C48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Nikoll Dobrozi kundër Shqipërisë</vt:lpstr>
    </vt:vector>
  </TitlesOfParts>
  <Company>AKSHI</Company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Nikoll Dobrozi kundër Shqipërisë</dc:title>
  <dc:creator>Ermira Bukaci</dc:creator>
  <cp:lastModifiedBy>Amarilda Muja</cp:lastModifiedBy>
  <cp:revision>37</cp:revision>
  <dcterms:created xsi:type="dcterms:W3CDTF">2024-11-19T11:37:00Z</dcterms:created>
  <dcterms:modified xsi:type="dcterms:W3CDTF">2024-11-19T13:21:00Z</dcterms:modified>
</cp:coreProperties>
</file>