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223AA" w14:textId="58F0289B" w:rsidR="003166D1" w:rsidRPr="00CE0CCC" w:rsidRDefault="00737D08" w:rsidP="0073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GJYKATA </w:t>
      </w:r>
      <w:r w:rsidR="00CE0CCC" w:rsidRPr="00CE0CCC">
        <w:rPr>
          <w:rFonts w:ascii="Garamond" w:hAnsi="Garamond" w:cs="Times New Roman"/>
          <w:color w:val="000000"/>
          <w:sz w:val="24"/>
          <w:szCs w:val="24"/>
        </w:rPr>
        <w:t>EVROPIANE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E TË DREJTAVE TË NJERIUT</w:t>
      </w:r>
    </w:p>
    <w:p w14:paraId="4C8ED5FF" w14:textId="77777777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EB47C0B" w14:textId="77777777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SEKSIONI I TRETË</w:t>
      </w:r>
    </w:p>
    <w:p w14:paraId="0D0774C3" w14:textId="77777777" w:rsidR="00737D08" w:rsidRPr="00CE0CCC" w:rsidRDefault="00737D08" w:rsidP="0073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2170A3E" w14:textId="1052970E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E0CC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ÇËSHTJA SHKJEZI </w:t>
      </w:r>
      <w:r w:rsidR="00CE0CCC" w:rsidRPr="00CE0CC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KUNDËR </w:t>
      </w:r>
      <w:r w:rsidRPr="00CE0CCC">
        <w:rPr>
          <w:rFonts w:ascii="Garamond" w:hAnsi="Garamond" w:cs="Times New Roman"/>
          <w:b/>
          <w:bCs/>
          <w:color w:val="000000"/>
          <w:sz w:val="24"/>
          <w:szCs w:val="24"/>
        </w:rPr>
        <w:t>SHQIPËRISË</w:t>
      </w:r>
    </w:p>
    <w:p w14:paraId="78F0EF92" w14:textId="244A0047" w:rsidR="003166D1" w:rsidRPr="00CE0CCC" w:rsidRDefault="003166D1" w:rsidP="00737D08">
      <w:pPr>
        <w:tabs>
          <w:tab w:val="right" w:pos="79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(</w:t>
      </w:r>
      <w:r w:rsidR="003203AD"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Kërkesa </w:t>
      </w: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nr. 82151/17)</w:t>
      </w:r>
    </w:p>
    <w:p w14:paraId="4E23A867" w14:textId="77777777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90054B4" w14:textId="77777777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VENDIM</w:t>
      </w:r>
    </w:p>
    <w:p w14:paraId="2CBE5CB3" w14:textId="77777777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color w:val="000000"/>
          <w:sz w:val="24"/>
          <w:szCs w:val="24"/>
        </w:rPr>
      </w:pPr>
    </w:p>
    <w:p w14:paraId="1DF71AAB" w14:textId="77777777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STRASBURG</w:t>
      </w:r>
    </w:p>
    <w:p w14:paraId="2BC6CB38" w14:textId="77777777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24 tetor 2024</w:t>
      </w:r>
    </w:p>
    <w:p w14:paraId="046EE68F" w14:textId="77777777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D8FACCE" w14:textId="77777777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Ky është vendim përfundimtar, por mund t’i nënshtrohet rishikimit redaktorial.</w:t>
      </w:r>
    </w:p>
    <w:p w14:paraId="7BE51ECB" w14:textId="77777777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E0CCC">
        <w:rPr>
          <w:rFonts w:ascii="Garamond" w:hAnsi="Garamond" w:cs="Times New Roman"/>
          <w:b/>
          <w:bCs/>
          <w:color w:val="000000"/>
          <w:sz w:val="24"/>
          <w:szCs w:val="24"/>
        </w:rPr>
        <w:t>Në çështjen Shkjezi kundër Shqipërisë,</w:t>
      </w:r>
    </w:p>
    <w:p w14:paraId="1FDB4849" w14:textId="179F1426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Gjykata </w:t>
      </w:r>
      <w:r w:rsidR="00CE0CCC" w:rsidRPr="00CE0CCC">
        <w:rPr>
          <w:rFonts w:ascii="Garamond" w:hAnsi="Garamond" w:cs="Times New Roman"/>
          <w:color w:val="000000"/>
          <w:sz w:val="24"/>
          <w:szCs w:val="24"/>
        </w:rPr>
        <w:t>Evropiane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e të Drejtave të Njeriut (Seksioni i Tretë), e mbledhur si Komitet i përbërë nga:</w:t>
      </w:r>
    </w:p>
    <w:p w14:paraId="3A70D9C8" w14:textId="4CD4AA8E" w:rsidR="003166D1" w:rsidRPr="00CE0CCC" w:rsidRDefault="00737D08" w:rsidP="00737D08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166D1" w:rsidRPr="00CE0CCC">
        <w:rPr>
          <w:rFonts w:ascii="Garamond" w:hAnsi="Garamond" w:cs="Times New Roman"/>
          <w:color w:val="000000"/>
          <w:sz w:val="24"/>
          <w:szCs w:val="24"/>
        </w:rPr>
        <w:t>Peeter Roosma</w:t>
      </w:r>
      <w:r w:rsidR="003166D1"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, </w:t>
      </w:r>
      <w:r w:rsidR="00CE0CCC"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kryetar</w:t>
      </w:r>
      <w:r w:rsidR="003166D1" w:rsidRPr="00CE0CCC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165FAF84" w14:textId="77777777" w:rsidR="003166D1" w:rsidRPr="00CE0CCC" w:rsidRDefault="00737D08" w:rsidP="00737D08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166D1" w:rsidRPr="00CE0CCC">
        <w:rPr>
          <w:rFonts w:ascii="Garamond" w:hAnsi="Garamond" w:cs="Times New Roman"/>
          <w:color w:val="000000"/>
          <w:sz w:val="24"/>
          <w:szCs w:val="24"/>
        </w:rPr>
        <w:t>Andreas Zünd,</w:t>
      </w:r>
    </w:p>
    <w:p w14:paraId="6FDD16F8" w14:textId="77777777" w:rsidR="003166D1" w:rsidRPr="00CE0CCC" w:rsidRDefault="00737D08" w:rsidP="00737D08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166D1" w:rsidRPr="00CE0CCC">
        <w:rPr>
          <w:rFonts w:ascii="Garamond" w:hAnsi="Garamond" w:cs="Times New Roman"/>
          <w:color w:val="000000"/>
          <w:sz w:val="24"/>
          <w:szCs w:val="24"/>
        </w:rPr>
        <w:t>Oddný Mjöll Arnardóttir</w:t>
      </w:r>
      <w:r w:rsidR="003166D1"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, gjyqtarë</w:t>
      </w:r>
      <w:r w:rsidR="003166D1" w:rsidRPr="00CE0CCC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0FC714E5" w14:textId="18FE1D75" w:rsidR="003166D1" w:rsidRPr="00CE0CCC" w:rsidRDefault="003166D1" w:rsidP="00737D0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dhe Viktoriya Maradudina, </w:t>
      </w:r>
      <w:r w:rsidR="00CE0CCC"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zëvendëskancelare </w:t>
      </w: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në detyrë e Seksionit,</w:t>
      </w:r>
    </w:p>
    <w:p w14:paraId="63793EC6" w14:textId="77777777" w:rsidR="003166D1" w:rsidRPr="00CE0CCC" w:rsidRDefault="003166D1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Pas diskutimit me dyer të mbyllura më 3 tetor 2024,</w:t>
      </w:r>
    </w:p>
    <w:p w14:paraId="3D6A2ADD" w14:textId="77777777" w:rsidR="003166D1" w:rsidRPr="00CE0CCC" w:rsidRDefault="003166D1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mori vendimin e mëposhtëm, i cili u miratua po në këtë datë:</w:t>
      </w:r>
    </w:p>
    <w:p w14:paraId="2CFB4092" w14:textId="77777777" w:rsidR="003166D1" w:rsidRPr="00CE0CCC" w:rsidRDefault="00737D08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166D1" w:rsidRPr="00CE0CCC">
        <w:rPr>
          <w:rFonts w:ascii="Garamond" w:hAnsi="Garamond" w:cs="Times New Roman"/>
          <w:caps/>
          <w:color w:val="000000"/>
          <w:sz w:val="24"/>
          <w:szCs w:val="24"/>
        </w:rPr>
        <w:t>PROCEDURA</w:t>
      </w:r>
    </w:p>
    <w:p w14:paraId="3DE8E42D" w14:textId="5047FE12" w:rsidR="003166D1" w:rsidRPr="00CE0CCC" w:rsidRDefault="003166D1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1. Çështja vjen pas depozitimit në Gjykatë të një kërkese kundër Shqipërisë sipas nenit 34 të Konventës për Mbrojtjen e të Drejtave dhe Lirive Themelore të Njeriut (Konventa)</w:t>
      </w:r>
      <w:r w:rsidR="00CE0CCC">
        <w:rPr>
          <w:rFonts w:ascii="Garamond" w:hAnsi="Garamond" w:cs="Times New Roman"/>
          <w:color w:val="000000"/>
          <w:sz w:val="24"/>
          <w:szCs w:val="24"/>
        </w:rPr>
        <w:t>,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më 27 nëntor 2017.</w:t>
      </w:r>
    </w:p>
    <w:p w14:paraId="2A866299" w14:textId="6FA9C401" w:rsidR="003166D1" w:rsidRPr="00CE0CCC" w:rsidRDefault="003166D1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2. Qeveria Shqiptare (Qeveria) u njoftua për kërkesën.</w:t>
      </w:r>
    </w:p>
    <w:p w14:paraId="00814FAB" w14:textId="77777777" w:rsidR="003166D1" w:rsidRPr="00CE0CCC" w:rsidRDefault="00737D08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166D1" w:rsidRPr="00CE0CCC">
        <w:rPr>
          <w:rFonts w:ascii="Garamond" w:hAnsi="Garamond" w:cs="Times New Roman"/>
          <w:caps/>
          <w:color w:val="000000"/>
          <w:sz w:val="24"/>
          <w:szCs w:val="24"/>
        </w:rPr>
        <w:t>FAKTET</w:t>
      </w:r>
    </w:p>
    <w:p w14:paraId="7BD9FC8E" w14:textId="77777777" w:rsidR="003166D1" w:rsidRPr="00CE0CCC" w:rsidRDefault="003166D1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3. Detajet e kërkueses dhe informacioni në lidhje me kërkesën jepen në tabelën bashkëngjitur.</w:t>
      </w:r>
    </w:p>
    <w:p w14:paraId="74BABE95" w14:textId="2742D5E8" w:rsidR="003166D1" w:rsidRPr="002B6EBE" w:rsidRDefault="003166D1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4. Më 11 mars 2014</w:t>
      </w:r>
      <w:r w:rsidR="00CE0CCC">
        <w:rPr>
          <w:rFonts w:ascii="Garamond" w:hAnsi="Garamond" w:cs="Times New Roman"/>
          <w:color w:val="000000"/>
          <w:sz w:val="24"/>
          <w:szCs w:val="24"/>
        </w:rPr>
        <w:t>,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Gjykata Administrative e Shkallës së Parë Tiranë urdhëroi rikthimin e kërkueses në pozicionin e saj të mëparshëm të punës në Ministrinë e Financave dhe i dha të drejtën të marrë pagat e papaguara (vendimi 2014). Ky vendim mori formë të prerë më 19 maj 2016</w:t>
      </w:r>
      <w:r w:rsidR="00CE0CCC">
        <w:rPr>
          <w:rFonts w:ascii="Garamond" w:hAnsi="Garamond" w:cs="Times New Roman"/>
          <w:color w:val="000000"/>
          <w:sz w:val="24"/>
          <w:szCs w:val="24"/>
        </w:rPr>
        <w:t>,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kur Gjykata e Lartë e refuzoi </w:t>
      </w:r>
      <w:r w:rsidRPr="002B6EBE">
        <w:rPr>
          <w:rFonts w:ascii="Garamond" w:hAnsi="Garamond" w:cs="Times New Roman"/>
          <w:color w:val="000000"/>
          <w:sz w:val="24"/>
          <w:szCs w:val="24"/>
        </w:rPr>
        <w:t>ankimimin e Ministri</w:t>
      </w:r>
      <w:r w:rsidR="00F83E29" w:rsidRPr="002B6EBE">
        <w:rPr>
          <w:rFonts w:ascii="Garamond" w:hAnsi="Garamond" w:cs="Times New Roman"/>
          <w:color w:val="000000"/>
          <w:sz w:val="24"/>
          <w:szCs w:val="24"/>
        </w:rPr>
        <w:t>s</w:t>
      </w:r>
      <w:r w:rsidRPr="002B6EBE">
        <w:rPr>
          <w:rFonts w:ascii="Garamond" w:hAnsi="Garamond" w:cs="Times New Roman"/>
          <w:color w:val="000000"/>
          <w:sz w:val="24"/>
          <w:szCs w:val="24"/>
        </w:rPr>
        <w:t>ë.</w:t>
      </w:r>
    </w:p>
    <w:p w14:paraId="3B2E4E32" w14:textId="3FFE443C" w:rsidR="003166D1" w:rsidRPr="00CE0CCC" w:rsidRDefault="003166D1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B6EBE">
        <w:rPr>
          <w:rFonts w:ascii="Garamond" w:hAnsi="Garamond" w:cs="Times New Roman"/>
          <w:color w:val="000000"/>
          <w:sz w:val="24"/>
          <w:szCs w:val="24"/>
        </w:rPr>
        <w:t>5. Pas rikthimit të saj, kërkuesja mori pagesën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e fundit </w:t>
      </w:r>
      <w:r w:rsidR="00CE0CCC" w:rsidRPr="00CE0CCC">
        <w:rPr>
          <w:rFonts w:ascii="Garamond" w:hAnsi="Garamond" w:cs="Times New Roman"/>
          <w:color w:val="000000"/>
          <w:sz w:val="24"/>
          <w:szCs w:val="24"/>
        </w:rPr>
        <w:t>të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pagave të papaguara në qershor 2020. Kështu procedurat përmbarimore zgjatën pothuajse mbi katër vjet, nga maji 2016 deri në qershor 2020.</w:t>
      </w:r>
    </w:p>
    <w:p w14:paraId="7A7A9593" w14:textId="77777777" w:rsidR="003166D1" w:rsidRPr="00CE0CCC" w:rsidRDefault="003166D1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6. Më 14 maj 2018, Gjykata Administrative e Shkallës së Parë urdhëroi Ministrinë e Financave që t’i paguante kërkueses kompensim për mosekzekutimin e plotë të vendimit të vitit 2014.</w:t>
      </w:r>
    </w:p>
    <w:p w14:paraId="4BC91832" w14:textId="6193CC5F" w:rsidR="003166D1" w:rsidRPr="00CE0CCC" w:rsidRDefault="003166D1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7. Ministria e ankimoi dhe më 21 shtator 2023, Gjykata Administrative e Apelit Tiranë (vendimi 2023) modifikoi shumën e kompensimit dhe la në fuqi pjesën tjetër të vendimit.</w:t>
      </w:r>
    </w:p>
    <w:p w14:paraId="7CB2104D" w14:textId="6DF5AB04" w:rsidR="003166D1" w:rsidRPr="00CE0CCC" w:rsidRDefault="003166D1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8. Pas ankimit nga Ministria e Financave, më 4 prill 2024, çështja u transferua në Gjykatën e Lartë ku është aktualisht në pritje për rishikim.</w:t>
      </w:r>
    </w:p>
    <w:p w14:paraId="56284784" w14:textId="77777777" w:rsidR="003166D1" w:rsidRPr="00CE0CCC" w:rsidRDefault="00737D08" w:rsidP="00737D0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166D1" w:rsidRPr="00CE0CCC">
        <w:rPr>
          <w:rFonts w:ascii="Garamond" w:hAnsi="Garamond" w:cs="Times New Roman"/>
          <w:caps/>
          <w:color w:val="000000"/>
          <w:sz w:val="24"/>
          <w:szCs w:val="24"/>
        </w:rPr>
        <w:t>LEGJISLACIONI</w:t>
      </w:r>
    </w:p>
    <w:p w14:paraId="624C825F" w14:textId="77777777" w:rsidR="003166D1" w:rsidRPr="00CE0CCC" w:rsidRDefault="003166D1" w:rsidP="00737D08">
      <w:p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CE0CCC">
        <w:rPr>
          <w:rFonts w:ascii="Garamond" w:hAnsi="Garamond" w:cs="Times New Roman"/>
          <w:caps/>
          <w:color w:val="000000"/>
          <w:sz w:val="24"/>
          <w:szCs w:val="24"/>
        </w:rPr>
        <w:t>I.</w:t>
      </w:r>
      <w:r w:rsidR="00737D08" w:rsidRPr="00CE0CCC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CE0CCC">
        <w:rPr>
          <w:rFonts w:ascii="Garamond" w:hAnsi="Garamond" w:cs="Times New Roman"/>
          <w:caps/>
          <w:color w:val="000000"/>
          <w:sz w:val="24"/>
          <w:szCs w:val="24"/>
        </w:rPr>
        <w:t>SHKELJA E PRETENDUAR E NENIT 6 § 1 TË KONVENTËS</w:t>
      </w:r>
    </w:p>
    <w:p w14:paraId="2C32542C" w14:textId="058A73C9" w:rsidR="003166D1" w:rsidRPr="00CE0CCC" w:rsidRDefault="003166D1" w:rsidP="00CE0C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9. Kërkuesja u ankua për ekzekutimin me vonesë të vendimit 2014. Ajo u mbështet në paragrafin 1</w:t>
      </w:r>
      <w:r w:rsidR="00CE0CCC">
        <w:rPr>
          <w:rFonts w:ascii="Garamond" w:hAnsi="Garamond" w:cs="Times New Roman"/>
          <w:color w:val="000000"/>
          <w:sz w:val="24"/>
          <w:szCs w:val="24"/>
        </w:rPr>
        <w:t>,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të nenit 6 të Konventës.</w:t>
      </w:r>
    </w:p>
    <w:p w14:paraId="21D3F7C6" w14:textId="77777777" w:rsidR="003166D1" w:rsidRPr="00CE0CCC" w:rsidRDefault="003166D1" w:rsidP="00CE0C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10. Qeveria parashtroi që nisur nga vendimi 2023, çështja ishte zgjidhur dhe kërkesa duhej të fshihej nga lista e çështjeve të Gjykatës sipas nenit 37 § 1 (b) të Konventës.</w:t>
      </w:r>
    </w:p>
    <w:p w14:paraId="5BD52DF6" w14:textId="67F93712" w:rsidR="003166D1" w:rsidRPr="00CE0CCC" w:rsidRDefault="003166D1" w:rsidP="00CE0C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11. Gjykata thekson se ndërsa </w:t>
      </w:r>
      <w:r w:rsidR="00CE0CCC" w:rsidRPr="00CE0CCC">
        <w:rPr>
          <w:rFonts w:ascii="Garamond" w:hAnsi="Garamond" w:cs="Times New Roman"/>
          <w:color w:val="000000"/>
          <w:sz w:val="24"/>
          <w:szCs w:val="24"/>
        </w:rPr>
        <w:t xml:space="preserve">qeveria 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u mbështet në vendimin 2023, ajo nuk e pranoi atë dhe e ankimoi përpara Gjykatës së Lartë ku ankimi është akoma në pritje për rishikim. Prandaj, çështja nuk është zgjidhur sepse Gjykata e Lartë mund të pranojë ankimin e qeverisë dhe të vendosë kundër kërkueses. Kështu, rrëzohet kundërshtimi i </w:t>
      </w:r>
      <w:r w:rsidR="00CE0CCC" w:rsidRPr="00CE0CCC">
        <w:rPr>
          <w:rFonts w:ascii="Garamond" w:hAnsi="Garamond" w:cs="Times New Roman"/>
          <w:color w:val="000000"/>
          <w:sz w:val="24"/>
          <w:szCs w:val="24"/>
        </w:rPr>
        <w:t xml:space="preserve">qeverisë </w:t>
      </w:r>
      <w:r w:rsidRPr="00CE0CCC">
        <w:rPr>
          <w:rFonts w:ascii="Garamond" w:hAnsi="Garamond" w:cs="Times New Roman"/>
          <w:color w:val="000000"/>
          <w:sz w:val="24"/>
          <w:szCs w:val="24"/>
        </w:rPr>
        <w:t>në këtë aspekt. Gjykata nuk harron faktin që çështja</w:t>
      </w:r>
      <w:r w:rsidR="00CE0CCC">
        <w:rPr>
          <w:rFonts w:ascii="Garamond" w:hAnsi="Garamond" w:cs="Times New Roman"/>
          <w:color w:val="000000"/>
          <w:sz w:val="24"/>
          <w:szCs w:val="24"/>
        </w:rPr>
        <w:t>,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në lidhje me kompensimin për ekzekutimin me vonesë</w:t>
      </w:r>
      <w:r w:rsidR="00CE0CCC">
        <w:rPr>
          <w:rFonts w:ascii="Garamond" w:hAnsi="Garamond" w:cs="Times New Roman"/>
          <w:color w:val="000000"/>
          <w:sz w:val="24"/>
          <w:szCs w:val="24"/>
        </w:rPr>
        <w:t>,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ka qenë në pritje përpara gjykatave të brendshme për më shumë se gjashtë vjet pa zgjidhje përfundimtare.</w:t>
      </w:r>
    </w:p>
    <w:p w14:paraId="1C5117B4" w14:textId="5EC2AA71" w:rsidR="003166D1" w:rsidRPr="00CE0CCC" w:rsidRDefault="003166D1" w:rsidP="00CE0C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12. Në këtë drejtim, Gjykata vlerëson se Gjykata e Lartë do të marrë </w:t>
      </w:r>
      <w:r w:rsidR="00CE0CCC">
        <w:rPr>
          <w:rFonts w:ascii="Garamond" w:hAnsi="Garamond" w:cs="Times New Roman"/>
          <w:color w:val="000000"/>
          <w:sz w:val="24"/>
          <w:szCs w:val="24"/>
        </w:rPr>
        <w:t>p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arasysh gjetjet sipas këtij vendimi për të vendosur për çështjen në pritje përpara saj (krahasoni me </w:t>
      </w: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Sharxhi dhe të tjerët kundër Shqipërisë</w:t>
      </w:r>
      <w:r w:rsidRPr="00CE0CCC">
        <w:rPr>
          <w:rFonts w:ascii="Garamond" w:hAnsi="Garamond" w:cs="Times New Roman"/>
          <w:color w:val="000000"/>
          <w:sz w:val="24"/>
          <w:szCs w:val="24"/>
        </w:rPr>
        <w:t>, nr. 10613/16, § 197, 11 janar 2018, me referenca të mëtejshme).</w:t>
      </w:r>
    </w:p>
    <w:p w14:paraId="6E0705FE" w14:textId="599C09DD" w:rsidR="003166D1" w:rsidRPr="00CE0CCC" w:rsidRDefault="003166D1" w:rsidP="00CE0C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13. Në lidhje me themelin, Gjykata përsërit që ekzekutimi i një vendimi të dhënë nga një gjykatë duhet të konsiderohet si pjesë e pandarë e “seancës gjyqësore” për qëllime të nenit 6. Gjithashtu</w:t>
      </w:r>
      <w:r w:rsidR="00CE0CCC">
        <w:rPr>
          <w:rFonts w:ascii="Garamond" w:hAnsi="Garamond" w:cs="Times New Roman"/>
          <w:color w:val="000000"/>
          <w:sz w:val="24"/>
          <w:szCs w:val="24"/>
        </w:rPr>
        <w:t>,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ajo i referohet praktikës gjyqësore në lidhje me mosekzekutimin ose ekzekutimin me vonesë të vendimeve të brendshme të formës së prerë (shihni </w:t>
      </w: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Hornsby kundër Greqisë</w:t>
      </w:r>
      <w:r w:rsidRPr="00CE0CCC">
        <w:rPr>
          <w:rFonts w:ascii="Garamond" w:hAnsi="Garamond" w:cs="Times New Roman"/>
          <w:color w:val="000000"/>
          <w:sz w:val="24"/>
          <w:szCs w:val="24"/>
        </w:rPr>
        <w:t>, nr. 18357/91, 40, </w:t>
      </w: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Raporte të Vendimeve</w:t>
      </w:r>
      <w:r w:rsidRPr="00CE0CCC">
        <w:rPr>
          <w:rFonts w:ascii="Garamond" w:hAnsi="Garamond" w:cs="Times New Roman"/>
          <w:color w:val="000000"/>
          <w:sz w:val="24"/>
          <w:szCs w:val="24"/>
        </w:rPr>
        <w:t> 1997 II).</w:t>
      </w:r>
    </w:p>
    <w:p w14:paraId="1E7DC48E" w14:textId="61053FE9" w:rsidR="003166D1" w:rsidRPr="00CE0CCC" w:rsidRDefault="003166D1" w:rsidP="00CE0C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14. Në çështjet kryesuese </w:t>
      </w: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Qufaj Co </w:t>
      </w:r>
      <w:r w:rsidR="00CE0CCC">
        <w:rPr>
          <w:rFonts w:ascii="Garamond" w:hAnsi="Garamond" w:cs="Times New Roman"/>
          <w:i/>
          <w:iCs/>
          <w:color w:val="000000"/>
          <w:sz w:val="24"/>
          <w:szCs w:val="24"/>
        </w:rPr>
        <w:t>s</w:t>
      </w: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h.p.k. kundër Shqipërisë </w:t>
      </w:r>
      <w:r w:rsidRPr="00CE0CCC">
        <w:rPr>
          <w:rFonts w:ascii="Garamond" w:hAnsi="Garamond" w:cs="Times New Roman"/>
          <w:color w:val="000000"/>
          <w:sz w:val="24"/>
          <w:szCs w:val="24"/>
        </w:rPr>
        <w:t>(nr. 54268/00, §§ 38</w:t>
      </w:r>
      <w:r w:rsidR="00CE0CCC">
        <w:rPr>
          <w:rFonts w:ascii="Garamond" w:hAnsi="Garamond" w:cs="Times New Roman"/>
          <w:color w:val="000000"/>
          <w:sz w:val="24"/>
          <w:szCs w:val="24"/>
        </w:rPr>
        <w:t>–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45, 18 nëntor 2004) dhe </w:t>
      </w: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Gjyli kundër Shqipërisë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(nr. 32907/07, §§ 43</w:t>
      </w:r>
      <w:r w:rsidR="00CE0CCC">
        <w:rPr>
          <w:rFonts w:ascii="Garamond" w:hAnsi="Garamond" w:cs="Times New Roman"/>
          <w:color w:val="000000"/>
          <w:sz w:val="24"/>
          <w:szCs w:val="24"/>
        </w:rPr>
        <w:t>–</w:t>
      </w:r>
      <w:r w:rsidRPr="00CE0CCC">
        <w:rPr>
          <w:rFonts w:ascii="Garamond" w:hAnsi="Garamond" w:cs="Times New Roman"/>
          <w:color w:val="000000"/>
          <w:sz w:val="24"/>
          <w:szCs w:val="24"/>
        </w:rPr>
        <w:t>47, 29 shtator 2009), Gjykata tashmë ka gjetur shkelje në lidhje me probleme të ngjashme me problemet e kësaj çështjeje.</w:t>
      </w:r>
    </w:p>
    <w:p w14:paraId="59EA48FC" w14:textId="77777777" w:rsidR="003166D1" w:rsidRPr="00CE0CCC" w:rsidRDefault="003166D1" w:rsidP="00CE0C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15. Për t’ju kthyer fakteve specifike të kësaj çështjeje, Gjykata gjen se autoriteteve ju deshën më shumë se katër vjet për të ekzekutuar vendimin 2014 (shihni paragrafët 5 më sipër) dhe se ato nuk i bënë të gjitha përpjekjet e nevojshme për të ekzekutuar atë vendim në kohën e duhur.</w:t>
      </w:r>
    </w:p>
    <w:p w14:paraId="0BFEDDBE" w14:textId="0351B86F" w:rsidR="003166D1" w:rsidRPr="00CE0CCC" w:rsidRDefault="003166D1" w:rsidP="00CE0C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16. Prandaj ankimi është i pranueshëm dhe zbulon shkelje të paragrafit 1</w:t>
      </w:r>
      <w:r w:rsidR="00CE0CCC">
        <w:rPr>
          <w:rFonts w:ascii="Garamond" w:hAnsi="Garamond" w:cs="Times New Roman"/>
          <w:color w:val="000000"/>
          <w:sz w:val="24"/>
          <w:szCs w:val="24"/>
        </w:rPr>
        <w:t>,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të nenit 6 të Konventës.</w:t>
      </w:r>
    </w:p>
    <w:p w14:paraId="4B8D6E9B" w14:textId="77777777" w:rsidR="003166D1" w:rsidRPr="00CE0CCC" w:rsidRDefault="003166D1" w:rsidP="00CE0CCC">
      <w:p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CE0CCC">
        <w:rPr>
          <w:rFonts w:ascii="Garamond" w:hAnsi="Garamond" w:cs="Times New Roman"/>
          <w:caps/>
          <w:color w:val="000000"/>
          <w:sz w:val="24"/>
          <w:szCs w:val="24"/>
        </w:rPr>
        <w:t>II.</w:t>
      </w:r>
      <w:r w:rsidR="00737D08" w:rsidRPr="00CE0CCC">
        <w:rPr>
          <w:rFonts w:ascii="Garamond" w:hAnsi="Garamond" w:cs="Times New Roman"/>
          <w:caps/>
          <w:color w:val="000000"/>
          <w:sz w:val="24"/>
          <w:szCs w:val="24"/>
        </w:rPr>
        <w:t xml:space="preserve"> </w:t>
      </w:r>
      <w:r w:rsidRPr="00CE0CCC">
        <w:rPr>
          <w:rFonts w:ascii="Garamond" w:hAnsi="Garamond" w:cs="Times New Roman"/>
          <w:caps/>
          <w:color w:val="000000"/>
          <w:sz w:val="24"/>
          <w:szCs w:val="24"/>
        </w:rPr>
        <w:t>ZBATIMI I NENIT 41 TË KONVENTËS</w:t>
      </w:r>
    </w:p>
    <w:p w14:paraId="0BD90D13" w14:textId="4A8F1CB8" w:rsidR="003166D1" w:rsidRPr="00CE0CCC" w:rsidRDefault="003166D1" w:rsidP="00CE0C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17. Duke pasur parasysh dokumentet që dispononte dhe praktikën e saj gjyqësore  (shihni, në veçanti, </w:t>
      </w: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Qufaj Co </w:t>
      </w:r>
      <w:r w:rsidR="00CE0CCC">
        <w:rPr>
          <w:rFonts w:ascii="Garamond" w:hAnsi="Garamond" w:cs="Times New Roman"/>
          <w:i/>
          <w:iCs/>
          <w:color w:val="000000"/>
          <w:sz w:val="24"/>
          <w:szCs w:val="24"/>
        </w:rPr>
        <w:t>s</w:t>
      </w: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h.p.k., </w:t>
      </w:r>
      <w:r w:rsidRPr="00CE0CCC">
        <w:rPr>
          <w:rFonts w:ascii="Garamond" w:hAnsi="Garamond" w:cs="Times New Roman"/>
          <w:color w:val="000000"/>
          <w:sz w:val="24"/>
          <w:szCs w:val="24"/>
        </w:rPr>
        <w:t>cituar më sipër, §§ 46</w:t>
      </w:r>
      <w:r w:rsidR="00CE0CCC">
        <w:rPr>
          <w:rFonts w:ascii="Garamond" w:hAnsi="Garamond" w:cs="Times New Roman"/>
          <w:color w:val="000000"/>
          <w:sz w:val="24"/>
          <w:szCs w:val="24"/>
        </w:rPr>
        <w:t>–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48 dhe </w:t>
      </w: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Gjyli, </w:t>
      </w:r>
      <w:r w:rsidRPr="00CE0CCC">
        <w:rPr>
          <w:rFonts w:ascii="Garamond" w:hAnsi="Garamond" w:cs="Times New Roman"/>
          <w:color w:val="000000"/>
          <w:sz w:val="24"/>
          <w:szCs w:val="24"/>
        </w:rPr>
        <w:t>të cituar më sipër, §§ 62</w:t>
      </w:r>
      <w:r w:rsidR="00CE0CCC">
        <w:rPr>
          <w:rFonts w:ascii="Garamond" w:hAnsi="Garamond" w:cs="Times New Roman"/>
          <w:color w:val="000000"/>
          <w:sz w:val="24"/>
          <w:szCs w:val="24"/>
        </w:rPr>
        <w:t>–</w:t>
      </w:r>
      <w:r w:rsidRPr="00CE0CCC">
        <w:rPr>
          <w:rFonts w:ascii="Garamond" w:hAnsi="Garamond" w:cs="Times New Roman"/>
          <w:color w:val="000000"/>
          <w:sz w:val="24"/>
          <w:szCs w:val="24"/>
        </w:rPr>
        <w:t>76), Gjykata e konsideron të arsyeshme dhënien e shumës së treguar në tabelën e bashkëngjitur.</w:t>
      </w:r>
    </w:p>
    <w:p w14:paraId="20D7406F" w14:textId="6F4D95AF" w:rsidR="003166D1" w:rsidRPr="00CE0CCC" w:rsidRDefault="003166D1" w:rsidP="00CE0CC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  <w:r w:rsidRPr="00CE0CCC">
        <w:rPr>
          <w:rFonts w:ascii="Garamond" w:hAnsi="Garamond" w:cs="Times New Roman"/>
          <w:caps/>
          <w:color w:val="000000"/>
          <w:sz w:val="24"/>
          <w:szCs w:val="24"/>
        </w:rPr>
        <w:t>PËR KËTO ARSYE, GJYKATA, UNANIMISHT</w:t>
      </w:r>
      <w:r w:rsidR="00CE0CCC">
        <w:rPr>
          <w:rFonts w:ascii="Garamond" w:hAnsi="Garamond" w:cs="Times New Roman"/>
          <w:caps/>
          <w:color w:val="000000"/>
          <w:sz w:val="24"/>
          <w:szCs w:val="24"/>
        </w:rPr>
        <w:t>:</w:t>
      </w:r>
    </w:p>
    <w:p w14:paraId="7CCFB471" w14:textId="0E74486C" w:rsidR="003166D1" w:rsidRPr="00CE0CCC" w:rsidRDefault="003166D1" w:rsidP="00CE0CCC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1.</w:t>
      </w:r>
      <w:r w:rsidR="00737D08"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CE0CCC"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Shpall</w:t>
      </w:r>
      <w:r w:rsidR="00CE0CCC" w:rsidRPr="00CE0C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E0CCC">
        <w:rPr>
          <w:rFonts w:ascii="Garamond" w:hAnsi="Garamond" w:cs="Times New Roman"/>
          <w:color w:val="000000"/>
          <w:sz w:val="24"/>
          <w:szCs w:val="24"/>
        </w:rPr>
        <w:t>kërkesën të pranueshme;</w:t>
      </w:r>
    </w:p>
    <w:p w14:paraId="474A5640" w14:textId="1E0B15CD" w:rsidR="003166D1" w:rsidRPr="00CE0CCC" w:rsidRDefault="003166D1" w:rsidP="00CE0CCC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2.</w:t>
      </w:r>
      <w:r w:rsidR="00737D08"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CE0CCC"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Vendos </w:t>
      </w:r>
      <w:r w:rsidRPr="00CE0CCC">
        <w:rPr>
          <w:rFonts w:ascii="Garamond" w:hAnsi="Garamond" w:cs="Times New Roman"/>
          <w:color w:val="000000"/>
          <w:sz w:val="24"/>
          <w:szCs w:val="24"/>
        </w:rPr>
        <w:t>që kjo kërkesë zbulon shkelje të paragrafit 1</w:t>
      </w:r>
      <w:r w:rsidR="00CE0CCC">
        <w:rPr>
          <w:rFonts w:ascii="Garamond" w:hAnsi="Garamond" w:cs="Times New Roman"/>
          <w:color w:val="000000"/>
          <w:sz w:val="24"/>
          <w:szCs w:val="24"/>
        </w:rPr>
        <w:t>,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të nenit 6 të Konventës</w:t>
      </w:r>
      <w:r w:rsidR="00CE0CCC">
        <w:rPr>
          <w:rFonts w:ascii="Garamond" w:hAnsi="Garamond" w:cs="Times New Roman"/>
          <w:color w:val="000000"/>
          <w:sz w:val="24"/>
          <w:szCs w:val="24"/>
        </w:rPr>
        <w:t>,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në lidhje me ekzekutimin me vonesë të vendimit përfundimtar në favor të kërkueses;</w:t>
      </w:r>
    </w:p>
    <w:p w14:paraId="09DBB131" w14:textId="2BF88238" w:rsidR="003166D1" w:rsidRPr="00CE0CCC" w:rsidRDefault="003166D1" w:rsidP="00CE0CCC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3.</w:t>
      </w:r>
      <w:r w:rsidR="00737D08"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CE0CCC">
        <w:rPr>
          <w:rFonts w:ascii="Garamond" w:hAnsi="Garamond" w:cs="Times New Roman"/>
          <w:i/>
          <w:iCs/>
          <w:color w:val="000000"/>
          <w:sz w:val="24"/>
          <w:szCs w:val="24"/>
        </w:rPr>
        <w:t>Vendos</w:t>
      </w:r>
      <w:r w:rsidR="00CE0CCC">
        <w:rPr>
          <w:rFonts w:ascii="Garamond" w:hAnsi="Garamond" w:cs="Times New Roman"/>
          <w:i/>
          <w:iCs/>
          <w:color w:val="000000"/>
          <w:sz w:val="24"/>
          <w:szCs w:val="24"/>
        </w:rPr>
        <w:t>:</w:t>
      </w:r>
    </w:p>
    <w:p w14:paraId="4C295368" w14:textId="5FE78B97" w:rsidR="003166D1" w:rsidRPr="00CE0CCC" w:rsidRDefault="003166D1" w:rsidP="00CE0CCC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a)</w:t>
      </w:r>
      <w:r w:rsidR="00737D08" w:rsidRPr="00CE0C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që </w:t>
      </w:r>
      <w:r w:rsidR="00CE0CCC">
        <w:rPr>
          <w:rFonts w:ascii="Garamond" w:hAnsi="Garamond" w:cs="Times New Roman"/>
          <w:color w:val="000000"/>
          <w:sz w:val="24"/>
          <w:szCs w:val="24"/>
        </w:rPr>
        <w:t>s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hteti i paditur t’i paguajë kërkuesit, brenda tre muajve, shumën e treguar në tabelën bashkëngjitur, që do të konvertohet në monedhën e </w:t>
      </w:r>
      <w:r w:rsidR="00CE0CCC">
        <w:rPr>
          <w:rFonts w:ascii="Garamond" w:hAnsi="Garamond" w:cs="Times New Roman"/>
          <w:color w:val="000000"/>
          <w:sz w:val="24"/>
          <w:szCs w:val="24"/>
        </w:rPr>
        <w:t>s</w:t>
      </w:r>
      <w:r w:rsidRPr="00CE0CCC">
        <w:rPr>
          <w:rFonts w:ascii="Garamond" w:hAnsi="Garamond" w:cs="Times New Roman"/>
          <w:color w:val="000000"/>
          <w:sz w:val="24"/>
          <w:szCs w:val="24"/>
        </w:rPr>
        <w:t>htetit të paditur me normën në fuqi në datën e shlyerjes;</w:t>
      </w:r>
    </w:p>
    <w:p w14:paraId="687195DE" w14:textId="54280AE1" w:rsidR="003166D1" w:rsidRPr="00CE0CCC" w:rsidRDefault="003166D1" w:rsidP="00CE0CCC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b)</w:t>
      </w:r>
      <w:r w:rsidR="00737D08" w:rsidRPr="00CE0CC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që nga mbarimi i afatit tremujor të sipërpërmendur deri në shlyerje të paguhet </w:t>
      </w:r>
      <w:r w:rsidR="00CE0CCC" w:rsidRPr="00CE0CCC">
        <w:rPr>
          <w:rFonts w:ascii="Garamond" w:hAnsi="Garamond" w:cs="Times New Roman"/>
          <w:color w:val="000000"/>
          <w:sz w:val="24"/>
          <w:szCs w:val="24"/>
        </w:rPr>
        <w:t>kamatëvonesë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e thjeshtë për shumat e mësipërme</w:t>
      </w:r>
      <w:r w:rsidR="00CE0CCC">
        <w:rPr>
          <w:rFonts w:ascii="Garamond" w:hAnsi="Garamond" w:cs="Times New Roman"/>
          <w:color w:val="000000"/>
          <w:sz w:val="24"/>
          <w:szCs w:val="24"/>
        </w:rPr>
        <w:t>,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sipas normës </w:t>
      </w:r>
      <w:r w:rsidR="00CE0CCC">
        <w:rPr>
          <w:rFonts w:ascii="Garamond" w:hAnsi="Garamond" w:cs="Times New Roman"/>
          <w:color w:val="000000"/>
          <w:sz w:val="24"/>
          <w:szCs w:val="24"/>
        </w:rPr>
        <w:t>s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ë njëjtë me normën marxhinale të kreditimit të Bankës Qendrore </w:t>
      </w:r>
      <w:r w:rsidR="00CE0CCC" w:rsidRPr="00CE0CCC">
        <w:rPr>
          <w:rFonts w:ascii="Garamond" w:hAnsi="Garamond" w:cs="Times New Roman"/>
          <w:color w:val="000000"/>
          <w:sz w:val="24"/>
          <w:szCs w:val="24"/>
        </w:rPr>
        <w:t>Evropiane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gjatë periudhës së mospagimit plus tre pikë përqindje.</w:t>
      </w:r>
    </w:p>
    <w:p w14:paraId="688F64BA" w14:textId="06CCF55E" w:rsidR="003166D1" w:rsidRPr="00CE0CCC" w:rsidRDefault="003166D1" w:rsidP="00CE0C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>Bërë në gjuhën angleze dhe njoftuar me shkrim më 24 tetor 2024</w:t>
      </w:r>
      <w:r w:rsidR="00CE0CCC">
        <w:rPr>
          <w:rFonts w:ascii="Garamond" w:hAnsi="Garamond" w:cs="Times New Roman"/>
          <w:color w:val="000000"/>
          <w:sz w:val="24"/>
          <w:szCs w:val="24"/>
        </w:rPr>
        <w:t>,</w:t>
      </w: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sipas Rregullit 77 §§ 2 dhe 3 të Rregullores së Gjykatës.</w:t>
      </w:r>
    </w:p>
    <w:p w14:paraId="60180FCE" w14:textId="77777777" w:rsidR="003166D1" w:rsidRPr="00CE0CCC" w:rsidRDefault="00737D08" w:rsidP="00CE0CCC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FFFF"/>
          <w:sz w:val="24"/>
          <w:szCs w:val="24"/>
        </w:rPr>
      </w:pPr>
      <w:r w:rsidRPr="00CE0CCC">
        <w:rPr>
          <w:rFonts w:ascii="Garamond" w:hAnsi="Garamond" w:cs="Times New Roman"/>
          <w:color w:val="FFFFFF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  <w:gridCol w:w="4229"/>
      </w:tblGrid>
      <w:tr w:rsidR="00737D08" w:rsidRPr="00CE0CCC" w14:paraId="405AAEE8" w14:textId="60A2CC5F" w:rsidTr="00CE0CCC">
        <w:trPr>
          <w:trHeight w:val="729"/>
        </w:trPr>
        <w:tc>
          <w:tcPr>
            <w:tcW w:w="5598" w:type="dxa"/>
          </w:tcPr>
          <w:p w14:paraId="6087515F" w14:textId="77777777" w:rsidR="00CE0CCC" w:rsidRDefault="00737D08" w:rsidP="00737D08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Cs w:val="24"/>
              </w:rPr>
            </w:pPr>
            <w:r w:rsidRPr="00CE0CCC">
              <w:rPr>
                <w:rFonts w:ascii="Garamond" w:hAnsi="Garamond" w:cs="Times New Roman"/>
                <w:b/>
                <w:color w:val="000000"/>
                <w:szCs w:val="24"/>
              </w:rPr>
              <w:t>Viktoriya Maradudina</w:t>
            </w:r>
            <w:r w:rsidRPr="00CE0CCC">
              <w:rPr>
                <w:rFonts w:ascii="Garamond" w:hAnsi="Garamond" w:cs="Times New Roman"/>
                <w:color w:val="000000"/>
                <w:szCs w:val="24"/>
              </w:rPr>
              <w:t xml:space="preserve"> </w:t>
            </w:r>
          </w:p>
          <w:p w14:paraId="1370DB94" w14:textId="424982D4" w:rsidR="00737D08" w:rsidRPr="00CE0CCC" w:rsidRDefault="00CE0CCC" w:rsidP="00737D08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FFFFFF"/>
                <w:szCs w:val="24"/>
              </w:rPr>
            </w:pPr>
            <w:r w:rsidRPr="00CE0CCC">
              <w:rPr>
                <w:rFonts w:ascii="Garamond" w:hAnsi="Garamond" w:cs="Times New Roman"/>
                <w:color w:val="000000"/>
                <w:szCs w:val="24"/>
              </w:rPr>
              <w:t>ZËVENDËS</w:t>
            </w:r>
            <w:r>
              <w:rPr>
                <w:rFonts w:ascii="Garamond" w:hAnsi="Garamond" w:cs="Times New Roman"/>
                <w:color w:val="000000"/>
                <w:szCs w:val="24"/>
              </w:rPr>
              <w:t>K</w:t>
            </w:r>
            <w:r w:rsidRPr="00CE0CCC">
              <w:rPr>
                <w:rFonts w:ascii="Garamond" w:hAnsi="Garamond" w:cs="Times New Roman"/>
                <w:color w:val="000000"/>
                <w:szCs w:val="24"/>
              </w:rPr>
              <w:t>ANCELARE NË DETYRË</w:t>
            </w:r>
          </w:p>
        </w:tc>
        <w:tc>
          <w:tcPr>
            <w:tcW w:w="4807" w:type="dxa"/>
          </w:tcPr>
          <w:p w14:paraId="192CC646" w14:textId="77777777" w:rsidR="00737D08" w:rsidRPr="00CE0CCC" w:rsidRDefault="00737D08" w:rsidP="00737D08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Cs w:val="24"/>
              </w:rPr>
            </w:pPr>
            <w:r w:rsidRPr="00CE0CCC">
              <w:rPr>
                <w:rFonts w:ascii="Garamond" w:hAnsi="Garamond" w:cs="Times New Roman"/>
                <w:b/>
                <w:color w:val="000000"/>
                <w:szCs w:val="24"/>
              </w:rPr>
              <w:t>Peeter Roosma</w:t>
            </w:r>
          </w:p>
          <w:p w14:paraId="219A87DB" w14:textId="7452EAF0" w:rsidR="00737D08" w:rsidRPr="00CE0CCC" w:rsidRDefault="00CE0CCC" w:rsidP="00737D08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FFFFFF"/>
                <w:szCs w:val="24"/>
              </w:rPr>
            </w:pPr>
            <w:r w:rsidRPr="00CE0CCC">
              <w:rPr>
                <w:rFonts w:ascii="Garamond" w:hAnsi="Garamond" w:cs="Times New Roman"/>
                <w:color w:val="000000"/>
                <w:szCs w:val="24"/>
              </w:rPr>
              <w:t>KRYETAR</w:t>
            </w:r>
          </w:p>
        </w:tc>
      </w:tr>
    </w:tbl>
    <w:p w14:paraId="509FD838" w14:textId="77777777" w:rsidR="00737D08" w:rsidRPr="00CE0CCC" w:rsidRDefault="00737D08" w:rsidP="00737D08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FFFFFF"/>
          <w:sz w:val="24"/>
          <w:szCs w:val="24"/>
        </w:rPr>
      </w:pPr>
    </w:p>
    <w:p w14:paraId="1F36AC72" w14:textId="77777777" w:rsidR="003166D1" w:rsidRPr="00CE0CCC" w:rsidRDefault="00737D08" w:rsidP="00737D08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E0CCC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0F824B90" w14:textId="77777777" w:rsidR="007803DC" w:rsidRPr="00CE0CCC" w:rsidRDefault="007803DC" w:rsidP="00737D08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49984FE" w14:textId="77777777" w:rsidR="007803DC" w:rsidRPr="00CE0CCC" w:rsidRDefault="007803DC" w:rsidP="00737D08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608FC828" w14:textId="77777777" w:rsidR="007803DC" w:rsidRPr="00CE0CCC" w:rsidRDefault="007803DC" w:rsidP="00737D08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6FE961A" w14:textId="77777777" w:rsidR="00EB05B8" w:rsidRPr="00CE0CCC" w:rsidRDefault="00737D08" w:rsidP="00EB05B8">
      <w:pPr>
        <w:pStyle w:val="DecHTitle"/>
        <w:spacing w:after="0"/>
        <w:ind w:firstLine="278"/>
        <w:rPr>
          <w:rFonts w:ascii="Garamond" w:hAnsi="Garamond"/>
          <w:sz w:val="24"/>
          <w:szCs w:val="24"/>
        </w:rPr>
      </w:pPr>
      <w:r w:rsidRPr="00CE0CCC">
        <w:rPr>
          <w:rFonts w:ascii="Garamond" w:hAnsi="Garamond"/>
          <w:sz w:val="24"/>
          <w:szCs w:val="24"/>
        </w:rPr>
        <w:lastRenderedPageBreak/>
        <w:t xml:space="preserve"> </w:t>
      </w:r>
      <w:r w:rsidR="00EB05B8" w:rsidRPr="00CE0CCC">
        <w:rPr>
          <w:rFonts w:ascii="Garamond" w:hAnsi="Garamond"/>
          <w:sz w:val="24"/>
          <w:szCs w:val="24"/>
        </w:rPr>
        <w:t>SHTOJCË</w:t>
      </w:r>
    </w:p>
    <w:p w14:paraId="6FD128AD" w14:textId="52C1AB5D" w:rsidR="00EB05B8" w:rsidRPr="00CE0CCC" w:rsidRDefault="00EB05B8" w:rsidP="00EB05B8">
      <w:pPr>
        <w:pStyle w:val="DecHCase"/>
        <w:spacing w:after="0"/>
        <w:ind w:firstLine="278"/>
        <w:contextualSpacing/>
        <w:rPr>
          <w:rFonts w:ascii="Garamond" w:hAnsi="Garamond"/>
          <w:b/>
          <w:i/>
          <w:color w:val="000000" w:themeColor="text1"/>
        </w:rPr>
      </w:pPr>
      <w:r w:rsidRPr="00CE0CCC">
        <w:rPr>
          <w:rFonts w:ascii="Garamond" w:hAnsi="Garamond"/>
          <w:b/>
          <w:color w:val="000000" w:themeColor="text1"/>
        </w:rPr>
        <w:t>Kërkesa që paraqet ankimin sipas paragrafit 1</w:t>
      </w:r>
      <w:bookmarkStart w:id="0" w:name="_GoBack"/>
      <w:bookmarkEnd w:id="0"/>
      <w:r w:rsidRPr="00CE0CCC">
        <w:rPr>
          <w:rFonts w:ascii="Garamond" w:hAnsi="Garamond"/>
          <w:b/>
          <w:color w:val="000000" w:themeColor="text1"/>
        </w:rPr>
        <w:t xml:space="preserve"> të nenit 6 të Konventës</w:t>
      </w:r>
    </w:p>
    <w:p w14:paraId="46126EC2" w14:textId="1F3630F5" w:rsidR="00EB05B8" w:rsidRPr="00CE0CCC" w:rsidRDefault="00EB05B8" w:rsidP="00EB05B8">
      <w:pPr>
        <w:pStyle w:val="DecHCase"/>
        <w:spacing w:after="0"/>
        <w:ind w:firstLine="278"/>
        <w:contextualSpacing/>
        <w:rPr>
          <w:rFonts w:ascii="Garamond" w:hAnsi="Garamond"/>
          <w:b/>
          <w:i/>
          <w:color w:val="000000" w:themeColor="text1"/>
        </w:rPr>
      </w:pPr>
      <w:r w:rsidRPr="00CE0CCC">
        <w:rPr>
          <w:rFonts w:ascii="Garamond" w:hAnsi="Garamond"/>
          <w:b/>
          <w:color w:val="000000" w:themeColor="text1"/>
        </w:rPr>
        <w:t>(mosekzekutimi ose ekzekutimi me vonesë i vendimeve të brendshme)</w:t>
      </w:r>
    </w:p>
    <w:p w14:paraId="4C2FD055" w14:textId="77777777" w:rsidR="003166D1" w:rsidRPr="00CE0CCC" w:rsidRDefault="003166D1" w:rsidP="00737D08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tbl>
      <w:tblPr>
        <w:tblStyle w:val="ECHRListTable"/>
        <w:tblW w:w="5000" w:type="pct"/>
        <w:jc w:val="center"/>
        <w:tblLook w:val="0420" w:firstRow="1" w:lastRow="0" w:firstColumn="0" w:lastColumn="0" w:noHBand="0" w:noVBand="1"/>
      </w:tblPr>
      <w:tblGrid>
        <w:gridCol w:w="1104"/>
        <w:gridCol w:w="1220"/>
        <w:gridCol w:w="1220"/>
        <w:gridCol w:w="1310"/>
        <w:gridCol w:w="1360"/>
        <w:gridCol w:w="1638"/>
        <w:gridCol w:w="1498"/>
      </w:tblGrid>
      <w:tr w:rsidR="00EB05B8" w:rsidRPr="00CE0CCC" w14:paraId="66F9D700" w14:textId="1DF3A58D" w:rsidTr="00EB05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608" w:type="pct"/>
            <w:shd w:val="clear" w:color="auto" w:fill="D9D9D9" w:themeFill="background1" w:themeFillShade="D9"/>
          </w:tcPr>
          <w:p w14:paraId="0E8BD50F" w14:textId="2722D117" w:rsidR="00EB05B8" w:rsidRPr="00CE0CCC" w:rsidRDefault="00EB05B8" w:rsidP="00CE0CCC">
            <w:pPr>
              <w:jc w:val="center"/>
              <w:rPr>
                <w:rFonts w:ascii="Garamond" w:hAnsi="Garamond"/>
                <w:color w:val="000000" w:themeColor="text1"/>
                <w:sz w:val="16"/>
              </w:rPr>
            </w:pPr>
            <w:r w:rsidRPr="00CE0CCC">
              <w:rPr>
                <w:rFonts w:ascii="Garamond" w:hAnsi="Garamond"/>
                <w:color w:val="000000" w:themeColor="text1"/>
                <w:sz w:val="16"/>
              </w:rPr>
              <w:t>Kërkesa nr.</w:t>
            </w:r>
          </w:p>
          <w:p w14:paraId="25796409" w14:textId="7DBC220A" w:rsidR="00EB05B8" w:rsidRPr="00CE0CCC" w:rsidRDefault="00EB05B8" w:rsidP="00CE0CCC">
            <w:pPr>
              <w:jc w:val="center"/>
              <w:rPr>
                <w:rFonts w:ascii="Garamond" w:hAnsi="Garamond"/>
                <w:color w:val="000000" w:themeColor="text1"/>
                <w:sz w:val="16"/>
              </w:rPr>
            </w:pPr>
            <w:r w:rsidRPr="00CE0CCC">
              <w:rPr>
                <w:rFonts w:ascii="Garamond" w:hAnsi="Garamond"/>
                <w:color w:val="000000" w:themeColor="text1"/>
                <w:sz w:val="16"/>
              </w:rPr>
              <w:t>Data e paraqitjes</w:t>
            </w:r>
          </w:p>
        </w:tc>
        <w:tc>
          <w:tcPr>
            <w:tcW w:w="670" w:type="pct"/>
            <w:shd w:val="clear" w:color="auto" w:fill="D9D9D9" w:themeFill="background1" w:themeFillShade="D9"/>
          </w:tcPr>
          <w:p w14:paraId="3CFF80F7" w14:textId="3572CCCC" w:rsidR="00EB05B8" w:rsidRPr="00CE0CCC" w:rsidRDefault="00EB05B8" w:rsidP="00CE0CCC">
            <w:pPr>
              <w:jc w:val="center"/>
              <w:rPr>
                <w:rFonts w:ascii="Garamond" w:hAnsi="Garamond"/>
                <w:color w:val="000000" w:themeColor="text1"/>
                <w:sz w:val="16"/>
              </w:rPr>
            </w:pPr>
            <w:r w:rsidRPr="00CE0CCC">
              <w:rPr>
                <w:rFonts w:ascii="Garamond" w:hAnsi="Garamond"/>
                <w:color w:val="000000" w:themeColor="text1"/>
                <w:sz w:val="16"/>
              </w:rPr>
              <w:t>Emri i kërkuesit</w:t>
            </w:r>
          </w:p>
          <w:p w14:paraId="31035973" w14:textId="10278EFF" w:rsidR="00EB05B8" w:rsidRPr="00CE0CCC" w:rsidRDefault="00EB05B8" w:rsidP="00CE0CCC">
            <w:pPr>
              <w:jc w:val="center"/>
              <w:rPr>
                <w:rFonts w:ascii="Garamond" w:hAnsi="Garamond"/>
                <w:color w:val="000000" w:themeColor="text1"/>
                <w:sz w:val="16"/>
              </w:rPr>
            </w:pPr>
            <w:r w:rsidRPr="00CE0CCC">
              <w:rPr>
                <w:rFonts w:ascii="Garamond" w:hAnsi="Garamond"/>
                <w:color w:val="000000" w:themeColor="text1"/>
                <w:sz w:val="16"/>
              </w:rPr>
              <w:t>Viti i lindjes</w:t>
            </w:r>
          </w:p>
          <w:p w14:paraId="688B62D2" w14:textId="58A57ACB" w:rsidR="00EB05B8" w:rsidRPr="00CE0CCC" w:rsidRDefault="00EB05B8" w:rsidP="00CE0CCC">
            <w:pPr>
              <w:jc w:val="center"/>
              <w:rPr>
                <w:rFonts w:ascii="Garamond" w:hAnsi="Garamond"/>
                <w:color w:val="000000" w:themeColor="text1"/>
                <w:sz w:val="16"/>
              </w:rPr>
            </w:pPr>
          </w:p>
        </w:tc>
        <w:tc>
          <w:tcPr>
            <w:tcW w:w="670" w:type="pct"/>
            <w:shd w:val="clear" w:color="auto" w:fill="D9D9D9" w:themeFill="background1" w:themeFillShade="D9"/>
          </w:tcPr>
          <w:p w14:paraId="465B0E85" w14:textId="5F649363" w:rsidR="00EB05B8" w:rsidRPr="00CE0CCC" w:rsidRDefault="00EB05B8" w:rsidP="00CE0CCC">
            <w:pPr>
              <w:jc w:val="center"/>
              <w:rPr>
                <w:rFonts w:ascii="Garamond" w:hAnsi="Garamond"/>
                <w:color w:val="000000" w:themeColor="text1"/>
                <w:sz w:val="16"/>
              </w:rPr>
            </w:pPr>
            <w:r w:rsidRPr="00CE0CCC">
              <w:rPr>
                <w:rFonts w:ascii="Garamond" w:hAnsi="Garamond"/>
                <w:color w:val="000000" w:themeColor="text1"/>
                <w:sz w:val="16"/>
              </w:rPr>
              <w:t>Legjislacioni i brendshëm përkatës</w:t>
            </w:r>
          </w:p>
        </w:tc>
        <w:tc>
          <w:tcPr>
            <w:tcW w:w="596" w:type="pct"/>
            <w:shd w:val="clear" w:color="auto" w:fill="D9D9D9" w:themeFill="background1" w:themeFillShade="D9"/>
          </w:tcPr>
          <w:p w14:paraId="2E48E44D" w14:textId="30772E68" w:rsidR="00EB05B8" w:rsidRPr="00CE0CCC" w:rsidRDefault="00EB05B8" w:rsidP="00CE0CCC">
            <w:pPr>
              <w:jc w:val="center"/>
              <w:rPr>
                <w:rFonts w:ascii="Garamond" w:hAnsi="Garamond"/>
                <w:color w:val="000000" w:themeColor="text1"/>
                <w:sz w:val="16"/>
              </w:rPr>
            </w:pPr>
            <w:r w:rsidRPr="00CE0CCC">
              <w:rPr>
                <w:rFonts w:ascii="Garamond" w:hAnsi="Garamond"/>
                <w:color w:val="000000" w:themeColor="text1"/>
                <w:sz w:val="16"/>
              </w:rPr>
              <w:t>Data e fillimit të periudhës së mosekzekutimit</w:t>
            </w:r>
          </w:p>
        </w:tc>
        <w:tc>
          <w:tcPr>
            <w:tcW w:w="745" w:type="pct"/>
            <w:shd w:val="clear" w:color="auto" w:fill="D9D9D9" w:themeFill="background1" w:themeFillShade="D9"/>
          </w:tcPr>
          <w:p w14:paraId="3D6B2B99" w14:textId="673C25C5" w:rsidR="00EB05B8" w:rsidRPr="00CE0CCC" w:rsidRDefault="00EB05B8" w:rsidP="00CE0CCC">
            <w:pPr>
              <w:jc w:val="center"/>
              <w:rPr>
                <w:rFonts w:ascii="Garamond" w:hAnsi="Garamond"/>
                <w:color w:val="000000" w:themeColor="text1"/>
                <w:sz w:val="16"/>
              </w:rPr>
            </w:pPr>
            <w:r w:rsidRPr="00CE0CCC">
              <w:rPr>
                <w:rFonts w:ascii="Garamond" w:hAnsi="Garamond"/>
                <w:color w:val="000000" w:themeColor="text1"/>
                <w:sz w:val="16"/>
              </w:rPr>
              <w:t>Data e mbarimit të periudhës së mosekzekutimit</w:t>
            </w:r>
          </w:p>
          <w:p w14:paraId="53746D50" w14:textId="0981D62E" w:rsidR="00EB05B8" w:rsidRPr="00CE0CCC" w:rsidRDefault="00EB05B8" w:rsidP="00CE0CCC">
            <w:pPr>
              <w:jc w:val="center"/>
              <w:rPr>
                <w:rFonts w:ascii="Garamond" w:hAnsi="Garamond"/>
                <w:color w:val="000000" w:themeColor="text1"/>
                <w:sz w:val="16"/>
              </w:rPr>
            </w:pPr>
            <w:r w:rsidRPr="00CE0CCC">
              <w:rPr>
                <w:rFonts w:ascii="Garamond" w:hAnsi="Garamond"/>
                <w:color w:val="000000" w:themeColor="text1"/>
                <w:sz w:val="16"/>
              </w:rPr>
              <w:t>Kohëzgjatja e procedurave të ekzekutimit</w:t>
            </w:r>
          </w:p>
        </w:tc>
        <w:tc>
          <w:tcPr>
            <w:tcW w:w="893" w:type="pct"/>
            <w:shd w:val="clear" w:color="auto" w:fill="D9D9D9" w:themeFill="background1" w:themeFillShade="D9"/>
          </w:tcPr>
          <w:p w14:paraId="34928302" w14:textId="55024D7E" w:rsidR="00EB05B8" w:rsidRPr="00CE0CCC" w:rsidRDefault="00EB05B8" w:rsidP="00CE0CCC">
            <w:pPr>
              <w:jc w:val="center"/>
              <w:rPr>
                <w:rFonts w:ascii="Garamond" w:hAnsi="Garamond"/>
                <w:color w:val="000000" w:themeColor="text1"/>
                <w:sz w:val="16"/>
              </w:rPr>
            </w:pPr>
            <w:r w:rsidRPr="00CE0CCC">
              <w:rPr>
                <w:rFonts w:ascii="Garamond" w:hAnsi="Garamond"/>
                <w:color w:val="000000" w:themeColor="text1"/>
                <w:sz w:val="16"/>
              </w:rPr>
              <w:t xml:space="preserve">Dëmshpërblimi i brendshëm </w:t>
            </w:r>
          </w:p>
        </w:tc>
        <w:tc>
          <w:tcPr>
            <w:tcW w:w="819" w:type="pct"/>
            <w:shd w:val="clear" w:color="auto" w:fill="D9D9D9" w:themeFill="background1" w:themeFillShade="D9"/>
          </w:tcPr>
          <w:p w14:paraId="73B8C19C" w14:textId="5463D01C" w:rsidR="00EB05B8" w:rsidRPr="00CE0CCC" w:rsidRDefault="00EB05B8" w:rsidP="00CE0CCC">
            <w:pPr>
              <w:jc w:val="center"/>
              <w:rPr>
                <w:rFonts w:ascii="Garamond" w:hAnsi="Garamond"/>
                <w:color w:val="000000" w:themeColor="text1"/>
                <w:sz w:val="16"/>
              </w:rPr>
            </w:pPr>
            <w:r w:rsidRPr="00CE0CCC">
              <w:rPr>
                <w:rFonts w:ascii="Garamond" w:hAnsi="Garamond"/>
                <w:color w:val="000000" w:themeColor="text1"/>
                <w:sz w:val="16"/>
              </w:rPr>
              <w:t>Shuma e dhënë për dëmin jopasuror për kërkues</w:t>
            </w:r>
            <w:r w:rsidR="00CE0CCC">
              <w:rPr>
                <w:rFonts w:ascii="Garamond" w:hAnsi="Garamond"/>
                <w:color w:val="000000" w:themeColor="text1"/>
                <w:sz w:val="16"/>
              </w:rPr>
              <w:t>in</w:t>
            </w:r>
          </w:p>
          <w:p w14:paraId="11E86E5E" w14:textId="1433AD3F" w:rsidR="00EB05B8" w:rsidRPr="00CE0CCC" w:rsidRDefault="00EB05B8" w:rsidP="00CE0CCC">
            <w:pPr>
              <w:jc w:val="center"/>
              <w:rPr>
                <w:rFonts w:ascii="Garamond" w:hAnsi="Garamond"/>
                <w:color w:val="000000" w:themeColor="text1"/>
                <w:sz w:val="16"/>
              </w:rPr>
            </w:pPr>
            <w:r w:rsidRPr="00CE0CCC">
              <w:rPr>
                <w:rFonts w:ascii="Garamond" w:hAnsi="Garamond"/>
                <w:color w:val="000000" w:themeColor="text1"/>
                <w:sz w:val="16"/>
              </w:rPr>
              <w:t>(në euro)</w:t>
            </w:r>
            <w:r w:rsidRPr="00CE0CCC">
              <w:rPr>
                <w:rStyle w:val="FootnoteReference"/>
                <w:rFonts w:ascii="Garamond" w:hAnsi="Garamond"/>
                <w:color w:val="000000" w:themeColor="text1"/>
                <w:sz w:val="16"/>
              </w:rPr>
              <w:footnoteReference w:id="2"/>
            </w:r>
          </w:p>
        </w:tc>
      </w:tr>
      <w:tr w:rsidR="00EB05B8" w:rsidRPr="00CE0CCC" w14:paraId="1F1C5D1C" w14:textId="1D8A1305" w:rsidTr="00CE0CCC">
        <w:trPr>
          <w:jc w:val="center"/>
        </w:trPr>
        <w:tc>
          <w:tcPr>
            <w:tcW w:w="608" w:type="pct"/>
          </w:tcPr>
          <w:p w14:paraId="19BA0D32" w14:textId="55086515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  <w:r w:rsidRPr="00CE0CCC">
              <w:rPr>
                <w:rFonts w:ascii="Garamond" w:hAnsi="Garamond"/>
                <w:sz w:val="16"/>
              </w:rPr>
              <w:t>82151/17</w:t>
            </w:r>
          </w:p>
          <w:p w14:paraId="1198E3C0" w14:textId="3E1AAE4C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  <w:r w:rsidRPr="00CE0CCC">
              <w:rPr>
                <w:rFonts w:ascii="Garamond" w:hAnsi="Garamond"/>
                <w:sz w:val="16"/>
              </w:rPr>
              <w:t>27</w:t>
            </w:r>
            <w:r w:rsidR="00CE0CCC">
              <w:rPr>
                <w:rFonts w:ascii="Garamond" w:hAnsi="Garamond"/>
                <w:sz w:val="16"/>
              </w:rPr>
              <w:t>.</w:t>
            </w:r>
            <w:r w:rsidRPr="00CE0CCC">
              <w:rPr>
                <w:rFonts w:ascii="Garamond" w:hAnsi="Garamond"/>
                <w:sz w:val="16"/>
              </w:rPr>
              <w:t>11</w:t>
            </w:r>
            <w:r w:rsidR="00CE0CCC">
              <w:rPr>
                <w:rFonts w:ascii="Garamond" w:hAnsi="Garamond"/>
                <w:sz w:val="16"/>
              </w:rPr>
              <w:t>.</w:t>
            </w:r>
            <w:r w:rsidRPr="00CE0CCC">
              <w:rPr>
                <w:rFonts w:ascii="Garamond" w:hAnsi="Garamond"/>
                <w:sz w:val="16"/>
              </w:rPr>
              <w:t>2017</w:t>
            </w:r>
          </w:p>
        </w:tc>
        <w:tc>
          <w:tcPr>
            <w:tcW w:w="670" w:type="pct"/>
          </w:tcPr>
          <w:p w14:paraId="3165F326" w14:textId="209D6105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  <w:r w:rsidRPr="00CE0CCC">
              <w:rPr>
                <w:rFonts w:ascii="Garamond" w:hAnsi="Garamond"/>
                <w:b/>
                <w:sz w:val="16"/>
              </w:rPr>
              <w:t>Sonila SHKJEZI</w:t>
            </w:r>
          </w:p>
          <w:p w14:paraId="2F2DCDB3" w14:textId="509FB443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  <w:r w:rsidRPr="00CE0CCC">
              <w:rPr>
                <w:rFonts w:ascii="Garamond" w:hAnsi="Garamond"/>
                <w:sz w:val="16"/>
              </w:rPr>
              <w:t xml:space="preserve">1973 </w:t>
            </w:r>
          </w:p>
        </w:tc>
        <w:tc>
          <w:tcPr>
            <w:tcW w:w="670" w:type="pct"/>
          </w:tcPr>
          <w:p w14:paraId="0B391E27" w14:textId="19D35811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  <w:r w:rsidRPr="00CE0CCC">
              <w:rPr>
                <w:rFonts w:ascii="Garamond" w:hAnsi="Garamond"/>
                <w:sz w:val="16"/>
              </w:rPr>
              <w:t>Vendim i datës 11 mars 2014 i Gjykatës Administrative të Shkallës së Parë</w:t>
            </w:r>
          </w:p>
          <w:p w14:paraId="294674A4" w14:textId="5BE642F7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596" w:type="pct"/>
          </w:tcPr>
          <w:p w14:paraId="0EF59372" w14:textId="2BA3DFD0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  <w:r w:rsidRPr="00CE0CCC">
              <w:rPr>
                <w:rFonts w:ascii="Garamond" w:hAnsi="Garamond"/>
                <w:sz w:val="16"/>
              </w:rPr>
              <w:t>19</w:t>
            </w:r>
            <w:r w:rsidR="00CE0CCC">
              <w:rPr>
                <w:rFonts w:ascii="Garamond" w:hAnsi="Garamond"/>
                <w:sz w:val="16"/>
              </w:rPr>
              <w:t>.</w:t>
            </w:r>
            <w:r w:rsidRPr="00CE0CCC">
              <w:rPr>
                <w:rFonts w:ascii="Garamond" w:hAnsi="Garamond"/>
                <w:sz w:val="16"/>
              </w:rPr>
              <w:t>5</w:t>
            </w:r>
            <w:r w:rsidR="00CE0CCC">
              <w:rPr>
                <w:rFonts w:ascii="Garamond" w:hAnsi="Garamond"/>
                <w:sz w:val="16"/>
              </w:rPr>
              <w:t>.</w:t>
            </w:r>
            <w:r w:rsidRPr="00CE0CCC">
              <w:rPr>
                <w:rFonts w:ascii="Garamond" w:hAnsi="Garamond"/>
                <w:sz w:val="16"/>
              </w:rPr>
              <w:t>2016</w:t>
            </w:r>
          </w:p>
          <w:p w14:paraId="7E26240C" w14:textId="48CDFF7C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745" w:type="pct"/>
          </w:tcPr>
          <w:p w14:paraId="1841E3F0" w14:textId="21CF187B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  <w:r w:rsidRPr="00CE0CCC">
              <w:rPr>
                <w:rFonts w:ascii="Garamond" w:hAnsi="Garamond"/>
                <w:sz w:val="16"/>
              </w:rPr>
              <w:t>Qershor 2020</w:t>
            </w:r>
          </w:p>
          <w:p w14:paraId="32D2202A" w14:textId="20EAF7C2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  <w:r w:rsidRPr="00CE0CCC">
              <w:rPr>
                <w:rFonts w:ascii="Garamond" w:hAnsi="Garamond"/>
                <w:sz w:val="16"/>
              </w:rPr>
              <w:t>4 vjet dhe 11 ditë</w:t>
            </w:r>
          </w:p>
          <w:p w14:paraId="4228CB04" w14:textId="712F957B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</w:p>
        </w:tc>
        <w:tc>
          <w:tcPr>
            <w:tcW w:w="893" w:type="pct"/>
          </w:tcPr>
          <w:p w14:paraId="3201378A" w14:textId="49867EE0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  <w:r w:rsidRPr="00CE0CCC">
              <w:rPr>
                <w:rFonts w:ascii="Garamond" w:hAnsi="Garamond"/>
                <w:sz w:val="16"/>
              </w:rPr>
              <w:t>Gjykata Administrative e Shkallës së Parë me vendimin nr. 953</w:t>
            </w:r>
            <w:r w:rsidR="00CE0CCC">
              <w:rPr>
                <w:rFonts w:ascii="Garamond" w:hAnsi="Garamond"/>
                <w:sz w:val="16"/>
              </w:rPr>
              <w:t>,</w:t>
            </w:r>
            <w:r w:rsidRPr="00CE0CCC">
              <w:rPr>
                <w:rFonts w:ascii="Garamond" w:hAnsi="Garamond"/>
                <w:sz w:val="16"/>
              </w:rPr>
              <w:t xml:space="preserve"> datë 11</w:t>
            </w:r>
            <w:r w:rsidR="00CE0CCC">
              <w:rPr>
                <w:rFonts w:ascii="Garamond" w:hAnsi="Garamond"/>
                <w:sz w:val="16"/>
              </w:rPr>
              <w:t>.</w:t>
            </w:r>
            <w:r w:rsidRPr="00CE0CCC">
              <w:rPr>
                <w:rFonts w:ascii="Garamond" w:hAnsi="Garamond"/>
                <w:sz w:val="16"/>
              </w:rPr>
              <w:t>3</w:t>
            </w:r>
            <w:r w:rsidR="00CE0CCC">
              <w:rPr>
                <w:rFonts w:ascii="Garamond" w:hAnsi="Garamond"/>
                <w:sz w:val="16"/>
              </w:rPr>
              <w:t>.</w:t>
            </w:r>
            <w:r w:rsidRPr="00CE0CCC">
              <w:rPr>
                <w:rFonts w:ascii="Garamond" w:hAnsi="Garamond"/>
                <w:sz w:val="16"/>
              </w:rPr>
              <w:t>2014</w:t>
            </w:r>
            <w:r w:rsidR="00CE0CCC">
              <w:rPr>
                <w:rFonts w:ascii="Garamond" w:hAnsi="Garamond"/>
                <w:sz w:val="16"/>
              </w:rPr>
              <w:t>,</w:t>
            </w:r>
            <w:r w:rsidRPr="00CE0CCC">
              <w:rPr>
                <w:rFonts w:ascii="Garamond" w:hAnsi="Garamond"/>
                <w:sz w:val="16"/>
              </w:rPr>
              <w:t xml:space="preserve"> urdhëroi Ministrinë e Financave të rikthejë kërkuesen në pozicionin e saj të mëparshëm (ose të ngjashëm) në shërbimin civil dhe t</w:t>
            </w:r>
            <w:r w:rsidR="00CE0CCC">
              <w:rPr>
                <w:rFonts w:ascii="Garamond" w:hAnsi="Garamond"/>
                <w:sz w:val="16"/>
              </w:rPr>
              <w:t>’</w:t>
            </w:r>
            <w:r w:rsidRPr="00CE0CCC">
              <w:rPr>
                <w:rFonts w:ascii="Garamond" w:hAnsi="Garamond"/>
                <w:sz w:val="16"/>
              </w:rPr>
              <w:t xml:space="preserve">i paguajë asaj pagat e papaguara. </w:t>
            </w:r>
          </w:p>
        </w:tc>
        <w:tc>
          <w:tcPr>
            <w:tcW w:w="819" w:type="pct"/>
          </w:tcPr>
          <w:p w14:paraId="73BC6FDD" w14:textId="47BE467E" w:rsidR="00EB05B8" w:rsidRPr="00CE0CCC" w:rsidRDefault="00EB05B8" w:rsidP="00CE0CCC">
            <w:pPr>
              <w:jc w:val="center"/>
              <w:rPr>
                <w:rFonts w:ascii="Garamond" w:hAnsi="Garamond"/>
                <w:sz w:val="16"/>
              </w:rPr>
            </w:pPr>
            <w:r w:rsidRPr="00CE0CCC">
              <w:rPr>
                <w:rFonts w:ascii="Garamond" w:hAnsi="Garamond"/>
                <w:sz w:val="16"/>
              </w:rPr>
              <w:t>2.400</w:t>
            </w:r>
          </w:p>
        </w:tc>
      </w:tr>
    </w:tbl>
    <w:p w14:paraId="4CF8B5BB" w14:textId="77777777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C60936F" w14:textId="77777777" w:rsidR="003166D1" w:rsidRPr="00CE0CCC" w:rsidRDefault="003166D1" w:rsidP="00737D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004F4A0" w14:textId="77777777" w:rsidR="00FF11BA" w:rsidRPr="00CE0CCC" w:rsidRDefault="00FF11BA" w:rsidP="00737D0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F11BA" w:rsidRPr="00CE0CCC" w:rsidSect="00CE0CC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DC5F8" w14:textId="77777777" w:rsidR="002B6EBE" w:rsidRDefault="002B6EBE" w:rsidP="00EB05B8">
      <w:pPr>
        <w:spacing w:after="0" w:line="240" w:lineRule="auto"/>
      </w:pPr>
      <w:r>
        <w:separator/>
      </w:r>
    </w:p>
  </w:endnote>
  <w:endnote w:type="continuationSeparator" w:id="0">
    <w:p w14:paraId="048539F5" w14:textId="77777777" w:rsidR="002B6EBE" w:rsidRDefault="002B6EBE" w:rsidP="00EB05B8">
      <w:pPr>
        <w:spacing w:after="0" w:line="240" w:lineRule="auto"/>
      </w:pPr>
      <w:r>
        <w:continuationSeparator/>
      </w:r>
    </w:p>
  </w:endnote>
  <w:endnote w:type="continuationNotice" w:id="1">
    <w:p w14:paraId="3E023FF0" w14:textId="77777777" w:rsidR="002B6EBE" w:rsidRDefault="002B6E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A8C9F" w14:textId="77777777" w:rsidR="002B6EBE" w:rsidRDefault="002B6EBE" w:rsidP="00EB05B8">
      <w:pPr>
        <w:spacing w:after="0" w:line="240" w:lineRule="auto"/>
      </w:pPr>
      <w:r>
        <w:separator/>
      </w:r>
    </w:p>
  </w:footnote>
  <w:footnote w:type="continuationSeparator" w:id="0">
    <w:p w14:paraId="3AFA7CED" w14:textId="77777777" w:rsidR="002B6EBE" w:rsidRDefault="002B6EBE" w:rsidP="00EB05B8">
      <w:pPr>
        <w:spacing w:after="0" w:line="240" w:lineRule="auto"/>
      </w:pPr>
      <w:r>
        <w:continuationSeparator/>
      </w:r>
    </w:p>
  </w:footnote>
  <w:footnote w:type="continuationNotice" w:id="1">
    <w:p w14:paraId="687D5CBB" w14:textId="77777777" w:rsidR="002B6EBE" w:rsidRDefault="002B6EBE">
      <w:pPr>
        <w:spacing w:after="0" w:line="240" w:lineRule="auto"/>
      </w:pPr>
    </w:p>
  </w:footnote>
  <w:footnote w:id="2">
    <w:p w14:paraId="1F45CB21" w14:textId="7D368A64" w:rsidR="002B6EBE" w:rsidRPr="00EB05B8" w:rsidRDefault="002B6EBE" w:rsidP="00EB05B8">
      <w:pPr>
        <w:pStyle w:val="FootnoteText"/>
        <w:rPr>
          <w:rFonts w:ascii="Garamond" w:hAnsi="Garamond"/>
        </w:rPr>
      </w:pPr>
      <w:r w:rsidRPr="00EB05B8">
        <w:rPr>
          <w:rStyle w:val="FootnoteReference"/>
          <w:rFonts w:ascii="Garamond" w:hAnsi="Garamond"/>
        </w:rPr>
        <w:footnoteRef/>
      </w:r>
      <w:r w:rsidRPr="00EB05B8">
        <w:rPr>
          <w:rStyle w:val="FootnoteReference"/>
          <w:rFonts w:ascii="Garamond" w:hAnsi="Garamond"/>
        </w:rPr>
        <w:t xml:space="preserve"> </w:t>
      </w:r>
      <w:r w:rsidRPr="00EB05B8">
        <w:rPr>
          <w:rFonts w:ascii="Garamond" w:hAnsi="Garamond"/>
        </w:rPr>
        <w:t>Plus çdo taksë që mund t</w:t>
      </w:r>
      <w:r>
        <w:rPr>
          <w:rFonts w:ascii="Garamond" w:hAnsi="Garamond"/>
        </w:rPr>
        <w:t>’</w:t>
      </w:r>
      <w:r w:rsidRPr="00EB05B8">
        <w:rPr>
          <w:rFonts w:ascii="Garamond" w:hAnsi="Garamond"/>
        </w:rPr>
        <w:t>i ngarkohet kërkuesit.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D1"/>
    <w:rsid w:val="000D11C6"/>
    <w:rsid w:val="002B6EBE"/>
    <w:rsid w:val="003166D1"/>
    <w:rsid w:val="003203AD"/>
    <w:rsid w:val="0040315A"/>
    <w:rsid w:val="004321F8"/>
    <w:rsid w:val="00451127"/>
    <w:rsid w:val="00670EAF"/>
    <w:rsid w:val="006F7F4C"/>
    <w:rsid w:val="00737D08"/>
    <w:rsid w:val="007803DC"/>
    <w:rsid w:val="008654BA"/>
    <w:rsid w:val="009467A3"/>
    <w:rsid w:val="00AB6839"/>
    <w:rsid w:val="00AC6B69"/>
    <w:rsid w:val="00B73CD8"/>
    <w:rsid w:val="00CE0CCC"/>
    <w:rsid w:val="00E82C7D"/>
    <w:rsid w:val="00EB05B8"/>
    <w:rsid w:val="00F83E29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6D5FD"/>
  <w15:chartTrackingRefBased/>
  <w15:docId w15:val="{B1D1D966-EDDB-4D80-8B5B-DF35B9A1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6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6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HRPlaceholder">
    <w:name w:val="ECHR_Placeholder"/>
    <w:aliases w:val="_Placeholder"/>
    <w:basedOn w:val="JuSigned"/>
    <w:rsid w:val="003166D1"/>
    <w:rPr>
      <w:color w:val="FFFFFF"/>
    </w:rPr>
  </w:style>
  <w:style w:type="paragraph" w:customStyle="1" w:styleId="JuSigned">
    <w:name w:val="Ju_Signed"/>
    <w:aliases w:val="_Signature"/>
    <w:basedOn w:val="Normal"/>
    <w:next w:val="JuPara"/>
    <w:uiPriority w:val="99"/>
    <w:rsid w:val="003166D1"/>
    <w:pPr>
      <w:tabs>
        <w:tab w:val="center" w:pos="1400"/>
        <w:tab w:val="center" w:pos="5940"/>
      </w:tabs>
      <w:autoSpaceDE w:val="0"/>
      <w:autoSpaceDN w:val="0"/>
      <w:adjustRightInd w:val="0"/>
      <w:spacing w:before="720"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ParaLast">
    <w:name w:val="Ju_Para_Last"/>
    <w:aliases w:val="_Para_Spaced"/>
    <w:basedOn w:val="Normal"/>
    <w:uiPriority w:val="99"/>
    <w:rsid w:val="003166D1"/>
    <w:pPr>
      <w:keepNext/>
      <w:keepLines/>
      <w:autoSpaceDE w:val="0"/>
      <w:autoSpaceDN w:val="0"/>
      <w:adjustRightInd w:val="0"/>
      <w:spacing w:before="240" w:after="24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Lista">
    <w:name w:val="Ju_List_a"/>
    <w:aliases w:val="_List_2"/>
    <w:basedOn w:val="Normal"/>
    <w:uiPriority w:val="99"/>
    <w:rsid w:val="003166D1"/>
    <w:pPr>
      <w:tabs>
        <w:tab w:val="left" w:pos="680"/>
      </w:tabs>
      <w:autoSpaceDE w:val="0"/>
      <w:autoSpaceDN w:val="0"/>
      <w:adjustRightInd w:val="0"/>
      <w:spacing w:after="0" w:line="240" w:lineRule="auto"/>
      <w:ind w:left="680" w:hanging="34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HHead">
    <w:name w:val="Ju_H_Head"/>
    <w:aliases w:val="_Head_1"/>
    <w:basedOn w:val="Heading1"/>
    <w:uiPriority w:val="99"/>
    <w:rsid w:val="003166D1"/>
    <w:pPr>
      <w:tabs>
        <w:tab w:val="left" w:pos="360"/>
      </w:tabs>
      <w:autoSpaceDE w:val="0"/>
      <w:autoSpaceDN w:val="0"/>
      <w:adjustRightInd w:val="0"/>
      <w:spacing w:before="100" w:after="240" w:line="240" w:lineRule="auto"/>
      <w:jc w:val="both"/>
      <w:outlineLvl w:val="9"/>
    </w:pPr>
    <w:rPr>
      <w:rFonts w:ascii="Times New Roman" w:eastAsiaTheme="minorHAnsi" w:hAnsi="Times New Roman" w:cs="Times New Roman"/>
      <w:caps/>
      <w:color w:val="auto"/>
      <w:sz w:val="28"/>
      <w:szCs w:val="28"/>
    </w:rPr>
  </w:style>
  <w:style w:type="paragraph" w:customStyle="1" w:styleId="JuHIRoman">
    <w:name w:val="Ju_H_I_Roman"/>
    <w:aliases w:val="_Head_2"/>
    <w:basedOn w:val="Heading2"/>
    <w:uiPriority w:val="99"/>
    <w:rsid w:val="003166D1"/>
    <w:pPr>
      <w:tabs>
        <w:tab w:val="left" w:pos="360"/>
        <w:tab w:val="left" w:pos="440"/>
        <w:tab w:val="left" w:pos="520"/>
        <w:tab w:val="left" w:pos="620"/>
        <w:tab w:val="left" w:pos="700"/>
        <w:tab w:val="left" w:pos="780"/>
      </w:tabs>
      <w:autoSpaceDE w:val="0"/>
      <w:autoSpaceDN w:val="0"/>
      <w:adjustRightInd w:val="0"/>
      <w:spacing w:before="100" w:after="240" w:line="240" w:lineRule="auto"/>
      <w:jc w:val="both"/>
      <w:outlineLvl w:val="9"/>
    </w:pPr>
    <w:rPr>
      <w:rFonts w:ascii="Times New Roman" w:eastAsiaTheme="minorHAnsi" w:hAnsi="Times New Roman" w:cs="Times New Roman"/>
      <w:caps/>
      <w:color w:val="auto"/>
      <w:sz w:val="24"/>
      <w:szCs w:val="24"/>
    </w:rPr>
  </w:style>
  <w:style w:type="paragraph" w:customStyle="1" w:styleId="JuJudges">
    <w:name w:val="Ju_Judges"/>
    <w:aliases w:val="_Judges"/>
    <w:basedOn w:val="Normal"/>
    <w:uiPriority w:val="99"/>
    <w:rsid w:val="003166D1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Case">
    <w:name w:val="Ju_Case"/>
    <w:aliases w:val="_Case_Name"/>
    <w:basedOn w:val="Normal"/>
    <w:next w:val="JuPara"/>
    <w:uiPriority w:val="99"/>
    <w:rsid w:val="003166D1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3166D1"/>
    <w:pPr>
      <w:keepNext/>
      <w:keepLines/>
      <w:spacing w:after="280"/>
      <w:jc w:val="center"/>
    </w:pPr>
  </w:style>
  <w:style w:type="paragraph" w:customStyle="1" w:styleId="ECHRCoverTitle4">
    <w:name w:val="ECHR_Cover_Title_4"/>
    <w:aliases w:val="_Title_4"/>
    <w:basedOn w:val="JuPara"/>
    <w:next w:val="JuPara"/>
    <w:uiPriority w:val="99"/>
    <w:rsid w:val="003166D1"/>
    <w:pPr>
      <w:keepNext/>
      <w:keepLines/>
      <w:tabs>
        <w:tab w:val="right" w:pos="7920"/>
      </w:tabs>
      <w:jc w:val="center"/>
    </w:pPr>
    <w:rPr>
      <w:i/>
      <w:iCs/>
    </w:rPr>
  </w:style>
  <w:style w:type="paragraph" w:customStyle="1" w:styleId="JuTitle">
    <w:name w:val="Ju_Title"/>
    <w:aliases w:val="_Title_2"/>
    <w:basedOn w:val="Normal"/>
    <w:uiPriority w:val="99"/>
    <w:rsid w:val="003166D1"/>
    <w:pPr>
      <w:keepNext/>
      <w:keepLines/>
      <w:autoSpaceDE w:val="0"/>
      <w:autoSpaceDN w:val="0"/>
      <w:adjustRightInd w:val="0"/>
      <w:spacing w:before="1320" w:after="28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3166D1"/>
    <w:pPr>
      <w:keepNext/>
      <w:keepLines/>
      <w:spacing w:after="240"/>
      <w:jc w:val="center"/>
    </w:pPr>
    <w:rPr>
      <w:sz w:val="28"/>
      <w:szCs w:val="28"/>
    </w:rPr>
  </w:style>
  <w:style w:type="paragraph" w:customStyle="1" w:styleId="JuPara">
    <w:name w:val="Ju_Para"/>
    <w:aliases w:val="_Para"/>
    <w:basedOn w:val="Normal"/>
    <w:uiPriority w:val="99"/>
    <w:rsid w:val="003166D1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166D1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6D1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737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8"/>
    <w:semiHidden/>
    <w:rsid w:val="00EB05B8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EB05B8"/>
    <w:pPr>
      <w:spacing w:after="0" w:line="240" w:lineRule="auto"/>
      <w:jc w:val="both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EB05B8"/>
    <w:rPr>
      <w:sz w:val="20"/>
      <w:szCs w:val="20"/>
    </w:rPr>
  </w:style>
  <w:style w:type="table" w:customStyle="1" w:styleId="ECHRListTable">
    <w:name w:val="ECHR_List_Table"/>
    <w:basedOn w:val="TableNormal"/>
    <w:uiPriority w:val="99"/>
    <w:rsid w:val="00EB05B8"/>
    <w:pPr>
      <w:spacing w:after="0" w:line="240" w:lineRule="auto"/>
    </w:pPr>
    <w:rPr>
      <w:sz w:val="24"/>
      <w:szCs w:val="24"/>
    </w:rPr>
    <w:tblPr>
      <w:tblBorders>
        <w:top w:val="single" w:sz="4" w:space="0" w:color="17365D" w:themeColor="text2" w:themeShade="BF"/>
        <w:left w:val="single" w:sz="4" w:space="0" w:color="17365D" w:themeColor="text2" w:themeShade="BF"/>
        <w:bottom w:val="single" w:sz="4" w:space="0" w:color="17365D" w:themeColor="text2" w:themeShade="BF"/>
        <w:right w:val="single" w:sz="4" w:space="0" w:color="17365D" w:themeColor="text2" w:themeShade="BF"/>
        <w:insideH w:val="single" w:sz="4" w:space="0" w:color="17365D" w:themeColor="text2" w:themeShade="BF"/>
        <w:insideV w:val="single" w:sz="4" w:space="0" w:color="17365D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76923C" w:themeColor="accent3" w:themeShade="BF"/>
      </w:rPr>
      <w:tblPr/>
      <w:trPr>
        <w:tblHeader/>
      </w:trPr>
      <w:tcPr>
        <w:tcBorders>
          <w:top w:val="single" w:sz="4" w:space="0" w:color="17365D" w:themeColor="text2" w:themeShade="BF"/>
          <w:left w:val="single" w:sz="4" w:space="0" w:color="17365D" w:themeColor="text2" w:themeShade="BF"/>
          <w:bottom w:val="single" w:sz="4" w:space="0" w:color="17365D" w:themeColor="text2" w:themeShade="BF"/>
          <w:right w:val="single" w:sz="4" w:space="0" w:color="17365D" w:themeColor="text2" w:themeShade="BF"/>
          <w:insideH w:val="single" w:sz="4" w:space="0" w:color="17365D" w:themeColor="text2" w:themeShade="BF"/>
          <w:insideV w:val="single" w:sz="4" w:space="0" w:color="17365D" w:themeColor="text2" w:themeShade="BF"/>
        </w:tcBorders>
        <w:shd w:val="clear" w:color="auto" w:fill="DDD9C3" w:themeFill="background2" w:themeFillShade="E6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AB68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6839"/>
  </w:style>
  <w:style w:type="paragraph" w:styleId="Footer">
    <w:name w:val="footer"/>
    <w:basedOn w:val="Normal"/>
    <w:link w:val="FooterChar"/>
    <w:uiPriority w:val="99"/>
    <w:semiHidden/>
    <w:unhideWhenUsed/>
    <w:rsid w:val="00AB68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6839"/>
  </w:style>
  <w:style w:type="paragraph" w:styleId="Revision">
    <w:name w:val="Revision"/>
    <w:hidden/>
    <w:uiPriority w:val="99"/>
    <w:semiHidden/>
    <w:rsid w:val="00F83E2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3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E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BCADD4766C4B359E46C1BEA9914F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82151-17</Nr_x002e__x0020_akti>
    <Data_x0020_e_x0020_Krijimit xmlns="0e656187-b300-4fb0-8bf4-3a50f872073c">2024-11-19T12:59:18Z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JUD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2024-11-19T00:00:00Z</Date_x0020_protokolli>
    <Titulli xmlns="0e656187-b300-4fb0-8bf4-3a50f872073c">Çështja Shkjezi kundër Shqipërisë</Titulli>
    <Modifikuesi xmlns="0e656187-b300-4fb0-8bf4-3a50f872073c">Fjora.Cahani</Modifikuesi>
    <Nr_x002e__x0020_prot_x0020_QBZ xmlns="0e656187-b300-4fb0-8bf4-3a50f872073c">1974/1</Nr_x002e__x0020_prot_x0020_QBZ>
    <Data_x0020_e_x0020_Modifikimit xmlns="0e656187-b300-4fb0-8bf4-3a50f872073c">2024-11-19T13:45:34Z</Data_x0020_e_x0020_Modifikimit>
    <Dekretuar xmlns="0e656187-b300-4fb0-8bf4-3a50f872073c">false</Dekretuar>
    <Data xmlns="0e656187-b300-4fb0-8bf4-3a50f872073c">2024-10-24T00:00:00Z</Data>
    <Nr_x002e__x0020_protokolli_x0020_i_x0020_aktit xmlns="0e656187-b300-4fb0-8bf4-3a50f872073c">5724/1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BCADD4766C4B359E46C1BEA9914F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8BD0528-86F3-43D3-BE12-8AD910BA4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F194264-58FC-4D21-8A7A-4B574194EF5F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96237CB-9D3E-4F8F-91F0-9D1FC0B29B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E1C3B7-AA1F-40C4-82D5-5A69DE5B60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97BC3E-7FB8-44DE-B9F9-790EC8BD7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Shkjezi kundër Shqipërisë</vt:lpstr>
    </vt:vector>
  </TitlesOfParts>
  <Company>AKSHI</Company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Shkjezi kundër Shqipërisë</dc:title>
  <dc:creator>Ermira Bukaci</dc:creator>
  <cp:lastModifiedBy>Amarilda Muja</cp:lastModifiedBy>
  <cp:revision>16</cp:revision>
  <dcterms:created xsi:type="dcterms:W3CDTF">2024-11-19T11:31:00Z</dcterms:created>
  <dcterms:modified xsi:type="dcterms:W3CDTF">2024-11-19T13:15:00Z</dcterms:modified>
</cp:coreProperties>
</file>