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4209B9" w14:textId="4F74CE5B" w:rsidR="00355409" w:rsidRPr="00C73CDD" w:rsidRDefault="00355409" w:rsidP="008A4272">
      <w:pPr>
        <w:spacing w:after="0" w:line="240" w:lineRule="auto"/>
        <w:ind w:firstLine="284"/>
        <w:jc w:val="center"/>
        <w:rPr>
          <w:rFonts w:ascii="Garamond" w:hAnsi="Garamond" w:cs="Garamond"/>
          <w:sz w:val="24"/>
          <w:szCs w:val="24"/>
          <w:lang w:val="sq-AL"/>
        </w:rPr>
      </w:pPr>
      <w:r w:rsidRPr="00C73CDD">
        <w:rPr>
          <w:rFonts w:ascii="Garamond" w:hAnsi="Garamond" w:cs="Garamond"/>
          <w:sz w:val="24"/>
          <w:szCs w:val="24"/>
          <w:lang w:val="sq-AL"/>
        </w:rPr>
        <w:t>GJYKATA E</w:t>
      </w:r>
      <w:r w:rsidR="003328E9">
        <w:rPr>
          <w:rFonts w:ascii="Garamond" w:hAnsi="Garamond" w:cs="Garamond"/>
          <w:sz w:val="24"/>
          <w:szCs w:val="24"/>
          <w:lang w:val="sq-AL"/>
        </w:rPr>
        <w:t>V</w:t>
      </w:r>
      <w:r w:rsidRPr="00C73CDD">
        <w:rPr>
          <w:rFonts w:ascii="Garamond" w:hAnsi="Garamond" w:cs="Garamond"/>
          <w:sz w:val="24"/>
          <w:szCs w:val="24"/>
          <w:lang w:val="sq-AL"/>
        </w:rPr>
        <w:t>ROPIANE E TË DREJTAVE TË NJERIUT</w:t>
      </w:r>
    </w:p>
    <w:p w14:paraId="7CEA3F38" w14:textId="77777777" w:rsidR="008A4272" w:rsidRPr="00C73CDD" w:rsidRDefault="008A4272" w:rsidP="008A4272">
      <w:pPr>
        <w:tabs>
          <w:tab w:val="left" w:pos="5520"/>
        </w:tabs>
        <w:autoSpaceDE w:val="0"/>
        <w:autoSpaceDN w:val="0"/>
        <w:adjustRightInd w:val="0"/>
        <w:spacing w:after="0" w:line="240" w:lineRule="auto"/>
        <w:ind w:firstLine="284"/>
        <w:jc w:val="center"/>
        <w:rPr>
          <w:rFonts w:ascii="Garamond" w:hAnsi="Garamond" w:cs="Times New Roman"/>
          <w:color w:val="000000"/>
          <w:sz w:val="24"/>
          <w:szCs w:val="24"/>
          <w:lang w:val="sq-AL"/>
        </w:rPr>
      </w:pPr>
      <w:r w:rsidRPr="00C73CDD">
        <w:rPr>
          <w:rFonts w:ascii="Garamond" w:hAnsi="Garamond" w:cs="Times New Roman"/>
          <w:color w:val="000000"/>
          <w:sz w:val="24"/>
          <w:szCs w:val="24"/>
          <w:lang w:val="sq-AL"/>
        </w:rPr>
        <w:t>SEKSIONI I TRETË</w:t>
      </w:r>
    </w:p>
    <w:p w14:paraId="418847B2" w14:textId="77777777" w:rsidR="008A4272" w:rsidRPr="00C73CDD" w:rsidRDefault="008A4272" w:rsidP="008A4272">
      <w:pPr>
        <w:tabs>
          <w:tab w:val="left" w:pos="552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C73CDD">
        <w:rPr>
          <w:rFonts w:ascii="Garamond" w:hAnsi="Garamond" w:cs="Times New Roman"/>
          <w:color w:val="000000"/>
          <w:sz w:val="24"/>
          <w:szCs w:val="24"/>
          <w:lang w:val="sq-AL"/>
        </w:rPr>
        <w:t>VENDIM</w:t>
      </w:r>
    </w:p>
    <w:p w14:paraId="24335759" w14:textId="77777777" w:rsidR="008A4272" w:rsidRPr="00C73CDD" w:rsidRDefault="008A4272" w:rsidP="008A4272">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60AAC972" w14:textId="77777777" w:rsidR="008A4272" w:rsidRPr="00C73CDD" w:rsidRDefault="008A4272" w:rsidP="008A4272">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C73CDD">
        <w:rPr>
          <w:rFonts w:ascii="Garamond" w:hAnsi="Garamond" w:cs="Times New Roman"/>
          <w:b/>
          <w:color w:val="000000"/>
          <w:sz w:val="24"/>
          <w:szCs w:val="24"/>
          <w:lang w:val="sq-AL"/>
        </w:rPr>
        <w:t>Kërkesa nr. 48729/08</w:t>
      </w:r>
    </w:p>
    <w:p w14:paraId="12FF0BA2" w14:textId="77777777" w:rsidR="008A4272" w:rsidRPr="00C73CDD" w:rsidRDefault="008A4272" w:rsidP="008A4272">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C73CDD">
        <w:rPr>
          <w:rFonts w:ascii="Garamond" w:hAnsi="Garamond" w:cs="Times New Roman"/>
          <w:b/>
          <w:color w:val="000000"/>
          <w:sz w:val="24"/>
          <w:szCs w:val="24"/>
          <w:lang w:val="sq-AL"/>
        </w:rPr>
        <w:t>SHOQËRIA PËRPARIMI SHA dhe të Tjerë</w:t>
      </w:r>
    </w:p>
    <w:p w14:paraId="5D6E0AEF" w14:textId="77777777" w:rsidR="008A4272" w:rsidRPr="00C73CDD" w:rsidRDefault="008A4272" w:rsidP="008A4272">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C73CDD">
        <w:rPr>
          <w:rFonts w:ascii="Garamond" w:hAnsi="Garamond" w:cs="Times New Roman"/>
          <w:b/>
          <w:color w:val="000000"/>
          <w:sz w:val="24"/>
          <w:szCs w:val="24"/>
          <w:lang w:val="sq-AL"/>
        </w:rPr>
        <w:t>kundër Shqipërisë</w:t>
      </w:r>
    </w:p>
    <w:p w14:paraId="61A65ECB" w14:textId="77777777" w:rsidR="008A4272" w:rsidRPr="00C73CDD" w:rsidRDefault="008A4272" w:rsidP="008A4272">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C73CDD">
        <w:rPr>
          <w:rFonts w:ascii="Garamond" w:hAnsi="Garamond" w:cs="Times New Roman"/>
          <w:b/>
          <w:color w:val="000000"/>
          <w:sz w:val="24"/>
          <w:szCs w:val="24"/>
          <w:lang w:val="sq-AL"/>
        </w:rPr>
        <w:t>dhe 3 kërkesa të tjera</w:t>
      </w:r>
    </w:p>
    <w:p w14:paraId="468F8822" w14:textId="77777777" w:rsidR="008A4272" w:rsidRPr="00C73CDD" w:rsidRDefault="008A4272" w:rsidP="008A4272">
      <w:pPr>
        <w:autoSpaceDE w:val="0"/>
        <w:autoSpaceDN w:val="0"/>
        <w:adjustRightInd w:val="0"/>
        <w:spacing w:after="0" w:line="240" w:lineRule="auto"/>
        <w:ind w:firstLine="284"/>
        <w:jc w:val="center"/>
        <w:rPr>
          <w:rFonts w:ascii="Garamond" w:hAnsi="Garamond" w:cs="Times New Roman"/>
          <w:i/>
          <w:color w:val="000000"/>
          <w:sz w:val="24"/>
          <w:szCs w:val="24"/>
          <w:lang w:val="sq-AL"/>
        </w:rPr>
      </w:pPr>
      <w:r w:rsidRPr="00C73CDD">
        <w:rPr>
          <w:rFonts w:ascii="Garamond" w:hAnsi="Garamond" w:cs="Times New Roman"/>
          <w:i/>
          <w:color w:val="000000"/>
          <w:sz w:val="24"/>
          <w:szCs w:val="24"/>
          <w:lang w:val="sq-AL"/>
        </w:rPr>
        <w:t>(shih listën bashkëngjitur)</w:t>
      </w:r>
    </w:p>
    <w:p w14:paraId="70935BFD" w14:textId="77777777" w:rsidR="008A4272" w:rsidRPr="00C73CDD" w:rsidRDefault="008A4272" w:rsidP="008A4272">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603CE2C8" w14:textId="70B32648" w:rsidR="008A4272" w:rsidRPr="00C73CDD" w:rsidRDefault="008A4272" w:rsidP="008A427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73CDD">
        <w:rPr>
          <w:rFonts w:ascii="Garamond" w:hAnsi="Garamond" w:cs="Times New Roman"/>
          <w:color w:val="000000"/>
          <w:sz w:val="24"/>
          <w:szCs w:val="24"/>
          <w:lang w:val="sq-AL"/>
        </w:rPr>
        <w:t xml:space="preserve">Gjykata Evropiane e të Drejtave të Njeriut (Seksioni i Tretë), e mbledhur më 15 </w:t>
      </w:r>
      <w:r w:rsidR="00F96BAA">
        <w:rPr>
          <w:rFonts w:ascii="Garamond" w:hAnsi="Garamond" w:cs="Times New Roman"/>
          <w:color w:val="000000"/>
          <w:sz w:val="24"/>
          <w:szCs w:val="24"/>
          <w:lang w:val="sq-AL"/>
        </w:rPr>
        <w:t>t</w:t>
      </w:r>
      <w:r w:rsidRPr="00C73CDD">
        <w:rPr>
          <w:rFonts w:ascii="Garamond" w:hAnsi="Garamond" w:cs="Times New Roman"/>
          <w:color w:val="000000"/>
          <w:sz w:val="24"/>
          <w:szCs w:val="24"/>
          <w:lang w:val="sq-AL"/>
        </w:rPr>
        <w:t xml:space="preserve">etor 2024 si një Komitet i përbërë nga: </w:t>
      </w:r>
    </w:p>
    <w:p w14:paraId="1AD505D3" w14:textId="60DC1732" w:rsidR="008A4272" w:rsidRPr="00C73CDD" w:rsidRDefault="008A4272" w:rsidP="008A4272">
      <w:pPr>
        <w:tabs>
          <w:tab w:val="left" w:pos="560"/>
          <w:tab w:val="left" w:pos="1120"/>
        </w:tabs>
        <w:autoSpaceDE w:val="0"/>
        <w:autoSpaceDN w:val="0"/>
        <w:adjustRightInd w:val="0"/>
        <w:spacing w:after="0" w:line="240" w:lineRule="auto"/>
        <w:ind w:firstLine="284"/>
        <w:rPr>
          <w:rFonts w:ascii="Garamond" w:hAnsi="Garamond" w:cs="Times New Roman"/>
          <w:i/>
          <w:iCs/>
          <w:color w:val="000000"/>
          <w:sz w:val="24"/>
          <w:szCs w:val="24"/>
          <w:lang w:val="sq-AL"/>
        </w:rPr>
      </w:pPr>
      <w:r w:rsidRPr="00C73CDD">
        <w:rPr>
          <w:rFonts w:ascii="Garamond" w:hAnsi="Garamond" w:cs="Times New Roman"/>
          <w:color w:val="000000"/>
          <w:sz w:val="24"/>
          <w:szCs w:val="24"/>
          <w:lang w:val="sq-AL"/>
        </w:rPr>
        <w:t xml:space="preserve"> Ioannis Ktistakis,</w:t>
      </w:r>
      <w:r w:rsidRPr="00C73CDD">
        <w:rPr>
          <w:rFonts w:ascii="Garamond" w:hAnsi="Garamond" w:cs="Times New Roman"/>
          <w:i/>
          <w:iCs/>
          <w:color w:val="000000"/>
          <w:sz w:val="24"/>
          <w:szCs w:val="24"/>
          <w:lang w:val="sq-AL"/>
        </w:rPr>
        <w:t xml:space="preserve"> Kryetar,</w:t>
      </w:r>
    </w:p>
    <w:p w14:paraId="794D2A18" w14:textId="63138A40" w:rsidR="008A4272" w:rsidRPr="00C73CDD" w:rsidRDefault="008A4272" w:rsidP="008A4272">
      <w:pPr>
        <w:tabs>
          <w:tab w:val="left" w:pos="560"/>
          <w:tab w:val="left" w:pos="1120"/>
        </w:tabs>
        <w:autoSpaceDE w:val="0"/>
        <w:autoSpaceDN w:val="0"/>
        <w:adjustRightInd w:val="0"/>
        <w:spacing w:after="0" w:line="240" w:lineRule="auto"/>
        <w:ind w:firstLine="284"/>
        <w:rPr>
          <w:rFonts w:ascii="Garamond" w:hAnsi="Garamond" w:cs="Times New Roman"/>
          <w:i/>
          <w:iCs/>
          <w:color w:val="000000"/>
          <w:sz w:val="24"/>
          <w:szCs w:val="24"/>
          <w:lang w:val="sq-AL"/>
        </w:rPr>
      </w:pPr>
      <w:r w:rsidRPr="00C73CDD">
        <w:rPr>
          <w:rFonts w:ascii="Garamond" w:hAnsi="Garamond" w:cs="Times New Roman"/>
          <w:i/>
          <w:iCs/>
          <w:color w:val="000000"/>
          <w:sz w:val="24"/>
          <w:szCs w:val="24"/>
          <w:lang w:val="sq-AL"/>
        </w:rPr>
        <w:t xml:space="preserve"> </w:t>
      </w:r>
      <w:r w:rsidRPr="00C73CDD">
        <w:rPr>
          <w:rFonts w:ascii="Garamond" w:hAnsi="Garamond" w:cs="Times New Roman"/>
          <w:color w:val="000000"/>
          <w:sz w:val="24"/>
          <w:szCs w:val="24"/>
          <w:lang w:val="sq-AL"/>
        </w:rPr>
        <w:t>Darian Pavli,</w:t>
      </w:r>
      <w:r w:rsidRPr="00C73CDD">
        <w:rPr>
          <w:rFonts w:ascii="Garamond" w:hAnsi="Garamond" w:cs="Times New Roman"/>
          <w:i/>
          <w:iCs/>
          <w:color w:val="000000"/>
          <w:sz w:val="24"/>
          <w:szCs w:val="24"/>
          <w:lang w:val="sq-AL"/>
        </w:rPr>
        <w:t xml:space="preserve"> </w:t>
      </w:r>
    </w:p>
    <w:p w14:paraId="2054CEA3" w14:textId="75D49867" w:rsidR="008A4272" w:rsidRPr="00C73CDD" w:rsidRDefault="008A4272" w:rsidP="008A4272">
      <w:pPr>
        <w:tabs>
          <w:tab w:val="left" w:pos="560"/>
          <w:tab w:val="left" w:pos="1120"/>
        </w:tabs>
        <w:autoSpaceDE w:val="0"/>
        <w:autoSpaceDN w:val="0"/>
        <w:adjustRightInd w:val="0"/>
        <w:spacing w:after="0" w:line="240" w:lineRule="auto"/>
        <w:ind w:firstLine="284"/>
        <w:rPr>
          <w:rFonts w:ascii="Garamond" w:hAnsi="Garamond" w:cs="Times New Roman"/>
          <w:i/>
          <w:iCs/>
          <w:color w:val="000000"/>
          <w:sz w:val="24"/>
          <w:szCs w:val="24"/>
          <w:lang w:val="sq-AL"/>
        </w:rPr>
      </w:pPr>
      <w:r w:rsidRPr="00C73CDD">
        <w:rPr>
          <w:rFonts w:ascii="Garamond" w:hAnsi="Garamond" w:cs="Times New Roman"/>
          <w:color w:val="000000"/>
          <w:sz w:val="24"/>
          <w:szCs w:val="24"/>
          <w:lang w:val="sq-AL"/>
        </w:rPr>
        <w:t xml:space="preserve"> Andreas Zünd, </w:t>
      </w:r>
      <w:r w:rsidRPr="00C73CDD">
        <w:rPr>
          <w:rFonts w:ascii="Garamond" w:hAnsi="Garamond" w:cs="Times New Roman"/>
          <w:i/>
          <w:iCs/>
          <w:color w:val="000000"/>
          <w:sz w:val="24"/>
          <w:szCs w:val="24"/>
          <w:lang w:val="sq-AL"/>
        </w:rPr>
        <w:t>gjyqtarë</w:t>
      </w:r>
    </w:p>
    <w:p w14:paraId="7087F6B0" w14:textId="513AB9C1" w:rsidR="008A4272" w:rsidRPr="00C73CDD" w:rsidRDefault="008A4272" w:rsidP="008A4272">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C73CDD">
        <w:rPr>
          <w:rFonts w:ascii="Garamond" w:hAnsi="Garamond" w:cs="Times New Roman"/>
          <w:color w:val="000000"/>
          <w:sz w:val="24"/>
          <w:szCs w:val="24"/>
          <w:lang w:val="sq-AL"/>
        </w:rPr>
        <w:t xml:space="preserve">dhe Olga Chernishova, </w:t>
      </w:r>
      <w:r w:rsidR="00C73CDD">
        <w:rPr>
          <w:rFonts w:ascii="Garamond" w:hAnsi="Garamond" w:cs="Times New Roman"/>
          <w:i/>
          <w:iCs/>
          <w:color w:val="000000"/>
          <w:sz w:val="24"/>
          <w:szCs w:val="24"/>
          <w:lang w:val="sq-AL"/>
        </w:rPr>
        <w:t>z</w:t>
      </w:r>
      <w:r w:rsidRPr="00C73CDD">
        <w:rPr>
          <w:rFonts w:ascii="Garamond" w:hAnsi="Garamond" w:cs="Times New Roman"/>
          <w:i/>
          <w:iCs/>
          <w:color w:val="000000"/>
          <w:sz w:val="24"/>
          <w:szCs w:val="24"/>
          <w:lang w:val="sq-AL"/>
        </w:rPr>
        <w:t>ëvendëssekretare e Seksionit,</w:t>
      </w:r>
    </w:p>
    <w:p w14:paraId="2B0FB5F9" w14:textId="0A58F011" w:rsidR="008A4272" w:rsidRPr="00C73CDD"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3CDD">
        <w:rPr>
          <w:rFonts w:ascii="Garamond" w:hAnsi="Garamond" w:cs="Times New Roman"/>
          <w:i/>
          <w:iCs/>
          <w:color w:val="000000"/>
          <w:sz w:val="24"/>
          <w:szCs w:val="24"/>
          <w:lang w:val="sq-AL"/>
        </w:rPr>
        <w:t xml:space="preserve"> </w:t>
      </w:r>
      <w:r w:rsidRPr="00C73CDD">
        <w:rPr>
          <w:rFonts w:ascii="Garamond" w:hAnsi="Garamond" w:cs="Times New Roman"/>
          <w:color w:val="000000"/>
          <w:sz w:val="24"/>
          <w:szCs w:val="24"/>
          <w:lang w:val="sq-AL"/>
        </w:rPr>
        <w:t xml:space="preserve">Duke mbajtur në konsideratë: </w:t>
      </w:r>
    </w:p>
    <w:p w14:paraId="14C4EB00" w14:textId="57AEA67E" w:rsidR="008A4272" w:rsidRPr="00C73CDD"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3CDD">
        <w:rPr>
          <w:rFonts w:ascii="Garamond" w:hAnsi="Garamond" w:cs="Times New Roman"/>
          <w:color w:val="000000"/>
          <w:sz w:val="24"/>
          <w:szCs w:val="24"/>
          <w:lang w:val="sq-AL"/>
        </w:rPr>
        <w:t xml:space="preserve"> Kërkesat kundër Republikës së Shqipërisë depozituar në Gjykatë sipas </w:t>
      </w:r>
      <w:r w:rsidR="00C73CDD">
        <w:rPr>
          <w:rFonts w:ascii="Garamond" w:hAnsi="Garamond" w:cs="Times New Roman"/>
          <w:color w:val="000000"/>
          <w:sz w:val="24"/>
          <w:szCs w:val="24"/>
          <w:lang w:val="sq-AL"/>
        </w:rPr>
        <w:t>n</w:t>
      </w:r>
      <w:r w:rsidRPr="00C73CDD">
        <w:rPr>
          <w:rFonts w:ascii="Garamond" w:hAnsi="Garamond" w:cs="Times New Roman"/>
          <w:color w:val="000000"/>
          <w:sz w:val="24"/>
          <w:szCs w:val="24"/>
          <w:lang w:val="sq-AL"/>
        </w:rPr>
        <w:t xml:space="preserve">enit 34 të Konventës për Mbrojtjen e të Drejtave të Njeriut dhe Lirive Themelore (“Konventa”) nga kërkuesit e listuar në tabelën bashkëlidhur (“kërkuesit”), në data të ndryshme cituar në të; </w:t>
      </w:r>
    </w:p>
    <w:p w14:paraId="617814CC" w14:textId="38BFD864" w:rsidR="008A4272" w:rsidRPr="00C73CDD"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3CDD">
        <w:rPr>
          <w:rFonts w:ascii="Garamond" w:hAnsi="Garamond" w:cs="Times New Roman"/>
          <w:color w:val="000000"/>
          <w:sz w:val="24"/>
          <w:szCs w:val="24"/>
          <w:lang w:val="sq-AL"/>
        </w:rPr>
        <w:t xml:space="preserve"> vendimin për të njoftuar mbi kërkesën </w:t>
      </w:r>
      <w:r w:rsidR="00F96BAA">
        <w:rPr>
          <w:rFonts w:ascii="Garamond" w:hAnsi="Garamond" w:cs="Times New Roman"/>
          <w:color w:val="000000"/>
          <w:sz w:val="24"/>
          <w:szCs w:val="24"/>
          <w:lang w:val="sq-AL"/>
        </w:rPr>
        <w:t>–</w:t>
      </w:r>
      <w:r w:rsidRPr="00C73CDD">
        <w:rPr>
          <w:rFonts w:ascii="Garamond" w:hAnsi="Garamond" w:cs="Times New Roman"/>
          <w:color w:val="000000"/>
          <w:sz w:val="24"/>
          <w:szCs w:val="24"/>
          <w:lang w:val="sq-AL"/>
        </w:rPr>
        <w:t xml:space="preserve"> në</w:t>
      </w:r>
      <w:r w:rsidR="00F96BAA">
        <w:rPr>
          <w:rFonts w:ascii="Garamond" w:hAnsi="Garamond" w:cs="Times New Roman"/>
          <w:color w:val="000000"/>
          <w:sz w:val="24"/>
          <w:szCs w:val="24"/>
          <w:lang w:val="sq-AL"/>
        </w:rPr>
        <w:t xml:space="preserve"> </w:t>
      </w:r>
      <w:r w:rsidRPr="00C73CDD">
        <w:rPr>
          <w:rFonts w:ascii="Garamond" w:hAnsi="Garamond" w:cs="Times New Roman"/>
          <w:color w:val="000000"/>
          <w:sz w:val="24"/>
          <w:szCs w:val="24"/>
          <w:lang w:val="sq-AL"/>
        </w:rPr>
        <w:t xml:space="preserve">lidhje me të drejtën e kërkuesve për të gëzuar paqësisht pasuritë e tyre, si edhe të drejtën e kompanive të kërkuesit të parë dhe të dytë për një gjykim të drejtë </w:t>
      </w:r>
      <w:r w:rsidR="00F96BAA">
        <w:rPr>
          <w:rFonts w:ascii="Garamond" w:hAnsi="Garamond" w:cs="Times New Roman"/>
          <w:color w:val="000000"/>
          <w:sz w:val="24"/>
          <w:szCs w:val="24"/>
          <w:lang w:val="sq-AL"/>
        </w:rPr>
        <w:t>–</w:t>
      </w:r>
      <w:r w:rsidRPr="00C73CDD">
        <w:rPr>
          <w:rFonts w:ascii="Garamond" w:hAnsi="Garamond" w:cs="Times New Roman"/>
          <w:color w:val="000000"/>
          <w:sz w:val="24"/>
          <w:szCs w:val="24"/>
          <w:lang w:val="sq-AL"/>
        </w:rPr>
        <w:t xml:space="preserve"> Qeverinë</w:t>
      </w:r>
      <w:r w:rsidR="00F96BAA">
        <w:rPr>
          <w:rFonts w:ascii="Garamond" w:hAnsi="Garamond" w:cs="Times New Roman"/>
          <w:color w:val="000000"/>
          <w:sz w:val="24"/>
          <w:szCs w:val="24"/>
          <w:lang w:val="sq-AL"/>
        </w:rPr>
        <w:t xml:space="preserve"> </w:t>
      </w:r>
      <w:r w:rsidRPr="00C73CDD">
        <w:rPr>
          <w:rFonts w:ascii="Garamond" w:hAnsi="Garamond" w:cs="Times New Roman"/>
          <w:color w:val="000000"/>
          <w:sz w:val="24"/>
          <w:szCs w:val="24"/>
          <w:lang w:val="sq-AL"/>
        </w:rPr>
        <w:t xml:space="preserve">shqiptare (“Qeveria”), fillimisht e përfaqësuar nga Agjenti i saj </w:t>
      </w:r>
      <w:r w:rsidR="00F96BAA">
        <w:rPr>
          <w:rFonts w:ascii="Garamond" w:hAnsi="Garamond" w:cs="Times New Roman"/>
          <w:color w:val="000000"/>
          <w:sz w:val="24"/>
          <w:szCs w:val="24"/>
          <w:lang w:val="sq-AL"/>
        </w:rPr>
        <w:t>zn</w:t>
      </w:r>
      <w:r w:rsidRPr="00C73CDD">
        <w:rPr>
          <w:rFonts w:ascii="Garamond" w:hAnsi="Garamond" w:cs="Times New Roman"/>
          <w:color w:val="000000"/>
          <w:sz w:val="24"/>
          <w:szCs w:val="24"/>
          <w:lang w:val="sq-AL"/>
        </w:rPr>
        <w:t xml:space="preserve">j. A. Hicka, dhe në vijim nga </w:t>
      </w:r>
      <w:r w:rsidR="00F96BAA">
        <w:rPr>
          <w:rFonts w:ascii="Garamond" w:hAnsi="Garamond" w:cs="Times New Roman"/>
          <w:color w:val="000000"/>
          <w:sz w:val="24"/>
          <w:szCs w:val="24"/>
          <w:lang w:val="sq-AL"/>
        </w:rPr>
        <w:t>z</w:t>
      </w:r>
      <w:r w:rsidRPr="00C73CDD">
        <w:rPr>
          <w:rFonts w:ascii="Garamond" w:hAnsi="Garamond" w:cs="Times New Roman"/>
          <w:color w:val="000000"/>
          <w:sz w:val="24"/>
          <w:szCs w:val="24"/>
          <w:lang w:val="sq-AL"/>
        </w:rPr>
        <w:t xml:space="preserve">. O. Moçka, Avokat i Përgjithshëm i Shtetit, si edhe për të shpallur të papranueshme pjesën e mbetur të kërkesave përcaktuar si një vendim i pjesshëm në tabelën bashkëlidhur; </w:t>
      </w:r>
    </w:p>
    <w:p w14:paraId="56C2BFFB" w14:textId="2BB53046" w:rsidR="008A4272" w:rsidRPr="00C73CDD"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3CDD">
        <w:rPr>
          <w:rFonts w:ascii="Garamond" w:hAnsi="Garamond" w:cs="Times New Roman"/>
          <w:color w:val="000000"/>
          <w:sz w:val="24"/>
          <w:szCs w:val="24"/>
          <w:lang w:val="sq-AL"/>
        </w:rPr>
        <w:t xml:space="preserve"> Vërejtjet e palëve; </w:t>
      </w:r>
    </w:p>
    <w:p w14:paraId="084BF347" w14:textId="4DC44408" w:rsidR="008A4272" w:rsidRPr="00C73CDD"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3CDD">
        <w:rPr>
          <w:rFonts w:ascii="Garamond" w:hAnsi="Garamond" w:cs="Times New Roman"/>
          <w:color w:val="000000"/>
          <w:sz w:val="24"/>
          <w:szCs w:val="24"/>
          <w:lang w:val="sq-AL"/>
        </w:rPr>
        <w:t xml:space="preserve"> Pasi diskutoi, vendos si më poshtë: </w:t>
      </w:r>
    </w:p>
    <w:p w14:paraId="4C848EBD" w14:textId="77777777" w:rsidR="008A4272" w:rsidRPr="00C73CDD"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3CDD">
        <w:rPr>
          <w:rFonts w:ascii="Garamond" w:hAnsi="Garamond" w:cs="Times New Roman"/>
          <w:color w:val="000000"/>
          <w:sz w:val="24"/>
          <w:szCs w:val="24"/>
          <w:lang w:val="sq-AL"/>
        </w:rPr>
        <w:t>LËNDA E ÇËSHTJES</w:t>
      </w:r>
    </w:p>
    <w:p w14:paraId="78753AF2" w14:textId="05AF15E0" w:rsidR="008A4272" w:rsidRPr="00C73CDD"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3CDD">
        <w:rPr>
          <w:rFonts w:ascii="Garamond" w:hAnsi="Garamond" w:cs="Times New Roman"/>
          <w:color w:val="000000"/>
          <w:sz w:val="24"/>
          <w:szCs w:val="24"/>
          <w:lang w:val="sq-AL"/>
        </w:rPr>
        <w:t xml:space="preserve">1. Çështja ka të bëjë me një urdhër konfiskimi të lëshuar në procedurat penale kundër kërkuesit të tretë, ku pretendohej se ky urdhër konfiskimi kishte ndikim ndaj pasurisë së të gjithë kërkuesve. Ankesat u bënë në mbështetje të </w:t>
      </w:r>
      <w:r w:rsidR="00F96BAA" w:rsidRPr="00C73CDD">
        <w:rPr>
          <w:rFonts w:ascii="Garamond" w:hAnsi="Garamond" w:cs="Times New Roman"/>
          <w:color w:val="000000"/>
          <w:sz w:val="24"/>
          <w:szCs w:val="24"/>
          <w:lang w:val="sq-AL"/>
        </w:rPr>
        <w:t xml:space="preserve">nenit </w:t>
      </w:r>
      <w:r w:rsidRPr="00C73CDD">
        <w:rPr>
          <w:rFonts w:ascii="Garamond" w:hAnsi="Garamond" w:cs="Times New Roman"/>
          <w:color w:val="000000"/>
          <w:sz w:val="24"/>
          <w:szCs w:val="24"/>
          <w:lang w:val="sq-AL"/>
        </w:rPr>
        <w:t xml:space="preserve">6 të Konventës dhe </w:t>
      </w:r>
      <w:r w:rsidR="00F96BAA" w:rsidRPr="00C73CDD">
        <w:rPr>
          <w:rFonts w:ascii="Garamond" w:hAnsi="Garamond" w:cs="Times New Roman"/>
          <w:color w:val="000000"/>
          <w:sz w:val="24"/>
          <w:szCs w:val="24"/>
          <w:lang w:val="sq-AL"/>
        </w:rPr>
        <w:t>nenit 1 të protokollit nr</w:t>
      </w:r>
      <w:r w:rsidRPr="00C73CDD">
        <w:rPr>
          <w:rFonts w:ascii="Garamond" w:hAnsi="Garamond" w:cs="Times New Roman"/>
          <w:color w:val="000000"/>
          <w:sz w:val="24"/>
          <w:szCs w:val="24"/>
          <w:lang w:val="sq-AL"/>
        </w:rPr>
        <w:t xml:space="preserve">. 1. </w:t>
      </w:r>
    </w:p>
    <w:p w14:paraId="44634808" w14:textId="48D19D08" w:rsidR="008A4272" w:rsidRPr="00C73CDD"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3CDD">
        <w:rPr>
          <w:rFonts w:ascii="Garamond" w:hAnsi="Garamond" w:cs="Times New Roman"/>
          <w:color w:val="000000"/>
          <w:sz w:val="24"/>
          <w:szCs w:val="24"/>
          <w:lang w:val="sq-AL"/>
        </w:rPr>
        <w:t xml:space="preserve">2. Pas një shpërthimi masiv që ndodhi në fabrikën e çmontimit të armëve në Gërdec, një fshat rreth tridhjetë kilometra nga Tirana, më 15 </w:t>
      </w:r>
      <w:r w:rsidR="00A53476">
        <w:rPr>
          <w:rFonts w:ascii="Garamond" w:hAnsi="Garamond" w:cs="Times New Roman"/>
          <w:color w:val="000000"/>
          <w:sz w:val="24"/>
          <w:szCs w:val="24"/>
          <w:lang w:val="sq-AL"/>
        </w:rPr>
        <w:t>m</w:t>
      </w:r>
      <w:r w:rsidRPr="00C73CDD">
        <w:rPr>
          <w:rFonts w:ascii="Garamond" w:hAnsi="Garamond" w:cs="Times New Roman"/>
          <w:color w:val="000000"/>
          <w:sz w:val="24"/>
          <w:szCs w:val="24"/>
          <w:lang w:val="sq-AL"/>
        </w:rPr>
        <w:t xml:space="preserve">ars 2008, shpërthim që shkaktoi vdekjen e njëzet e gjashtë personave dhe lëndimin e rreth 300 njerëzve, si edhe shkatërrimin e konsiderueshëm të pasurive, u ndërmorën procese penale ndaj personave të tretë, duke përfshirë kërkuesin e tretë, Mihal Delijorgji, me akuzat për vrasjen dhe shkatërrimin e pasurisë me eksploziv, dhe ndaj kompanisë Albdemil </w:t>
      </w:r>
      <w:r w:rsidR="00A53476">
        <w:rPr>
          <w:rFonts w:ascii="Garamond" w:hAnsi="Garamond" w:cs="Times New Roman"/>
          <w:color w:val="000000"/>
          <w:sz w:val="24"/>
          <w:szCs w:val="24"/>
          <w:lang w:val="sq-AL"/>
        </w:rPr>
        <w:t>sh.p.k</w:t>
      </w:r>
      <w:r w:rsidRPr="00C73CDD">
        <w:rPr>
          <w:rFonts w:ascii="Garamond" w:hAnsi="Garamond" w:cs="Times New Roman"/>
          <w:color w:val="000000"/>
          <w:sz w:val="24"/>
          <w:szCs w:val="24"/>
          <w:lang w:val="sq-AL"/>
        </w:rPr>
        <w:t xml:space="preserve">., që kishte bërë çmontimin e municionit në fabrikën e Gërdecit, tek e cila kërkuesi i tretë ishte menaxher. </w:t>
      </w:r>
    </w:p>
    <w:p w14:paraId="2FCF26F6" w14:textId="28E6E94D" w:rsidR="008A4272" w:rsidRPr="00C73CDD"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3CDD">
        <w:rPr>
          <w:rFonts w:ascii="Garamond" w:hAnsi="Garamond" w:cs="Times New Roman"/>
          <w:color w:val="000000"/>
          <w:sz w:val="24"/>
          <w:szCs w:val="24"/>
          <w:lang w:val="sq-AL"/>
        </w:rPr>
        <w:t xml:space="preserve">3. Në këto procedura penale, Shteti dorëzoi një padi civile nëpërmjet së cilës të paditurit i kërkohej një dëmshpërblim në shumën prej 2,243,843,616 </w:t>
      </w:r>
      <w:r w:rsidR="00F96BAA" w:rsidRPr="00C73CDD">
        <w:rPr>
          <w:rFonts w:ascii="Garamond" w:hAnsi="Garamond" w:cs="Times New Roman"/>
          <w:color w:val="000000"/>
          <w:sz w:val="24"/>
          <w:szCs w:val="24"/>
          <w:lang w:val="sq-AL"/>
        </w:rPr>
        <w:t>lek</w:t>
      </w:r>
      <w:r w:rsidR="00F96BAA">
        <w:rPr>
          <w:rFonts w:ascii="Garamond" w:hAnsi="Garamond" w:cs="Times New Roman"/>
          <w:color w:val="000000"/>
          <w:sz w:val="24"/>
          <w:szCs w:val="24"/>
          <w:lang w:val="sq-AL"/>
        </w:rPr>
        <w:t>ë</w:t>
      </w:r>
      <w:r w:rsidR="00F96BAA" w:rsidRPr="00C73CDD">
        <w:rPr>
          <w:rFonts w:ascii="Garamond" w:hAnsi="Garamond" w:cs="Times New Roman"/>
          <w:color w:val="000000"/>
          <w:sz w:val="24"/>
          <w:szCs w:val="24"/>
          <w:lang w:val="sq-AL"/>
        </w:rPr>
        <w:t xml:space="preserve"> </w:t>
      </w:r>
      <w:r w:rsidRPr="00C73CDD">
        <w:rPr>
          <w:rFonts w:ascii="Garamond" w:hAnsi="Garamond" w:cs="Times New Roman"/>
          <w:color w:val="000000"/>
          <w:sz w:val="24"/>
          <w:szCs w:val="24"/>
          <w:lang w:val="sq-AL"/>
        </w:rPr>
        <w:t xml:space="preserve">(ALL) (rreth 21,050,000 </w:t>
      </w:r>
      <w:r w:rsidR="00F96BAA" w:rsidRPr="00C73CDD">
        <w:rPr>
          <w:rFonts w:ascii="Garamond" w:hAnsi="Garamond" w:cs="Times New Roman"/>
          <w:color w:val="000000"/>
          <w:sz w:val="24"/>
          <w:szCs w:val="24"/>
          <w:lang w:val="sq-AL"/>
        </w:rPr>
        <w:t xml:space="preserve">euro </w:t>
      </w:r>
      <w:r w:rsidRPr="00C73CDD">
        <w:rPr>
          <w:rFonts w:ascii="Garamond" w:hAnsi="Garamond" w:cs="Times New Roman"/>
          <w:color w:val="000000"/>
          <w:sz w:val="24"/>
          <w:szCs w:val="24"/>
          <w:lang w:val="sq-AL"/>
        </w:rPr>
        <w:t xml:space="preserve">(EUR) në atë periudhë). Në atë moment, disa prej viktimave në incidentin e Gërdecit tashmë ishin kompensuar nga fondi i rezervave të Këshillit të Ministrave, si edhe buxheti i fondit të kontingjentit të shtetit. </w:t>
      </w:r>
    </w:p>
    <w:p w14:paraId="39166CDB" w14:textId="2A9EF099" w:rsidR="008A4272" w:rsidRPr="00C73CDD"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3CDD">
        <w:rPr>
          <w:rFonts w:ascii="Garamond" w:hAnsi="Garamond" w:cs="Times New Roman"/>
          <w:color w:val="000000"/>
          <w:sz w:val="24"/>
          <w:szCs w:val="24"/>
          <w:lang w:val="sq-AL"/>
        </w:rPr>
        <w:t xml:space="preserve">4. Për ta siguruar padinë, në mbështetje të kërkesës së prokurorisë, më 22 </w:t>
      </w:r>
      <w:r w:rsidR="00F96BAA" w:rsidRPr="00C73CDD">
        <w:rPr>
          <w:rFonts w:ascii="Garamond" w:hAnsi="Garamond" w:cs="Times New Roman"/>
          <w:color w:val="000000"/>
          <w:sz w:val="24"/>
          <w:szCs w:val="24"/>
          <w:lang w:val="sq-AL"/>
        </w:rPr>
        <w:t xml:space="preserve">mars </w:t>
      </w:r>
      <w:r w:rsidRPr="00C73CDD">
        <w:rPr>
          <w:rFonts w:ascii="Garamond" w:hAnsi="Garamond" w:cs="Times New Roman"/>
          <w:color w:val="000000"/>
          <w:sz w:val="24"/>
          <w:szCs w:val="24"/>
          <w:lang w:val="sq-AL"/>
        </w:rPr>
        <w:t xml:space="preserve">2008, Gjykata e Rrethit Tiranë lëshoi një urdhër sukuestroje, si masë e përkohshme, me pretendimin se mbulohej pasuria e të gjithë kërkuesve. Urdhri i konfiskimit kishte të bënte, midis të tjerash, me llogaritë bankare dhe pasuritë e paluajtshme të kërkuesit të tretë. Efekti i atij urdhri ishte i tillë që kërkuesit të vazhdonin të ishin pronarë dhe në zotërim të pasurisë së tyre, por nuk iu lejohej që ta shisnin atë. </w:t>
      </w:r>
    </w:p>
    <w:p w14:paraId="2C5ADDF5" w14:textId="25736C5C" w:rsidR="008A4272" w:rsidRPr="00C73CDD"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3CDD">
        <w:rPr>
          <w:rFonts w:ascii="Garamond" w:hAnsi="Garamond" w:cs="Times New Roman"/>
          <w:color w:val="000000"/>
          <w:sz w:val="24"/>
          <w:szCs w:val="24"/>
          <w:lang w:val="sq-AL"/>
        </w:rPr>
        <w:t xml:space="preserve">5. Kërkuesit depozituan apelime, rekurs në Gjykatën e Lartë dhe ankesa kushtetuese, ku kundërshtonin ligjshmërinë dhe justifikimin e urdhrit të konfiskimit. Veçanërisht, kompanitë e </w:t>
      </w:r>
      <w:r w:rsidRPr="00C73CDD">
        <w:rPr>
          <w:rFonts w:ascii="Garamond" w:hAnsi="Garamond" w:cs="Times New Roman"/>
          <w:color w:val="000000"/>
          <w:sz w:val="24"/>
          <w:szCs w:val="24"/>
          <w:lang w:val="sq-AL"/>
        </w:rPr>
        <w:lastRenderedPageBreak/>
        <w:t xml:space="preserve">kërkuesit të parë dhe të dytë u ankuan se vendimi i Gjykatës së Rrethit kishte cenuar të drejtat e tyre ndaj pasurisë, ishte i barasvlershëm me ndalimin e operimit të biznesit të tyre dhe do të çonte në falimentimin e tyre. Kërkuesja e tretë argumentoi se shumica e pasurive të konfiskuara nuk kishin lidhje me Albdemil </w:t>
      </w:r>
      <w:r w:rsidR="00A53476">
        <w:rPr>
          <w:rFonts w:ascii="Garamond" w:hAnsi="Garamond" w:cs="Times New Roman"/>
          <w:color w:val="000000"/>
          <w:sz w:val="24"/>
          <w:szCs w:val="24"/>
          <w:lang w:val="sq-AL"/>
        </w:rPr>
        <w:t>sh.p.k</w:t>
      </w:r>
      <w:r w:rsidRPr="00C73CDD">
        <w:rPr>
          <w:rFonts w:ascii="Garamond" w:hAnsi="Garamond" w:cs="Times New Roman"/>
          <w:color w:val="000000"/>
          <w:sz w:val="24"/>
          <w:szCs w:val="24"/>
          <w:lang w:val="sq-AL"/>
        </w:rPr>
        <w:t xml:space="preserve">. Kërkuesja e tretë parashtroi se nuk kishte lidhje midis pasurisë së saj dhe proceseve ndaj kërkuesit të tretë. Kërkuesi i katërt argumentoi se ai nuk kishte lidhje me aktivitetet e biznesit të Albdemil </w:t>
      </w:r>
      <w:r w:rsidR="00A53476">
        <w:rPr>
          <w:rFonts w:ascii="Garamond" w:hAnsi="Garamond" w:cs="Times New Roman"/>
          <w:color w:val="000000"/>
          <w:sz w:val="24"/>
          <w:szCs w:val="24"/>
          <w:lang w:val="sq-AL"/>
        </w:rPr>
        <w:t>sh.p.k</w:t>
      </w:r>
      <w:r w:rsidR="00A53476" w:rsidRPr="00C73CDD">
        <w:rPr>
          <w:rFonts w:ascii="Garamond" w:hAnsi="Garamond" w:cs="Times New Roman"/>
          <w:color w:val="000000"/>
          <w:sz w:val="24"/>
          <w:szCs w:val="24"/>
          <w:lang w:val="sq-AL"/>
        </w:rPr>
        <w:t>.</w:t>
      </w:r>
      <w:r w:rsidR="00A53476">
        <w:rPr>
          <w:rFonts w:ascii="Garamond" w:hAnsi="Garamond" w:cs="Times New Roman"/>
          <w:color w:val="000000"/>
          <w:sz w:val="24"/>
          <w:szCs w:val="24"/>
          <w:lang w:val="sq-AL"/>
        </w:rPr>
        <w:t xml:space="preserve"> </w:t>
      </w:r>
      <w:r w:rsidRPr="00C73CDD">
        <w:rPr>
          <w:rFonts w:ascii="Garamond" w:hAnsi="Garamond" w:cs="Times New Roman"/>
          <w:color w:val="000000"/>
          <w:sz w:val="24"/>
          <w:szCs w:val="24"/>
          <w:lang w:val="sq-AL"/>
        </w:rPr>
        <w:t xml:space="preserve">dhe se kërkuesja e tretë nuk kishte pjesë në shtëpinë e tij. Pra, të gjithë kërkuesit kërkuan që të ndryshohej vendimi i Gjykatës së Rrethit në mënyrë që të përjashtoheshin pasuritë që nuk kishin lidhje me Albdemil </w:t>
      </w:r>
      <w:r w:rsidR="00A53476">
        <w:rPr>
          <w:rFonts w:ascii="Garamond" w:hAnsi="Garamond" w:cs="Times New Roman"/>
          <w:color w:val="000000"/>
          <w:sz w:val="24"/>
          <w:szCs w:val="24"/>
          <w:lang w:val="sq-AL"/>
        </w:rPr>
        <w:t>sh.p.k</w:t>
      </w:r>
      <w:r w:rsidRPr="00C73CDD">
        <w:rPr>
          <w:rFonts w:ascii="Garamond" w:hAnsi="Garamond" w:cs="Times New Roman"/>
          <w:color w:val="000000"/>
          <w:sz w:val="24"/>
          <w:szCs w:val="24"/>
          <w:lang w:val="sq-AL"/>
        </w:rPr>
        <w:t xml:space="preserve">. </w:t>
      </w:r>
    </w:p>
    <w:p w14:paraId="3501D606" w14:textId="32C43E61" w:rsidR="008A4272" w:rsidRPr="00C73CDD"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3CDD">
        <w:rPr>
          <w:rFonts w:ascii="Garamond" w:hAnsi="Garamond" w:cs="Times New Roman"/>
          <w:color w:val="000000"/>
          <w:sz w:val="24"/>
          <w:szCs w:val="24"/>
          <w:lang w:val="sq-AL"/>
        </w:rPr>
        <w:t xml:space="preserve">6. Më 17 </w:t>
      </w:r>
      <w:r w:rsidR="00A53476">
        <w:rPr>
          <w:rFonts w:ascii="Garamond" w:hAnsi="Garamond" w:cs="Times New Roman"/>
          <w:color w:val="000000"/>
          <w:sz w:val="24"/>
          <w:szCs w:val="24"/>
          <w:lang w:val="sq-AL"/>
        </w:rPr>
        <w:t>p</w:t>
      </w:r>
      <w:r w:rsidRPr="00C73CDD">
        <w:rPr>
          <w:rFonts w:ascii="Garamond" w:hAnsi="Garamond" w:cs="Times New Roman"/>
          <w:color w:val="000000"/>
          <w:sz w:val="24"/>
          <w:szCs w:val="24"/>
          <w:lang w:val="sq-AL"/>
        </w:rPr>
        <w:t xml:space="preserve">rill 2008, Gjykata e Apelit Tiranë i rrëzoi të gjitha ankesat, duke argumentuar se çështja që adresohej e lejonte ligjërisht masën e sekuestros, dhe arriti në përfundimin se urdhri i sekuestros ishte i ligjshëm. Vendimi përfundimtar u mor nga Gjykata Kushtetuese më 26 </w:t>
      </w:r>
      <w:r w:rsidR="00A53476">
        <w:rPr>
          <w:rFonts w:ascii="Garamond" w:hAnsi="Garamond" w:cs="Times New Roman"/>
          <w:color w:val="000000"/>
          <w:sz w:val="24"/>
          <w:szCs w:val="24"/>
          <w:lang w:val="sq-AL"/>
        </w:rPr>
        <w:t>d</w:t>
      </w:r>
      <w:r w:rsidRPr="00C73CDD">
        <w:rPr>
          <w:rFonts w:ascii="Garamond" w:hAnsi="Garamond" w:cs="Times New Roman"/>
          <w:color w:val="000000"/>
          <w:sz w:val="24"/>
          <w:szCs w:val="24"/>
          <w:lang w:val="sq-AL"/>
        </w:rPr>
        <w:t xml:space="preserve">hjetor 2008. Në këtë vendim argumentohej se vendimet e gjykatave të brendshme kishin të bënin me një masë të përkohshme dhe jo me një vendim mbi meritat e çështjes. </w:t>
      </w:r>
    </w:p>
    <w:p w14:paraId="227C6BBD" w14:textId="1C4442E4" w:rsidR="008A4272" w:rsidRPr="00C73CDD"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3CDD">
        <w:rPr>
          <w:rFonts w:ascii="Garamond" w:hAnsi="Garamond" w:cs="Times New Roman"/>
          <w:color w:val="000000"/>
          <w:sz w:val="24"/>
          <w:szCs w:val="24"/>
          <w:lang w:val="sq-AL"/>
        </w:rPr>
        <w:t xml:space="preserve">7. Më 12 </w:t>
      </w:r>
      <w:r w:rsidR="00A53476" w:rsidRPr="00C73CDD">
        <w:rPr>
          <w:rFonts w:ascii="Garamond" w:hAnsi="Garamond" w:cs="Times New Roman"/>
          <w:color w:val="000000"/>
          <w:sz w:val="24"/>
          <w:szCs w:val="24"/>
          <w:lang w:val="sq-AL"/>
        </w:rPr>
        <w:t xml:space="preserve">prill </w:t>
      </w:r>
      <w:r w:rsidRPr="00C73CDD">
        <w:rPr>
          <w:rFonts w:ascii="Garamond" w:hAnsi="Garamond" w:cs="Times New Roman"/>
          <w:color w:val="000000"/>
          <w:sz w:val="24"/>
          <w:szCs w:val="24"/>
          <w:lang w:val="sq-AL"/>
        </w:rPr>
        <w:t xml:space="preserve">2012, kompania e kërkuesit të parë depozitoi një padi civile pranë Gjykatës së rrethit Durrës ndaj Prokurorisë së Tiranës dhe kërkuesit të tretë, Mihal Delijorgji, duke kërkuar që pjesa e pasurisë së saj të konfiskuar të përjashtohej nga urdhri i konfiskimit. Ajo u mbështet në </w:t>
      </w:r>
      <w:r w:rsidR="00A53476" w:rsidRPr="00C73CDD">
        <w:rPr>
          <w:rFonts w:ascii="Garamond" w:hAnsi="Garamond" w:cs="Times New Roman"/>
          <w:color w:val="000000"/>
          <w:sz w:val="24"/>
          <w:szCs w:val="24"/>
          <w:lang w:val="sq-AL"/>
        </w:rPr>
        <w:t xml:space="preserve">nenin </w:t>
      </w:r>
      <w:r w:rsidRPr="00C73CDD">
        <w:rPr>
          <w:rFonts w:ascii="Garamond" w:hAnsi="Garamond" w:cs="Times New Roman"/>
          <w:color w:val="000000"/>
          <w:sz w:val="24"/>
          <w:szCs w:val="24"/>
          <w:lang w:val="sq-AL"/>
        </w:rPr>
        <w:t xml:space="preserve">12 të Kodit të Procedurës Civile (shih paragrafin 12 më poshtë). </w:t>
      </w:r>
    </w:p>
    <w:p w14:paraId="1A3DF70C" w14:textId="5ED0EE6E" w:rsidR="008A4272" w:rsidRPr="00C73CDD"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3CDD">
        <w:rPr>
          <w:rFonts w:ascii="Garamond" w:hAnsi="Garamond" w:cs="Times New Roman"/>
          <w:color w:val="000000"/>
          <w:sz w:val="24"/>
          <w:szCs w:val="24"/>
          <w:lang w:val="sq-AL"/>
        </w:rPr>
        <w:t xml:space="preserve">8. Më 12 </w:t>
      </w:r>
      <w:r w:rsidR="00A53476" w:rsidRPr="00C73CDD">
        <w:rPr>
          <w:rFonts w:ascii="Garamond" w:hAnsi="Garamond" w:cs="Times New Roman"/>
          <w:color w:val="000000"/>
          <w:sz w:val="24"/>
          <w:szCs w:val="24"/>
          <w:lang w:val="sq-AL"/>
        </w:rPr>
        <w:t xml:space="preserve">qershor </w:t>
      </w:r>
      <w:r w:rsidRPr="00C73CDD">
        <w:rPr>
          <w:rFonts w:ascii="Garamond" w:hAnsi="Garamond" w:cs="Times New Roman"/>
          <w:color w:val="000000"/>
          <w:sz w:val="24"/>
          <w:szCs w:val="24"/>
          <w:lang w:val="sq-AL"/>
        </w:rPr>
        <w:t xml:space="preserve">2012, Gjykata e Rrethit Durrës pranoi padinë me argumentin se pasuria në fjalë zotërohej nga kompania e kërkuesit të parë dhe nuk kishte lidhje me kërkuesin e tretë. Nuk u depozitua asnjë apelim, dhe vendimi u bë i formës së prerë. </w:t>
      </w:r>
    </w:p>
    <w:p w14:paraId="563B427A" w14:textId="4810EFB8" w:rsidR="008A4272" w:rsidRPr="00C73CDD"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3CDD">
        <w:rPr>
          <w:rFonts w:ascii="Garamond" w:hAnsi="Garamond" w:cs="Times New Roman"/>
          <w:color w:val="000000"/>
          <w:sz w:val="24"/>
          <w:szCs w:val="24"/>
          <w:lang w:val="sq-AL"/>
        </w:rPr>
        <w:t xml:space="preserve">9. Më 14 </w:t>
      </w:r>
      <w:r w:rsidR="00A53476" w:rsidRPr="00C73CDD">
        <w:rPr>
          <w:rFonts w:ascii="Garamond" w:hAnsi="Garamond" w:cs="Times New Roman"/>
          <w:color w:val="000000"/>
          <w:sz w:val="24"/>
          <w:szCs w:val="24"/>
          <w:lang w:val="sq-AL"/>
        </w:rPr>
        <w:t xml:space="preserve">shkurt </w:t>
      </w:r>
      <w:r w:rsidRPr="00C73CDD">
        <w:rPr>
          <w:rFonts w:ascii="Garamond" w:hAnsi="Garamond" w:cs="Times New Roman"/>
          <w:color w:val="000000"/>
          <w:sz w:val="24"/>
          <w:szCs w:val="24"/>
          <w:lang w:val="sq-AL"/>
        </w:rPr>
        <w:t xml:space="preserve">2013, pas dënimit të kërkuesit të tretë, urdhri i sekuestros u hoq. </w:t>
      </w:r>
    </w:p>
    <w:p w14:paraId="487DEDBF" w14:textId="77777777" w:rsidR="008A4272" w:rsidRPr="00C73CDD"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3CDD">
        <w:rPr>
          <w:rFonts w:ascii="Garamond" w:hAnsi="Garamond" w:cs="Times New Roman"/>
          <w:color w:val="000000"/>
          <w:sz w:val="24"/>
          <w:szCs w:val="24"/>
          <w:lang w:val="sq-AL"/>
        </w:rPr>
        <w:t>LIGJI I BRENDSHËM PËRKATËS</w:t>
      </w:r>
    </w:p>
    <w:p w14:paraId="22168677" w14:textId="171256DE" w:rsidR="008A4272" w:rsidRPr="00C73CDD"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C73CDD">
        <w:rPr>
          <w:rFonts w:ascii="Garamond" w:hAnsi="Garamond" w:cs="Times New Roman"/>
          <w:b/>
          <w:bCs/>
          <w:color w:val="000000"/>
          <w:sz w:val="24"/>
          <w:szCs w:val="24"/>
          <w:lang w:val="sq-AL"/>
        </w:rPr>
        <w:t>A. Kodi i Procedurës Penale (“KPP”)</w:t>
      </w:r>
    </w:p>
    <w:p w14:paraId="5D993D94" w14:textId="1C89289F" w:rsidR="008A4272" w:rsidRPr="00C73CDD"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3CDD">
        <w:rPr>
          <w:rFonts w:ascii="Garamond" w:hAnsi="Garamond" w:cs="Times New Roman"/>
          <w:color w:val="000000"/>
          <w:sz w:val="24"/>
          <w:szCs w:val="24"/>
          <w:lang w:val="sq-AL"/>
        </w:rPr>
        <w:t>10. Neni 270 §§ 1 i KPP</w:t>
      </w:r>
      <w:r w:rsidR="00A53476">
        <w:rPr>
          <w:rFonts w:ascii="Garamond" w:hAnsi="Garamond" w:cs="Times New Roman"/>
          <w:color w:val="000000"/>
          <w:sz w:val="24"/>
          <w:szCs w:val="24"/>
          <w:lang w:val="sq-AL"/>
        </w:rPr>
        <w:t>-së</w:t>
      </w:r>
      <w:r w:rsidRPr="00C73CDD">
        <w:rPr>
          <w:rFonts w:ascii="Garamond" w:hAnsi="Garamond" w:cs="Times New Roman"/>
          <w:color w:val="000000"/>
          <w:sz w:val="24"/>
          <w:szCs w:val="24"/>
          <w:lang w:val="sq-AL"/>
        </w:rPr>
        <w:t xml:space="preserve"> e autorizon prokurorin të sekuestrojë pasuritë e të paditurit dhe çdo kursim apo pronë tjetër në zotërimin e tij, për aq sa parashikon ligji për një sekuestrim të tillë, në rastin kur “ka arsye të bazuara për të menduar se nuk ka garanci për pagimin e dënimit me gjobë, të shpenzimeve të procedimit dhe të çdo detyrimi ndaj pasurisë së shtetit, prokurori kërkon sekuestron konservative të pasurisë së luajtshme ose të paluajtshme të të pandehurit ose të shumave a sendeve që të tjerët i detyrohen atij, në caqet që ligji lejon sekuestrimin e tyre”. </w:t>
      </w:r>
    </w:p>
    <w:p w14:paraId="5ADC36E6" w14:textId="4720794E" w:rsidR="008A4272" w:rsidRPr="00C73CDD"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3CDD">
        <w:rPr>
          <w:rFonts w:ascii="Garamond" w:hAnsi="Garamond" w:cs="Times New Roman"/>
          <w:color w:val="000000"/>
          <w:sz w:val="24"/>
          <w:szCs w:val="24"/>
          <w:lang w:val="sq-AL"/>
        </w:rPr>
        <w:t xml:space="preserve">11. Neni 273 parashikon se ekzekutimi i çdo urdhri në lidhje me sekuestrimin e pronës ekzekutohet në mbështetje të parashikimeve të Kodit të Procedurës Civile. </w:t>
      </w:r>
    </w:p>
    <w:p w14:paraId="3658E464" w14:textId="2F567E25" w:rsidR="008A4272" w:rsidRPr="00C73CDD"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C73CDD">
        <w:rPr>
          <w:rFonts w:ascii="Garamond" w:hAnsi="Garamond" w:cs="Times New Roman"/>
          <w:b/>
          <w:bCs/>
          <w:color w:val="000000"/>
          <w:sz w:val="24"/>
          <w:szCs w:val="24"/>
          <w:lang w:val="sq-AL"/>
        </w:rPr>
        <w:t>B. Kodi i Procedurës Civile</w:t>
      </w:r>
    </w:p>
    <w:p w14:paraId="7B4D053C" w14:textId="690461A5" w:rsidR="008A4272" w:rsidRPr="00C73CDD"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3CDD">
        <w:rPr>
          <w:rFonts w:ascii="Garamond" w:hAnsi="Garamond" w:cs="Times New Roman"/>
          <w:color w:val="000000"/>
          <w:sz w:val="24"/>
          <w:szCs w:val="24"/>
          <w:lang w:val="sq-AL"/>
        </w:rPr>
        <w:t xml:space="preserve">12. Kodi i Procedurës Civile (“KPC”), në </w:t>
      </w:r>
      <w:r w:rsidR="00A53476">
        <w:rPr>
          <w:rFonts w:ascii="Garamond" w:hAnsi="Garamond" w:cs="Times New Roman"/>
          <w:color w:val="000000"/>
          <w:sz w:val="24"/>
          <w:szCs w:val="24"/>
          <w:lang w:val="sq-AL"/>
        </w:rPr>
        <w:t>k</w:t>
      </w:r>
      <w:r w:rsidRPr="00C73CDD">
        <w:rPr>
          <w:rFonts w:ascii="Garamond" w:hAnsi="Garamond" w:cs="Times New Roman"/>
          <w:color w:val="000000"/>
          <w:sz w:val="24"/>
          <w:szCs w:val="24"/>
          <w:lang w:val="sq-AL"/>
        </w:rPr>
        <w:t xml:space="preserve">apitullin IX për “Mjetet për ekzekutimin e vendimeve [dhe titujt ekzekutues]” përfshin si në vijim: </w:t>
      </w:r>
    </w:p>
    <w:p w14:paraId="54CEBCA4" w14:textId="77777777" w:rsidR="008A4272" w:rsidRPr="00C73CDD"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1A27C482" w14:textId="77777777" w:rsidR="008A4272" w:rsidRPr="00D34765" w:rsidRDefault="008A4272" w:rsidP="008A4272">
      <w:pPr>
        <w:tabs>
          <w:tab w:val="left" w:pos="560"/>
          <w:tab w:val="left" w:pos="1120"/>
        </w:tabs>
        <w:autoSpaceDE w:val="0"/>
        <w:autoSpaceDN w:val="0"/>
        <w:adjustRightInd w:val="0"/>
        <w:spacing w:after="0" w:line="240" w:lineRule="auto"/>
        <w:ind w:firstLine="284"/>
        <w:jc w:val="center"/>
        <w:rPr>
          <w:rFonts w:ascii="Garamond" w:hAnsi="Garamond" w:cs="Times New Roman"/>
          <w:bCs/>
          <w:color w:val="000000"/>
          <w:sz w:val="20"/>
          <w:szCs w:val="24"/>
          <w:lang w:val="sq-AL"/>
        </w:rPr>
      </w:pPr>
      <w:r w:rsidRPr="00D34765">
        <w:rPr>
          <w:rFonts w:ascii="Garamond" w:hAnsi="Garamond" w:cs="Times New Roman"/>
          <w:bCs/>
          <w:color w:val="000000"/>
          <w:sz w:val="20"/>
          <w:szCs w:val="24"/>
          <w:lang w:val="sq-AL"/>
        </w:rPr>
        <w:t>Neni 529</w:t>
      </w:r>
    </w:p>
    <w:p w14:paraId="02AA7C68" w14:textId="77777777" w:rsidR="008A4272" w:rsidRPr="00D34765" w:rsidRDefault="008A4272" w:rsidP="008A4272">
      <w:pPr>
        <w:tabs>
          <w:tab w:val="left" w:pos="560"/>
          <w:tab w:val="left" w:pos="1120"/>
        </w:tabs>
        <w:autoSpaceDE w:val="0"/>
        <w:autoSpaceDN w:val="0"/>
        <w:adjustRightInd w:val="0"/>
        <w:spacing w:after="0" w:line="240" w:lineRule="auto"/>
        <w:ind w:firstLine="284"/>
        <w:jc w:val="center"/>
        <w:rPr>
          <w:rFonts w:ascii="Garamond" w:hAnsi="Garamond" w:cs="Times New Roman"/>
          <w:b/>
          <w:bCs/>
          <w:color w:val="000000"/>
          <w:sz w:val="20"/>
          <w:szCs w:val="24"/>
          <w:lang w:val="sq-AL"/>
        </w:rPr>
      </w:pPr>
      <w:r w:rsidRPr="00D34765">
        <w:rPr>
          <w:rFonts w:ascii="Garamond" w:hAnsi="Garamond" w:cs="Times New Roman"/>
          <w:b/>
          <w:bCs/>
          <w:color w:val="000000"/>
          <w:sz w:val="20"/>
          <w:szCs w:val="24"/>
          <w:lang w:val="sq-AL"/>
        </w:rPr>
        <w:t>Sendet mbi të cilat nuk mund të vihet sekuestroja</w:t>
      </w:r>
    </w:p>
    <w:p w14:paraId="617358B4" w14:textId="77777777" w:rsidR="008A4272" w:rsidRPr="00D34765" w:rsidRDefault="008A4272" w:rsidP="008A4272">
      <w:pPr>
        <w:tabs>
          <w:tab w:val="left" w:pos="560"/>
          <w:tab w:val="left" w:pos="1120"/>
        </w:tabs>
        <w:autoSpaceDE w:val="0"/>
        <w:autoSpaceDN w:val="0"/>
        <w:adjustRightInd w:val="0"/>
        <w:spacing w:after="0" w:line="240" w:lineRule="auto"/>
        <w:ind w:firstLine="284"/>
        <w:rPr>
          <w:rFonts w:ascii="Garamond" w:hAnsi="Garamond" w:cs="Times New Roman"/>
          <w:b/>
          <w:bCs/>
          <w:color w:val="000000"/>
          <w:sz w:val="20"/>
          <w:szCs w:val="24"/>
          <w:lang w:val="sq-AL"/>
        </w:rPr>
      </w:pPr>
    </w:p>
    <w:p w14:paraId="211ED0B4" w14:textId="2F4443B6" w:rsidR="008A4272" w:rsidRPr="00D34765"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0"/>
          <w:szCs w:val="24"/>
          <w:lang w:val="sq-AL"/>
        </w:rPr>
      </w:pPr>
      <w:r w:rsidRPr="00D34765">
        <w:rPr>
          <w:rFonts w:ascii="Garamond" w:hAnsi="Garamond" w:cs="Times New Roman"/>
          <w:b/>
          <w:bCs/>
          <w:color w:val="000000"/>
          <w:sz w:val="20"/>
          <w:szCs w:val="24"/>
          <w:lang w:val="sq-AL"/>
        </w:rPr>
        <w:t xml:space="preserve"> </w:t>
      </w:r>
      <w:r w:rsidRPr="00D34765">
        <w:rPr>
          <w:rFonts w:ascii="Garamond" w:hAnsi="Garamond" w:cs="Times New Roman"/>
          <w:color w:val="000000"/>
          <w:sz w:val="20"/>
          <w:szCs w:val="24"/>
          <w:lang w:val="sq-AL"/>
        </w:rPr>
        <w:t xml:space="preserve">“Përjashtohen nga sekuestrimi i pasurisë së debitorit: </w:t>
      </w:r>
    </w:p>
    <w:p w14:paraId="363955AB" w14:textId="77777777" w:rsidR="008A4272" w:rsidRPr="00D34765"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0"/>
          <w:szCs w:val="24"/>
          <w:lang w:val="sq-AL"/>
        </w:rPr>
      </w:pPr>
      <w:r w:rsidRPr="00D34765">
        <w:rPr>
          <w:rFonts w:ascii="Garamond" w:hAnsi="Garamond" w:cs="Times New Roman"/>
          <w:color w:val="000000"/>
          <w:sz w:val="20"/>
          <w:szCs w:val="24"/>
          <w:lang w:val="sq-AL"/>
        </w:rPr>
        <w:t xml:space="preserve">1. sendet e përdorimit personal të debitorit dhe të familjes së tij si: veshjet, shtresat, mbulesat, mobiliet për aq sa ato janë të nevojshme për jetesën e tyre; </w:t>
      </w:r>
    </w:p>
    <w:p w14:paraId="50985783" w14:textId="6C5767B5" w:rsidR="008A4272" w:rsidRPr="00D34765"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0"/>
          <w:szCs w:val="24"/>
          <w:lang w:val="sq-AL"/>
        </w:rPr>
      </w:pPr>
      <w:r w:rsidRPr="00D34765">
        <w:rPr>
          <w:rFonts w:ascii="Garamond" w:hAnsi="Garamond" w:cs="Times New Roman"/>
          <w:color w:val="000000"/>
          <w:sz w:val="20"/>
          <w:szCs w:val="24"/>
          <w:lang w:val="sq-AL"/>
        </w:rPr>
        <w:t xml:space="preserve"> 2. ushqimet dhe lëndët djegëse që i nevojiten debitorit dhe familjes së tij për tre muaj; </w:t>
      </w:r>
    </w:p>
    <w:p w14:paraId="7F6226FC" w14:textId="5D2974D6" w:rsidR="008A4272" w:rsidRPr="00D34765"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0"/>
          <w:szCs w:val="24"/>
          <w:lang w:val="sq-AL"/>
        </w:rPr>
      </w:pPr>
      <w:r w:rsidRPr="00D34765">
        <w:rPr>
          <w:rFonts w:ascii="Garamond" w:hAnsi="Garamond" w:cs="Times New Roman"/>
          <w:color w:val="000000"/>
          <w:sz w:val="20"/>
          <w:szCs w:val="24"/>
          <w:lang w:val="sq-AL"/>
        </w:rPr>
        <w:t xml:space="preserve"> ...</w:t>
      </w:r>
    </w:p>
    <w:p w14:paraId="737E8F0D" w14:textId="74B13454" w:rsidR="008A4272" w:rsidRPr="00D34765"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0"/>
          <w:szCs w:val="24"/>
          <w:lang w:val="sq-AL"/>
        </w:rPr>
      </w:pPr>
      <w:r w:rsidRPr="00D34765">
        <w:rPr>
          <w:rFonts w:ascii="Garamond" w:hAnsi="Garamond" w:cs="Times New Roman"/>
          <w:color w:val="000000"/>
          <w:sz w:val="20"/>
          <w:szCs w:val="24"/>
          <w:lang w:val="sq-AL"/>
        </w:rPr>
        <w:t xml:space="preserve"> 8. artikuj të tjerë të nevojshëm për jetesë.”</w:t>
      </w:r>
    </w:p>
    <w:p w14:paraId="5942C927" w14:textId="77777777" w:rsidR="008A4272" w:rsidRPr="00D34765"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0"/>
          <w:szCs w:val="24"/>
          <w:lang w:val="sq-AL"/>
        </w:rPr>
      </w:pPr>
    </w:p>
    <w:p w14:paraId="722BB881" w14:textId="77777777" w:rsidR="008A4272" w:rsidRPr="00D34765" w:rsidRDefault="008A4272" w:rsidP="008A4272">
      <w:pPr>
        <w:tabs>
          <w:tab w:val="left" w:pos="560"/>
          <w:tab w:val="left" w:pos="1120"/>
        </w:tabs>
        <w:autoSpaceDE w:val="0"/>
        <w:autoSpaceDN w:val="0"/>
        <w:adjustRightInd w:val="0"/>
        <w:spacing w:after="0" w:line="240" w:lineRule="auto"/>
        <w:ind w:firstLine="284"/>
        <w:jc w:val="center"/>
        <w:rPr>
          <w:rFonts w:ascii="Garamond" w:hAnsi="Garamond" w:cs="Times New Roman"/>
          <w:b/>
          <w:bCs/>
          <w:color w:val="000000"/>
          <w:sz w:val="20"/>
          <w:szCs w:val="24"/>
          <w:lang w:val="sq-AL"/>
        </w:rPr>
      </w:pPr>
    </w:p>
    <w:p w14:paraId="125216D1" w14:textId="77777777" w:rsidR="008A4272" w:rsidRPr="00D34765" w:rsidRDefault="008A4272" w:rsidP="008A4272">
      <w:pPr>
        <w:tabs>
          <w:tab w:val="left" w:pos="560"/>
          <w:tab w:val="left" w:pos="1120"/>
        </w:tabs>
        <w:autoSpaceDE w:val="0"/>
        <w:autoSpaceDN w:val="0"/>
        <w:adjustRightInd w:val="0"/>
        <w:spacing w:after="0" w:line="240" w:lineRule="auto"/>
        <w:ind w:firstLine="284"/>
        <w:jc w:val="center"/>
        <w:rPr>
          <w:rFonts w:ascii="Garamond" w:hAnsi="Garamond" w:cs="Times New Roman"/>
          <w:bCs/>
          <w:color w:val="000000"/>
          <w:sz w:val="20"/>
          <w:szCs w:val="24"/>
          <w:lang w:val="sq-AL"/>
        </w:rPr>
      </w:pPr>
      <w:r w:rsidRPr="00D34765">
        <w:rPr>
          <w:rFonts w:ascii="Garamond" w:hAnsi="Garamond" w:cs="Times New Roman"/>
          <w:bCs/>
          <w:color w:val="000000"/>
          <w:sz w:val="20"/>
          <w:szCs w:val="24"/>
          <w:lang w:val="sq-AL"/>
        </w:rPr>
        <w:t>Neni 612</w:t>
      </w:r>
    </w:p>
    <w:p w14:paraId="7241FD68" w14:textId="77777777" w:rsidR="008A4272" w:rsidRPr="00D34765" w:rsidRDefault="008A4272" w:rsidP="008A4272">
      <w:pPr>
        <w:tabs>
          <w:tab w:val="left" w:pos="560"/>
          <w:tab w:val="left" w:pos="1120"/>
        </w:tabs>
        <w:autoSpaceDE w:val="0"/>
        <w:autoSpaceDN w:val="0"/>
        <w:adjustRightInd w:val="0"/>
        <w:spacing w:after="0" w:line="240" w:lineRule="auto"/>
        <w:ind w:firstLine="284"/>
        <w:jc w:val="center"/>
        <w:rPr>
          <w:rFonts w:ascii="Garamond" w:hAnsi="Garamond" w:cs="Times New Roman"/>
          <w:b/>
          <w:bCs/>
          <w:color w:val="000000"/>
          <w:sz w:val="20"/>
          <w:szCs w:val="24"/>
          <w:lang w:val="sq-AL"/>
        </w:rPr>
      </w:pPr>
      <w:r w:rsidRPr="00D34765">
        <w:rPr>
          <w:rFonts w:ascii="Garamond" w:hAnsi="Garamond" w:cs="Times New Roman"/>
          <w:b/>
          <w:bCs/>
          <w:color w:val="000000"/>
          <w:sz w:val="20"/>
          <w:szCs w:val="24"/>
          <w:lang w:val="sq-AL"/>
        </w:rPr>
        <w:t>Padia për kërkimin e sendit nga personi i tretë</w:t>
      </w:r>
    </w:p>
    <w:p w14:paraId="68A3626F" w14:textId="77777777" w:rsidR="008A4272" w:rsidRPr="00D34765" w:rsidRDefault="008A4272" w:rsidP="008A4272">
      <w:pPr>
        <w:tabs>
          <w:tab w:val="left" w:pos="560"/>
          <w:tab w:val="left" w:pos="1120"/>
        </w:tabs>
        <w:autoSpaceDE w:val="0"/>
        <w:autoSpaceDN w:val="0"/>
        <w:adjustRightInd w:val="0"/>
        <w:spacing w:after="0" w:line="240" w:lineRule="auto"/>
        <w:ind w:firstLine="284"/>
        <w:jc w:val="center"/>
        <w:rPr>
          <w:rFonts w:ascii="Garamond" w:hAnsi="Garamond" w:cs="Times New Roman"/>
          <w:b/>
          <w:bCs/>
          <w:color w:val="000000"/>
          <w:sz w:val="20"/>
          <w:szCs w:val="24"/>
          <w:lang w:val="sq-AL"/>
        </w:rPr>
      </w:pPr>
    </w:p>
    <w:p w14:paraId="3E317422" w14:textId="4767B348" w:rsidR="008A4272" w:rsidRPr="00D34765"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0"/>
          <w:szCs w:val="24"/>
          <w:lang w:val="sq-AL"/>
        </w:rPr>
      </w:pPr>
      <w:r w:rsidRPr="00D34765">
        <w:rPr>
          <w:rFonts w:ascii="Garamond" w:hAnsi="Garamond" w:cs="Times New Roman"/>
          <w:color w:val="000000"/>
          <w:sz w:val="20"/>
          <w:szCs w:val="24"/>
          <w:lang w:val="sq-AL"/>
        </w:rPr>
        <w:lastRenderedPageBreak/>
        <w:t>“Çdo person i tretë që pretendon se është pronar i sendit mbi të cilin bëhet ekzekutimi, mund të ngrejë padi për të ushtruar të drejtën e tij dhe kur është rasti për të përjashtuar sendin nga sekuestrimi dhe shitja. Padia ngrihet kundër kreditorit dhe debitorit në gjykatën e vendit të ekzekutimit të vendimit. Në këto raste, gjykata mund të vendosë si masë të përkohshme pezullimin e ekzekutimit me ose pa garanci.”</w:t>
      </w:r>
    </w:p>
    <w:p w14:paraId="0A410D0E" w14:textId="493EE223" w:rsidR="008A4272" w:rsidRPr="00C73CDD"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C73CDD">
        <w:rPr>
          <w:rFonts w:ascii="Garamond" w:hAnsi="Garamond" w:cs="Times New Roman"/>
          <w:b/>
          <w:bCs/>
          <w:color w:val="000000"/>
          <w:sz w:val="24"/>
          <w:szCs w:val="24"/>
          <w:lang w:val="sq-AL"/>
        </w:rPr>
        <w:t xml:space="preserve">C. Ligji </w:t>
      </w:r>
      <w:r w:rsidR="00686CE1" w:rsidRPr="00C73CDD">
        <w:rPr>
          <w:rFonts w:ascii="Garamond" w:hAnsi="Garamond" w:cs="Times New Roman"/>
          <w:b/>
          <w:bCs/>
          <w:color w:val="000000"/>
          <w:sz w:val="24"/>
          <w:szCs w:val="24"/>
          <w:lang w:val="sq-AL"/>
        </w:rPr>
        <w:t>nr</w:t>
      </w:r>
      <w:r w:rsidRPr="00C73CDD">
        <w:rPr>
          <w:rFonts w:ascii="Garamond" w:hAnsi="Garamond" w:cs="Times New Roman"/>
          <w:b/>
          <w:bCs/>
          <w:color w:val="000000"/>
          <w:sz w:val="24"/>
          <w:szCs w:val="24"/>
          <w:lang w:val="sq-AL"/>
        </w:rPr>
        <w:t xml:space="preserve">. 8510 i datës 15 </w:t>
      </w:r>
      <w:r w:rsidR="00686CE1" w:rsidRPr="00C73CDD">
        <w:rPr>
          <w:rFonts w:ascii="Garamond" w:hAnsi="Garamond" w:cs="Times New Roman"/>
          <w:b/>
          <w:bCs/>
          <w:color w:val="000000"/>
          <w:sz w:val="24"/>
          <w:szCs w:val="24"/>
          <w:lang w:val="sq-AL"/>
        </w:rPr>
        <w:t xml:space="preserve">korrik </w:t>
      </w:r>
      <w:r w:rsidRPr="00C73CDD">
        <w:rPr>
          <w:rFonts w:ascii="Garamond" w:hAnsi="Garamond" w:cs="Times New Roman"/>
          <w:b/>
          <w:bCs/>
          <w:color w:val="000000"/>
          <w:sz w:val="24"/>
          <w:szCs w:val="24"/>
          <w:lang w:val="sq-AL"/>
        </w:rPr>
        <w:t>1999 për përgjegjësinë jokontraktuale të organeve të administratës Shtetërore</w:t>
      </w:r>
    </w:p>
    <w:p w14:paraId="6651AFAF" w14:textId="78EA229D" w:rsidR="008A4272" w:rsidRPr="00C73CDD"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3CDD">
        <w:rPr>
          <w:rFonts w:ascii="Garamond" w:hAnsi="Garamond" w:cs="Times New Roman"/>
          <w:color w:val="000000"/>
          <w:sz w:val="24"/>
          <w:szCs w:val="24"/>
          <w:lang w:val="sq-AL"/>
        </w:rPr>
        <w:t xml:space="preserve">13. Neni 1 dhe </w:t>
      </w:r>
      <w:r w:rsidR="00686CE1" w:rsidRPr="00C73CDD">
        <w:rPr>
          <w:rFonts w:ascii="Garamond" w:hAnsi="Garamond" w:cs="Times New Roman"/>
          <w:color w:val="000000"/>
          <w:sz w:val="24"/>
          <w:szCs w:val="24"/>
          <w:lang w:val="sq-AL"/>
        </w:rPr>
        <w:t>3 i atij ligji (</w:t>
      </w:r>
      <w:r w:rsidRPr="00C73CDD">
        <w:rPr>
          <w:rFonts w:ascii="Garamond" w:hAnsi="Garamond" w:cs="Times New Roman"/>
          <w:color w:val="000000"/>
          <w:sz w:val="24"/>
          <w:szCs w:val="24"/>
          <w:lang w:val="sq-AL"/>
        </w:rPr>
        <w:t xml:space="preserve">ndryshuar me anë </w:t>
      </w:r>
      <w:r w:rsidR="00686CE1" w:rsidRPr="00C73CDD">
        <w:rPr>
          <w:rFonts w:ascii="Garamond" w:hAnsi="Garamond" w:cs="Times New Roman"/>
          <w:color w:val="000000"/>
          <w:sz w:val="24"/>
          <w:szCs w:val="24"/>
          <w:lang w:val="sq-AL"/>
        </w:rPr>
        <w:t xml:space="preserve">të ligjit nr. 10005 të datës 23 tetor </w:t>
      </w:r>
      <w:r w:rsidRPr="00C73CDD">
        <w:rPr>
          <w:rFonts w:ascii="Garamond" w:hAnsi="Garamond" w:cs="Times New Roman"/>
          <w:color w:val="000000"/>
          <w:sz w:val="24"/>
          <w:szCs w:val="24"/>
          <w:lang w:val="sq-AL"/>
        </w:rPr>
        <w:t xml:space="preserve">2008) parashikojnë se Shteti ka detyrim ndaj dëmit pasuror dhe jopasuror jokontraktual të shkaktuar ndaj personave fizikë ose juridikë, vendas ose të huaj. Organet shtetërore kanë detyrimin të kompensojnë dëmin, midis të tjerash, kur, gjatë ushtrimit të funksioneve të tyre publike, veprimet ose mosveprimet e tyre të ligjshëm shkaktojnë dëmtim ndaj interesave të ligjshme të personave privatë fizik ose juridik. </w:t>
      </w:r>
    </w:p>
    <w:p w14:paraId="7D61608D" w14:textId="77777777" w:rsidR="008A4272" w:rsidRPr="00C73CDD"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3CDD">
        <w:rPr>
          <w:rFonts w:ascii="Garamond" w:hAnsi="Garamond" w:cs="Times New Roman"/>
          <w:color w:val="000000"/>
          <w:sz w:val="24"/>
          <w:szCs w:val="24"/>
          <w:lang w:val="sq-AL"/>
        </w:rPr>
        <w:t>VLERËSIMI I GJYKATËS</w:t>
      </w:r>
    </w:p>
    <w:p w14:paraId="7D13C076" w14:textId="103976F8" w:rsidR="008A4272" w:rsidRPr="00C73CDD"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3CDD">
        <w:rPr>
          <w:rFonts w:ascii="Garamond" w:hAnsi="Garamond" w:cs="Times New Roman"/>
          <w:b/>
          <w:bCs/>
          <w:color w:val="000000"/>
          <w:sz w:val="24"/>
          <w:szCs w:val="24"/>
          <w:lang w:val="sq-AL"/>
        </w:rPr>
        <w:t>A. Bashkimi i kërkesave</w:t>
      </w:r>
    </w:p>
    <w:p w14:paraId="0C233AB5" w14:textId="15F92556" w:rsidR="008A4272" w:rsidRPr="00C73CDD"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3CDD">
        <w:rPr>
          <w:rFonts w:ascii="Garamond" w:hAnsi="Garamond" w:cs="Times New Roman"/>
          <w:color w:val="000000"/>
          <w:sz w:val="24"/>
          <w:szCs w:val="24"/>
          <w:lang w:val="sq-AL"/>
        </w:rPr>
        <w:t xml:space="preserve">14. Sipas lëndës së ngjashme të kërkesave, Gjykata e gjykon të përshtatshme t’i shqyrtojë ato së bashku në një gjykim të vetëm. </w:t>
      </w:r>
    </w:p>
    <w:p w14:paraId="30B8E159" w14:textId="0B849601" w:rsidR="008A4272" w:rsidRPr="00C73CDD"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C73CDD">
        <w:rPr>
          <w:rFonts w:ascii="Garamond" w:hAnsi="Garamond" w:cs="Times New Roman"/>
          <w:b/>
          <w:bCs/>
          <w:color w:val="000000"/>
          <w:sz w:val="24"/>
          <w:szCs w:val="24"/>
          <w:lang w:val="sq-AL"/>
        </w:rPr>
        <w:t xml:space="preserve">B. Neni 1 i </w:t>
      </w:r>
      <w:r w:rsidR="00686CE1" w:rsidRPr="00C73CDD">
        <w:rPr>
          <w:rFonts w:ascii="Garamond" w:hAnsi="Garamond" w:cs="Times New Roman"/>
          <w:b/>
          <w:bCs/>
          <w:color w:val="000000"/>
          <w:sz w:val="24"/>
          <w:szCs w:val="24"/>
          <w:lang w:val="sq-AL"/>
        </w:rPr>
        <w:t>protokollit nr</w:t>
      </w:r>
      <w:r w:rsidRPr="00C73CDD">
        <w:rPr>
          <w:rFonts w:ascii="Garamond" w:hAnsi="Garamond" w:cs="Times New Roman"/>
          <w:b/>
          <w:bCs/>
          <w:color w:val="000000"/>
          <w:sz w:val="24"/>
          <w:szCs w:val="24"/>
          <w:lang w:val="sq-AL"/>
        </w:rPr>
        <w:t xml:space="preserve">. 1 të Konventës </w:t>
      </w:r>
    </w:p>
    <w:p w14:paraId="75024265" w14:textId="45CBFB9D" w:rsidR="008A4272" w:rsidRPr="00C73CDD" w:rsidRDefault="008A4272" w:rsidP="00F41CBC">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3CDD">
        <w:rPr>
          <w:rFonts w:ascii="Garamond" w:hAnsi="Garamond" w:cs="Times New Roman"/>
          <w:color w:val="000000"/>
          <w:sz w:val="24"/>
          <w:szCs w:val="24"/>
          <w:lang w:val="sq-AL"/>
        </w:rPr>
        <w:t xml:space="preserve">15. Kërkuesit, në mbështetje të </w:t>
      </w:r>
      <w:r w:rsidR="00686CE1" w:rsidRPr="00C73CDD">
        <w:rPr>
          <w:rFonts w:ascii="Garamond" w:hAnsi="Garamond" w:cs="Times New Roman"/>
          <w:color w:val="000000"/>
          <w:sz w:val="24"/>
          <w:szCs w:val="24"/>
          <w:lang w:val="sq-AL"/>
        </w:rPr>
        <w:t xml:space="preserve">nenit 1 të protokollit nr. </w:t>
      </w:r>
      <w:r w:rsidRPr="00C73CDD">
        <w:rPr>
          <w:rFonts w:ascii="Garamond" w:hAnsi="Garamond" w:cs="Times New Roman"/>
          <w:color w:val="000000"/>
          <w:sz w:val="24"/>
          <w:szCs w:val="24"/>
          <w:lang w:val="sq-AL"/>
        </w:rPr>
        <w:t xml:space="preserve">1 të Konventës, u ankuan se urdhri i sekuestros shkelte të drejtën e tyre për gëzim paqësor të pasurive të tyre. Kompanitë e kërkuesit të parë dhe të dytë iu referuan </w:t>
      </w:r>
      <w:r w:rsidR="00686CE1" w:rsidRPr="00C73CDD">
        <w:rPr>
          <w:rFonts w:ascii="Garamond" w:hAnsi="Garamond" w:cs="Times New Roman"/>
          <w:color w:val="000000"/>
          <w:sz w:val="24"/>
          <w:szCs w:val="24"/>
          <w:lang w:val="sq-AL"/>
        </w:rPr>
        <w:t xml:space="preserve">edhe nenit </w:t>
      </w:r>
      <w:r w:rsidRPr="00C73CDD">
        <w:rPr>
          <w:rFonts w:ascii="Garamond" w:hAnsi="Garamond" w:cs="Times New Roman"/>
          <w:color w:val="000000"/>
          <w:sz w:val="24"/>
          <w:szCs w:val="24"/>
          <w:lang w:val="sq-AL"/>
        </w:rPr>
        <w:t xml:space="preserve">6 të Konventës. Gjykata, si kompetente në përcaktimeve të bëra në ligj për faktet e çështjes, do të shqyrtojë kërkesat vetëm në mbështetje të </w:t>
      </w:r>
      <w:r w:rsidR="00686CE1" w:rsidRPr="00C73CDD">
        <w:rPr>
          <w:rFonts w:ascii="Garamond" w:hAnsi="Garamond" w:cs="Times New Roman"/>
          <w:color w:val="000000"/>
          <w:sz w:val="24"/>
          <w:szCs w:val="24"/>
          <w:lang w:val="sq-AL"/>
        </w:rPr>
        <w:t xml:space="preserve">nenit </w:t>
      </w:r>
      <w:r w:rsidRPr="00C73CDD">
        <w:rPr>
          <w:rFonts w:ascii="Garamond" w:hAnsi="Garamond" w:cs="Times New Roman"/>
          <w:color w:val="000000"/>
          <w:sz w:val="24"/>
          <w:szCs w:val="24"/>
          <w:lang w:val="sq-AL"/>
        </w:rPr>
        <w:t xml:space="preserve">1 të </w:t>
      </w:r>
      <w:r w:rsidR="00686CE1" w:rsidRPr="00C73CDD">
        <w:rPr>
          <w:rFonts w:ascii="Garamond" w:hAnsi="Garamond" w:cs="Times New Roman"/>
          <w:color w:val="000000"/>
          <w:sz w:val="24"/>
          <w:szCs w:val="24"/>
          <w:lang w:val="sq-AL"/>
        </w:rPr>
        <w:t>protokollit nr</w:t>
      </w:r>
      <w:r w:rsidRPr="00C73CDD">
        <w:rPr>
          <w:rFonts w:ascii="Garamond" w:hAnsi="Garamond" w:cs="Times New Roman"/>
          <w:color w:val="000000"/>
          <w:sz w:val="24"/>
          <w:szCs w:val="24"/>
          <w:lang w:val="sq-AL"/>
        </w:rPr>
        <w:t xml:space="preserve">. 1 të Konventës (krahaso </w:t>
      </w:r>
      <w:r w:rsidRPr="00C73CDD">
        <w:rPr>
          <w:rFonts w:ascii="Garamond" w:hAnsi="Garamond" w:cs="Times New Roman"/>
          <w:i/>
          <w:iCs/>
          <w:color w:val="000000"/>
          <w:sz w:val="24"/>
          <w:szCs w:val="24"/>
          <w:lang w:val="sq-AL"/>
        </w:rPr>
        <w:t xml:space="preserve">Ibrahimbeyov dhe të </w:t>
      </w:r>
      <w:r w:rsidR="007F0A40">
        <w:rPr>
          <w:rFonts w:ascii="Garamond" w:hAnsi="Garamond" w:cs="Times New Roman"/>
          <w:i/>
          <w:iCs/>
          <w:color w:val="000000"/>
          <w:sz w:val="24"/>
          <w:szCs w:val="24"/>
          <w:lang w:val="sq-AL"/>
        </w:rPr>
        <w:t>t</w:t>
      </w:r>
      <w:r w:rsidRPr="00C73CDD">
        <w:rPr>
          <w:rFonts w:ascii="Garamond" w:hAnsi="Garamond" w:cs="Times New Roman"/>
          <w:i/>
          <w:iCs/>
          <w:color w:val="000000"/>
          <w:sz w:val="24"/>
          <w:szCs w:val="24"/>
          <w:lang w:val="sq-AL"/>
        </w:rPr>
        <w:t>jerë kundër Azerbajxhanit</w:t>
      </w:r>
      <w:r w:rsidRPr="00C73CDD">
        <w:rPr>
          <w:rFonts w:ascii="Garamond" w:hAnsi="Garamond" w:cs="Times New Roman"/>
          <w:color w:val="000000"/>
          <w:sz w:val="24"/>
          <w:szCs w:val="24"/>
          <w:lang w:val="sq-AL"/>
        </w:rPr>
        <w:t xml:space="preserve">, nr. 32380/13, § 39, 16 </w:t>
      </w:r>
      <w:r w:rsidR="00686CE1" w:rsidRPr="00C73CDD">
        <w:rPr>
          <w:rFonts w:ascii="Garamond" w:hAnsi="Garamond" w:cs="Times New Roman"/>
          <w:color w:val="000000"/>
          <w:sz w:val="24"/>
          <w:szCs w:val="24"/>
          <w:lang w:val="sq-AL"/>
        </w:rPr>
        <w:t>shkurt</w:t>
      </w:r>
      <w:bookmarkStart w:id="0" w:name="_GoBack"/>
      <w:bookmarkEnd w:id="0"/>
      <w:r w:rsidR="00686CE1" w:rsidRPr="00C73CDD">
        <w:rPr>
          <w:rFonts w:ascii="Garamond" w:hAnsi="Garamond" w:cs="Times New Roman"/>
          <w:color w:val="000000"/>
          <w:sz w:val="24"/>
          <w:szCs w:val="24"/>
          <w:lang w:val="sq-AL"/>
        </w:rPr>
        <w:t xml:space="preserve"> </w:t>
      </w:r>
      <w:r w:rsidRPr="00C73CDD">
        <w:rPr>
          <w:rFonts w:ascii="Garamond" w:hAnsi="Garamond" w:cs="Times New Roman"/>
          <w:color w:val="000000"/>
          <w:sz w:val="24"/>
          <w:szCs w:val="24"/>
          <w:lang w:val="sq-AL"/>
        </w:rPr>
        <w:t xml:space="preserve">2023, dhe </w:t>
      </w:r>
      <w:r w:rsidRPr="00C73CDD">
        <w:rPr>
          <w:rFonts w:ascii="Garamond" w:hAnsi="Garamond" w:cs="Times New Roman"/>
          <w:i/>
          <w:iCs/>
          <w:color w:val="000000"/>
          <w:sz w:val="24"/>
          <w:szCs w:val="24"/>
          <w:lang w:val="sq-AL"/>
        </w:rPr>
        <w:t>Zela kundër Shqipërisë</w:t>
      </w:r>
      <w:r w:rsidRPr="00C73CDD">
        <w:rPr>
          <w:rFonts w:ascii="Garamond" w:hAnsi="Garamond" w:cs="Times New Roman"/>
          <w:color w:val="000000"/>
          <w:sz w:val="24"/>
          <w:szCs w:val="24"/>
          <w:lang w:val="sq-AL"/>
        </w:rPr>
        <w:t xml:space="preserve">, nr. 33164/11, § 50, 11 </w:t>
      </w:r>
      <w:r w:rsidR="00686CE1" w:rsidRPr="00C73CDD">
        <w:rPr>
          <w:rFonts w:ascii="Garamond" w:hAnsi="Garamond" w:cs="Times New Roman"/>
          <w:color w:val="000000"/>
          <w:sz w:val="24"/>
          <w:szCs w:val="24"/>
          <w:lang w:val="sq-AL"/>
        </w:rPr>
        <w:t xml:space="preserve">qershor </w:t>
      </w:r>
      <w:r w:rsidRPr="00C73CDD">
        <w:rPr>
          <w:rFonts w:ascii="Garamond" w:hAnsi="Garamond" w:cs="Times New Roman"/>
          <w:color w:val="000000"/>
          <w:sz w:val="24"/>
          <w:szCs w:val="24"/>
          <w:lang w:val="sq-AL"/>
        </w:rPr>
        <w:t xml:space="preserve">2024). </w:t>
      </w:r>
    </w:p>
    <w:p w14:paraId="72BA1433" w14:textId="0A73875F" w:rsidR="008A4272" w:rsidRPr="00C73CDD"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3CDD">
        <w:rPr>
          <w:rFonts w:ascii="Garamond" w:hAnsi="Garamond" w:cs="Times New Roman"/>
          <w:color w:val="000000"/>
          <w:sz w:val="24"/>
          <w:szCs w:val="24"/>
          <w:lang w:val="sq-AL"/>
        </w:rPr>
        <w:t xml:space="preserve">16. Qeveria argumentoi se kërkuesit nuk kishin shteruar mjetet e disponueshme të brendshme, veçanërisht, një kërkesë për heqjen e urdhrit të sekuestros, një padi civile bërë në mbështetje të </w:t>
      </w:r>
      <w:r w:rsidR="00341C0A">
        <w:rPr>
          <w:rFonts w:ascii="Garamond" w:hAnsi="Garamond" w:cs="Times New Roman"/>
          <w:color w:val="000000"/>
          <w:sz w:val="24"/>
          <w:szCs w:val="24"/>
          <w:lang w:val="sq-AL"/>
        </w:rPr>
        <w:t>n</w:t>
      </w:r>
      <w:r w:rsidRPr="00C73CDD">
        <w:rPr>
          <w:rFonts w:ascii="Garamond" w:hAnsi="Garamond" w:cs="Times New Roman"/>
          <w:color w:val="000000"/>
          <w:sz w:val="24"/>
          <w:szCs w:val="24"/>
          <w:lang w:val="sq-AL"/>
        </w:rPr>
        <w:t xml:space="preserve">enit 612 të Kodit të Procedurës Civile dhe një padi civile për kompensimin e çdo dëmi që kërkuesit mund të kishin vuajtur si pasojë e urdhrit të sekuestros. </w:t>
      </w:r>
    </w:p>
    <w:p w14:paraId="67A5DDF0" w14:textId="0A9BA78C" w:rsidR="008A4272" w:rsidRPr="00C73CDD"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3CDD">
        <w:rPr>
          <w:rFonts w:ascii="Garamond" w:hAnsi="Garamond" w:cs="Times New Roman"/>
          <w:color w:val="000000"/>
          <w:sz w:val="24"/>
          <w:szCs w:val="24"/>
          <w:lang w:val="sq-AL"/>
        </w:rPr>
        <w:t xml:space="preserve">17. Kërkuesit argumentuan se ata i kishin shteruar masat në kontekstin e procedurave gjatë të cilave ishte lëshuar urdhrit të sekuestros, dhe se nuk iu ishte kërkuar të shteronin mjete të tjera. Gjithashtu, ata argumentuan se mjetet e ofruara nga Qeveria nuk ishin efektive. </w:t>
      </w:r>
    </w:p>
    <w:p w14:paraId="6140324D" w14:textId="141D399B" w:rsidR="008A4272" w:rsidRPr="00C73CDD"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3CDD">
        <w:rPr>
          <w:rFonts w:ascii="Garamond" w:hAnsi="Garamond" w:cs="Times New Roman"/>
          <w:color w:val="000000"/>
          <w:sz w:val="24"/>
          <w:szCs w:val="24"/>
          <w:lang w:val="sq-AL"/>
        </w:rPr>
        <w:t xml:space="preserve">18. Parimet e përgjithshme për shterimin e mjeteve të brendshme janë përmbledhur në vendimin </w:t>
      </w:r>
      <w:r w:rsidRPr="00C73CDD">
        <w:rPr>
          <w:rFonts w:ascii="Garamond" w:hAnsi="Garamond" w:cs="Times New Roman"/>
          <w:i/>
          <w:iCs/>
          <w:color w:val="000000"/>
          <w:sz w:val="24"/>
          <w:szCs w:val="24"/>
          <w:lang w:val="sq-AL"/>
        </w:rPr>
        <w:t xml:space="preserve">Vučković dhe të </w:t>
      </w:r>
      <w:r w:rsidR="00686CE1">
        <w:rPr>
          <w:rFonts w:ascii="Garamond" w:hAnsi="Garamond" w:cs="Times New Roman"/>
          <w:i/>
          <w:iCs/>
          <w:color w:val="000000"/>
          <w:sz w:val="24"/>
          <w:szCs w:val="24"/>
          <w:lang w:val="sq-AL"/>
        </w:rPr>
        <w:t>t</w:t>
      </w:r>
      <w:r w:rsidRPr="00C73CDD">
        <w:rPr>
          <w:rFonts w:ascii="Garamond" w:hAnsi="Garamond" w:cs="Times New Roman"/>
          <w:i/>
          <w:iCs/>
          <w:color w:val="000000"/>
          <w:sz w:val="24"/>
          <w:szCs w:val="24"/>
          <w:lang w:val="sq-AL"/>
        </w:rPr>
        <w:t xml:space="preserve">jerë kundër Serbisë </w:t>
      </w:r>
      <w:r w:rsidRPr="00C73CDD">
        <w:rPr>
          <w:rFonts w:ascii="Garamond" w:hAnsi="Garamond" w:cs="Times New Roman"/>
          <w:color w:val="000000"/>
          <w:sz w:val="24"/>
          <w:szCs w:val="24"/>
          <w:lang w:val="sq-AL"/>
        </w:rPr>
        <w:t xml:space="preserve">([DHM], nr. 17153/11 dhe 29 të tjerë, §§ 69-77, 25 </w:t>
      </w:r>
      <w:r w:rsidR="00686CE1">
        <w:rPr>
          <w:rFonts w:ascii="Garamond" w:hAnsi="Garamond" w:cs="Times New Roman"/>
          <w:color w:val="000000"/>
          <w:sz w:val="24"/>
          <w:szCs w:val="24"/>
          <w:lang w:val="sq-AL"/>
        </w:rPr>
        <w:t>m</w:t>
      </w:r>
      <w:r w:rsidRPr="00C73CDD">
        <w:rPr>
          <w:rFonts w:ascii="Garamond" w:hAnsi="Garamond" w:cs="Times New Roman"/>
          <w:color w:val="000000"/>
          <w:sz w:val="24"/>
          <w:szCs w:val="24"/>
          <w:lang w:val="sq-AL"/>
        </w:rPr>
        <w:t xml:space="preserve">ars 2014), dhe </w:t>
      </w:r>
      <w:r w:rsidRPr="00C73CDD">
        <w:rPr>
          <w:rFonts w:ascii="Garamond" w:hAnsi="Garamond" w:cs="Times New Roman"/>
          <w:i/>
          <w:iCs/>
          <w:color w:val="000000"/>
          <w:sz w:val="24"/>
          <w:szCs w:val="24"/>
          <w:lang w:val="sq-AL"/>
        </w:rPr>
        <w:t xml:space="preserve">Gherghina kundër Rumanisë </w:t>
      </w:r>
      <w:r w:rsidRPr="00C73CDD">
        <w:rPr>
          <w:rFonts w:ascii="Garamond" w:hAnsi="Garamond" w:cs="Times New Roman"/>
          <w:color w:val="000000"/>
          <w:sz w:val="24"/>
          <w:szCs w:val="24"/>
          <w:lang w:val="sq-AL"/>
        </w:rPr>
        <w:t xml:space="preserve">((vendim) [DHM], nr. 42219/07, §§ 83-89, 9 </w:t>
      </w:r>
      <w:r w:rsidR="00686CE1">
        <w:rPr>
          <w:rFonts w:ascii="Garamond" w:hAnsi="Garamond" w:cs="Times New Roman"/>
          <w:color w:val="000000"/>
          <w:sz w:val="24"/>
          <w:szCs w:val="24"/>
          <w:lang w:val="sq-AL"/>
        </w:rPr>
        <w:t>k</w:t>
      </w:r>
      <w:r w:rsidRPr="00C73CDD">
        <w:rPr>
          <w:rFonts w:ascii="Garamond" w:hAnsi="Garamond" w:cs="Times New Roman"/>
          <w:color w:val="000000"/>
          <w:sz w:val="24"/>
          <w:szCs w:val="24"/>
          <w:lang w:val="sq-AL"/>
        </w:rPr>
        <w:t xml:space="preserve">orrik 2015). </w:t>
      </w:r>
    </w:p>
    <w:p w14:paraId="76D6A64F" w14:textId="702CCC6A" w:rsidR="008A4272" w:rsidRPr="00C73CDD"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3CDD">
        <w:rPr>
          <w:rFonts w:ascii="Garamond" w:hAnsi="Garamond" w:cs="Times New Roman"/>
          <w:color w:val="000000"/>
          <w:sz w:val="24"/>
          <w:szCs w:val="24"/>
          <w:lang w:val="sq-AL"/>
        </w:rPr>
        <w:t xml:space="preserve">19. Gjykata ka gjykuar, veçanërisht, se në rast se ekzistojnë një sërë mjetesh vendase në fusha të ndryshme të ligjit që mund të ndiqen nga një individ, ky person ka të drejtën të zgjedhë një mjet që adreson ankesa thelbësore të tij ose të saj. Me fjalë të tjera, kur një mjet është ndjekur, nuk nevojitet përdorimi i një mjeti tjetër që në thelb ka të njëjtin objektiv (shih </w:t>
      </w:r>
      <w:r w:rsidRPr="00C73CDD">
        <w:rPr>
          <w:rFonts w:ascii="Garamond" w:hAnsi="Garamond" w:cs="Times New Roman"/>
          <w:i/>
          <w:iCs/>
          <w:color w:val="000000"/>
          <w:sz w:val="24"/>
          <w:szCs w:val="24"/>
          <w:lang w:val="sq-AL"/>
        </w:rPr>
        <w:t>Nicolae Virgiliu Tănase kundër Rumanisë</w:t>
      </w:r>
      <w:r w:rsidRPr="00C73CDD">
        <w:rPr>
          <w:rFonts w:ascii="Garamond" w:hAnsi="Garamond" w:cs="Times New Roman"/>
          <w:color w:val="000000"/>
          <w:sz w:val="24"/>
          <w:szCs w:val="24"/>
          <w:lang w:val="sq-AL"/>
        </w:rPr>
        <w:t xml:space="preserve"> [DHM], nr. 41720/13, § 177, 25 </w:t>
      </w:r>
      <w:r w:rsidR="00686CE1">
        <w:rPr>
          <w:rFonts w:ascii="Garamond" w:hAnsi="Garamond" w:cs="Times New Roman"/>
          <w:color w:val="000000"/>
          <w:sz w:val="24"/>
          <w:szCs w:val="24"/>
          <w:lang w:val="sq-AL"/>
        </w:rPr>
        <w:t>q</w:t>
      </w:r>
      <w:r w:rsidRPr="00C73CDD">
        <w:rPr>
          <w:rFonts w:ascii="Garamond" w:hAnsi="Garamond" w:cs="Times New Roman"/>
          <w:color w:val="000000"/>
          <w:sz w:val="24"/>
          <w:szCs w:val="24"/>
          <w:lang w:val="sq-AL"/>
        </w:rPr>
        <w:t xml:space="preserve">ershor 2019). Sipas rrethanave, Gjykata duhet të vendosë në lidhje me çështjen konkrete nëse mjetet e përdorura nga kërkuesit në kontekstin e procedurave me anë të të cilave është lëshuar urdhri i sekuestros, dhe mjetet e referuara nga Qeveria (shih paragrafin 16 më sipër), kishin në thelb të njëjtin objektiv në lidhje me ankesat e kërkuesve. </w:t>
      </w:r>
    </w:p>
    <w:p w14:paraId="23B72BF2" w14:textId="1F6F259F" w:rsidR="008A4272" w:rsidRPr="00C73CDD"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3CDD">
        <w:rPr>
          <w:rFonts w:ascii="Garamond" w:hAnsi="Garamond" w:cs="Times New Roman"/>
          <w:color w:val="000000"/>
          <w:sz w:val="24"/>
          <w:szCs w:val="24"/>
          <w:lang w:val="sq-AL"/>
        </w:rPr>
        <w:t xml:space="preserve">20. Gjykata vëren se qëllimi kryesor i mjeteve të përdorura nga kërkuesit në kontekstin e procedurave penale me anë të të cilave ishte lëshuar urdhri i sekuestros ishte në kundërshtim me ligjshmërinë e urdhrit fillestar të sekuestros (shih paragrafin 4 më sipër), dhe nëse çështja ishte shqyrtuar nga gjykatat vendase sipas atyre procedurave. </w:t>
      </w:r>
    </w:p>
    <w:p w14:paraId="451DB782" w14:textId="3ACEEFC6" w:rsidR="008A4272" w:rsidRPr="00C73CDD"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3CDD">
        <w:rPr>
          <w:rFonts w:ascii="Garamond" w:hAnsi="Garamond" w:cs="Times New Roman"/>
          <w:color w:val="000000"/>
          <w:sz w:val="24"/>
          <w:szCs w:val="24"/>
          <w:lang w:val="sq-AL"/>
        </w:rPr>
        <w:t xml:space="preserve">21. Në lidhje me një kërkesë për heqjen e urdhrit të sekuestros, qëllimi i saj është të rivlerësojë nëse ekzistojnë ende kushtet për mbajtjen e urdhrit me kalimin e kohës, dhe është një mjet shtesë që mund të përdoret në procedurat me anë të të cilave u lëshua urdhri i sekuestros. </w:t>
      </w:r>
    </w:p>
    <w:p w14:paraId="2015D2D7" w14:textId="31CB680B" w:rsidR="008A4272" w:rsidRPr="00C73CDD"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3CDD">
        <w:rPr>
          <w:rFonts w:ascii="Garamond" w:hAnsi="Garamond" w:cs="Times New Roman"/>
          <w:color w:val="000000"/>
          <w:sz w:val="24"/>
          <w:szCs w:val="24"/>
          <w:lang w:val="sq-AL"/>
        </w:rPr>
        <w:lastRenderedPageBreak/>
        <w:t xml:space="preserve">22. Për sa i përket padisë bërë në mbështetje të </w:t>
      </w:r>
      <w:r w:rsidR="00686CE1">
        <w:rPr>
          <w:rFonts w:ascii="Garamond" w:hAnsi="Garamond" w:cs="Times New Roman"/>
          <w:color w:val="000000"/>
          <w:sz w:val="24"/>
          <w:szCs w:val="24"/>
          <w:lang w:val="sq-AL"/>
        </w:rPr>
        <w:t>n</w:t>
      </w:r>
      <w:r w:rsidRPr="00C73CDD">
        <w:rPr>
          <w:rFonts w:ascii="Garamond" w:hAnsi="Garamond" w:cs="Times New Roman"/>
          <w:color w:val="000000"/>
          <w:sz w:val="24"/>
          <w:szCs w:val="24"/>
          <w:lang w:val="sq-AL"/>
        </w:rPr>
        <w:t>enit 612 të KPC</w:t>
      </w:r>
      <w:r w:rsidR="00686CE1">
        <w:rPr>
          <w:rFonts w:ascii="Garamond" w:hAnsi="Garamond" w:cs="Times New Roman"/>
          <w:color w:val="000000"/>
          <w:sz w:val="24"/>
          <w:szCs w:val="24"/>
          <w:lang w:val="sq-AL"/>
        </w:rPr>
        <w:t>-së</w:t>
      </w:r>
      <w:r w:rsidRPr="00C73CDD">
        <w:rPr>
          <w:rFonts w:ascii="Garamond" w:hAnsi="Garamond" w:cs="Times New Roman"/>
          <w:color w:val="000000"/>
          <w:sz w:val="24"/>
          <w:szCs w:val="24"/>
          <w:lang w:val="sq-AL"/>
        </w:rPr>
        <w:t xml:space="preserve">, qëllimi i saj është tërësisht i ndryshëm nga mjetet kundër urdhrit të sekuestros si i tillë, pasi në këto procedura palët e treta mund të kërkojnë që pasuria e tyre të përjashtohet nga “urdhri i ekzekutimit”, që është i vlefshëm (shih paragrafin 12 më sipër). </w:t>
      </w:r>
    </w:p>
    <w:p w14:paraId="00464911" w14:textId="4940AE5B" w:rsidR="008A4272" w:rsidRPr="00C73CDD"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3CDD">
        <w:rPr>
          <w:rFonts w:ascii="Garamond" w:hAnsi="Garamond" w:cs="Times New Roman"/>
          <w:color w:val="000000"/>
          <w:sz w:val="24"/>
          <w:szCs w:val="24"/>
          <w:lang w:val="sq-AL"/>
        </w:rPr>
        <w:t>23. Në lidhje me një padi civile ndaj Shtetit për kompensimin e dëmeve, ajo synon përfitimin e kompensimit monetar për çdo humbje financiare ose ndonjë humbje tjetër në dëm të kërkuesve si rezultat i urdhrit të sekuestros (paragrafi 13 më sipër)</w:t>
      </w:r>
      <w:r w:rsidR="0004300B">
        <w:rPr>
          <w:rFonts w:ascii="Garamond" w:hAnsi="Garamond" w:cs="Times New Roman"/>
          <w:color w:val="000000"/>
          <w:sz w:val="24"/>
          <w:szCs w:val="24"/>
          <w:lang w:val="sq-AL"/>
        </w:rPr>
        <w:t>.</w:t>
      </w:r>
    </w:p>
    <w:p w14:paraId="236DC52E" w14:textId="55E326C4" w:rsidR="008A4272" w:rsidRPr="00C73CDD"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3CDD">
        <w:rPr>
          <w:rFonts w:ascii="Garamond" w:hAnsi="Garamond" w:cs="Times New Roman"/>
          <w:color w:val="000000"/>
          <w:sz w:val="24"/>
          <w:szCs w:val="24"/>
          <w:lang w:val="sq-AL"/>
        </w:rPr>
        <w:t xml:space="preserve">24. Në vijim, mjetet e përdorura na kërkuesit nuk kanë të njëjtin qëllim me tre mjetet e referuara nga Qeveria. Gjykata duhet të vlerësojë nëse tre mjetet e përmendura më sipër mund të konsiderohen si mjete efektive për shkeljen e pretenduar në mbështetje të </w:t>
      </w:r>
      <w:r w:rsidR="00686CE1" w:rsidRPr="00C73CDD">
        <w:rPr>
          <w:rFonts w:ascii="Garamond" w:hAnsi="Garamond" w:cs="Times New Roman"/>
          <w:color w:val="000000"/>
          <w:sz w:val="24"/>
          <w:szCs w:val="24"/>
          <w:lang w:val="sq-AL"/>
        </w:rPr>
        <w:t xml:space="preserve">nenit </w:t>
      </w:r>
      <w:r w:rsidRPr="00C73CDD">
        <w:rPr>
          <w:rFonts w:ascii="Garamond" w:hAnsi="Garamond" w:cs="Times New Roman"/>
          <w:color w:val="000000"/>
          <w:sz w:val="24"/>
          <w:szCs w:val="24"/>
          <w:lang w:val="sq-AL"/>
        </w:rPr>
        <w:t xml:space="preserve">1 të </w:t>
      </w:r>
      <w:r w:rsidR="00686CE1" w:rsidRPr="00C73CDD">
        <w:rPr>
          <w:rFonts w:ascii="Garamond" w:hAnsi="Garamond" w:cs="Times New Roman"/>
          <w:color w:val="000000"/>
          <w:sz w:val="24"/>
          <w:szCs w:val="24"/>
          <w:lang w:val="sq-AL"/>
        </w:rPr>
        <w:t xml:space="preserve">protokollit nr. </w:t>
      </w:r>
      <w:r w:rsidRPr="00C73CDD">
        <w:rPr>
          <w:rFonts w:ascii="Garamond" w:hAnsi="Garamond" w:cs="Times New Roman"/>
          <w:color w:val="000000"/>
          <w:sz w:val="24"/>
          <w:szCs w:val="24"/>
          <w:lang w:val="sq-AL"/>
        </w:rPr>
        <w:t xml:space="preserve">1 të Konventës. </w:t>
      </w:r>
    </w:p>
    <w:p w14:paraId="30B9329E" w14:textId="3473C755" w:rsidR="008A4272" w:rsidRPr="00C73CDD"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C73CDD">
        <w:rPr>
          <w:rFonts w:ascii="Garamond" w:hAnsi="Garamond" w:cs="Times New Roman"/>
          <w:b/>
          <w:bCs/>
          <w:color w:val="000000"/>
          <w:sz w:val="24"/>
          <w:szCs w:val="24"/>
          <w:lang w:val="sq-AL"/>
        </w:rPr>
        <w:t>C. Në lidhje me kërkuesit e parë, të dytë, të katërt dhe të pestë</w:t>
      </w:r>
    </w:p>
    <w:p w14:paraId="2AA65AA1" w14:textId="211BC999" w:rsidR="008A4272" w:rsidRPr="00C73CDD"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3CDD">
        <w:rPr>
          <w:rFonts w:ascii="Garamond" w:hAnsi="Garamond" w:cs="Times New Roman"/>
          <w:color w:val="000000"/>
          <w:sz w:val="24"/>
          <w:szCs w:val="24"/>
          <w:lang w:val="sq-AL"/>
        </w:rPr>
        <w:t xml:space="preserve">25. Për sa ka të bëje me padinë civile të bërë në mbështetje me </w:t>
      </w:r>
      <w:r w:rsidR="00686CE1" w:rsidRPr="00C73CDD">
        <w:rPr>
          <w:rFonts w:ascii="Garamond" w:hAnsi="Garamond" w:cs="Times New Roman"/>
          <w:color w:val="000000"/>
          <w:sz w:val="24"/>
          <w:szCs w:val="24"/>
          <w:lang w:val="sq-AL"/>
        </w:rPr>
        <w:t xml:space="preserve">nenin </w:t>
      </w:r>
      <w:r w:rsidRPr="00C73CDD">
        <w:rPr>
          <w:rFonts w:ascii="Garamond" w:hAnsi="Garamond" w:cs="Times New Roman"/>
          <w:color w:val="000000"/>
          <w:sz w:val="24"/>
          <w:szCs w:val="24"/>
          <w:lang w:val="sq-AL"/>
        </w:rPr>
        <w:t>612 të KPC</w:t>
      </w:r>
      <w:r w:rsidR="00686CE1">
        <w:rPr>
          <w:rFonts w:ascii="Garamond" w:hAnsi="Garamond" w:cs="Times New Roman"/>
          <w:color w:val="000000"/>
          <w:sz w:val="24"/>
          <w:szCs w:val="24"/>
          <w:lang w:val="sq-AL"/>
        </w:rPr>
        <w:t>-së</w:t>
      </w:r>
      <w:r w:rsidRPr="00C73CDD">
        <w:rPr>
          <w:rFonts w:ascii="Garamond" w:hAnsi="Garamond" w:cs="Times New Roman"/>
          <w:color w:val="000000"/>
          <w:sz w:val="24"/>
          <w:szCs w:val="24"/>
          <w:lang w:val="sq-AL"/>
        </w:rPr>
        <w:t xml:space="preserve">, këto procedura përfshijnë domosdoshmërisht vlerësimin e padive të pronësisë dhe, duke qenë të një natyre civile, mund të përshtaten më mirë për të adresuar të gjitha çështjet përkatëse për të drejtat e pronësisë së një individi. Gjykata vëren se kompania e kërkuesit të parë e përdori këtë mjet me sukses në lidhje me disa prej pasurive të saj të sekuestruara (shih paragrafët 7 dhe 8 më sipër). Këto procedura u përfunduan brenda dy muajve. </w:t>
      </w:r>
    </w:p>
    <w:p w14:paraId="4AEFA2E3" w14:textId="4211C860" w:rsidR="008A4272" w:rsidRPr="00C73CDD"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3CDD">
        <w:rPr>
          <w:rFonts w:ascii="Garamond" w:hAnsi="Garamond" w:cs="Times New Roman"/>
          <w:color w:val="000000"/>
          <w:sz w:val="24"/>
          <w:szCs w:val="24"/>
          <w:lang w:val="sq-AL"/>
        </w:rPr>
        <w:t xml:space="preserve">26. Rezulton se padia civile e bërë në mbështetje të </w:t>
      </w:r>
      <w:r w:rsidR="00686CE1" w:rsidRPr="00C73CDD">
        <w:rPr>
          <w:rFonts w:ascii="Garamond" w:hAnsi="Garamond" w:cs="Times New Roman"/>
          <w:color w:val="000000"/>
          <w:sz w:val="24"/>
          <w:szCs w:val="24"/>
          <w:lang w:val="sq-AL"/>
        </w:rPr>
        <w:t xml:space="preserve">nenit </w:t>
      </w:r>
      <w:r w:rsidRPr="00C73CDD">
        <w:rPr>
          <w:rFonts w:ascii="Garamond" w:hAnsi="Garamond" w:cs="Times New Roman"/>
          <w:color w:val="000000"/>
          <w:sz w:val="24"/>
          <w:szCs w:val="24"/>
          <w:lang w:val="sq-AL"/>
        </w:rPr>
        <w:t xml:space="preserve">612 të KPC ishte një mjet i disponueshëm dhe efektiv për ankesat sipas </w:t>
      </w:r>
      <w:r w:rsidR="00686CE1" w:rsidRPr="00C73CDD">
        <w:rPr>
          <w:rFonts w:ascii="Garamond" w:hAnsi="Garamond" w:cs="Times New Roman"/>
          <w:color w:val="000000"/>
          <w:sz w:val="24"/>
          <w:szCs w:val="24"/>
          <w:lang w:val="sq-AL"/>
        </w:rPr>
        <w:t>nenit 1 të protokollit nr</w:t>
      </w:r>
      <w:r w:rsidRPr="00C73CDD">
        <w:rPr>
          <w:rFonts w:ascii="Garamond" w:hAnsi="Garamond" w:cs="Times New Roman"/>
          <w:color w:val="000000"/>
          <w:sz w:val="24"/>
          <w:szCs w:val="24"/>
          <w:lang w:val="sq-AL"/>
        </w:rPr>
        <w:t xml:space="preserve">. 1 paraqitur nga kërkuesi i parë, i dytë, i katërt dhe i pestë. Megjithatë, vetëm kompania e kërkuesit të parë e përdori atë mjet, dhe më pas, në mënyrë të pashpjegueshme, vetëm për pjesën e pasurive të saj. Kërkuesi i dytë, i katërt dhe i pestë nuk e përdorën atë mjet. Ata nuk kanë parashtruar se mjeti i ofruar nga Qeveria ishte për disa arsye i papërshtatshëm dhe joefektiv në rrethanat konkrete të çështjes, dhe as se ekzistonin rrethana të posaçme që linin të lirë nga kërkesa për ta shteruar atë. </w:t>
      </w:r>
    </w:p>
    <w:p w14:paraId="6648B47B" w14:textId="04E332D1" w:rsidR="008A4272" w:rsidRPr="00C73CDD"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3CDD">
        <w:rPr>
          <w:rFonts w:ascii="Garamond" w:hAnsi="Garamond" w:cs="Times New Roman"/>
          <w:color w:val="000000"/>
          <w:sz w:val="24"/>
          <w:szCs w:val="24"/>
          <w:lang w:val="sq-AL"/>
        </w:rPr>
        <w:t xml:space="preserve">27. Sipas rrethanave, këto ankesa duhet të kundërshtohen në mbështetje të </w:t>
      </w:r>
      <w:r w:rsidR="00686CE1" w:rsidRPr="00C73CDD">
        <w:rPr>
          <w:rFonts w:ascii="Garamond" w:hAnsi="Garamond" w:cs="Times New Roman"/>
          <w:color w:val="000000"/>
          <w:sz w:val="24"/>
          <w:szCs w:val="24"/>
          <w:lang w:val="sq-AL"/>
        </w:rPr>
        <w:t xml:space="preserve">nenit </w:t>
      </w:r>
      <w:r w:rsidRPr="00C73CDD">
        <w:rPr>
          <w:rFonts w:ascii="Garamond" w:hAnsi="Garamond" w:cs="Times New Roman"/>
          <w:color w:val="000000"/>
          <w:sz w:val="24"/>
          <w:szCs w:val="24"/>
          <w:lang w:val="sq-AL"/>
        </w:rPr>
        <w:t xml:space="preserve">35 §§ 1 dhe 4 të Konventës për mosshterim të mjeteve vendase për kërkuesin e parë, të dytë, të katërt dhe të pestë. </w:t>
      </w:r>
    </w:p>
    <w:p w14:paraId="6529BFB1" w14:textId="0A633BF5" w:rsidR="008A4272" w:rsidRPr="00C73CDD"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C73CDD">
        <w:rPr>
          <w:rFonts w:ascii="Garamond" w:hAnsi="Garamond" w:cs="Times New Roman"/>
          <w:b/>
          <w:bCs/>
          <w:color w:val="000000"/>
          <w:sz w:val="24"/>
          <w:szCs w:val="24"/>
          <w:lang w:val="sq-AL"/>
        </w:rPr>
        <w:t>D. Në lidhje me kërkuesin e tretë</w:t>
      </w:r>
    </w:p>
    <w:p w14:paraId="128F4090" w14:textId="41AE90B3" w:rsidR="008A4272" w:rsidRPr="00C73CDD"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C73CDD">
        <w:rPr>
          <w:rFonts w:ascii="Garamond" w:hAnsi="Garamond" w:cs="Times New Roman"/>
          <w:i/>
          <w:iCs/>
          <w:color w:val="000000"/>
          <w:sz w:val="24"/>
          <w:szCs w:val="24"/>
          <w:lang w:val="sq-AL"/>
        </w:rPr>
        <w:t>1. Për sa i përket urdhrit fillestar të sekuestros</w:t>
      </w:r>
    </w:p>
    <w:p w14:paraId="22101FFD" w14:textId="56C48F64" w:rsidR="008A4272" w:rsidRPr="00C73CDD"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3CDD">
        <w:rPr>
          <w:rFonts w:ascii="Garamond" w:hAnsi="Garamond" w:cs="Times New Roman"/>
          <w:color w:val="000000"/>
          <w:sz w:val="24"/>
          <w:szCs w:val="24"/>
          <w:lang w:val="sq-AL"/>
        </w:rPr>
        <w:t xml:space="preserve">28. Gjykata vëren se urdhri i sekuestros u lëshua në kontekstin e procedimeve penale ndaj kërkuesit të tretë. Sekuestrimi i pronës në rrethana të tilla normalisht ka lidhje me kontrollin e përdorimit të pronës, që i përket paragrafit të dytë të </w:t>
      </w:r>
      <w:r w:rsidR="00686CE1" w:rsidRPr="00C73CDD">
        <w:rPr>
          <w:rFonts w:ascii="Garamond" w:hAnsi="Garamond" w:cs="Times New Roman"/>
          <w:color w:val="000000"/>
          <w:sz w:val="24"/>
          <w:szCs w:val="24"/>
          <w:lang w:val="sq-AL"/>
        </w:rPr>
        <w:t xml:space="preserve">nenit </w:t>
      </w:r>
      <w:r w:rsidRPr="00C73CDD">
        <w:rPr>
          <w:rFonts w:ascii="Garamond" w:hAnsi="Garamond" w:cs="Times New Roman"/>
          <w:color w:val="000000"/>
          <w:sz w:val="24"/>
          <w:szCs w:val="24"/>
          <w:lang w:val="sq-AL"/>
        </w:rPr>
        <w:t xml:space="preserve">1 të </w:t>
      </w:r>
      <w:r w:rsidR="00686CE1" w:rsidRPr="00C73CDD">
        <w:rPr>
          <w:rFonts w:ascii="Garamond" w:hAnsi="Garamond" w:cs="Times New Roman"/>
          <w:color w:val="000000"/>
          <w:sz w:val="24"/>
          <w:szCs w:val="24"/>
          <w:lang w:val="sq-AL"/>
        </w:rPr>
        <w:t>protokollit nr</w:t>
      </w:r>
      <w:r w:rsidRPr="00C73CDD">
        <w:rPr>
          <w:rFonts w:ascii="Garamond" w:hAnsi="Garamond" w:cs="Times New Roman"/>
          <w:color w:val="000000"/>
          <w:sz w:val="24"/>
          <w:szCs w:val="24"/>
          <w:lang w:val="sq-AL"/>
        </w:rPr>
        <w:t xml:space="preserve">. 1 të Konventës. Gjykata duhet të gjykojë nëse kjo masë ishte e ligjshme dhe “në përputhje me interesin e përgjithshëm”, dhe nëse ekzistonte një marrëdhënie e arsyeshme proporcionaliteti midis mjeteve të përdorura dhe qëllimit që pritej të përmbushej (shih </w:t>
      </w:r>
      <w:r w:rsidRPr="00C73CDD">
        <w:rPr>
          <w:rFonts w:ascii="Garamond" w:hAnsi="Garamond" w:cs="Times New Roman"/>
          <w:i/>
          <w:iCs/>
          <w:color w:val="000000"/>
          <w:sz w:val="24"/>
          <w:szCs w:val="24"/>
          <w:lang w:val="sq-AL"/>
        </w:rPr>
        <w:t>Džinić kundër Kroacisë</w:t>
      </w:r>
      <w:r w:rsidRPr="00C73CDD">
        <w:rPr>
          <w:rFonts w:ascii="Garamond" w:hAnsi="Garamond" w:cs="Times New Roman"/>
          <w:color w:val="000000"/>
          <w:sz w:val="24"/>
          <w:szCs w:val="24"/>
          <w:lang w:val="sq-AL"/>
        </w:rPr>
        <w:t xml:space="preserve">, nr. 38359/13, §§ 60 dhe 62, 17 </w:t>
      </w:r>
      <w:r w:rsidR="00686CE1" w:rsidRPr="00C73CDD">
        <w:rPr>
          <w:rFonts w:ascii="Garamond" w:hAnsi="Garamond" w:cs="Times New Roman"/>
          <w:color w:val="000000"/>
          <w:sz w:val="24"/>
          <w:szCs w:val="24"/>
          <w:lang w:val="sq-AL"/>
        </w:rPr>
        <w:t xml:space="preserve">maj </w:t>
      </w:r>
      <w:r w:rsidRPr="00C73CDD">
        <w:rPr>
          <w:rFonts w:ascii="Garamond" w:hAnsi="Garamond" w:cs="Times New Roman"/>
          <w:color w:val="000000"/>
          <w:sz w:val="24"/>
          <w:szCs w:val="24"/>
          <w:lang w:val="sq-AL"/>
        </w:rPr>
        <w:t xml:space="preserve">2016, dhe çështjeve cituara në të). </w:t>
      </w:r>
    </w:p>
    <w:p w14:paraId="5FA7EAB9" w14:textId="2B2AD2A8" w:rsidR="008A4272" w:rsidRPr="00C73CDD"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3CDD">
        <w:rPr>
          <w:rFonts w:ascii="Garamond" w:hAnsi="Garamond" w:cs="Times New Roman"/>
          <w:color w:val="000000"/>
          <w:sz w:val="24"/>
          <w:szCs w:val="24"/>
          <w:lang w:val="sq-AL"/>
        </w:rPr>
        <w:t xml:space="preserve">29. Sekuestrimi i pronës së kërkuesit u mbështet në </w:t>
      </w:r>
      <w:r w:rsidR="00686CE1">
        <w:rPr>
          <w:rFonts w:ascii="Garamond" w:hAnsi="Garamond" w:cs="Times New Roman"/>
          <w:color w:val="000000"/>
          <w:sz w:val="24"/>
          <w:szCs w:val="24"/>
          <w:lang w:val="sq-AL"/>
        </w:rPr>
        <w:t>n</w:t>
      </w:r>
      <w:r w:rsidRPr="00C73CDD">
        <w:rPr>
          <w:rFonts w:ascii="Garamond" w:hAnsi="Garamond" w:cs="Times New Roman"/>
          <w:color w:val="000000"/>
          <w:sz w:val="24"/>
          <w:szCs w:val="24"/>
          <w:lang w:val="sq-AL"/>
        </w:rPr>
        <w:t>enin 270 § 1 të KPC</w:t>
      </w:r>
      <w:r w:rsidR="00686CE1">
        <w:rPr>
          <w:rFonts w:ascii="Garamond" w:hAnsi="Garamond" w:cs="Times New Roman"/>
          <w:color w:val="000000"/>
          <w:sz w:val="24"/>
          <w:szCs w:val="24"/>
          <w:lang w:val="sq-AL"/>
        </w:rPr>
        <w:t>-së</w:t>
      </w:r>
      <w:r w:rsidRPr="00C73CDD">
        <w:rPr>
          <w:rFonts w:ascii="Garamond" w:hAnsi="Garamond" w:cs="Times New Roman"/>
          <w:color w:val="000000"/>
          <w:sz w:val="24"/>
          <w:szCs w:val="24"/>
          <w:lang w:val="sq-AL"/>
        </w:rPr>
        <w:t xml:space="preserve"> (shih paragrafin 10 më sipër), dhe për këtë arsye ishte i ligjshëm. </w:t>
      </w:r>
    </w:p>
    <w:p w14:paraId="47E4B5CA" w14:textId="18BE4ABB" w:rsidR="008A4272" w:rsidRPr="00C73CDD"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3CDD">
        <w:rPr>
          <w:rFonts w:ascii="Garamond" w:hAnsi="Garamond" w:cs="Times New Roman"/>
          <w:color w:val="000000"/>
          <w:sz w:val="24"/>
          <w:szCs w:val="24"/>
          <w:lang w:val="sq-AL"/>
        </w:rPr>
        <w:t xml:space="preserve">30. Gjithashtu, Gjykata pranon se ndërhyrja ndiqte një qëllim legjitim, më konkretisht sigurimin se do të shlyhej detyrimi ndaj Shtetit. </w:t>
      </w:r>
    </w:p>
    <w:p w14:paraId="2C1EE684" w14:textId="259E4EDA" w:rsidR="008A4272" w:rsidRPr="00C73CDD"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3CDD">
        <w:rPr>
          <w:rFonts w:ascii="Garamond" w:hAnsi="Garamond" w:cs="Times New Roman"/>
          <w:color w:val="000000"/>
          <w:sz w:val="24"/>
          <w:szCs w:val="24"/>
          <w:lang w:val="sq-AL"/>
        </w:rPr>
        <w:t xml:space="preserve">31. Në lidhje me proporcionalitetin e masës, kërkuesi i tretë akuzohej në procedurat penale me anë të të cilave urdhërohej sekuestrimi. Në këto procedura, Shteti depozitoi një padi për rimbursimin e fondeve që kishte shpenzuar për të ndihmuar viktimat e incidentit të Gërdecit. Duke pasur parasysh përmasat e konsiderueshme të padisë (shih paragrafin 3 më sipër), Gjykata e gjykon të arsyeshme që llogaritë bankare dhe pasuritë e paluajtshme të kërkuesit të tretë kishin qenë subjekt i urdhrit të sekuestros, i cili shërbente për të siguruar padinë e Shtetit ndaj tij. </w:t>
      </w:r>
    </w:p>
    <w:p w14:paraId="387E3184" w14:textId="53B0228C" w:rsidR="008A4272" w:rsidRPr="00C73CDD"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3CDD">
        <w:rPr>
          <w:rFonts w:ascii="Garamond" w:hAnsi="Garamond" w:cs="Times New Roman"/>
          <w:color w:val="000000"/>
          <w:sz w:val="24"/>
          <w:szCs w:val="24"/>
          <w:lang w:val="sq-AL"/>
        </w:rPr>
        <w:t xml:space="preserve">32. Në lidhje me këtë aspekt, Gjykata vëren se qëllimi dhe efekti i urdhrit të konfiskimit nuk ishte privimi i kërkuesi të tretë nga prona e tij. Ai vazhdonte të ishte pronari i saj dhe të gëzonte zotërimin e saj. I vetmi kufizim ishte se atij nuk i lejohej ta shiste atë. </w:t>
      </w:r>
    </w:p>
    <w:p w14:paraId="5C3E6D71" w14:textId="0BB90E21" w:rsidR="008A4272" w:rsidRPr="00C73CDD"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3CDD">
        <w:rPr>
          <w:rFonts w:ascii="Garamond" w:hAnsi="Garamond" w:cs="Times New Roman"/>
          <w:color w:val="000000"/>
          <w:sz w:val="24"/>
          <w:szCs w:val="24"/>
          <w:lang w:val="sq-AL"/>
        </w:rPr>
        <w:lastRenderedPageBreak/>
        <w:t xml:space="preserve">33. Gjithashtu, Gjykata vëren se jo e gjithë prona e kërkuesit të tretë ishte subjekt i urdhrit të sekuestros, pasi, sipas </w:t>
      </w:r>
      <w:r w:rsidR="00686CE1">
        <w:rPr>
          <w:rFonts w:ascii="Garamond" w:hAnsi="Garamond" w:cs="Times New Roman"/>
          <w:color w:val="000000"/>
          <w:sz w:val="24"/>
          <w:szCs w:val="24"/>
          <w:lang w:val="sq-AL"/>
        </w:rPr>
        <w:t>n</w:t>
      </w:r>
      <w:r w:rsidRPr="00C73CDD">
        <w:rPr>
          <w:rFonts w:ascii="Garamond" w:hAnsi="Garamond" w:cs="Times New Roman"/>
          <w:color w:val="000000"/>
          <w:sz w:val="24"/>
          <w:szCs w:val="24"/>
          <w:lang w:val="sq-AL"/>
        </w:rPr>
        <w:t>enit 529 të KPC</w:t>
      </w:r>
      <w:r w:rsidR="00686CE1">
        <w:rPr>
          <w:rFonts w:ascii="Garamond" w:hAnsi="Garamond" w:cs="Times New Roman"/>
          <w:color w:val="000000"/>
          <w:sz w:val="24"/>
          <w:szCs w:val="24"/>
          <w:lang w:val="sq-AL"/>
        </w:rPr>
        <w:t>-së</w:t>
      </w:r>
      <w:r w:rsidRPr="00C73CDD">
        <w:rPr>
          <w:rFonts w:ascii="Garamond" w:hAnsi="Garamond" w:cs="Times New Roman"/>
          <w:color w:val="000000"/>
          <w:sz w:val="24"/>
          <w:szCs w:val="24"/>
          <w:lang w:val="sq-AL"/>
        </w:rPr>
        <w:t xml:space="preserve">, një sërë njësish, si për shembull njësitë që shërbenin për nevoja të përditshme dhe përdorim personal të debitorit janë përjashtuar nga sekuestrimi (shih paragrafin 12 më sipër). </w:t>
      </w:r>
    </w:p>
    <w:p w14:paraId="61F975BE" w14:textId="2DB847B7" w:rsidR="008A4272" w:rsidRPr="00C73CDD"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3CDD">
        <w:rPr>
          <w:rFonts w:ascii="Garamond" w:hAnsi="Garamond" w:cs="Times New Roman"/>
          <w:color w:val="000000"/>
          <w:sz w:val="24"/>
          <w:szCs w:val="24"/>
          <w:lang w:val="sq-AL"/>
        </w:rPr>
        <w:t xml:space="preserve">34. Duke pasur në konsideratë të gjitha këto rrethana, Gjykata gjykon se urdhri i sekuestros lëshuar ndaj kërkuesit të tretë ishte proporcional. </w:t>
      </w:r>
    </w:p>
    <w:p w14:paraId="3A26F73B" w14:textId="5A83FEE2" w:rsidR="008A4272" w:rsidRPr="00C73CDD"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3CDD">
        <w:rPr>
          <w:rFonts w:ascii="Garamond" w:hAnsi="Garamond" w:cs="Times New Roman"/>
          <w:color w:val="000000"/>
          <w:sz w:val="24"/>
          <w:szCs w:val="24"/>
          <w:lang w:val="sq-AL"/>
        </w:rPr>
        <w:t xml:space="preserve">35. Sipas rrethanave, ankesat e kërkuesit të tretë në lidhje me lëshimin fillestar të urdhrit të sekuestros ndaj tij janë qartazi të pabazuara në fakte dhe duhet të rrëzohen në përputhje me </w:t>
      </w:r>
      <w:r w:rsidR="00686CE1">
        <w:rPr>
          <w:rFonts w:ascii="Garamond" w:hAnsi="Garamond" w:cs="Times New Roman"/>
          <w:color w:val="000000"/>
          <w:sz w:val="24"/>
          <w:szCs w:val="24"/>
          <w:lang w:val="sq-AL"/>
        </w:rPr>
        <w:t>n</w:t>
      </w:r>
      <w:r w:rsidRPr="00C73CDD">
        <w:rPr>
          <w:rFonts w:ascii="Garamond" w:hAnsi="Garamond" w:cs="Times New Roman"/>
          <w:color w:val="000000"/>
          <w:sz w:val="24"/>
          <w:szCs w:val="24"/>
          <w:lang w:val="sq-AL"/>
        </w:rPr>
        <w:t xml:space="preserve">enin 35 §§ 3 (a) dhe 4 të Konventës. </w:t>
      </w:r>
    </w:p>
    <w:p w14:paraId="5D714AC9" w14:textId="7FD7D2CA" w:rsidR="008A4272" w:rsidRPr="00C73CDD"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C73CDD">
        <w:rPr>
          <w:rFonts w:ascii="Garamond" w:hAnsi="Garamond" w:cs="Times New Roman"/>
          <w:i/>
          <w:iCs/>
          <w:color w:val="000000"/>
          <w:sz w:val="24"/>
          <w:szCs w:val="24"/>
          <w:lang w:val="sq-AL"/>
        </w:rPr>
        <w:t>2. Në lidhje me sekuestrimin e tejzgjatur të pronës së kërkuesit të tretë</w:t>
      </w:r>
    </w:p>
    <w:p w14:paraId="5E4EE69F" w14:textId="679D7B1B" w:rsidR="008A4272" w:rsidRPr="00C73CDD"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3CDD">
        <w:rPr>
          <w:rFonts w:ascii="Garamond" w:hAnsi="Garamond" w:cs="Times New Roman"/>
          <w:color w:val="000000"/>
          <w:sz w:val="24"/>
          <w:szCs w:val="24"/>
          <w:lang w:val="sq-AL"/>
        </w:rPr>
        <w:t xml:space="preserve">36. Gjykata vëren se me kalimin e kohës, kërkuesi i tretë mund të kishte paraqitur një kërkesë për heqjen e urdhrit të sekuestros. Nëse do të kishte vepruar në këtë mënyrë, gjykatat e brendshme do të duhej të kishin vlerësuar nëse masa vijonte të ishte proporcionale dhe e nevojshme. Gjykata tashmë ka pranuar se një kërkesë e tillë është një mjet që duhet të shterohet në rrethanat kur sekuestrimi ishte në fuqi në periudha të zgjatura kohore, dhe në rastet kur kërkuesit argumentojnë se sekuestrimi ka humbur relevancën e tij me kalimin e kohës (krahaso </w:t>
      </w:r>
      <w:r w:rsidRPr="00C73CDD">
        <w:rPr>
          <w:rFonts w:ascii="Garamond" w:hAnsi="Garamond" w:cs="Times New Roman"/>
          <w:i/>
          <w:iCs/>
          <w:color w:val="000000"/>
          <w:sz w:val="24"/>
          <w:szCs w:val="24"/>
          <w:lang w:val="sq-AL"/>
        </w:rPr>
        <w:t xml:space="preserve">Džinić, </w:t>
      </w:r>
      <w:r w:rsidRPr="00C73CDD">
        <w:rPr>
          <w:rFonts w:ascii="Garamond" w:hAnsi="Garamond" w:cs="Times New Roman"/>
          <w:color w:val="000000"/>
          <w:sz w:val="24"/>
          <w:szCs w:val="24"/>
          <w:lang w:val="sq-AL"/>
        </w:rPr>
        <w:t xml:space="preserve">cituar më sipër, §48, dhe </w:t>
      </w:r>
      <w:r w:rsidRPr="00C73CDD">
        <w:rPr>
          <w:rFonts w:ascii="Garamond" w:hAnsi="Garamond" w:cs="Times New Roman"/>
          <w:i/>
          <w:iCs/>
          <w:color w:val="000000"/>
          <w:sz w:val="24"/>
          <w:szCs w:val="24"/>
          <w:lang w:val="sq-AL"/>
        </w:rPr>
        <w:t xml:space="preserve">BENet Praha, spol s.r.o. kundër Republikës së Çekisë, </w:t>
      </w:r>
      <w:r w:rsidRPr="00C73CDD">
        <w:rPr>
          <w:rFonts w:ascii="Garamond" w:hAnsi="Garamond" w:cs="Times New Roman"/>
          <w:color w:val="000000"/>
          <w:sz w:val="24"/>
          <w:szCs w:val="24"/>
          <w:lang w:val="sq-AL"/>
        </w:rPr>
        <w:t xml:space="preserve">nr. 33908/04, § 81, 24 </w:t>
      </w:r>
      <w:r w:rsidR="00686CE1">
        <w:rPr>
          <w:rFonts w:ascii="Garamond" w:hAnsi="Garamond" w:cs="Times New Roman"/>
          <w:color w:val="000000"/>
          <w:sz w:val="24"/>
          <w:szCs w:val="24"/>
          <w:lang w:val="sq-AL"/>
        </w:rPr>
        <w:t>s</w:t>
      </w:r>
      <w:r w:rsidRPr="00C73CDD">
        <w:rPr>
          <w:rFonts w:ascii="Garamond" w:hAnsi="Garamond" w:cs="Times New Roman"/>
          <w:color w:val="000000"/>
          <w:sz w:val="24"/>
          <w:szCs w:val="24"/>
          <w:lang w:val="sq-AL"/>
        </w:rPr>
        <w:t xml:space="preserve">hkurt 2011). </w:t>
      </w:r>
    </w:p>
    <w:p w14:paraId="13F2474B" w14:textId="0C850B3B" w:rsidR="008A4272" w:rsidRPr="00C73CDD"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3CDD">
        <w:rPr>
          <w:rFonts w:ascii="Garamond" w:hAnsi="Garamond" w:cs="Times New Roman"/>
          <w:color w:val="000000"/>
          <w:sz w:val="24"/>
          <w:szCs w:val="24"/>
          <w:lang w:val="sq-AL"/>
        </w:rPr>
        <w:t xml:space="preserve">37. Në lidhje me dëmet e mundshme që mund të ketë vuajtur kërkuesi i tretë për shkak të sekuestrimit të tejzgjatur të pronës së tij, ai mund të kishte ndërmarrë një padi civile ndaj Shtetit, me qëllim përftimin e kompensimit financiar për të gjitha humbjet financiare apo humbje të tjera (krahaso </w:t>
      </w:r>
      <w:r w:rsidRPr="00C73CDD">
        <w:rPr>
          <w:rFonts w:ascii="Garamond" w:hAnsi="Garamond" w:cs="Times New Roman"/>
          <w:i/>
          <w:iCs/>
          <w:color w:val="000000"/>
          <w:sz w:val="24"/>
          <w:szCs w:val="24"/>
          <w:lang w:val="sq-AL"/>
        </w:rPr>
        <w:t>Fu Quan, s.r.o. kundër Republikës së Çekisë</w:t>
      </w:r>
      <w:r w:rsidRPr="00C73CDD">
        <w:rPr>
          <w:rFonts w:ascii="Garamond" w:hAnsi="Garamond" w:cs="Times New Roman"/>
          <w:color w:val="000000"/>
          <w:sz w:val="24"/>
          <w:szCs w:val="24"/>
          <w:lang w:val="sq-AL"/>
        </w:rPr>
        <w:t xml:space="preserve">, [DHM], nr. 24827.14, § 169, 1 </w:t>
      </w:r>
      <w:r w:rsidR="00686CE1" w:rsidRPr="00C73CDD">
        <w:rPr>
          <w:rFonts w:ascii="Garamond" w:hAnsi="Garamond" w:cs="Times New Roman"/>
          <w:color w:val="000000"/>
          <w:sz w:val="24"/>
          <w:szCs w:val="24"/>
          <w:lang w:val="sq-AL"/>
        </w:rPr>
        <w:t xml:space="preserve">qershor </w:t>
      </w:r>
      <w:r w:rsidRPr="00C73CDD">
        <w:rPr>
          <w:rFonts w:ascii="Garamond" w:hAnsi="Garamond" w:cs="Times New Roman"/>
          <w:color w:val="000000"/>
          <w:sz w:val="24"/>
          <w:szCs w:val="24"/>
          <w:lang w:val="sq-AL"/>
        </w:rPr>
        <w:t xml:space="preserve">2023, dhe </w:t>
      </w:r>
      <w:r w:rsidRPr="00C73CDD">
        <w:rPr>
          <w:rFonts w:ascii="Garamond" w:hAnsi="Garamond" w:cs="Times New Roman"/>
          <w:i/>
          <w:iCs/>
          <w:color w:val="000000"/>
          <w:sz w:val="24"/>
          <w:szCs w:val="24"/>
          <w:lang w:val="sq-AL"/>
        </w:rPr>
        <w:t xml:space="preserve">Zlatanov kundër Bullgarisë </w:t>
      </w:r>
      <w:r w:rsidRPr="00C73CDD">
        <w:rPr>
          <w:rFonts w:ascii="Garamond" w:hAnsi="Garamond" w:cs="Times New Roman"/>
          <w:color w:val="000000"/>
          <w:sz w:val="24"/>
          <w:szCs w:val="24"/>
          <w:lang w:val="sq-AL"/>
        </w:rPr>
        <w:t xml:space="preserve">(vendim), nr. 53050/21, §§ 184-85, 30 </w:t>
      </w:r>
      <w:r w:rsidR="00686CE1" w:rsidRPr="00C73CDD">
        <w:rPr>
          <w:rFonts w:ascii="Garamond" w:hAnsi="Garamond" w:cs="Times New Roman"/>
          <w:color w:val="000000"/>
          <w:sz w:val="24"/>
          <w:szCs w:val="24"/>
          <w:lang w:val="sq-AL"/>
        </w:rPr>
        <w:t xml:space="preserve">janar </w:t>
      </w:r>
      <w:r w:rsidRPr="00C73CDD">
        <w:rPr>
          <w:rFonts w:ascii="Garamond" w:hAnsi="Garamond" w:cs="Times New Roman"/>
          <w:color w:val="000000"/>
          <w:sz w:val="24"/>
          <w:szCs w:val="24"/>
          <w:lang w:val="sq-AL"/>
        </w:rPr>
        <w:t xml:space="preserve">2024). Një padi e tillë do të kishte qenë e mundur, në parim, sipas Kodit Civil dhe/ose sipas </w:t>
      </w:r>
      <w:r w:rsidR="00686CE1" w:rsidRPr="00C73CDD">
        <w:rPr>
          <w:rFonts w:ascii="Garamond" w:hAnsi="Garamond" w:cs="Times New Roman"/>
          <w:color w:val="000000"/>
          <w:sz w:val="24"/>
          <w:szCs w:val="24"/>
          <w:lang w:val="sq-AL"/>
        </w:rPr>
        <w:t>ligjit n</w:t>
      </w:r>
      <w:r w:rsidRPr="00C73CDD">
        <w:rPr>
          <w:rFonts w:ascii="Garamond" w:hAnsi="Garamond" w:cs="Times New Roman"/>
          <w:color w:val="000000"/>
          <w:sz w:val="24"/>
          <w:szCs w:val="24"/>
          <w:lang w:val="sq-AL"/>
        </w:rPr>
        <w:t xml:space="preserve">r. 8510 (shih paragrafin 13 më sipër). </w:t>
      </w:r>
    </w:p>
    <w:p w14:paraId="50A5C071" w14:textId="0F1B1B1F" w:rsidR="008A4272" w:rsidRPr="00C73CDD"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3CDD">
        <w:rPr>
          <w:rFonts w:ascii="Garamond" w:hAnsi="Garamond" w:cs="Times New Roman"/>
          <w:color w:val="000000"/>
          <w:sz w:val="24"/>
          <w:szCs w:val="24"/>
          <w:lang w:val="sq-AL"/>
        </w:rPr>
        <w:t xml:space="preserve">38. Në këtë kuadër, Gjykata vëren se kërkuesi i tretë, në të vërtetë paraqiti përpara Gjykatës një padi, midis të tjerash, për dëmshpërblim monetar. Megjithatë, ai nuk e paraqiti një padi të tillë  sipas parashikimeve përkatëse të ligjit vendas, ku gjykatat e brendshme do të caktoheshin për të vlerësuar proporcionalitetin e vijimit të urdhrit të sekuestros dhe/ose ta kompensonin për dëmet, në rastin kur do të kishin kapacitetin për të përzgjedhur dhe vlerësuar provat (shih </w:t>
      </w:r>
      <w:r w:rsidRPr="00C73CDD">
        <w:rPr>
          <w:rFonts w:ascii="Garamond" w:hAnsi="Garamond" w:cs="Times New Roman"/>
          <w:i/>
          <w:iCs/>
          <w:color w:val="000000"/>
          <w:sz w:val="24"/>
          <w:szCs w:val="24"/>
          <w:lang w:val="sq-AL"/>
        </w:rPr>
        <w:t>Joannou kundër Turqisë</w:t>
      </w:r>
      <w:r w:rsidRPr="00C73CDD">
        <w:rPr>
          <w:rFonts w:ascii="Garamond" w:hAnsi="Garamond" w:cs="Times New Roman"/>
          <w:color w:val="000000"/>
          <w:sz w:val="24"/>
          <w:szCs w:val="24"/>
          <w:lang w:val="sq-AL"/>
        </w:rPr>
        <w:t xml:space="preserve">, nr. 53240/14, § 98, 12 </w:t>
      </w:r>
      <w:r w:rsidR="00686CE1" w:rsidRPr="00C73CDD">
        <w:rPr>
          <w:rFonts w:ascii="Garamond" w:hAnsi="Garamond" w:cs="Times New Roman"/>
          <w:color w:val="000000"/>
          <w:sz w:val="24"/>
          <w:szCs w:val="24"/>
          <w:lang w:val="sq-AL"/>
        </w:rPr>
        <w:t xml:space="preserve">dhjetor </w:t>
      </w:r>
      <w:r w:rsidRPr="00C73CDD">
        <w:rPr>
          <w:rFonts w:ascii="Garamond" w:hAnsi="Garamond" w:cs="Times New Roman"/>
          <w:color w:val="000000"/>
          <w:sz w:val="24"/>
          <w:szCs w:val="24"/>
          <w:lang w:val="sq-AL"/>
        </w:rPr>
        <w:t xml:space="preserve">2017). </w:t>
      </w:r>
    </w:p>
    <w:p w14:paraId="01D491BC" w14:textId="339577F4" w:rsidR="008A4272" w:rsidRPr="00C73CDD"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3CDD">
        <w:rPr>
          <w:rFonts w:ascii="Garamond" w:hAnsi="Garamond" w:cs="Times New Roman"/>
          <w:color w:val="000000"/>
          <w:sz w:val="24"/>
          <w:szCs w:val="24"/>
          <w:lang w:val="sq-AL"/>
        </w:rPr>
        <w:t xml:space="preserve">39. Në lidhje me dyshimet e kërkuesit të tretë për perspektivën e suksesit të mjeteve në fjalë, Gjykata ka theksuar se ekzistenca e dyshimeve në lidhje me perspektivën e suksesit të një mjeti të caktuar që është qartazi i dobishëm nuk është një arsye e vlefshme për mos ta shfrytëzuar atë. Një nga aspektet e kërkesës së shterimit është se në procedurat e brendshme kërkuesit duhet të bëjnë një përpjekje të arsyeshme për të përdorur mjetet procedurale  që shërbejnë si parandalues ose mjete kompensuese, sipas rastit, për shkeljen e Konventës, duke përfshirë kërkesat provuese (shih </w:t>
      </w:r>
      <w:r w:rsidRPr="00C73CDD">
        <w:rPr>
          <w:rFonts w:ascii="Garamond" w:hAnsi="Garamond" w:cs="Times New Roman"/>
          <w:i/>
          <w:iCs/>
          <w:color w:val="000000"/>
          <w:sz w:val="24"/>
          <w:szCs w:val="24"/>
          <w:lang w:val="sq-AL"/>
        </w:rPr>
        <w:t>Vučković dhe të tjerë</w:t>
      </w:r>
      <w:r w:rsidRPr="00C73CDD">
        <w:rPr>
          <w:rFonts w:ascii="Garamond" w:hAnsi="Garamond" w:cs="Times New Roman"/>
          <w:color w:val="000000"/>
          <w:sz w:val="24"/>
          <w:szCs w:val="24"/>
          <w:lang w:val="sq-AL"/>
        </w:rPr>
        <w:t xml:space="preserve">, §§ 72 dhe 74, dhe </w:t>
      </w:r>
      <w:r w:rsidRPr="00C73CDD">
        <w:rPr>
          <w:rFonts w:ascii="Garamond" w:hAnsi="Garamond" w:cs="Times New Roman"/>
          <w:i/>
          <w:iCs/>
          <w:color w:val="000000"/>
          <w:sz w:val="24"/>
          <w:szCs w:val="24"/>
          <w:lang w:val="sq-AL"/>
        </w:rPr>
        <w:t>Zlatanov</w:t>
      </w:r>
      <w:r w:rsidRPr="00C73CDD">
        <w:rPr>
          <w:rFonts w:ascii="Garamond" w:hAnsi="Garamond" w:cs="Times New Roman"/>
          <w:color w:val="000000"/>
          <w:sz w:val="24"/>
          <w:szCs w:val="24"/>
          <w:lang w:val="sq-AL"/>
        </w:rPr>
        <w:t xml:space="preserve">, § 192, të dy cituar më sipër). </w:t>
      </w:r>
    </w:p>
    <w:p w14:paraId="52E7953D" w14:textId="667104D8" w:rsidR="008A4272" w:rsidRPr="00C73CDD"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3CDD">
        <w:rPr>
          <w:rFonts w:ascii="Garamond" w:hAnsi="Garamond" w:cs="Times New Roman"/>
          <w:color w:val="000000"/>
          <w:sz w:val="24"/>
          <w:szCs w:val="24"/>
          <w:lang w:val="sq-AL"/>
        </w:rPr>
        <w:t xml:space="preserve">40. Sipas rrethanave, ankesat e kërkuesit të tretë në lidhje me sekuestrimin e zgjatur të pronës së tij duhet të kundërshtohet në mbështetje të </w:t>
      </w:r>
      <w:r w:rsidR="00686CE1">
        <w:rPr>
          <w:rFonts w:ascii="Garamond" w:hAnsi="Garamond" w:cs="Times New Roman"/>
          <w:color w:val="000000"/>
          <w:sz w:val="24"/>
          <w:szCs w:val="24"/>
          <w:lang w:val="sq-AL"/>
        </w:rPr>
        <w:t>n</w:t>
      </w:r>
      <w:r w:rsidRPr="00C73CDD">
        <w:rPr>
          <w:rFonts w:ascii="Garamond" w:hAnsi="Garamond" w:cs="Times New Roman"/>
          <w:color w:val="000000"/>
          <w:sz w:val="24"/>
          <w:szCs w:val="24"/>
          <w:lang w:val="sq-AL"/>
        </w:rPr>
        <w:t xml:space="preserve">enit 35 §§ 1 dhe 4 të Konventës për mosshfrytëzim të mjeteve të brendshme. </w:t>
      </w:r>
    </w:p>
    <w:p w14:paraId="735F16FB" w14:textId="74A74536" w:rsidR="008A4272" w:rsidRPr="00C73CDD"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C73CDD">
        <w:rPr>
          <w:rFonts w:ascii="Garamond" w:hAnsi="Garamond" w:cs="Times New Roman"/>
          <w:b/>
          <w:bCs/>
          <w:color w:val="000000"/>
          <w:sz w:val="24"/>
          <w:szCs w:val="24"/>
          <w:lang w:val="sq-AL"/>
        </w:rPr>
        <w:t>E. Shkelje të tjera të pretenduara të Konventës</w:t>
      </w:r>
    </w:p>
    <w:p w14:paraId="3031F37A" w14:textId="38114124" w:rsidR="008A4272" w:rsidRPr="00C73CDD"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3CDD">
        <w:rPr>
          <w:rFonts w:ascii="Garamond" w:hAnsi="Garamond" w:cs="Times New Roman"/>
          <w:color w:val="000000"/>
          <w:sz w:val="24"/>
          <w:szCs w:val="24"/>
          <w:lang w:val="sq-AL"/>
        </w:rPr>
        <w:t xml:space="preserve">41. Kërkuesit e tretë dhe të katërt u ankuan se sekuestrimi joproporcional i pronës së tyre, i cili rezultoi në rënien e të ardhurave të tyre, kishte rrezikuar shëndetin dhe jetën e tyre në kundërshtim me </w:t>
      </w:r>
      <w:r w:rsidR="00686CE1">
        <w:rPr>
          <w:rFonts w:ascii="Garamond" w:hAnsi="Garamond" w:cs="Times New Roman"/>
          <w:color w:val="000000"/>
          <w:sz w:val="24"/>
          <w:szCs w:val="24"/>
          <w:lang w:val="sq-AL"/>
        </w:rPr>
        <w:t>n</w:t>
      </w:r>
      <w:r w:rsidRPr="00C73CDD">
        <w:rPr>
          <w:rFonts w:ascii="Garamond" w:hAnsi="Garamond" w:cs="Times New Roman"/>
          <w:color w:val="000000"/>
          <w:sz w:val="24"/>
          <w:szCs w:val="24"/>
          <w:lang w:val="sq-AL"/>
        </w:rPr>
        <w:t xml:space="preserve">enin 3 dhe 8 të Konventës. </w:t>
      </w:r>
    </w:p>
    <w:p w14:paraId="075666FD" w14:textId="240470EA" w:rsidR="008A4272" w:rsidRPr="00C73CDD"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3CDD">
        <w:rPr>
          <w:rFonts w:ascii="Garamond" w:hAnsi="Garamond" w:cs="Times New Roman"/>
          <w:color w:val="000000"/>
          <w:sz w:val="24"/>
          <w:szCs w:val="24"/>
          <w:lang w:val="sq-AL"/>
        </w:rPr>
        <w:t xml:space="preserve">42. Gjykata vëren se kërkuesit e tretë dhe të katërt nuk shfrytëzuan mjetet e brendshme në lidhje me këtë ankesa. Në këtë mënyrë, këto ankesa duhet të kundërshtohen në mbështetje të </w:t>
      </w:r>
      <w:r w:rsidR="00341C0A">
        <w:rPr>
          <w:rFonts w:ascii="Garamond" w:hAnsi="Garamond" w:cs="Times New Roman"/>
          <w:color w:val="000000"/>
          <w:sz w:val="24"/>
          <w:szCs w:val="24"/>
          <w:lang w:val="sq-AL"/>
        </w:rPr>
        <w:t>n</w:t>
      </w:r>
      <w:r w:rsidRPr="00C73CDD">
        <w:rPr>
          <w:rFonts w:ascii="Garamond" w:hAnsi="Garamond" w:cs="Times New Roman"/>
          <w:color w:val="000000"/>
          <w:sz w:val="24"/>
          <w:szCs w:val="24"/>
          <w:lang w:val="sq-AL"/>
        </w:rPr>
        <w:t xml:space="preserve">enit 35 §§ 1 dhe 4 të Konventës për mosshfrytëzim të mjeteve të brendshme. </w:t>
      </w:r>
    </w:p>
    <w:p w14:paraId="18B9BF52" w14:textId="34949E7E" w:rsidR="008A4272" w:rsidRPr="00C73CDD"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3CDD">
        <w:rPr>
          <w:rFonts w:ascii="Garamond" w:hAnsi="Garamond" w:cs="Times New Roman"/>
          <w:color w:val="000000"/>
          <w:sz w:val="24"/>
          <w:szCs w:val="24"/>
          <w:lang w:val="sq-AL"/>
        </w:rPr>
        <w:t xml:space="preserve">43. Të gjithë kërkuesit u ankuan se nuk kishin një mjet efektiv sipas interpretimit të </w:t>
      </w:r>
      <w:r w:rsidR="00341C0A">
        <w:rPr>
          <w:rFonts w:ascii="Garamond" w:hAnsi="Garamond" w:cs="Times New Roman"/>
          <w:color w:val="000000"/>
          <w:sz w:val="24"/>
          <w:szCs w:val="24"/>
          <w:lang w:val="sq-AL"/>
        </w:rPr>
        <w:t>n</w:t>
      </w:r>
      <w:r w:rsidRPr="00C73CDD">
        <w:rPr>
          <w:rFonts w:ascii="Garamond" w:hAnsi="Garamond" w:cs="Times New Roman"/>
          <w:color w:val="000000"/>
          <w:sz w:val="24"/>
          <w:szCs w:val="24"/>
          <w:lang w:val="sq-AL"/>
        </w:rPr>
        <w:t xml:space="preserve">enit 13 të Konventës për mbrojtjen e të drejtave të tyre të parashikuara në Konventë. Gjykata vëren se kërkuesit </w:t>
      </w:r>
      <w:r w:rsidRPr="00C73CDD">
        <w:rPr>
          <w:rFonts w:ascii="Garamond" w:hAnsi="Garamond" w:cs="Times New Roman"/>
          <w:color w:val="000000"/>
          <w:sz w:val="24"/>
          <w:szCs w:val="24"/>
          <w:lang w:val="sq-AL"/>
        </w:rPr>
        <w:lastRenderedPageBreak/>
        <w:t xml:space="preserve">kishin mjete të brendshme në dispozicion që nuk i kishin ndjekur. Për këtë arsye, ankesat bërë në mbështetje të </w:t>
      </w:r>
      <w:r w:rsidR="00686CE1">
        <w:rPr>
          <w:rFonts w:ascii="Garamond" w:hAnsi="Garamond" w:cs="Times New Roman"/>
          <w:color w:val="000000"/>
          <w:sz w:val="24"/>
          <w:szCs w:val="24"/>
          <w:lang w:val="sq-AL"/>
        </w:rPr>
        <w:t>n</w:t>
      </w:r>
      <w:r w:rsidRPr="00C73CDD">
        <w:rPr>
          <w:rFonts w:ascii="Garamond" w:hAnsi="Garamond" w:cs="Times New Roman"/>
          <w:color w:val="000000"/>
          <w:sz w:val="24"/>
          <w:szCs w:val="24"/>
          <w:lang w:val="sq-AL"/>
        </w:rPr>
        <w:t xml:space="preserve">enit 13 të Konventës duhet të deklarohen të papranueshme pasi janë qartazi të pabazuara, sipas </w:t>
      </w:r>
      <w:r w:rsidR="00686CE1">
        <w:rPr>
          <w:rFonts w:ascii="Garamond" w:hAnsi="Garamond" w:cs="Times New Roman"/>
          <w:color w:val="000000"/>
          <w:sz w:val="24"/>
          <w:szCs w:val="24"/>
          <w:lang w:val="sq-AL"/>
        </w:rPr>
        <w:t>n</w:t>
      </w:r>
      <w:r w:rsidRPr="00C73CDD">
        <w:rPr>
          <w:rFonts w:ascii="Garamond" w:hAnsi="Garamond" w:cs="Times New Roman"/>
          <w:color w:val="000000"/>
          <w:sz w:val="24"/>
          <w:szCs w:val="24"/>
          <w:lang w:val="sq-AL"/>
        </w:rPr>
        <w:t xml:space="preserve">enit 35 §§ 3 dhe 4 të Konventës. </w:t>
      </w:r>
    </w:p>
    <w:p w14:paraId="71DEED2C" w14:textId="77777777" w:rsidR="00686CE1" w:rsidRDefault="00686CE1" w:rsidP="008A427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362B3B86" w14:textId="15B77D5B" w:rsidR="008A4272" w:rsidRPr="00C73CDD" w:rsidRDefault="00686CE1" w:rsidP="00686CE1">
      <w:pPr>
        <w:tabs>
          <w:tab w:val="left" w:pos="560"/>
          <w:tab w:val="left" w:pos="1120"/>
        </w:tabs>
        <w:autoSpaceDE w:val="0"/>
        <w:autoSpaceDN w:val="0"/>
        <w:adjustRightInd w:val="0"/>
        <w:spacing w:after="0" w:line="240" w:lineRule="auto"/>
        <w:ind w:firstLine="284"/>
        <w:jc w:val="center"/>
        <w:rPr>
          <w:rFonts w:ascii="Garamond" w:hAnsi="Garamond" w:cs="Times New Roman"/>
          <w:color w:val="000000"/>
          <w:sz w:val="24"/>
          <w:szCs w:val="24"/>
          <w:lang w:val="sq-AL"/>
        </w:rPr>
      </w:pPr>
      <w:r w:rsidRPr="00C73CDD">
        <w:rPr>
          <w:rFonts w:ascii="Garamond" w:hAnsi="Garamond" w:cs="Times New Roman"/>
          <w:color w:val="000000"/>
          <w:sz w:val="24"/>
          <w:szCs w:val="24"/>
          <w:lang w:val="sq-AL"/>
        </w:rPr>
        <w:t>PËR KËTO ARSYE, GJYKATA, NË MËNYRË UNANIME,</w:t>
      </w:r>
    </w:p>
    <w:p w14:paraId="28F179B4" w14:textId="77777777" w:rsidR="00686CE1" w:rsidRDefault="00686CE1" w:rsidP="008A4272">
      <w:pPr>
        <w:tabs>
          <w:tab w:val="left" w:pos="560"/>
          <w:tab w:val="left" w:pos="1120"/>
        </w:tabs>
        <w:autoSpaceDE w:val="0"/>
        <w:autoSpaceDN w:val="0"/>
        <w:adjustRightInd w:val="0"/>
        <w:spacing w:after="0" w:line="240" w:lineRule="auto"/>
        <w:ind w:firstLine="284"/>
        <w:jc w:val="both"/>
        <w:rPr>
          <w:rFonts w:ascii="Garamond" w:hAnsi="Garamond" w:cs="Times New Roman"/>
          <w:i/>
          <w:iCs/>
          <w:color w:val="000000"/>
          <w:sz w:val="24"/>
          <w:szCs w:val="24"/>
          <w:lang w:val="sq-AL"/>
        </w:rPr>
      </w:pPr>
    </w:p>
    <w:p w14:paraId="4CDDD7AD" w14:textId="103DABB8" w:rsidR="008A4272" w:rsidRPr="00C73CDD"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3CDD">
        <w:rPr>
          <w:rFonts w:ascii="Garamond" w:hAnsi="Garamond" w:cs="Times New Roman"/>
          <w:i/>
          <w:iCs/>
          <w:color w:val="000000"/>
          <w:sz w:val="24"/>
          <w:szCs w:val="24"/>
          <w:lang w:val="sq-AL"/>
        </w:rPr>
        <w:t xml:space="preserve">Vendos </w:t>
      </w:r>
      <w:r w:rsidRPr="00C73CDD">
        <w:rPr>
          <w:rFonts w:ascii="Garamond" w:hAnsi="Garamond" w:cs="Times New Roman"/>
          <w:color w:val="000000"/>
          <w:sz w:val="24"/>
          <w:szCs w:val="24"/>
          <w:lang w:val="sq-AL"/>
        </w:rPr>
        <w:t xml:space="preserve">t’i bashkojë kërkesat; </w:t>
      </w:r>
    </w:p>
    <w:p w14:paraId="4333DE00" w14:textId="77777777" w:rsidR="008A4272" w:rsidRPr="00C73CDD"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3CDD">
        <w:rPr>
          <w:rFonts w:ascii="Garamond" w:hAnsi="Garamond" w:cs="Times New Roman"/>
          <w:i/>
          <w:iCs/>
          <w:color w:val="000000"/>
          <w:sz w:val="24"/>
          <w:szCs w:val="24"/>
          <w:lang w:val="sq-AL"/>
        </w:rPr>
        <w:t xml:space="preserve">E shpall </w:t>
      </w:r>
      <w:r w:rsidRPr="00C73CDD">
        <w:rPr>
          <w:rFonts w:ascii="Garamond" w:hAnsi="Garamond" w:cs="Times New Roman"/>
          <w:color w:val="000000"/>
          <w:sz w:val="24"/>
          <w:szCs w:val="24"/>
          <w:lang w:val="sq-AL"/>
        </w:rPr>
        <w:t>kërkesën të papranueshme.</w:t>
      </w:r>
    </w:p>
    <w:p w14:paraId="065FBBC8" w14:textId="04C4697F" w:rsidR="008A4272" w:rsidRPr="00C73CDD" w:rsidRDefault="008A4272" w:rsidP="008A427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3CDD">
        <w:rPr>
          <w:rFonts w:ascii="Garamond" w:hAnsi="Garamond" w:cs="Times New Roman"/>
          <w:color w:val="000000"/>
          <w:sz w:val="24"/>
          <w:szCs w:val="24"/>
          <w:lang w:val="sq-AL"/>
        </w:rPr>
        <w:t xml:space="preserve">Hartuar në anglisht dhe njoftuar me shkrim më 14 </w:t>
      </w:r>
      <w:r w:rsidR="00686CE1">
        <w:rPr>
          <w:rFonts w:ascii="Garamond" w:hAnsi="Garamond" w:cs="Times New Roman"/>
          <w:color w:val="000000"/>
          <w:sz w:val="24"/>
          <w:szCs w:val="24"/>
          <w:lang w:val="sq-AL"/>
        </w:rPr>
        <w:t>n</w:t>
      </w:r>
      <w:r w:rsidRPr="00C73CDD">
        <w:rPr>
          <w:rFonts w:ascii="Garamond" w:hAnsi="Garamond" w:cs="Times New Roman"/>
          <w:color w:val="000000"/>
          <w:sz w:val="24"/>
          <w:szCs w:val="24"/>
          <w:lang w:val="sq-AL"/>
        </w:rPr>
        <w:t xml:space="preserve">ëntor 2024. </w:t>
      </w:r>
    </w:p>
    <w:p w14:paraId="21B3AC5E" w14:textId="7055AF1D" w:rsidR="008A4272" w:rsidRPr="00C73CDD" w:rsidRDefault="008A4272" w:rsidP="008A4272">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985"/>
      </w:tblGrid>
      <w:tr w:rsidR="008A4272" w:rsidRPr="00C73CDD" w14:paraId="7CA1575E" w14:textId="77777777" w:rsidTr="008A4272">
        <w:tc>
          <w:tcPr>
            <w:tcW w:w="2263" w:type="dxa"/>
          </w:tcPr>
          <w:p w14:paraId="23252E4D" w14:textId="77777777" w:rsidR="008A4272" w:rsidRPr="00C73CDD" w:rsidRDefault="008A4272" w:rsidP="00C73CDD">
            <w:pPr>
              <w:tabs>
                <w:tab w:val="left" w:pos="560"/>
                <w:tab w:val="left" w:pos="1120"/>
              </w:tabs>
              <w:autoSpaceDE w:val="0"/>
              <w:autoSpaceDN w:val="0"/>
              <w:adjustRightInd w:val="0"/>
              <w:jc w:val="both"/>
              <w:rPr>
                <w:rFonts w:ascii="Garamond" w:hAnsi="Garamond" w:cs="Times New Roman"/>
                <w:b/>
                <w:color w:val="000000"/>
                <w:sz w:val="24"/>
                <w:szCs w:val="24"/>
                <w:lang w:val="sq-AL"/>
              </w:rPr>
            </w:pPr>
            <w:r w:rsidRPr="00C73CDD">
              <w:rPr>
                <w:rFonts w:ascii="Garamond" w:hAnsi="Garamond" w:cs="Times New Roman"/>
                <w:b/>
                <w:color w:val="000000"/>
                <w:sz w:val="24"/>
                <w:szCs w:val="24"/>
                <w:lang w:val="sq-AL"/>
              </w:rPr>
              <w:t xml:space="preserve">Olga Chernishova </w:t>
            </w:r>
          </w:p>
          <w:p w14:paraId="646E11F1" w14:textId="77777777" w:rsidR="008A4272" w:rsidRPr="00C73CDD" w:rsidRDefault="008A4272" w:rsidP="00C73CDD">
            <w:pPr>
              <w:tabs>
                <w:tab w:val="left" w:pos="560"/>
                <w:tab w:val="left" w:pos="1120"/>
              </w:tabs>
              <w:autoSpaceDE w:val="0"/>
              <w:autoSpaceDN w:val="0"/>
              <w:adjustRightInd w:val="0"/>
              <w:jc w:val="both"/>
              <w:rPr>
                <w:rFonts w:ascii="Garamond" w:hAnsi="Garamond" w:cs="Times New Roman"/>
                <w:color w:val="000000"/>
                <w:sz w:val="24"/>
                <w:szCs w:val="24"/>
                <w:lang w:val="sq-AL"/>
              </w:rPr>
            </w:pPr>
            <w:r w:rsidRPr="00C73CDD">
              <w:rPr>
                <w:rFonts w:ascii="Garamond" w:hAnsi="Garamond" w:cs="Times New Roman"/>
                <w:color w:val="000000"/>
                <w:sz w:val="24"/>
                <w:szCs w:val="24"/>
                <w:lang w:val="sq-AL"/>
              </w:rPr>
              <w:t>Zëvendëssekretare</w:t>
            </w:r>
          </w:p>
        </w:tc>
        <w:tc>
          <w:tcPr>
            <w:tcW w:w="1985" w:type="dxa"/>
          </w:tcPr>
          <w:p w14:paraId="6DB33FD0" w14:textId="77777777" w:rsidR="008A4272" w:rsidRPr="00C73CDD" w:rsidRDefault="008A4272" w:rsidP="00C73CDD">
            <w:pPr>
              <w:tabs>
                <w:tab w:val="left" w:pos="560"/>
                <w:tab w:val="left" w:pos="1120"/>
              </w:tabs>
              <w:autoSpaceDE w:val="0"/>
              <w:autoSpaceDN w:val="0"/>
              <w:adjustRightInd w:val="0"/>
              <w:jc w:val="both"/>
              <w:rPr>
                <w:rFonts w:ascii="Garamond" w:hAnsi="Garamond" w:cs="Times New Roman"/>
                <w:b/>
                <w:color w:val="000000"/>
                <w:sz w:val="24"/>
                <w:szCs w:val="24"/>
                <w:lang w:val="sq-AL"/>
              </w:rPr>
            </w:pPr>
            <w:r w:rsidRPr="00C73CDD">
              <w:rPr>
                <w:rFonts w:ascii="Garamond" w:hAnsi="Garamond" w:cs="Times New Roman"/>
                <w:b/>
                <w:color w:val="000000"/>
                <w:sz w:val="24"/>
                <w:szCs w:val="24"/>
                <w:lang w:val="sq-AL"/>
              </w:rPr>
              <w:t xml:space="preserve">Ioannis Ktistakis </w:t>
            </w:r>
          </w:p>
          <w:p w14:paraId="10A3F2AB" w14:textId="77777777" w:rsidR="008A4272" w:rsidRPr="00C73CDD" w:rsidRDefault="008A4272" w:rsidP="00C73CDD">
            <w:pPr>
              <w:tabs>
                <w:tab w:val="left" w:pos="560"/>
                <w:tab w:val="left" w:pos="1120"/>
              </w:tabs>
              <w:autoSpaceDE w:val="0"/>
              <w:autoSpaceDN w:val="0"/>
              <w:adjustRightInd w:val="0"/>
              <w:jc w:val="both"/>
              <w:rPr>
                <w:rFonts w:ascii="Garamond" w:hAnsi="Garamond" w:cs="Times New Roman"/>
                <w:color w:val="000000"/>
                <w:sz w:val="24"/>
                <w:szCs w:val="24"/>
                <w:lang w:val="sq-AL"/>
              </w:rPr>
            </w:pPr>
            <w:r w:rsidRPr="00C73CDD">
              <w:rPr>
                <w:rFonts w:ascii="Garamond" w:hAnsi="Garamond" w:cs="Times New Roman"/>
                <w:color w:val="000000"/>
                <w:sz w:val="24"/>
                <w:szCs w:val="24"/>
                <w:lang w:val="sq-AL"/>
              </w:rPr>
              <w:t>Kryetar</w:t>
            </w:r>
          </w:p>
        </w:tc>
      </w:tr>
    </w:tbl>
    <w:p w14:paraId="222BE333" w14:textId="044A8036" w:rsidR="008A4272" w:rsidRPr="00C73CDD" w:rsidRDefault="008A4272" w:rsidP="008A4272">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p>
    <w:p w14:paraId="406D55DF" w14:textId="77777777" w:rsidR="00FB5480" w:rsidRPr="00C73CDD" w:rsidRDefault="00FB5480" w:rsidP="00FB5480">
      <w:pPr>
        <w:pStyle w:val="ECHRDecisionBody"/>
        <w:spacing w:line="276" w:lineRule="auto"/>
        <w:jc w:val="center"/>
        <w:rPr>
          <w:b/>
          <w:bCs/>
          <w:iCs/>
        </w:rPr>
      </w:pPr>
      <w:r w:rsidRPr="00686CE1">
        <w:rPr>
          <w:bCs/>
          <w:iCs/>
        </w:rPr>
        <w:t>SHTOJCË</w:t>
      </w:r>
    </w:p>
    <w:p w14:paraId="10D277B3" w14:textId="09E791B5" w:rsidR="00FB5480" w:rsidRPr="00C73CDD" w:rsidRDefault="00FB5480" w:rsidP="00FB5480">
      <w:pPr>
        <w:pStyle w:val="ECHRDecisionBody"/>
        <w:spacing w:line="276" w:lineRule="auto"/>
        <w:jc w:val="both"/>
        <w:rPr>
          <w:iCs/>
        </w:rPr>
      </w:pPr>
      <w:r w:rsidRPr="00C73CDD">
        <w:rPr>
          <w:iCs/>
        </w:rPr>
        <w:t>Lista e çështjeve</w:t>
      </w:r>
    </w:p>
    <w:tbl>
      <w:tblPr>
        <w:tblStyle w:val="TableGrid"/>
        <w:tblW w:w="9918" w:type="dxa"/>
        <w:tblLook w:val="04A0" w:firstRow="1" w:lastRow="0" w:firstColumn="1" w:lastColumn="0" w:noHBand="0" w:noVBand="1"/>
      </w:tblPr>
      <w:tblGrid>
        <w:gridCol w:w="562"/>
        <w:gridCol w:w="3874"/>
        <w:gridCol w:w="2102"/>
        <w:gridCol w:w="1683"/>
        <w:gridCol w:w="1697"/>
      </w:tblGrid>
      <w:tr w:rsidR="00FB5480" w:rsidRPr="00C73CDD" w14:paraId="3BCE3835" w14:textId="77777777" w:rsidTr="00C73CDD">
        <w:trPr>
          <w:tblHeader/>
        </w:trPr>
        <w:tc>
          <w:tcPr>
            <w:tcW w:w="562" w:type="dxa"/>
          </w:tcPr>
          <w:p w14:paraId="7546C758" w14:textId="77777777" w:rsidR="00FB5480" w:rsidRPr="00C73CDD" w:rsidRDefault="00FB5480" w:rsidP="00FB5480">
            <w:pPr>
              <w:pStyle w:val="ECHRDecisionBody"/>
              <w:spacing w:after="0" w:line="240" w:lineRule="auto"/>
              <w:jc w:val="center"/>
              <w:rPr>
                <w:rFonts w:ascii="Garamond" w:hAnsi="Garamond"/>
                <w:b/>
                <w:bCs/>
                <w:iCs/>
                <w:sz w:val="20"/>
              </w:rPr>
            </w:pPr>
            <w:r w:rsidRPr="00C73CDD">
              <w:rPr>
                <w:rFonts w:ascii="Garamond" w:hAnsi="Garamond"/>
                <w:b/>
                <w:bCs/>
                <w:iCs/>
                <w:sz w:val="20"/>
              </w:rPr>
              <w:t xml:space="preserve">Nr. </w:t>
            </w:r>
          </w:p>
        </w:tc>
        <w:tc>
          <w:tcPr>
            <w:tcW w:w="3874" w:type="dxa"/>
          </w:tcPr>
          <w:p w14:paraId="375A7973" w14:textId="77777777" w:rsidR="00FB5480" w:rsidRPr="00C73CDD" w:rsidRDefault="00FB5480" w:rsidP="00FB5480">
            <w:pPr>
              <w:pStyle w:val="ECHRDecisionBody"/>
              <w:spacing w:after="0" w:line="240" w:lineRule="auto"/>
              <w:jc w:val="center"/>
              <w:rPr>
                <w:rFonts w:ascii="Garamond" w:hAnsi="Garamond"/>
                <w:b/>
                <w:bCs/>
                <w:iCs/>
                <w:sz w:val="20"/>
              </w:rPr>
            </w:pPr>
            <w:r w:rsidRPr="00C73CDD">
              <w:rPr>
                <w:rFonts w:ascii="Garamond" w:hAnsi="Garamond"/>
                <w:b/>
                <w:bCs/>
                <w:iCs/>
                <w:sz w:val="20"/>
              </w:rPr>
              <w:t>Emri i kërkuesit</w:t>
            </w:r>
          </w:p>
        </w:tc>
        <w:tc>
          <w:tcPr>
            <w:tcW w:w="2102" w:type="dxa"/>
          </w:tcPr>
          <w:p w14:paraId="24F1FBA2" w14:textId="77777777" w:rsidR="00FB5480" w:rsidRPr="00C73CDD" w:rsidRDefault="00FB5480" w:rsidP="00FB5480">
            <w:pPr>
              <w:pStyle w:val="ECHRDecisionBody"/>
              <w:spacing w:after="0" w:line="240" w:lineRule="auto"/>
              <w:jc w:val="center"/>
              <w:rPr>
                <w:rFonts w:ascii="Garamond" w:hAnsi="Garamond"/>
                <w:b/>
                <w:bCs/>
                <w:iCs/>
                <w:sz w:val="20"/>
              </w:rPr>
            </w:pPr>
            <w:r w:rsidRPr="00C73CDD">
              <w:rPr>
                <w:rFonts w:ascii="Garamond" w:hAnsi="Garamond"/>
                <w:b/>
                <w:bCs/>
                <w:iCs/>
                <w:sz w:val="20"/>
              </w:rPr>
              <w:t>Emri i çështjes</w:t>
            </w:r>
          </w:p>
        </w:tc>
        <w:tc>
          <w:tcPr>
            <w:tcW w:w="1683" w:type="dxa"/>
          </w:tcPr>
          <w:p w14:paraId="724F3AEF" w14:textId="77777777" w:rsidR="00FB5480" w:rsidRPr="00C73CDD" w:rsidRDefault="00FB5480" w:rsidP="00FB5480">
            <w:pPr>
              <w:pStyle w:val="ECHRDecisionBody"/>
              <w:spacing w:after="0" w:line="240" w:lineRule="auto"/>
              <w:jc w:val="center"/>
              <w:rPr>
                <w:rFonts w:ascii="Garamond" w:hAnsi="Garamond"/>
                <w:b/>
                <w:bCs/>
                <w:iCs/>
                <w:sz w:val="20"/>
              </w:rPr>
            </w:pPr>
            <w:r w:rsidRPr="00C73CDD">
              <w:rPr>
                <w:rFonts w:ascii="Garamond" w:hAnsi="Garamond"/>
                <w:b/>
                <w:bCs/>
                <w:iCs/>
                <w:sz w:val="20"/>
              </w:rPr>
              <w:t>Kombësia  e kërkuesit</w:t>
            </w:r>
          </w:p>
        </w:tc>
        <w:tc>
          <w:tcPr>
            <w:tcW w:w="1697" w:type="dxa"/>
          </w:tcPr>
          <w:p w14:paraId="6494CECB" w14:textId="77777777" w:rsidR="00FB5480" w:rsidRPr="00C73CDD" w:rsidRDefault="00FB5480" w:rsidP="00FB5480">
            <w:pPr>
              <w:pStyle w:val="ECHRDecisionBody"/>
              <w:spacing w:after="0" w:line="240" w:lineRule="auto"/>
              <w:jc w:val="center"/>
              <w:rPr>
                <w:rFonts w:ascii="Garamond" w:hAnsi="Garamond"/>
                <w:b/>
                <w:bCs/>
                <w:iCs/>
                <w:sz w:val="20"/>
              </w:rPr>
            </w:pPr>
            <w:r w:rsidRPr="00C73CDD">
              <w:rPr>
                <w:rFonts w:ascii="Garamond" w:hAnsi="Garamond"/>
                <w:b/>
                <w:bCs/>
                <w:iCs/>
                <w:sz w:val="20"/>
              </w:rPr>
              <w:t xml:space="preserve">Përfaqësuar nga </w:t>
            </w:r>
          </w:p>
        </w:tc>
      </w:tr>
      <w:tr w:rsidR="00FB5480" w:rsidRPr="00C73CDD" w14:paraId="35609AB5" w14:textId="77777777" w:rsidTr="00C73CDD">
        <w:tc>
          <w:tcPr>
            <w:tcW w:w="562" w:type="dxa"/>
          </w:tcPr>
          <w:p w14:paraId="714F29C2" w14:textId="77777777" w:rsidR="00FB5480" w:rsidRPr="00C73CDD" w:rsidRDefault="00FB5480" w:rsidP="00FB5480">
            <w:pPr>
              <w:pStyle w:val="ECHRDecisionBody"/>
              <w:spacing w:after="0" w:line="240" w:lineRule="auto"/>
              <w:rPr>
                <w:rFonts w:ascii="Garamond" w:hAnsi="Garamond"/>
                <w:iCs/>
                <w:sz w:val="20"/>
              </w:rPr>
            </w:pPr>
            <w:r w:rsidRPr="00C73CDD">
              <w:rPr>
                <w:rFonts w:ascii="Garamond" w:hAnsi="Garamond"/>
                <w:iCs/>
                <w:sz w:val="20"/>
              </w:rPr>
              <w:t>1</w:t>
            </w:r>
          </w:p>
        </w:tc>
        <w:tc>
          <w:tcPr>
            <w:tcW w:w="3874" w:type="dxa"/>
          </w:tcPr>
          <w:p w14:paraId="0501F5E2" w14:textId="77777777" w:rsidR="00FB5480" w:rsidRPr="00C73CDD" w:rsidRDefault="00FB5480" w:rsidP="00FB5480">
            <w:pPr>
              <w:pStyle w:val="ECHRDecisionBody"/>
              <w:spacing w:after="0" w:line="240" w:lineRule="auto"/>
              <w:rPr>
                <w:rFonts w:ascii="Garamond" w:hAnsi="Garamond"/>
                <w:iCs/>
                <w:sz w:val="20"/>
              </w:rPr>
            </w:pPr>
            <w:r w:rsidRPr="00C73CDD">
              <w:rPr>
                <w:rFonts w:ascii="Garamond" w:hAnsi="Garamond"/>
                <w:iCs/>
                <w:sz w:val="20"/>
              </w:rPr>
              <w:t>48729/08</w:t>
            </w:r>
          </w:p>
        </w:tc>
        <w:tc>
          <w:tcPr>
            <w:tcW w:w="2102" w:type="dxa"/>
          </w:tcPr>
          <w:p w14:paraId="3742A310" w14:textId="77777777" w:rsidR="00FB5480" w:rsidRPr="00C73CDD" w:rsidRDefault="00FB5480" w:rsidP="00FB5480">
            <w:pPr>
              <w:pStyle w:val="ECHRDecisionBody"/>
              <w:spacing w:after="0" w:line="240" w:lineRule="auto"/>
              <w:rPr>
                <w:rFonts w:ascii="Garamond" w:hAnsi="Garamond"/>
                <w:iCs/>
                <w:sz w:val="20"/>
              </w:rPr>
            </w:pPr>
            <w:r w:rsidRPr="00C73CDD">
              <w:rPr>
                <w:rFonts w:ascii="Garamond" w:hAnsi="Garamond"/>
                <w:iCs/>
                <w:sz w:val="20"/>
              </w:rPr>
              <w:t>Shoqëria Përparimi SHA kundër Shqipërisë</w:t>
            </w:r>
          </w:p>
        </w:tc>
        <w:tc>
          <w:tcPr>
            <w:tcW w:w="1683" w:type="dxa"/>
          </w:tcPr>
          <w:p w14:paraId="12766CFD" w14:textId="7662E0BE" w:rsidR="00FB5480" w:rsidRPr="00C73CDD" w:rsidRDefault="00FB5480" w:rsidP="00FB5480">
            <w:pPr>
              <w:pStyle w:val="ECHRDecisionBody"/>
              <w:spacing w:after="0" w:line="240" w:lineRule="auto"/>
              <w:rPr>
                <w:rFonts w:ascii="Garamond" w:hAnsi="Garamond"/>
                <w:iCs/>
                <w:sz w:val="20"/>
              </w:rPr>
            </w:pPr>
            <w:r w:rsidRPr="00C73CDD">
              <w:rPr>
                <w:rFonts w:ascii="Garamond" w:hAnsi="Garamond"/>
                <w:b/>
                <w:bCs/>
                <w:iCs/>
                <w:sz w:val="20"/>
              </w:rPr>
              <w:t xml:space="preserve">Shoqëria Përparimi </w:t>
            </w:r>
            <w:r w:rsidR="00686CE1">
              <w:rPr>
                <w:rFonts w:ascii="Garamond" w:hAnsi="Garamond"/>
                <w:b/>
                <w:bCs/>
                <w:iCs/>
                <w:sz w:val="20"/>
              </w:rPr>
              <w:t>sh.a.</w:t>
            </w:r>
          </w:p>
          <w:p w14:paraId="643FE705" w14:textId="77777777" w:rsidR="00FB5480" w:rsidRPr="00C73CDD" w:rsidRDefault="00FB5480" w:rsidP="00FB5480">
            <w:pPr>
              <w:pStyle w:val="ECHRDecisionBody"/>
              <w:spacing w:after="0" w:line="240" w:lineRule="auto"/>
              <w:rPr>
                <w:rFonts w:ascii="Garamond" w:hAnsi="Garamond"/>
                <w:iCs/>
                <w:sz w:val="20"/>
              </w:rPr>
            </w:pPr>
            <w:r w:rsidRPr="00C73CDD">
              <w:rPr>
                <w:rFonts w:ascii="Garamond" w:hAnsi="Garamond"/>
                <w:iCs/>
                <w:sz w:val="20"/>
              </w:rPr>
              <w:t xml:space="preserve">Shqiptar </w:t>
            </w:r>
          </w:p>
        </w:tc>
        <w:tc>
          <w:tcPr>
            <w:tcW w:w="1697" w:type="dxa"/>
          </w:tcPr>
          <w:p w14:paraId="028EA51A" w14:textId="77777777" w:rsidR="00FB5480" w:rsidRPr="00C73CDD" w:rsidRDefault="00FB5480" w:rsidP="00FB5480">
            <w:pPr>
              <w:pStyle w:val="ECHRDecisionBody"/>
              <w:spacing w:after="0" w:line="240" w:lineRule="auto"/>
              <w:rPr>
                <w:rFonts w:ascii="Garamond" w:hAnsi="Garamond"/>
                <w:iCs/>
                <w:sz w:val="20"/>
              </w:rPr>
            </w:pPr>
            <w:r w:rsidRPr="00C73CDD">
              <w:rPr>
                <w:rFonts w:ascii="Garamond" w:hAnsi="Garamond"/>
                <w:iCs/>
                <w:sz w:val="20"/>
              </w:rPr>
              <w:t>Diana SYZIU</w:t>
            </w:r>
          </w:p>
        </w:tc>
      </w:tr>
      <w:tr w:rsidR="00FB5480" w:rsidRPr="00C73CDD" w14:paraId="2451B09A" w14:textId="77777777" w:rsidTr="00C73CDD">
        <w:tc>
          <w:tcPr>
            <w:tcW w:w="562" w:type="dxa"/>
          </w:tcPr>
          <w:p w14:paraId="561BD770" w14:textId="77777777" w:rsidR="00FB5480" w:rsidRPr="00C73CDD" w:rsidRDefault="00FB5480" w:rsidP="00FB5480">
            <w:pPr>
              <w:pStyle w:val="ECHRDecisionBody"/>
              <w:spacing w:after="0" w:line="240" w:lineRule="auto"/>
              <w:rPr>
                <w:rFonts w:ascii="Garamond" w:hAnsi="Garamond"/>
                <w:iCs/>
                <w:sz w:val="20"/>
              </w:rPr>
            </w:pPr>
            <w:r w:rsidRPr="00C73CDD">
              <w:rPr>
                <w:rFonts w:ascii="Garamond" w:hAnsi="Garamond"/>
                <w:iCs/>
                <w:sz w:val="20"/>
              </w:rPr>
              <w:t>2</w:t>
            </w:r>
          </w:p>
        </w:tc>
        <w:tc>
          <w:tcPr>
            <w:tcW w:w="3874" w:type="dxa"/>
          </w:tcPr>
          <w:p w14:paraId="0524D1B0" w14:textId="77777777" w:rsidR="00FB5480" w:rsidRPr="00C73CDD" w:rsidRDefault="00FB5480" w:rsidP="00FB5480">
            <w:pPr>
              <w:pStyle w:val="ECHRDecisionBody"/>
              <w:spacing w:after="0" w:line="240" w:lineRule="auto"/>
              <w:rPr>
                <w:rFonts w:ascii="Garamond" w:hAnsi="Garamond"/>
                <w:iCs/>
                <w:sz w:val="20"/>
              </w:rPr>
            </w:pPr>
            <w:r w:rsidRPr="00C73CDD">
              <w:rPr>
                <w:rFonts w:ascii="Garamond" w:hAnsi="Garamond"/>
                <w:iCs/>
                <w:sz w:val="20"/>
              </w:rPr>
              <w:t>48740/08</w:t>
            </w:r>
          </w:p>
        </w:tc>
        <w:tc>
          <w:tcPr>
            <w:tcW w:w="2102" w:type="dxa"/>
          </w:tcPr>
          <w:p w14:paraId="708CF2EC" w14:textId="183D5D70" w:rsidR="00FB5480" w:rsidRPr="00C73CDD" w:rsidRDefault="00FB5480" w:rsidP="00FB5480">
            <w:pPr>
              <w:pStyle w:val="ECHRDecisionBody"/>
              <w:spacing w:after="0" w:line="240" w:lineRule="auto"/>
              <w:rPr>
                <w:rFonts w:ascii="Garamond" w:hAnsi="Garamond"/>
                <w:iCs/>
                <w:sz w:val="20"/>
              </w:rPr>
            </w:pPr>
            <w:r w:rsidRPr="00C73CDD">
              <w:rPr>
                <w:rFonts w:ascii="Garamond" w:hAnsi="Garamond"/>
                <w:iCs/>
                <w:sz w:val="20"/>
              </w:rPr>
              <w:t xml:space="preserve">Park Construction Albania </w:t>
            </w:r>
            <w:r w:rsidR="00686CE1">
              <w:rPr>
                <w:rFonts w:ascii="Garamond" w:hAnsi="Garamond"/>
                <w:iCs/>
                <w:sz w:val="20"/>
              </w:rPr>
              <w:t>sh.p.k.</w:t>
            </w:r>
            <w:r w:rsidRPr="00C73CDD">
              <w:rPr>
                <w:rFonts w:ascii="Garamond" w:hAnsi="Garamond"/>
                <w:iCs/>
                <w:sz w:val="20"/>
              </w:rPr>
              <w:t xml:space="preserve"> kundër Shqipërisë</w:t>
            </w:r>
          </w:p>
        </w:tc>
        <w:tc>
          <w:tcPr>
            <w:tcW w:w="1683" w:type="dxa"/>
          </w:tcPr>
          <w:p w14:paraId="6A504B75" w14:textId="7FF427A1" w:rsidR="00FB5480" w:rsidRPr="00C73CDD" w:rsidRDefault="00FB5480" w:rsidP="00FB5480">
            <w:pPr>
              <w:pStyle w:val="ECHRDecisionBody"/>
              <w:spacing w:after="0" w:line="240" w:lineRule="auto"/>
              <w:rPr>
                <w:rFonts w:ascii="Garamond" w:hAnsi="Garamond"/>
                <w:b/>
                <w:bCs/>
                <w:iCs/>
                <w:sz w:val="20"/>
              </w:rPr>
            </w:pPr>
            <w:r w:rsidRPr="00C73CDD">
              <w:rPr>
                <w:rFonts w:ascii="Garamond" w:hAnsi="Garamond"/>
                <w:b/>
                <w:bCs/>
                <w:iCs/>
                <w:sz w:val="20"/>
              </w:rPr>
              <w:t xml:space="preserve">Park Construction Albania </w:t>
            </w:r>
            <w:r w:rsidR="00686CE1">
              <w:rPr>
                <w:rFonts w:ascii="Garamond" w:hAnsi="Garamond"/>
                <w:b/>
                <w:bCs/>
                <w:iCs/>
                <w:sz w:val="20"/>
              </w:rPr>
              <w:t>sh.p.k.</w:t>
            </w:r>
          </w:p>
          <w:p w14:paraId="256BADEF" w14:textId="77777777" w:rsidR="00FB5480" w:rsidRPr="00C73CDD" w:rsidRDefault="00FB5480" w:rsidP="00FB5480">
            <w:pPr>
              <w:pStyle w:val="ECHRDecisionBody"/>
              <w:spacing w:after="0" w:line="240" w:lineRule="auto"/>
              <w:rPr>
                <w:rFonts w:ascii="Garamond" w:hAnsi="Garamond"/>
                <w:iCs/>
                <w:sz w:val="20"/>
              </w:rPr>
            </w:pPr>
            <w:r w:rsidRPr="00C73CDD">
              <w:rPr>
                <w:rFonts w:ascii="Garamond" w:hAnsi="Garamond"/>
                <w:iCs/>
                <w:sz w:val="20"/>
              </w:rPr>
              <w:t>Shqiptar</w:t>
            </w:r>
          </w:p>
        </w:tc>
        <w:tc>
          <w:tcPr>
            <w:tcW w:w="1697" w:type="dxa"/>
          </w:tcPr>
          <w:p w14:paraId="2EFC68EA" w14:textId="77777777" w:rsidR="00FB5480" w:rsidRPr="00C73CDD" w:rsidRDefault="00FB5480" w:rsidP="00FB5480">
            <w:pPr>
              <w:pStyle w:val="ECHRDecisionBody"/>
              <w:spacing w:after="0" w:line="240" w:lineRule="auto"/>
              <w:rPr>
                <w:rFonts w:ascii="Garamond" w:hAnsi="Garamond"/>
                <w:iCs/>
                <w:sz w:val="20"/>
              </w:rPr>
            </w:pPr>
            <w:r w:rsidRPr="00C73CDD">
              <w:rPr>
                <w:rFonts w:ascii="Garamond" w:hAnsi="Garamond"/>
                <w:iCs/>
                <w:sz w:val="20"/>
              </w:rPr>
              <w:t>Diana SYZIU</w:t>
            </w:r>
          </w:p>
        </w:tc>
      </w:tr>
      <w:tr w:rsidR="00FB5480" w:rsidRPr="00C73CDD" w14:paraId="36B30233" w14:textId="77777777" w:rsidTr="00C73CDD">
        <w:tc>
          <w:tcPr>
            <w:tcW w:w="562" w:type="dxa"/>
          </w:tcPr>
          <w:p w14:paraId="6CF0C462" w14:textId="77777777" w:rsidR="00FB5480" w:rsidRPr="00C73CDD" w:rsidRDefault="00FB5480" w:rsidP="00FB5480">
            <w:pPr>
              <w:pStyle w:val="ECHRDecisionBody"/>
              <w:spacing w:after="0" w:line="240" w:lineRule="auto"/>
              <w:rPr>
                <w:rFonts w:ascii="Garamond" w:hAnsi="Garamond"/>
                <w:iCs/>
                <w:sz w:val="20"/>
              </w:rPr>
            </w:pPr>
            <w:r w:rsidRPr="00C73CDD">
              <w:rPr>
                <w:rFonts w:ascii="Garamond" w:hAnsi="Garamond"/>
                <w:iCs/>
                <w:sz w:val="20"/>
              </w:rPr>
              <w:t>3</w:t>
            </w:r>
          </w:p>
        </w:tc>
        <w:tc>
          <w:tcPr>
            <w:tcW w:w="3874" w:type="dxa"/>
          </w:tcPr>
          <w:p w14:paraId="6BAAC588" w14:textId="77777777" w:rsidR="00FB5480" w:rsidRPr="00C73CDD" w:rsidRDefault="00FB5480" w:rsidP="00FB5480">
            <w:pPr>
              <w:pStyle w:val="ECHRDecisionBody"/>
              <w:spacing w:after="0" w:line="240" w:lineRule="auto"/>
              <w:rPr>
                <w:rFonts w:ascii="Garamond" w:hAnsi="Garamond"/>
                <w:iCs/>
                <w:sz w:val="20"/>
              </w:rPr>
            </w:pPr>
            <w:r w:rsidRPr="00C73CDD">
              <w:rPr>
                <w:rFonts w:ascii="Garamond" w:hAnsi="Garamond"/>
                <w:iCs/>
                <w:sz w:val="20"/>
              </w:rPr>
              <w:t>53694/08</w:t>
            </w:r>
          </w:p>
        </w:tc>
        <w:tc>
          <w:tcPr>
            <w:tcW w:w="2102" w:type="dxa"/>
          </w:tcPr>
          <w:p w14:paraId="1168DBD5" w14:textId="77777777" w:rsidR="00FB5480" w:rsidRPr="00C73CDD" w:rsidRDefault="00FB5480" w:rsidP="00FB5480">
            <w:pPr>
              <w:pStyle w:val="ECHRDecisionBody"/>
              <w:spacing w:after="0" w:line="240" w:lineRule="auto"/>
              <w:rPr>
                <w:rFonts w:ascii="Garamond" w:hAnsi="Garamond"/>
                <w:iCs/>
                <w:sz w:val="20"/>
              </w:rPr>
            </w:pPr>
            <w:r w:rsidRPr="00C73CDD">
              <w:rPr>
                <w:rFonts w:ascii="Garamond" w:hAnsi="Garamond"/>
                <w:iCs/>
                <w:sz w:val="20"/>
              </w:rPr>
              <w:t>Delijorgji kundër Shqipërisë</w:t>
            </w:r>
          </w:p>
        </w:tc>
        <w:tc>
          <w:tcPr>
            <w:tcW w:w="1683" w:type="dxa"/>
          </w:tcPr>
          <w:p w14:paraId="7EC643BB" w14:textId="77777777" w:rsidR="00FB5480" w:rsidRPr="00C73CDD" w:rsidRDefault="00FB5480" w:rsidP="00FB5480">
            <w:pPr>
              <w:pStyle w:val="ECHRDecisionBody"/>
              <w:spacing w:after="0" w:line="240" w:lineRule="auto"/>
              <w:rPr>
                <w:rFonts w:ascii="Garamond" w:hAnsi="Garamond"/>
                <w:b/>
                <w:bCs/>
                <w:iCs/>
                <w:sz w:val="20"/>
              </w:rPr>
            </w:pPr>
            <w:r w:rsidRPr="00C73CDD">
              <w:rPr>
                <w:rFonts w:ascii="Garamond" w:hAnsi="Garamond"/>
                <w:b/>
                <w:bCs/>
                <w:iCs/>
                <w:sz w:val="20"/>
              </w:rPr>
              <w:t>Mihal DELIJORGJI</w:t>
            </w:r>
          </w:p>
          <w:p w14:paraId="17215678" w14:textId="77777777" w:rsidR="00FB5480" w:rsidRPr="00C73CDD" w:rsidRDefault="00FB5480" w:rsidP="00FB5480">
            <w:pPr>
              <w:pStyle w:val="ECHRDecisionBody"/>
              <w:spacing w:after="0" w:line="240" w:lineRule="auto"/>
              <w:rPr>
                <w:rFonts w:ascii="Garamond" w:hAnsi="Garamond"/>
                <w:iCs/>
                <w:sz w:val="20"/>
              </w:rPr>
            </w:pPr>
            <w:r w:rsidRPr="00C73CDD">
              <w:rPr>
                <w:rFonts w:ascii="Garamond" w:hAnsi="Garamond"/>
                <w:iCs/>
                <w:sz w:val="20"/>
              </w:rPr>
              <w:t>Shqiptar</w:t>
            </w:r>
          </w:p>
          <w:p w14:paraId="74FF050B" w14:textId="77777777" w:rsidR="00FB5480" w:rsidRPr="00C73CDD" w:rsidRDefault="00FB5480" w:rsidP="00FB5480">
            <w:pPr>
              <w:pStyle w:val="ECHRDecisionBody"/>
              <w:spacing w:after="0" w:line="240" w:lineRule="auto"/>
              <w:rPr>
                <w:rFonts w:ascii="Garamond" w:hAnsi="Garamond"/>
                <w:b/>
                <w:bCs/>
                <w:iCs/>
                <w:sz w:val="20"/>
              </w:rPr>
            </w:pPr>
          </w:p>
          <w:p w14:paraId="767173D3" w14:textId="77777777" w:rsidR="00FB5480" w:rsidRPr="00C73CDD" w:rsidRDefault="00FB5480" w:rsidP="00FB5480">
            <w:pPr>
              <w:pStyle w:val="ECHRDecisionBody"/>
              <w:spacing w:after="0" w:line="240" w:lineRule="auto"/>
              <w:rPr>
                <w:rFonts w:ascii="Garamond" w:hAnsi="Garamond"/>
                <w:b/>
                <w:bCs/>
                <w:iCs/>
                <w:sz w:val="20"/>
              </w:rPr>
            </w:pPr>
            <w:r w:rsidRPr="00C73CDD">
              <w:rPr>
                <w:rFonts w:ascii="Garamond" w:hAnsi="Garamond"/>
                <w:b/>
                <w:bCs/>
                <w:iCs/>
                <w:sz w:val="20"/>
              </w:rPr>
              <w:t>Vjollca DELIJORGJI</w:t>
            </w:r>
          </w:p>
          <w:p w14:paraId="7975572A" w14:textId="77777777" w:rsidR="00FB5480" w:rsidRPr="00C73CDD" w:rsidRDefault="00FB5480" w:rsidP="00FB5480">
            <w:pPr>
              <w:pStyle w:val="ECHRDecisionBody"/>
              <w:spacing w:after="0" w:line="240" w:lineRule="auto"/>
              <w:rPr>
                <w:rFonts w:ascii="Garamond" w:hAnsi="Garamond"/>
                <w:iCs/>
                <w:sz w:val="20"/>
              </w:rPr>
            </w:pPr>
            <w:r w:rsidRPr="00C73CDD">
              <w:rPr>
                <w:rFonts w:ascii="Garamond" w:hAnsi="Garamond"/>
                <w:iCs/>
                <w:sz w:val="20"/>
              </w:rPr>
              <w:t>Shqiptare</w:t>
            </w:r>
          </w:p>
        </w:tc>
        <w:tc>
          <w:tcPr>
            <w:tcW w:w="1697" w:type="dxa"/>
          </w:tcPr>
          <w:p w14:paraId="259DEDA8" w14:textId="77777777" w:rsidR="00FB5480" w:rsidRPr="00C73CDD" w:rsidRDefault="00FB5480" w:rsidP="00FB5480">
            <w:pPr>
              <w:pStyle w:val="ECHRDecisionBody"/>
              <w:spacing w:after="0" w:line="240" w:lineRule="auto"/>
              <w:rPr>
                <w:rFonts w:ascii="Garamond" w:hAnsi="Garamond"/>
                <w:iCs/>
                <w:sz w:val="20"/>
              </w:rPr>
            </w:pPr>
            <w:r w:rsidRPr="00C73CDD">
              <w:rPr>
                <w:rFonts w:ascii="Garamond" w:hAnsi="Garamond"/>
                <w:iCs/>
                <w:sz w:val="20"/>
              </w:rPr>
              <w:t>Diana SYZIU</w:t>
            </w:r>
          </w:p>
        </w:tc>
      </w:tr>
      <w:tr w:rsidR="00FB5480" w:rsidRPr="00C73CDD" w14:paraId="160167EA" w14:textId="77777777" w:rsidTr="00C73CDD">
        <w:tc>
          <w:tcPr>
            <w:tcW w:w="562" w:type="dxa"/>
          </w:tcPr>
          <w:p w14:paraId="0C6832E6" w14:textId="77777777" w:rsidR="00FB5480" w:rsidRPr="00C73CDD" w:rsidRDefault="00FB5480" w:rsidP="00FB5480">
            <w:pPr>
              <w:pStyle w:val="ECHRDecisionBody"/>
              <w:spacing w:after="0" w:line="240" w:lineRule="auto"/>
              <w:rPr>
                <w:rFonts w:ascii="Garamond" w:hAnsi="Garamond"/>
                <w:iCs/>
                <w:sz w:val="20"/>
              </w:rPr>
            </w:pPr>
            <w:r w:rsidRPr="00C73CDD">
              <w:rPr>
                <w:rFonts w:ascii="Garamond" w:hAnsi="Garamond"/>
                <w:iCs/>
                <w:sz w:val="20"/>
              </w:rPr>
              <w:t>4</w:t>
            </w:r>
          </w:p>
        </w:tc>
        <w:tc>
          <w:tcPr>
            <w:tcW w:w="3874" w:type="dxa"/>
          </w:tcPr>
          <w:p w14:paraId="14756944" w14:textId="77777777" w:rsidR="00FB5480" w:rsidRPr="00C73CDD" w:rsidRDefault="00FB5480" w:rsidP="00FB5480">
            <w:pPr>
              <w:pStyle w:val="ECHRDecisionBody"/>
              <w:spacing w:after="0" w:line="240" w:lineRule="auto"/>
              <w:rPr>
                <w:rFonts w:ascii="Garamond" w:hAnsi="Garamond"/>
                <w:iCs/>
                <w:sz w:val="20"/>
              </w:rPr>
            </w:pPr>
            <w:r w:rsidRPr="00C73CDD">
              <w:rPr>
                <w:rFonts w:ascii="Garamond" w:hAnsi="Garamond"/>
                <w:iCs/>
                <w:sz w:val="20"/>
              </w:rPr>
              <w:t>54768/08</w:t>
            </w:r>
          </w:p>
        </w:tc>
        <w:tc>
          <w:tcPr>
            <w:tcW w:w="2102" w:type="dxa"/>
          </w:tcPr>
          <w:p w14:paraId="775402A8" w14:textId="77777777" w:rsidR="00FB5480" w:rsidRPr="00C73CDD" w:rsidRDefault="00FB5480" w:rsidP="00FB5480">
            <w:pPr>
              <w:pStyle w:val="ECHRDecisionBody"/>
              <w:spacing w:after="0" w:line="240" w:lineRule="auto"/>
              <w:rPr>
                <w:rFonts w:ascii="Garamond" w:hAnsi="Garamond"/>
                <w:iCs/>
                <w:sz w:val="20"/>
              </w:rPr>
            </w:pPr>
            <w:r w:rsidRPr="00C73CDD">
              <w:rPr>
                <w:rFonts w:ascii="Garamond" w:hAnsi="Garamond"/>
                <w:iCs/>
                <w:sz w:val="20"/>
              </w:rPr>
              <w:t>Delijorgji kundër Shqipërisë</w:t>
            </w:r>
          </w:p>
        </w:tc>
        <w:tc>
          <w:tcPr>
            <w:tcW w:w="1683" w:type="dxa"/>
          </w:tcPr>
          <w:p w14:paraId="6CF6E6A2" w14:textId="77777777" w:rsidR="00FB5480" w:rsidRPr="00C73CDD" w:rsidRDefault="00FB5480" w:rsidP="00FB5480">
            <w:pPr>
              <w:pStyle w:val="ECHRDecisionBody"/>
              <w:spacing w:after="0" w:line="240" w:lineRule="auto"/>
              <w:rPr>
                <w:rFonts w:ascii="Garamond" w:hAnsi="Garamond"/>
                <w:b/>
                <w:bCs/>
                <w:iCs/>
                <w:sz w:val="20"/>
              </w:rPr>
            </w:pPr>
            <w:r w:rsidRPr="00C73CDD">
              <w:rPr>
                <w:rFonts w:ascii="Garamond" w:hAnsi="Garamond"/>
                <w:b/>
                <w:bCs/>
                <w:iCs/>
                <w:sz w:val="20"/>
              </w:rPr>
              <w:t>Pandeli DELIJORGJI</w:t>
            </w:r>
          </w:p>
          <w:p w14:paraId="56FABB94" w14:textId="77777777" w:rsidR="00FB5480" w:rsidRPr="00C73CDD" w:rsidRDefault="00FB5480" w:rsidP="00FB5480">
            <w:pPr>
              <w:pStyle w:val="ECHRDecisionBody"/>
              <w:spacing w:after="0" w:line="240" w:lineRule="auto"/>
              <w:rPr>
                <w:rFonts w:ascii="Garamond" w:hAnsi="Garamond"/>
                <w:iCs/>
                <w:sz w:val="20"/>
              </w:rPr>
            </w:pPr>
            <w:r w:rsidRPr="00C73CDD">
              <w:rPr>
                <w:rFonts w:ascii="Garamond" w:hAnsi="Garamond"/>
                <w:iCs/>
                <w:sz w:val="20"/>
              </w:rPr>
              <w:t>Shqiptar</w:t>
            </w:r>
          </w:p>
        </w:tc>
        <w:tc>
          <w:tcPr>
            <w:tcW w:w="1697" w:type="dxa"/>
          </w:tcPr>
          <w:p w14:paraId="6BFAF7CD" w14:textId="77777777" w:rsidR="00FB5480" w:rsidRPr="00C73CDD" w:rsidRDefault="00FB5480" w:rsidP="00FB5480">
            <w:pPr>
              <w:pStyle w:val="ECHRDecisionBody"/>
              <w:spacing w:after="0" w:line="240" w:lineRule="auto"/>
              <w:rPr>
                <w:rFonts w:ascii="Garamond" w:hAnsi="Garamond"/>
                <w:iCs/>
                <w:sz w:val="20"/>
              </w:rPr>
            </w:pPr>
            <w:r w:rsidRPr="00C73CDD">
              <w:rPr>
                <w:rFonts w:ascii="Garamond" w:hAnsi="Garamond"/>
                <w:iCs/>
                <w:sz w:val="20"/>
              </w:rPr>
              <w:t>Diana SYZIU</w:t>
            </w:r>
          </w:p>
        </w:tc>
      </w:tr>
    </w:tbl>
    <w:p w14:paraId="4EFC39F9" w14:textId="77777777" w:rsidR="00FB5480" w:rsidRPr="00C73CDD" w:rsidRDefault="00FB5480" w:rsidP="00FB5480">
      <w:pPr>
        <w:pStyle w:val="ECHRDecisionBody"/>
        <w:spacing w:line="276" w:lineRule="auto"/>
        <w:rPr>
          <w:iCs/>
        </w:rPr>
      </w:pPr>
    </w:p>
    <w:p w14:paraId="33D9AA77" w14:textId="77777777" w:rsidR="00FB5480" w:rsidRPr="00C73CDD" w:rsidRDefault="00FB5480" w:rsidP="008A4272">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p>
    <w:sectPr w:rsidR="00FB5480" w:rsidRPr="00C73C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EC8"/>
    <w:rsid w:val="0004300B"/>
    <w:rsid w:val="00073251"/>
    <w:rsid w:val="000C4E4E"/>
    <w:rsid w:val="000F74B6"/>
    <w:rsid w:val="0010565A"/>
    <w:rsid w:val="00110F68"/>
    <w:rsid w:val="001252DA"/>
    <w:rsid w:val="00187874"/>
    <w:rsid w:val="001972DD"/>
    <w:rsid w:val="00204ED1"/>
    <w:rsid w:val="002147B7"/>
    <w:rsid w:val="00217370"/>
    <w:rsid w:val="00230BAC"/>
    <w:rsid w:val="002C26A5"/>
    <w:rsid w:val="002D5B7F"/>
    <w:rsid w:val="002F1EDC"/>
    <w:rsid w:val="00311C65"/>
    <w:rsid w:val="003328E9"/>
    <w:rsid w:val="00341C0A"/>
    <w:rsid w:val="00355409"/>
    <w:rsid w:val="003C07F4"/>
    <w:rsid w:val="003D77DD"/>
    <w:rsid w:val="0040037C"/>
    <w:rsid w:val="00420FCC"/>
    <w:rsid w:val="00495544"/>
    <w:rsid w:val="005B5F43"/>
    <w:rsid w:val="005E0EC8"/>
    <w:rsid w:val="0061636A"/>
    <w:rsid w:val="00661123"/>
    <w:rsid w:val="00686B9F"/>
    <w:rsid w:val="00686CE1"/>
    <w:rsid w:val="006A2954"/>
    <w:rsid w:val="006A5D6F"/>
    <w:rsid w:val="006F7231"/>
    <w:rsid w:val="00706E4C"/>
    <w:rsid w:val="007A461B"/>
    <w:rsid w:val="007D31B4"/>
    <w:rsid w:val="007E1350"/>
    <w:rsid w:val="007F0A40"/>
    <w:rsid w:val="007F35C5"/>
    <w:rsid w:val="00815D5D"/>
    <w:rsid w:val="00865CB5"/>
    <w:rsid w:val="00894947"/>
    <w:rsid w:val="008A4272"/>
    <w:rsid w:val="008C4E7D"/>
    <w:rsid w:val="008C7EE7"/>
    <w:rsid w:val="009C1BAA"/>
    <w:rsid w:val="009F2EF5"/>
    <w:rsid w:val="00A45DF9"/>
    <w:rsid w:val="00A53476"/>
    <w:rsid w:val="00A837B6"/>
    <w:rsid w:val="00AD6F91"/>
    <w:rsid w:val="00B139E6"/>
    <w:rsid w:val="00B20E98"/>
    <w:rsid w:val="00B231F9"/>
    <w:rsid w:val="00B509D4"/>
    <w:rsid w:val="00BA7756"/>
    <w:rsid w:val="00BE5840"/>
    <w:rsid w:val="00C00B78"/>
    <w:rsid w:val="00C2506A"/>
    <w:rsid w:val="00C3694F"/>
    <w:rsid w:val="00C73CDD"/>
    <w:rsid w:val="00C84618"/>
    <w:rsid w:val="00CC2ABF"/>
    <w:rsid w:val="00CE2E1C"/>
    <w:rsid w:val="00D34765"/>
    <w:rsid w:val="00E40C6E"/>
    <w:rsid w:val="00E52B5B"/>
    <w:rsid w:val="00E96C8C"/>
    <w:rsid w:val="00EB498B"/>
    <w:rsid w:val="00EE7898"/>
    <w:rsid w:val="00EF1E77"/>
    <w:rsid w:val="00F23FBB"/>
    <w:rsid w:val="00F41CBC"/>
    <w:rsid w:val="00F51500"/>
    <w:rsid w:val="00F535B8"/>
    <w:rsid w:val="00F8010C"/>
    <w:rsid w:val="00F84FEF"/>
    <w:rsid w:val="00F96BAA"/>
    <w:rsid w:val="00FB5480"/>
    <w:rsid w:val="00FD40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69D12"/>
  <w15:chartTrackingRefBased/>
  <w15:docId w15:val="{2485B753-B26E-4785-BA35-A3F875648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A4272"/>
    <w:pPr>
      <w:autoSpaceDE w:val="0"/>
      <w:autoSpaceDN w:val="0"/>
      <w:adjustRightInd w:val="0"/>
      <w:spacing w:after="0" w:line="240" w:lineRule="auto"/>
    </w:pPr>
    <w:rPr>
      <w:rFonts w:ascii="Times New Roman" w:hAnsi="Times New Roman" w:cs="Times New Roman"/>
      <w:color w:val="000000"/>
      <w:lang w:val="sq-AL"/>
    </w:rPr>
  </w:style>
  <w:style w:type="paragraph" w:customStyle="1" w:styleId="ECHRDecisionBody">
    <w:name w:val="ECHR_Decision_Body"/>
    <w:aliases w:val="Ju_Judges"/>
    <w:basedOn w:val="Normal"/>
    <w:uiPriority w:val="11"/>
    <w:qFormat/>
    <w:rsid w:val="008A4272"/>
    <w:pPr>
      <w:tabs>
        <w:tab w:val="left" w:pos="560"/>
        <w:tab w:val="left" w:pos="1120"/>
      </w:tabs>
      <w:autoSpaceDE w:val="0"/>
      <w:autoSpaceDN w:val="0"/>
      <w:adjustRightInd w:val="0"/>
      <w:spacing w:after="200" w:line="330" w:lineRule="atLeast"/>
    </w:pPr>
    <w:rPr>
      <w:rFonts w:ascii="Times New Roman" w:hAnsi="Times New Roman" w:cs="Times New Roman"/>
      <w:color w:val="000000"/>
      <w:sz w:val="24"/>
      <w:szCs w:val="24"/>
      <w:lang w:val="sq-AL"/>
    </w:rPr>
  </w:style>
  <w:style w:type="paragraph" w:customStyle="1" w:styleId="ECHRPara">
    <w:name w:val="ECHR_Para"/>
    <w:aliases w:val="Ju_Para"/>
    <w:basedOn w:val="Normal"/>
    <w:uiPriority w:val="99"/>
    <w:rsid w:val="008A4272"/>
    <w:pPr>
      <w:autoSpaceDE w:val="0"/>
      <w:autoSpaceDN w:val="0"/>
      <w:adjustRightInd w:val="0"/>
      <w:spacing w:after="200" w:line="330" w:lineRule="atLeast"/>
      <w:ind w:firstLine="280"/>
      <w:jc w:val="both"/>
    </w:pPr>
    <w:rPr>
      <w:rFonts w:ascii="Times New Roman" w:hAnsi="Times New Roman" w:cs="Times New Roman"/>
      <w:color w:val="000000"/>
      <w:sz w:val="24"/>
      <w:szCs w:val="24"/>
      <w:lang w:val="sq-AL"/>
    </w:rPr>
  </w:style>
  <w:style w:type="table" w:styleId="TableGrid">
    <w:name w:val="Table Grid"/>
    <w:basedOn w:val="TableNormal"/>
    <w:uiPriority w:val="59"/>
    <w:rsid w:val="008A42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48729-08</Nr_x002e__x0020_akti>
    <Data_x0020_e_x0020_Krijimit xmlns="0e656187-b300-4fb0-8bf4-3a50f872073c">2024-12-18T15:07:30Z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2024-12-18T00:00:00Z</Date_x0020_protokolli>
    <Titulli xmlns="0e656187-b300-4fb0-8bf4-3a50f872073c">Çëshjta Shoqëria Përparimi sha dhe të Tjerë kundër Shqipërisë</Titulli>
    <Modifikuesi xmlns="0e656187-b300-4fb0-8bf4-3a50f872073c">jorina.kryeziu</Modifikuesi>
    <Nr_x002e__x0020_prot_x0020_QBZ xmlns="0e656187-b300-4fb0-8bf4-3a50f872073c">2117/1</Nr_x002e__x0020_prot_x0020_QBZ>
    <Data_x0020_e_x0020_Modifikimit xmlns="0e656187-b300-4fb0-8bf4-3a50f872073c">2024-12-19T08:58:35Z</Data_x0020_e_x0020_Modifikimit>
    <Dekretuar xmlns="0e656187-b300-4fb0-8bf4-3a50f872073c">false</Dekretuar>
    <Data xmlns="0e656187-b300-4fb0-8bf4-3a50f872073c">2024-11-14T00:00:00Z</Data>
    <Nr_x002e__x0020_protokolli_x0020_i_x0020_aktit xmlns="0e656187-b300-4fb0-8bf4-3a50f872073c">6159/1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B02A8D557C04F5CAA32131574C5560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CB02A8D557C04F5CAA32131574C5560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FAC17F-8083-4F20-8618-D00B17D9E107}">
  <ds:schemaRefs>
    <ds:schemaRef ds:uri="http://schemas.microsoft.com/office/2006/metadata/properties"/>
    <ds:schemaRef ds:uri="http://schemas.microsoft.com/office/2006/documentManagement/types"/>
    <ds:schemaRef ds:uri="http://purl.org/dc/dcmitype/"/>
    <ds:schemaRef ds:uri="http://purl.org/dc/elements/1.1/"/>
    <ds:schemaRef ds:uri="http://purl.org/dc/terms/"/>
    <ds:schemaRef ds:uri="http://www.w3.org/XML/1998/namespace"/>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ABF4B3BC-6943-42CF-A307-52040AC6CC72}">
  <ds:schemaRefs>
    <ds:schemaRef ds:uri="http://schemas.microsoft.com/sharepoint/v3/contenttype/forms"/>
  </ds:schemaRefs>
</ds:datastoreItem>
</file>

<file path=customXml/itemProps3.xml><?xml version="1.0" encoding="utf-8"?>
<ds:datastoreItem xmlns:ds="http://schemas.openxmlformats.org/officeDocument/2006/customXml" ds:itemID="{16EA9573-7FB7-42EB-A511-6C92268A6F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D56AEFA-4BA0-4B4F-A94D-432DB4AAB6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D716BFC4-EFE2-4424-A138-3BD407280E4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Pages>
  <Words>3013</Words>
  <Characters>17180</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Çëshjta Shoqëria Përparimi sha dhe të Tjerë kundër Shqipërisë</vt:lpstr>
    </vt:vector>
  </TitlesOfParts>
  <Company/>
  <LinksUpToDate>false</LinksUpToDate>
  <CharactersWithSpaces>20153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Çëshjta Shoqëria Përparimi sha dhe të Tjerë kundër Shqipërisë</dc:title>
  <dc:creator>Entela Suli</dc:creator>
  <cp:lastModifiedBy>Amarilda Muja</cp:lastModifiedBy>
  <cp:revision>22</cp:revision>
  <dcterms:created xsi:type="dcterms:W3CDTF">2024-12-18T14:11:00Z</dcterms:created>
  <dcterms:modified xsi:type="dcterms:W3CDTF">2024-12-19T08:17:00Z</dcterms:modified>
</cp:coreProperties>
</file>