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44F26" w14:textId="77777777" w:rsidR="0098410D" w:rsidRPr="00BC54AA" w:rsidRDefault="00605CFF" w:rsidP="00C847D3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BC54AA">
        <w:rPr>
          <w:rFonts w:ascii="Garamond" w:hAnsi="Garamond"/>
          <w:sz w:val="24"/>
        </w:rPr>
        <w:t>SEKSIONI I TRETË</w:t>
      </w:r>
    </w:p>
    <w:p w14:paraId="54AD05D9" w14:textId="01FABE6B" w:rsidR="008E6217" w:rsidRPr="00BC54AA" w:rsidRDefault="00605CFF" w:rsidP="00C847D3">
      <w:pPr>
        <w:pStyle w:val="JuTitle"/>
        <w:spacing w:before="0" w:after="0"/>
        <w:ind w:firstLine="284"/>
        <w:rPr>
          <w:rFonts w:ascii="Garamond" w:hAnsi="Garamond"/>
        </w:rPr>
      </w:pPr>
      <w:r w:rsidRPr="00BC54AA">
        <w:rPr>
          <w:rFonts w:ascii="Garamond" w:hAnsi="Garamond"/>
          <w:color w:val="000000" w:themeColor="text1"/>
        </w:rPr>
        <w:t xml:space="preserve">ÇËSHTJA </w:t>
      </w:r>
      <w:proofErr w:type="spellStart"/>
      <w:r w:rsidRPr="00BC54AA">
        <w:rPr>
          <w:rFonts w:ascii="Garamond" w:hAnsi="Garamond"/>
        </w:rPr>
        <w:t>FRROKU</w:t>
      </w:r>
      <w:proofErr w:type="spellEnd"/>
      <w:r w:rsidRPr="00BC54AA">
        <w:rPr>
          <w:rFonts w:ascii="Garamond" w:hAnsi="Garamond"/>
        </w:rPr>
        <w:t xml:space="preserve"> </w:t>
      </w:r>
      <w:r w:rsidR="00BC54AA" w:rsidRPr="00BC54AA">
        <w:rPr>
          <w:rFonts w:ascii="Garamond" w:hAnsi="Garamond"/>
        </w:rPr>
        <w:t xml:space="preserve">KUNDËR </w:t>
      </w:r>
      <w:r w:rsidRPr="00BC54AA">
        <w:rPr>
          <w:rFonts w:ascii="Garamond" w:hAnsi="Garamond"/>
        </w:rPr>
        <w:t>SHQIPËRISË</w:t>
      </w:r>
    </w:p>
    <w:p w14:paraId="0CC633A6" w14:textId="45FB3827" w:rsidR="00D74888" w:rsidRPr="00BC54AA" w:rsidRDefault="00605CFF" w:rsidP="00C847D3">
      <w:pPr>
        <w:pStyle w:val="ECHRCoverTitle4"/>
        <w:ind w:firstLine="284"/>
        <w:rPr>
          <w:rFonts w:ascii="Garamond" w:hAnsi="Garamond"/>
        </w:rPr>
      </w:pPr>
      <w:r w:rsidRPr="00BC54AA">
        <w:rPr>
          <w:rFonts w:ascii="Garamond" w:hAnsi="Garamond"/>
        </w:rPr>
        <w:t>(</w:t>
      </w:r>
      <w:r w:rsidR="00BC54AA">
        <w:rPr>
          <w:rFonts w:ascii="Garamond" w:hAnsi="Garamond"/>
        </w:rPr>
        <w:t>k</w:t>
      </w:r>
      <w:r w:rsidRPr="00BC54AA">
        <w:rPr>
          <w:rFonts w:ascii="Garamond" w:hAnsi="Garamond"/>
        </w:rPr>
        <w:t>ërkesa nr. 30658/18)</w:t>
      </w:r>
    </w:p>
    <w:p w14:paraId="633C08B2" w14:textId="77777777" w:rsidR="0098410D" w:rsidRPr="00BC54AA" w:rsidRDefault="0098410D" w:rsidP="00C847D3">
      <w:pPr>
        <w:pStyle w:val="DecHCase"/>
        <w:spacing w:after="0"/>
        <w:ind w:firstLine="284"/>
        <w:rPr>
          <w:rFonts w:ascii="Garamond" w:hAnsi="Garamond"/>
        </w:rPr>
      </w:pPr>
    </w:p>
    <w:p w14:paraId="4FC71C14" w14:textId="77777777" w:rsidR="00C847D3" w:rsidRPr="00BC54AA" w:rsidRDefault="00605CFF" w:rsidP="00C847D3">
      <w:pPr>
        <w:pStyle w:val="DecHCase"/>
        <w:spacing w:after="0"/>
        <w:ind w:firstLine="284"/>
        <w:rPr>
          <w:rFonts w:ascii="Garamond" w:hAnsi="Garamond"/>
        </w:rPr>
      </w:pPr>
      <w:r w:rsidRPr="00BC54AA">
        <w:rPr>
          <w:rFonts w:ascii="Garamond" w:hAnsi="Garamond"/>
        </w:rPr>
        <w:t>VENDIM</w:t>
      </w:r>
    </w:p>
    <w:p w14:paraId="1065DA88" w14:textId="77777777" w:rsidR="00C847D3" w:rsidRPr="00BC54AA" w:rsidRDefault="00C847D3" w:rsidP="00C847D3">
      <w:pPr>
        <w:pStyle w:val="DecHCase"/>
        <w:spacing w:after="0"/>
        <w:ind w:firstLine="284"/>
        <w:rPr>
          <w:rFonts w:ascii="Garamond" w:hAnsi="Garamond"/>
        </w:rPr>
      </w:pPr>
    </w:p>
    <w:p w14:paraId="0A8F7ADC" w14:textId="71597837" w:rsidR="0098410D" w:rsidRPr="00BC54AA" w:rsidRDefault="00605CFF" w:rsidP="00C847D3">
      <w:pPr>
        <w:pStyle w:val="DecHCase"/>
        <w:spacing w:after="0"/>
        <w:ind w:firstLine="284"/>
        <w:rPr>
          <w:rFonts w:ascii="Garamond" w:hAnsi="Garamond"/>
        </w:rPr>
      </w:pPr>
      <w:r w:rsidRPr="00BC54AA">
        <w:rPr>
          <w:rFonts w:ascii="Garamond" w:hAnsi="Garamond"/>
        </w:rPr>
        <w:t>STRASBURG</w:t>
      </w:r>
    </w:p>
    <w:p w14:paraId="3D68EDBD" w14:textId="77777777" w:rsidR="0098410D" w:rsidRPr="00BC54AA" w:rsidRDefault="00605CFF" w:rsidP="00C847D3">
      <w:pPr>
        <w:pStyle w:val="DecHCase"/>
        <w:spacing w:after="0"/>
        <w:ind w:firstLine="284"/>
        <w:rPr>
          <w:rFonts w:ascii="Garamond" w:hAnsi="Garamond"/>
        </w:rPr>
      </w:pPr>
      <w:r w:rsidRPr="00BC54AA">
        <w:rPr>
          <w:rFonts w:ascii="Garamond" w:hAnsi="Garamond"/>
        </w:rPr>
        <w:t>4 shkurt 2025</w:t>
      </w:r>
    </w:p>
    <w:p w14:paraId="7D753EC1" w14:textId="77777777" w:rsidR="00AC4CD4" w:rsidRPr="00BC54AA" w:rsidRDefault="00AC4CD4" w:rsidP="00C847D3">
      <w:pPr>
        <w:pStyle w:val="JuPara"/>
        <w:rPr>
          <w:rFonts w:ascii="Garamond" w:hAnsi="Garamond"/>
        </w:rPr>
      </w:pPr>
    </w:p>
    <w:p w14:paraId="69240950" w14:textId="764AF6E4" w:rsidR="0098410D" w:rsidRPr="00BC54AA" w:rsidRDefault="00605CFF" w:rsidP="00C847D3">
      <w:pPr>
        <w:ind w:firstLine="284"/>
        <w:rPr>
          <w:rFonts w:ascii="Garamond" w:hAnsi="Garamond"/>
          <w:i/>
        </w:rPr>
      </w:pPr>
      <w:r w:rsidRPr="00BC54AA">
        <w:rPr>
          <w:rFonts w:ascii="Garamond" w:hAnsi="Garamond"/>
          <w:i/>
        </w:rPr>
        <w:t>Ky është vendim përfundimtar, por mund t</w:t>
      </w:r>
      <w:r w:rsidR="00BC54AA">
        <w:rPr>
          <w:rFonts w:ascii="Garamond" w:hAnsi="Garamond"/>
          <w:i/>
        </w:rPr>
        <w:t>’</w:t>
      </w:r>
      <w:r w:rsidRPr="00BC54AA">
        <w:rPr>
          <w:rFonts w:ascii="Garamond" w:hAnsi="Garamond"/>
          <w:i/>
        </w:rPr>
        <w:t>i nënshtrohet rishikimit redaktorial</w:t>
      </w:r>
    </w:p>
    <w:p w14:paraId="67C99A8D" w14:textId="77777777" w:rsidR="00C847D3" w:rsidRPr="00BC54AA" w:rsidRDefault="00C847D3" w:rsidP="00C847D3">
      <w:pPr>
        <w:ind w:firstLine="284"/>
        <w:rPr>
          <w:rFonts w:ascii="Garamond" w:hAnsi="Garamond"/>
          <w:i/>
        </w:rPr>
      </w:pPr>
    </w:p>
    <w:p w14:paraId="076F64DB" w14:textId="77777777" w:rsidR="0098410D" w:rsidRPr="00BC54AA" w:rsidRDefault="00605CFF" w:rsidP="00C847D3">
      <w:pPr>
        <w:pStyle w:val="JuCase"/>
        <w:rPr>
          <w:rFonts w:ascii="Garamond" w:hAnsi="Garamond"/>
        </w:rPr>
      </w:pPr>
      <w:r w:rsidRPr="00BC54AA">
        <w:rPr>
          <w:rFonts w:ascii="Garamond" w:hAnsi="Garamond"/>
        </w:rPr>
        <w:t xml:space="preserve">Në çështjen </w:t>
      </w:r>
      <w:proofErr w:type="spellStart"/>
      <w:r w:rsidRPr="00BC54AA">
        <w:rPr>
          <w:rFonts w:ascii="Garamond" w:hAnsi="Garamond"/>
        </w:rPr>
        <w:t>Frroku</w:t>
      </w:r>
      <w:proofErr w:type="spellEnd"/>
      <w:r w:rsidRPr="00BC54AA">
        <w:rPr>
          <w:rFonts w:ascii="Garamond" w:hAnsi="Garamond"/>
        </w:rPr>
        <w:t xml:space="preserve"> kundër Shqipërisë,</w:t>
      </w:r>
    </w:p>
    <w:p w14:paraId="577CD4FD" w14:textId="3A215D4B" w:rsidR="009F4C8F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 xml:space="preserve">Gjykata </w:t>
      </w:r>
      <w:r w:rsidR="00BC54AA" w:rsidRPr="00BC54AA">
        <w:rPr>
          <w:rFonts w:ascii="Garamond" w:hAnsi="Garamond"/>
        </w:rPr>
        <w:t>Evropiane</w:t>
      </w:r>
      <w:r w:rsidRPr="00BC54AA">
        <w:rPr>
          <w:rFonts w:ascii="Garamond" w:hAnsi="Garamond"/>
        </w:rPr>
        <w:t xml:space="preserve"> e të Drejtave të Njeriut (Seksioni i Tretë), e mbledhur si Komitet i përbërë nga:</w:t>
      </w:r>
    </w:p>
    <w:p w14:paraId="1CF06170" w14:textId="77777777" w:rsidR="00C847D3" w:rsidRPr="00BC54AA" w:rsidRDefault="00605CFF" w:rsidP="00C847D3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proofErr w:type="spellStart"/>
      <w:r w:rsidRPr="00BC54AA">
        <w:rPr>
          <w:rFonts w:ascii="Garamond" w:hAnsi="Garamond"/>
        </w:rPr>
        <w:t>L</w:t>
      </w:r>
      <w:r w:rsidRPr="00BC54AA">
        <w:rPr>
          <w:rFonts w:ascii="Times New Roman" w:hAnsi="Times New Roman" w:cs="Times New Roman"/>
        </w:rPr>
        <w:t>ə</w:t>
      </w:r>
      <w:r w:rsidRPr="00BC54AA">
        <w:rPr>
          <w:rFonts w:ascii="Garamond" w:hAnsi="Garamond"/>
        </w:rPr>
        <w:t>tif</w:t>
      </w:r>
      <w:proofErr w:type="spellEnd"/>
      <w:r w:rsidRPr="00BC54AA">
        <w:rPr>
          <w:rFonts w:ascii="Garamond" w:hAnsi="Garamond"/>
        </w:rPr>
        <w:t xml:space="preserve"> </w:t>
      </w:r>
      <w:proofErr w:type="spellStart"/>
      <w:r w:rsidRPr="00BC54AA">
        <w:rPr>
          <w:rFonts w:ascii="Garamond" w:hAnsi="Garamond"/>
        </w:rPr>
        <w:t>Hüseynov</w:t>
      </w:r>
      <w:proofErr w:type="spellEnd"/>
      <w:r w:rsidRPr="00BC54AA">
        <w:rPr>
          <w:rFonts w:ascii="Garamond" w:hAnsi="Garamond"/>
          <w:i/>
        </w:rPr>
        <w:t>, Kryetar</w:t>
      </w:r>
      <w:r w:rsidRPr="00BC54AA">
        <w:rPr>
          <w:rFonts w:ascii="Garamond" w:hAnsi="Garamond"/>
        </w:rPr>
        <w:t>,</w:t>
      </w:r>
    </w:p>
    <w:p w14:paraId="66957A64" w14:textId="20BA7D25" w:rsidR="00C847D3" w:rsidRPr="00BC54AA" w:rsidRDefault="00605CFF" w:rsidP="00C847D3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proofErr w:type="spellStart"/>
      <w:r w:rsidRPr="00BC54AA">
        <w:rPr>
          <w:rFonts w:ascii="Garamond" w:hAnsi="Garamond"/>
        </w:rPr>
        <w:t>Darian</w:t>
      </w:r>
      <w:proofErr w:type="spellEnd"/>
      <w:r w:rsidRPr="00BC54AA">
        <w:rPr>
          <w:rFonts w:ascii="Garamond" w:hAnsi="Garamond"/>
        </w:rPr>
        <w:t xml:space="preserve"> </w:t>
      </w:r>
      <w:proofErr w:type="spellStart"/>
      <w:r w:rsidRPr="00BC54AA">
        <w:rPr>
          <w:rFonts w:ascii="Garamond" w:hAnsi="Garamond"/>
        </w:rPr>
        <w:t>Pavli</w:t>
      </w:r>
      <w:proofErr w:type="spellEnd"/>
      <w:r w:rsidRPr="00BC54AA">
        <w:rPr>
          <w:rFonts w:ascii="Garamond" w:hAnsi="Garamond"/>
        </w:rPr>
        <w:t>,</w:t>
      </w:r>
    </w:p>
    <w:p w14:paraId="04E6AE54" w14:textId="2D5FC9DC" w:rsidR="00C847D3" w:rsidRPr="00BC54AA" w:rsidRDefault="00605CFF" w:rsidP="00C847D3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proofErr w:type="spellStart"/>
      <w:r w:rsidRPr="00BC54AA">
        <w:rPr>
          <w:rFonts w:ascii="Garamond" w:hAnsi="Garamond"/>
        </w:rPr>
        <w:t>Úna</w:t>
      </w:r>
      <w:proofErr w:type="spellEnd"/>
      <w:r w:rsidRPr="00BC54AA">
        <w:rPr>
          <w:rFonts w:ascii="Garamond" w:hAnsi="Garamond"/>
        </w:rPr>
        <w:t xml:space="preserve"> </w:t>
      </w:r>
      <w:proofErr w:type="spellStart"/>
      <w:r w:rsidRPr="00BC54AA">
        <w:rPr>
          <w:rFonts w:ascii="Garamond" w:hAnsi="Garamond"/>
        </w:rPr>
        <w:t>Ní</w:t>
      </w:r>
      <w:proofErr w:type="spellEnd"/>
      <w:r w:rsidRPr="00BC54AA">
        <w:rPr>
          <w:rFonts w:ascii="Garamond" w:hAnsi="Garamond"/>
        </w:rPr>
        <w:t xml:space="preserve"> </w:t>
      </w:r>
      <w:proofErr w:type="spellStart"/>
      <w:r w:rsidRPr="00BC54AA">
        <w:rPr>
          <w:rFonts w:ascii="Garamond" w:hAnsi="Garamond"/>
        </w:rPr>
        <w:t>Raifeartaigh</w:t>
      </w:r>
      <w:proofErr w:type="spellEnd"/>
      <w:r w:rsidRPr="00BC54AA">
        <w:rPr>
          <w:rFonts w:ascii="Garamond" w:hAnsi="Garamond"/>
          <w:i/>
        </w:rPr>
        <w:t>, gjyqtarë</w:t>
      </w:r>
      <w:r w:rsidRPr="00BC54AA">
        <w:rPr>
          <w:rFonts w:ascii="Garamond" w:hAnsi="Garamond"/>
        </w:rPr>
        <w:t>,</w:t>
      </w:r>
    </w:p>
    <w:p w14:paraId="6B03D26D" w14:textId="203B980D" w:rsidR="00A92625" w:rsidRPr="00BC54AA" w:rsidRDefault="00605CFF" w:rsidP="00C847D3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r w:rsidRPr="00BC54AA">
        <w:rPr>
          <w:rFonts w:ascii="Garamond" w:hAnsi="Garamond"/>
        </w:rPr>
        <w:t xml:space="preserve">dhe </w:t>
      </w:r>
      <w:proofErr w:type="spellStart"/>
      <w:r w:rsidRPr="00BC54AA">
        <w:rPr>
          <w:rFonts w:ascii="Garamond" w:hAnsi="Garamond"/>
        </w:rPr>
        <w:t>Olga</w:t>
      </w:r>
      <w:proofErr w:type="spellEnd"/>
      <w:r w:rsidRPr="00BC54AA">
        <w:rPr>
          <w:rFonts w:ascii="Garamond" w:hAnsi="Garamond"/>
        </w:rPr>
        <w:t xml:space="preserve"> </w:t>
      </w:r>
      <w:proofErr w:type="spellStart"/>
      <w:r w:rsidRPr="00BC54AA">
        <w:rPr>
          <w:rFonts w:ascii="Garamond" w:hAnsi="Garamond"/>
        </w:rPr>
        <w:t>Chernishova</w:t>
      </w:r>
      <w:proofErr w:type="spellEnd"/>
      <w:r w:rsidRPr="00BC54AA">
        <w:rPr>
          <w:rFonts w:ascii="Garamond" w:hAnsi="Garamond"/>
        </w:rPr>
        <w:t xml:space="preserve">, </w:t>
      </w:r>
      <w:proofErr w:type="spellStart"/>
      <w:r w:rsidR="00BC54AA">
        <w:rPr>
          <w:rFonts w:ascii="Garamond" w:hAnsi="Garamond"/>
          <w:i/>
          <w:iCs/>
        </w:rPr>
        <w:t>z</w:t>
      </w:r>
      <w:r w:rsidRPr="00BC54AA">
        <w:rPr>
          <w:rFonts w:ascii="Garamond" w:hAnsi="Garamond"/>
          <w:i/>
          <w:iCs/>
        </w:rPr>
        <w:t>ëvendës</w:t>
      </w:r>
      <w:r w:rsidR="00BC54AA">
        <w:rPr>
          <w:rFonts w:ascii="Garamond" w:hAnsi="Garamond"/>
          <w:i/>
          <w:iCs/>
        </w:rPr>
        <w:t>k</w:t>
      </w:r>
      <w:r w:rsidRPr="00BC54AA">
        <w:rPr>
          <w:rFonts w:ascii="Garamond" w:hAnsi="Garamond"/>
          <w:i/>
        </w:rPr>
        <w:t>ancelare</w:t>
      </w:r>
      <w:proofErr w:type="spellEnd"/>
      <w:r w:rsidRPr="00BC54AA">
        <w:rPr>
          <w:rFonts w:ascii="Garamond" w:hAnsi="Garamond"/>
          <w:i/>
        </w:rPr>
        <w:t xml:space="preserve"> </w:t>
      </w:r>
      <w:r w:rsidRPr="00BC54AA">
        <w:rPr>
          <w:rFonts w:ascii="Garamond" w:hAnsi="Garamond"/>
          <w:i/>
          <w:iCs/>
        </w:rPr>
        <w:t>e Seksionit</w:t>
      </w:r>
      <w:r w:rsidRPr="00BC54AA">
        <w:rPr>
          <w:rFonts w:ascii="Garamond" w:hAnsi="Garamond"/>
          <w:i/>
        </w:rPr>
        <w:t>,</w:t>
      </w:r>
    </w:p>
    <w:p w14:paraId="0CAC7FF5" w14:textId="3AC46F6B" w:rsidR="00792B77" w:rsidRPr="00BC54AA" w:rsidRDefault="00BC54AA" w:rsidP="00C847D3">
      <w:pPr>
        <w:pStyle w:val="JuPara"/>
        <w:rPr>
          <w:rFonts w:ascii="Garamond" w:hAnsi="Garamond"/>
        </w:rPr>
      </w:pPr>
      <w:r>
        <w:rPr>
          <w:rFonts w:ascii="Garamond" w:hAnsi="Garamond"/>
        </w:rPr>
        <w:t>d</w:t>
      </w:r>
      <w:r w:rsidR="00605CFF" w:rsidRPr="00BC54AA">
        <w:rPr>
          <w:rFonts w:ascii="Garamond" w:hAnsi="Garamond"/>
        </w:rPr>
        <w:t>uke pasur parasysh:</w:t>
      </w:r>
    </w:p>
    <w:p w14:paraId="50B5A442" w14:textId="275F622C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>kërkesën (nr. 30658/18) kundër Republikës së Shqipërisë të depozituar në Gjykatë sipas nenit 34 të Konventës për Mbrojtjen e të Drejtave dhe Lirive Themelore</w:t>
      </w:r>
      <w:r w:rsidR="00A4752D">
        <w:rPr>
          <w:rFonts w:ascii="Garamond" w:hAnsi="Garamond"/>
        </w:rPr>
        <w:t xml:space="preserve"> </w:t>
      </w:r>
      <w:r w:rsidRPr="00BC54AA">
        <w:rPr>
          <w:rFonts w:ascii="Garamond" w:hAnsi="Garamond"/>
        </w:rPr>
        <w:t>të Njeriut (Konventa)</w:t>
      </w:r>
      <w:r w:rsidR="00BC54AA">
        <w:rPr>
          <w:rFonts w:ascii="Garamond" w:hAnsi="Garamond"/>
        </w:rPr>
        <w:t>,</w:t>
      </w:r>
      <w:r w:rsidRPr="00BC54AA">
        <w:rPr>
          <w:rFonts w:ascii="Garamond" w:hAnsi="Garamond"/>
        </w:rPr>
        <w:t xml:space="preserve"> më 20 qershor 2018</w:t>
      </w:r>
      <w:r w:rsidR="00BC54AA">
        <w:rPr>
          <w:rFonts w:ascii="Garamond" w:hAnsi="Garamond"/>
        </w:rPr>
        <w:t>,</w:t>
      </w:r>
      <w:r w:rsidRPr="00BC54AA">
        <w:rPr>
          <w:rFonts w:ascii="Garamond" w:hAnsi="Garamond"/>
        </w:rPr>
        <w:t xml:space="preserve"> nga shtetasi shqiptar </w:t>
      </w:r>
      <w:r w:rsidR="00BC54AA">
        <w:rPr>
          <w:rFonts w:ascii="Garamond" w:hAnsi="Garamond"/>
        </w:rPr>
        <w:t>z</w:t>
      </w:r>
      <w:r w:rsidRPr="00BC54AA">
        <w:rPr>
          <w:rFonts w:ascii="Garamond" w:hAnsi="Garamond"/>
        </w:rPr>
        <w:t xml:space="preserve">. Arben </w:t>
      </w:r>
      <w:proofErr w:type="spellStart"/>
      <w:r w:rsidRPr="00BC54AA">
        <w:rPr>
          <w:rFonts w:ascii="Garamond" w:hAnsi="Garamond"/>
        </w:rPr>
        <w:t>Frroku</w:t>
      </w:r>
      <w:proofErr w:type="spellEnd"/>
      <w:r w:rsidRPr="00BC54AA">
        <w:rPr>
          <w:rFonts w:ascii="Garamond" w:hAnsi="Garamond"/>
        </w:rPr>
        <w:t xml:space="preserve"> (kërkuesi), i lindur në vitin 1969, me adresë të paditur dhe i përfaqësuar nga </w:t>
      </w:r>
      <w:r w:rsidR="00BC54AA">
        <w:rPr>
          <w:rFonts w:ascii="Garamond" w:hAnsi="Garamond"/>
        </w:rPr>
        <w:t>z</w:t>
      </w:r>
      <w:r w:rsidRPr="00BC54AA">
        <w:rPr>
          <w:rFonts w:ascii="Garamond" w:hAnsi="Garamond"/>
        </w:rPr>
        <w:t xml:space="preserve">. T. </w:t>
      </w:r>
      <w:proofErr w:type="spellStart"/>
      <w:r w:rsidRPr="00BC54AA">
        <w:rPr>
          <w:rFonts w:ascii="Garamond" w:hAnsi="Garamond"/>
        </w:rPr>
        <w:t>Prendi</w:t>
      </w:r>
      <w:proofErr w:type="spellEnd"/>
      <w:r w:rsidRPr="00BC54AA">
        <w:rPr>
          <w:rFonts w:ascii="Garamond" w:hAnsi="Garamond"/>
        </w:rPr>
        <w:t>, avokat i licencuar në Tiranë;</w:t>
      </w:r>
    </w:p>
    <w:p w14:paraId="636B520A" w14:textId="6BAF3BF6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 xml:space="preserve">vendimin për të njoftuar për kërkesën </w:t>
      </w:r>
      <w:r w:rsidR="00BC54AA">
        <w:rPr>
          <w:rFonts w:ascii="Garamond" w:hAnsi="Garamond"/>
        </w:rPr>
        <w:t>q</w:t>
      </w:r>
      <w:r w:rsidRPr="00BC54AA">
        <w:rPr>
          <w:rFonts w:ascii="Garamond" w:hAnsi="Garamond"/>
        </w:rPr>
        <w:t>everinë e Shqipërisë (</w:t>
      </w:r>
      <w:r w:rsidR="00BC54AA">
        <w:rPr>
          <w:rFonts w:ascii="Garamond" w:hAnsi="Garamond"/>
        </w:rPr>
        <w:t>q</w:t>
      </w:r>
      <w:r w:rsidRPr="00BC54AA">
        <w:rPr>
          <w:rFonts w:ascii="Garamond" w:hAnsi="Garamond"/>
        </w:rPr>
        <w:t xml:space="preserve">everia) të përfaqësuar nga Agjentët në atë kohë, </w:t>
      </w:r>
      <w:r w:rsidR="00BC54AA">
        <w:rPr>
          <w:rFonts w:ascii="Garamond" w:hAnsi="Garamond"/>
        </w:rPr>
        <w:t>z</w:t>
      </w:r>
      <w:r w:rsidRPr="00BC54AA">
        <w:rPr>
          <w:rFonts w:ascii="Garamond" w:hAnsi="Garamond"/>
        </w:rPr>
        <w:t xml:space="preserve">. A. Metani, </w:t>
      </w:r>
      <w:proofErr w:type="spellStart"/>
      <w:r w:rsidR="00BC54AA">
        <w:rPr>
          <w:rFonts w:ascii="Garamond" w:hAnsi="Garamond"/>
        </w:rPr>
        <w:t>zn</w:t>
      </w:r>
      <w:r w:rsidRPr="00BC54AA">
        <w:rPr>
          <w:rFonts w:ascii="Garamond" w:hAnsi="Garamond"/>
        </w:rPr>
        <w:t>j</w:t>
      </w:r>
      <w:proofErr w:type="spellEnd"/>
      <w:r w:rsidR="00BC54AA">
        <w:rPr>
          <w:rFonts w:ascii="Garamond" w:hAnsi="Garamond"/>
        </w:rPr>
        <w:t>.</w:t>
      </w:r>
      <w:r w:rsidRPr="00BC54AA">
        <w:rPr>
          <w:rFonts w:ascii="Garamond" w:hAnsi="Garamond"/>
        </w:rPr>
        <w:t xml:space="preserve"> J.</w:t>
      </w:r>
      <w:r w:rsidR="00BC54AA">
        <w:rPr>
          <w:rFonts w:ascii="Garamond" w:hAnsi="Garamond"/>
        </w:rPr>
        <w:t xml:space="preserve"> </w:t>
      </w:r>
      <w:proofErr w:type="spellStart"/>
      <w:r w:rsidRPr="00BC54AA">
        <w:rPr>
          <w:rFonts w:ascii="Garamond" w:hAnsi="Garamond"/>
        </w:rPr>
        <w:t>Mansaku</w:t>
      </w:r>
      <w:proofErr w:type="spellEnd"/>
      <w:r w:rsidRPr="00BC54AA">
        <w:rPr>
          <w:rFonts w:ascii="Garamond" w:hAnsi="Garamond"/>
        </w:rPr>
        <w:t xml:space="preserve"> dhe më pas nga Agjenti z. O.</w:t>
      </w:r>
      <w:r w:rsidR="00BC54AA">
        <w:rPr>
          <w:rFonts w:ascii="Garamond" w:hAnsi="Garamond"/>
        </w:rPr>
        <w:t xml:space="preserve"> </w:t>
      </w:r>
      <w:proofErr w:type="spellStart"/>
      <w:r w:rsidRPr="00BC54AA">
        <w:rPr>
          <w:rFonts w:ascii="Garamond" w:hAnsi="Garamond"/>
        </w:rPr>
        <w:t>Moçka</w:t>
      </w:r>
      <w:proofErr w:type="spellEnd"/>
      <w:r w:rsidRPr="00BC54AA">
        <w:rPr>
          <w:rFonts w:ascii="Garamond" w:hAnsi="Garamond"/>
        </w:rPr>
        <w:t>, Avokat i Përgjithshëm i Shtetit;</w:t>
      </w:r>
    </w:p>
    <w:p w14:paraId="27373036" w14:textId="77777777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>parashtrimet e palëve;</w:t>
      </w:r>
    </w:p>
    <w:p w14:paraId="0B4154A6" w14:textId="77777777" w:rsidR="009F4C8F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>Pas diskutimit me dyer të mbyllura më 14 janar 2025,</w:t>
      </w:r>
    </w:p>
    <w:p w14:paraId="64590D4A" w14:textId="77777777" w:rsidR="009F4C8F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>mori vendimin e mëposhtëm, i cili u miratua po në këtë datë:</w:t>
      </w:r>
    </w:p>
    <w:p w14:paraId="68307655" w14:textId="77777777" w:rsidR="00C847D3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>OBJEKTI I ÇËSHTJES</w:t>
      </w:r>
    </w:p>
    <w:p w14:paraId="3E0CF836" w14:textId="2A228B7C" w:rsidR="00792B77" w:rsidRPr="00BC54AA" w:rsidRDefault="00C847D3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>I. RRETHANAT E ÇËSHTJES</w:t>
      </w:r>
    </w:p>
    <w:p w14:paraId="129B161F" w14:textId="426C66EF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1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 xml:space="preserve">Çështja ka të bëjë, kryesisht, me shkeljen e pretenduar të </w:t>
      </w:r>
      <w:proofErr w:type="spellStart"/>
      <w:r w:rsidR="00C9726B" w:rsidRPr="00BC54AA">
        <w:rPr>
          <w:rFonts w:ascii="Garamond" w:hAnsi="Garamond"/>
        </w:rPr>
        <w:t>të</w:t>
      </w:r>
      <w:proofErr w:type="spellEnd"/>
      <w:r w:rsidR="00C9726B" w:rsidRPr="00BC54AA">
        <w:rPr>
          <w:rFonts w:ascii="Garamond" w:hAnsi="Garamond"/>
        </w:rPr>
        <w:t xml:space="preserve"> drejtës së kërkuesit për të marrë një vendim të arsyetuar nga Gjykata Kushtetuese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sipas paragrafit 1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të nenit 6 të Konventës dhe garanci të tjera për gjykim të drejtë sipas nenit 6.</w:t>
      </w:r>
    </w:p>
    <w:p w14:paraId="62AC6951" w14:textId="7E829787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2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Më 3 prill 2015, Gjykata e Krimeve të Rënda e shpalli kërkuesin të pafajshëm për vrasje dhe armëmbajtje pa leje.</w:t>
      </w:r>
    </w:p>
    <w:p w14:paraId="0B514243" w14:textId="4C8979A6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3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 xml:space="preserve">Më 29 qershor 2015, Gjykata e Apelit e Krimeve të Rënda (Gjykata e Apelit), e përmbysi atë vendim dhe e gjeti kërkuesin fajtor për të dyja akuzat dhe e dënoi </w:t>
      </w:r>
      <w:r w:rsidR="00C9726B" w:rsidRPr="00BC54AA">
        <w:rPr>
          <w:rFonts w:ascii="Garamond" w:hAnsi="Garamond"/>
          <w:i/>
          <w:iCs/>
        </w:rPr>
        <w:t xml:space="preserve">in </w:t>
      </w:r>
      <w:proofErr w:type="spellStart"/>
      <w:r w:rsidR="00C9726B" w:rsidRPr="00BC54AA">
        <w:rPr>
          <w:rFonts w:ascii="Garamond" w:hAnsi="Garamond"/>
          <w:i/>
          <w:iCs/>
        </w:rPr>
        <w:t>absentia</w:t>
      </w:r>
      <w:proofErr w:type="spellEnd"/>
      <w:r w:rsidR="00C9726B" w:rsidRPr="00BC54AA">
        <w:rPr>
          <w:rFonts w:ascii="Garamond" w:hAnsi="Garamond"/>
        </w:rPr>
        <w:t xml:space="preserve"> me burgim të përjetshëm.</w:t>
      </w:r>
    </w:p>
    <w:p w14:paraId="4767C527" w14:textId="5E6415EC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4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Më 24 korrik 2015, kërkuesi depozitoi një rekurs në Gjykatën e Lartë, me pretendimin që vendimit të Gjykatës së Apelit i mungonte arsyetimi dhe nuk ishte i bazuar në prova, që kërkuesi kishte një alibi në lidhje me vrasjen dhe që prokuroria nuk kishte arritur të provonte praninë e kërkuesit në vendngjarje.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Gjithashtu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ai u ankua që nuk ishin marrë parasysh provat që e shfajësonin.</w:t>
      </w:r>
    </w:p>
    <w:p w14:paraId="73034793" w14:textId="510B585F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5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Më 8 qershor 2017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Gjykata e Lartë e rrëzoi </w:t>
      </w:r>
      <w:r w:rsidR="00C9726B" w:rsidRPr="00BC54AA">
        <w:rPr>
          <w:rFonts w:ascii="Garamond" w:hAnsi="Garamond"/>
          <w:i/>
          <w:iCs/>
        </w:rPr>
        <w:t>de plano</w:t>
      </w:r>
      <w:r w:rsidR="00C9726B" w:rsidRPr="00BC54AA">
        <w:rPr>
          <w:rFonts w:ascii="Garamond" w:hAnsi="Garamond"/>
        </w:rPr>
        <w:t xml:space="preserve"> rekursin e kërkuesit me arsyetimin që nuk përmbante ndonjë argument të pranueshëm.</w:t>
      </w:r>
    </w:p>
    <w:p w14:paraId="5FDDCD82" w14:textId="25CA2534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6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 xml:space="preserve">Më 10 korrik 2017, kërkuesi depozitoi një ankim kushtetues ku paraqiste pretendimin për mungesën e paanshmërisë nga Gjykata e Lartë për shkak të përfshirjes së mëparshme të disa prej gjyqtarëve të saj në vendimin për masat e sigurimit të marra ndaj kërkuesit; për shkeljen e </w:t>
      </w:r>
      <w:proofErr w:type="spellStart"/>
      <w:r w:rsidR="00C9726B" w:rsidRPr="00BC54AA">
        <w:rPr>
          <w:rFonts w:ascii="Garamond" w:hAnsi="Garamond"/>
        </w:rPr>
        <w:t>prezumimit</w:t>
      </w:r>
      <w:proofErr w:type="spellEnd"/>
      <w:r w:rsidR="00C9726B" w:rsidRPr="00BC54AA">
        <w:rPr>
          <w:rFonts w:ascii="Garamond" w:hAnsi="Garamond"/>
        </w:rPr>
        <w:t xml:space="preserve"> të pafajësisë; për shkeljen e së drejtës për t</w:t>
      </w:r>
      <w:r w:rsidR="00BC54AA">
        <w:rPr>
          <w:rFonts w:ascii="Garamond" w:hAnsi="Garamond"/>
        </w:rPr>
        <w:t>’</w:t>
      </w:r>
      <w:r w:rsidR="00C9726B" w:rsidRPr="00BC54AA">
        <w:rPr>
          <w:rFonts w:ascii="Garamond" w:hAnsi="Garamond"/>
        </w:rPr>
        <w:t xml:space="preserve">ju drejtuar gjykatës për shkak se Gjykata e Lartë nuk kishte zhvilluar një seancë dëgjimore; dhe për mungesën e arsyeve të duhura për </w:t>
      </w:r>
      <w:r w:rsidR="00C9726B" w:rsidRPr="00BC54AA">
        <w:rPr>
          <w:rFonts w:ascii="Garamond" w:hAnsi="Garamond"/>
        </w:rPr>
        <w:lastRenderedPageBreak/>
        <w:t>vendimin e Gjykatës së Lartë. Më 18 dhjetor 2017, kërkuesi paraqiti ankime të tjera në Gjykatën Kushtetuese, ku kundërshtonte vendimin e Gjykatës së Apelit për mungesën e arsyetimit; për mungesën e paanshmërisë; për shkeljen e së drejtës për t</w:t>
      </w:r>
      <w:r w:rsidR="00BC54AA">
        <w:rPr>
          <w:rFonts w:ascii="Garamond" w:hAnsi="Garamond"/>
        </w:rPr>
        <w:t>’</w:t>
      </w:r>
      <w:r w:rsidR="00C9726B" w:rsidRPr="00BC54AA">
        <w:rPr>
          <w:rFonts w:ascii="Garamond" w:hAnsi="Garamond"/>
        </w:rPr>
        <w:t>ju drejtuar gjykatës; dhe për shkeljen e barazisë së armëve.</w:t>
      </w:r>
    </w:p>
    <w:bookmarkStart w:id="0" w:name="paragraph00008"/>
    <w:p w14:paraId="5B21DED9" w14:textId="00DB543B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 w:cstheme="majorHAnsi"/>
        </w:rPr>
        <w:fldChar w:fldCharType="begin"/>
      </w:r>
      <w:r w:rsidRPr="00BC54AA">
        <w:rPr>
          <w:rFonts w:ascii="Garamond" w:hAnsi="Garamond" w:cstheme="majorHAnsi"/>
        </w:rPr>
        <w:instrText xml:space="preserve"> SEQ level0 \*arabic \* MERGEFORMAT </w:instrText>
      </w:r>
      <w:r w:rsidRPr="00BC54AA">
        <w:rPr>
          <w:rFonts w:ascii="Garamond" w:hAnsi="Garamond" w:cstheme="majorHAnsi"/>
        </w:rPr>
        <w:fldChar w:fldCharType="separate"/>
      </w:r>
      <w:r w:rsidR="002B2988" w:rsidRPr="00BC54AA">
        <w:rPr>
          <w:rFonts w:ascii="Garamond" w:hAnsi="Garamond" w:cstheme="majorHAnsi"/>
        </w:rPr>
        <w:t>7</w:t>
      </w:r>
      <w:r w:rsidRPr="00BC54AA">
        <w:rPr>
          <w:rFonts w:ascii="Garamond" w:hAnsi="Garamond" w:cstheme="majorHAnsi"/>
        </w:rPr>
        <w:fldChar w:fldCharType="end"/>
      </w:r>
      <w:bookmarkEnd w:id="0"/>
      <w:r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Pr="00BC54AA">
        <w:rPr>
          <w:rFonts w:ascii="Garamond" w:hAnsi="Garamond"/>
        </w:rPr>
        <w:t>Më 24 prill 2018</w:t>
      </w:r>
      <w:r w:rsidR="00BC54AA">
        <w:rPr>
          <w:rFonts w:ascii="Garamond" w:hAnsi="Garamond"/>
        </w:rPr>
        <w:t>,</w:t>
      </w:r>
      <w:r w:rsidRPr="00BC54AA">
        <w:rPr>
          <w:rFonts w:ascii="Garamond" w:hAnsi="Garamond"/>
        </w:rPr>
        <w:t xml:space="preserve"> Gjykata Kushtetuese, në trup gjykues me nëntë gjyqtarë, rrëzoi përfundimisht ankimin kushtetues të kërkuesit. Gjykata u shpreh që nevojitej shumica me pesë vota sipas nenit 73(4) të Ligjit për Gjykatën Kushtetuese</w:t>
      </w:r>
      <w:r w:rsidR="00BC54AA">
        <w:rPr>
          <w:rFonts w:ascii="Garamond" w:hAnsi="Garamond"/>
        </w:rPr>
        <w:t>,</w:t>
      </w:r>
      <w:r w:rsidRPr="00BC54AA">
        <w:rPr>
          <w:rFonts w:ascii="Garamond" w:hAnsi="Garamond"/>
        </w:rPr>
        <w:t xml:space="preserve"> i cili parashikon që</w:t>
      </w:r>
      <w:r w:rsidR="00BC54AA">
        <w:rPr>
          <w:rFonts w:ascii="Garamond" w:hAnsi="Garamond"/>
        </w:rPr>
        <w:t>:</w:t>
      </w:r>
      <w:r w:rsidRPr="00BC54AA">
        <w:rPr>
          <w:rFonts w:ascii="Garamond" w:hAnsi="Garamond"/>
        </w:rPr>
        <w:t xml:space="preserve"> </w:t>
      </w:r>
      <w:r w:rsidR="00BC54AA">
        <w:rPr>
          <w:rFonts w:ascii="Garamond" w:hAnsi="Garamond"/>
        </w:rPr>
        <w:t>“</w:t>
      </w:r>
      <w:r w:rsidRPr="00BC54AA">
        <w:rPr>
          <w:rFonts w:ascii="Garamond" w:hAnsi="Garamond"/>
        </w:rPr>
        <w:t>Kur nuk formohet shumica prej 5 gjyqtarësh, kërkesa</w:t>
      </w:r>
      <w:r w:rsidR="003B3A66" w:rsidRPr="00BC54AA">
        <w:rPr>
          <w:rFonts w:ascii="Garamond" w:hAnsi="Garamond"/>
        </w:rPr>
        <w:t xml:space="preserve"> </w:t>
      </w:r>
      <w:r w:rsidRPr="00BC54AA">
        <w:rPr>
          <w:rFonts w:ascii="Garamond" w:hAnsi="Garamond"/>
        </w:rPr>
        <w:t>konsiderohet e (</w:t>
      </w:r>
      <w:r w:rsidRPr="00BC54AA">
        <w:rPr>
          <w:rFonts w:ascii="Garamond" w:hAnsi="Garamond"/>
          <w:i/>
          <w:iCs/>
        </w:rPr>
        <w:t>rrëzuar</w:t>
      </w:r>
      <w:r w:rsidRPr="00BC54AA">
        <w:rPr>
          <w:rFonts w:ascii="Garamond" w:hAnsi="Garamond"/>
        </w:rPr>
        <w:t>) përfundimisht.</w:t>
      </w:r>
      <w:r w:rsidR="00BC54AA">
        <w:rPr>
          <w:rFonts w:ascii="Garamond" w:hAnsi="Garamond"/>
        </w:rPr>
        <w:t>”.</w:t>
      </w:r>
      <w:r w:rsidRPr="00BC54AA">
        <w:rPr>
          <w:rFonts w:ascii="Garamond" w:hAnsi="Garamond"/>
        </w:rPr>
        <w:t xml:space="preserve"> Arsyetimi i vendimit kishte të bënte jo vetëm me rezultatet e votimit (katër vota kundër dy në favor të rrëzimit të ankimit kushtetues) dhe faktin që gjykata nuk mund të arrinte shumicën prej pesë votash për asnjë nga çështjet e ngritura në ankim. Në shënimin fundor jepet ndarja sipas çdo vote individuale të çdo gjyqtari. Sipas nenit 73(4) të Ligjit për Gjykatën Kushtetuese, ai vendim ishte përfundimtar.</w:t>
      </w:r>
    </w:p>
    <w:p w14:paraId="3D6F16E1" w14:textId="136302CD" w:rsidR="00792B77" w:rsidRPr="00BC54AA" w:rsidRDefault="00BC54AA" w:rsidP="00C847D3">
      <w:pPr>
        <w:pStyle w:val="JuPara"/>
        <w:rPr>
          <w:rFonts w:ascii="Garamond" w:hAnsi="Garamond"/>
        </w:rPr>
      </w:pPr>
      <w:proofErr w:type="spellStart"/>
      <w:r w:rsidRPr="00BC54AA">
        <w:rPr>
          <w:rFonts w:ascii="Garamond" w:hAnsi="Garamond"/>
        </w:rPr>
        <w:t>II</w:t>
      </w:r>
      <w:proofErr w:type="spellEnd"/>
      <w:r w:rsidRPr="00BC54AA">
        <w:rPr>
          <w:rFonts w:ascii="Garamond" w:hAnsi="Garamond"/>
        </w:rPr>
        <w:t>. PRAKTIKA DHE LEGJISLACIONI PËRKATËS I BRENDSHËM</w:t>
      </w:r>
    </w:p>
    <w:p w14:paraId="69CD8CBA" w14:textId="66E652C7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bookmarkStart w:id="1" w:name="paragraph00007"/>
      <w:r w:rsidR="002B2988" w:rsidRPr="00BC54AA">
        <w:rPr>
          <w:rFonts w:ascii="Garamond" w:hAnsi="Garamond"/>
        </w:rPr>
        <w:t>8</w:t>
      </w:r>
      <w:bookmarkEnd w:id="1"/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 xml:space="preserve">Në çështjen </w:t>
      </w:r>
      <w:proofErr w:type="spellStart"/>
      <w:r w:rsidR="00C9726B" w:rsidRPr="00BC54AA">
        <w:rPr>
          <w:rFonts w:ascii="Garamond" w:hAnsi="Garamond"/>
          <w:i/>
          <w:iCs/>
        </w:rPr>
        <w:t>Marini</w:t>
      </w:r>
      <w:proofErr w:type="spellEnd"/>
      <w:r w:rsidR="00C9726B" w:rsidRPr="00BC54AA">
        <w:rPr>
          <w:rFonts w:ascii="Garamond" w:hAnsi="Garamond"/>
          <w:i/>
          <w:iCs/>
        </w:rPr>
        <w:t xml:space="preserve"> kundër Shqipërisë</w:t>
      </w:r>
      <w:r w:rsidR="00C9726B" w:rsidRPr="00BC54AA">
        <w:rPr>
          <w:rFonts w:ascii="Garamond" w:hAnsi="Garamond"/>
        </w:rPr>
        <w:t xml:space="preserve"> (nr. 3738/02, 18 dhjetor 2007) Gjykata gjeti që rrëzimi i ankimit kushtetues për shkak se gjykata nuk kishte arritur </w:t>
      </w:r>
      <w:r w:rsidR="00BC54AA">
        <w:rPr>
          <w:rFonts w:ascii="Garamond" w:hAnsi="Garamond"/>
        </w:rPr>
        <w:t>“</w:t>
      </w:r>
      <w:r w:rsidR="00C9726B" w:rsidRPr="00BC54AA">
        <w:rPr>
          <w:rFonts w:ascii="Garamond" w:hAnsi="Garamond"/>
        </w:rPr>
        <w:t>shumicën e kërkuar të votave për një nga rezultatet</w:t>
      </w:r>
      <w:r w:rsidR="00BC54AA">
        <w:rPr>
          <w:rFonts w:ascii="Garamond" w:hAnsi="Garamond"/>
        </w:rPr>
        <w:t>”</w:t>
      </w:r>
      <w:r w:rsidR="00C9726B" w:rsidRPr="00BC54AA">
        <w:rPr>
          <w:rFonts w:ascii="Garamond" w:hAnsi="Garamond"/>
        </w:rPr>
        <w:t xml:space="preserve"> shkelte të drejtën për gjykim të drejtë. Pas atij vendimi, ligji </w:t>
      </w:r>
      <w:r w:rsidR="00BC54AA">
        <w:rPr>
          <w:rFonts w:ascii="Garamond" w:hAnsi="Garamond"/>
        </w:rPr>
        <w:t>n</w:t>
      </w:r>
      <w:r w:rsidR="00C9726B" w:rsidRPr="00BC54AA">
        <w:rPr>
          <w:rFonts w:ascii="Garamond" w:hAnsi="Garamond"/>
        </w:rPr>
        <w:t>r. 99/2016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ndryshoi nenin 73(4) të </w:t>
      </w:r>
      <w:r w:rsidR="004F7BDD">
        <w:rPr>
          <w:rFonts w:ascii="Garamond" w:hAnsi="Garamond"/>
        </w:rPr>
        <w:t>L</w:t>
      </w:r>
      <w:r w:rsidR="004F7BDD" w:rsidRPr="00BC54AA">
        <w:rPr>
          <w:rFonts w:ascii="Garamond" w:hAnsi="Garamond"/>
        </w:rPr>
        <w:t xml:space="preserve">igjit </w:t>
      </w:r>
      <w:r w:rsidR="00C9726B" w:rsidRPr="00BC54AA">
        <w:rPr>
          <w:rFonts w:ascii="Garamond" w:hAnsi="Garamond"/>
        </w:rPr>
        <w:t>për Gjykatën Kushtetuese. Sipas këtyre ndryshimeve, nuk është më e mundur që të rrëzohet një ankim individual për shkak të mungesës së pesë votave të shumicës. Në këtë çështje, ankimi rrëzohet përfundimisht.</w:t>
      </w:r>
    </w:p>
    <w:p w14:paraId="61568443" w14:textId="77777777" w:rsidR="00C847D3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>VLERËSIMI I GJYKATËS</w:t>
      </w:r>
    </w:p>
    <w:p w14:paraId="5032D43B" w14:textId="4356B0A8" w:rsidR="00792B77" w:rsidRPr="00BC54AA" w:rsidRDefault="00C847D3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>I. SHKELJA E PRETENDUAR E PARAGRAFIT 1</w:t>
      </w:r>
      <w:r w:rsidR="00BC54AA">
        <w:rPr>
          <w:rFonts w:ascii="Garamond" w:hAnsi="Garamond"/>
        </w:rPr>
        <w:t>,</w:t>
      </w:r>
      <w:r w:rsidRPr="00BC54AA">
        <w:rPr>
          <w:rFonts w:ascii="Garamond" w:hAnsi="Garamond"/>
        </w:rPr>
        <w:t xml:space="preserve"> TË NENIT 6 TË KONVENTËS</w:t>
      </w:r>
      <w:r w:rsidR="00BC54AA">
        <w:rPr>
          <w:rFonts w:ascii="Garamond" w:hAnsi="Garamond"/>
        </w:rPr>
        <w:t>,</w:t>
      </w:r>
      <w:r w:rsidRPr="00BC54AA">
        <w:rPr>
          <w:rFonts w:ascii="Garamond" w:hAnsi="Garamond"/>
        </w:rPr>
        <w:t xml:space="preserve"> NË LIDHJE ME TË DREJTËN PËR NJË VENDIM TË AR</w:t>
      </w:r>
      <w:r w:rsidR="0028228C">
        <w:rPr>
          <w:rFonts w:ascii="Garamond" w:hAnsi="Garamond"/>
        </w:rPr>
        <w:t>SYETUAR NGA GJYKATA KUSHTETUESE</w:t>
      </w:r>
    </w:p>
    <w:p w14:paraId="4904C1C9" w14:textId="53F07736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9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Qeveria pretendoi që kërkuesi nuk kishte statusin e viktimës dhe që ankimi i tij ishte abuziv, i pambështetur më tej. Gjithashtu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pretendoi që ankimi i kërkuesit ishte me natyrë të shkallës së katërt dhe prandaj i papranueshëm.</w:t>
      </w:r>
    </w:p>
    <w:p w14:paraId="568B1A81" w14:textId="464AD4A0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10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Gjykata rrëzon kundërshtimin e qeverisë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në lidhje me statusin viktimë të kërkuesit dhe kërkesën si abuzive dhe të pambështetur. Gjithashtu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Gjykata vëren që ankimi i ngritur nga kërkuesi ka të bëjë me një të drejtë të mbrojtur nga Konventa. Prandaj, Gjykata </w:t>
      </w:r>
      <w:proofErr w:type="spellStart"/>
      <w:r w:rsidR="00C9726B" w:rsidRPr="00BC54AA">
        <w:rPr>
          <w:rFonts w:ascii="Garamond" w:hAnsi="Garamond"/>
        </w:rPr>
        <w:t>konkludon</w:t>
      </w:r>
      <w:proofErr w:type="spellEnd"/>
      <w:r w:rsidR="00C9726B" w:rsidRPr="00BC54AA">
        <w:rPr>
          <w:rFonts w:ascii="Garamond" w:hAnsi="Garamond"/>
        </w:rPr>
        <w:t xml:space="preserve"> që nuk është i papranueshëm për ndonjë shkak tjetër dhe prandaj duhet të shpallet i pranueshëm.</w:t>
      </w:r>
    </w:p>
    <w:p w14:paraId="3184A294" w14:textId="086E4452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11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Parimet e përgjithshme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në lidhje me të drejtën për një vendim të arsyetuar nga Gjykata Kushtetuese në kontekstin e rrëzimit të ankimeve kushtetuese për shkak të mos arritjes së shumicës me pesë gjyqtarë, janë përmbledhur në çështjen </w:t>
      </w:r>
      <w:bookmarkStart w:id="2" w:name="_cl44277THECOURTSASSESSMENT"/>
      <w:r w:rsidR="00C9726B" w:rsidRPr="00BC54AA">
        <w:rPr>
          <w:rFonts w:ascii="Garamond" w:hAnsi="Garamond"/>
          <w:i/>
          <w:iCs/>
        </w:rPr>
        <w:t xml:space="preserve">Meli dhe </w:t>
      </w:r>
      <w:proofErr w:type="spellStart"/>
      <w:r w:rsidR="00C9726B" w:rsidRPr="00BC54AA">
        <w:rPr>
          <w:rFonts w:ascii="Garamond" w:hAnsi="Garamond"/>
          <w:i/>
          <w:iCs/>
        </w:rPr>
        <w:t>Swinkles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Family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Brewers</w:t>
      </w:r>
      <w:proofErr w:type="spellEnd"/>
      <w:r w:rsidR="00C9726B" w:rsidRPr="00BC54AA">
        <w:rPr>
          <w:rFonts w:ascii="Garamond" w:hAnsi="Garamond"/>
          <w:i/>
          <w:iCs/>
        </w:rPr>
        <w:t xml:space="preserve"> N.</w:t>
      </w:r>
      <w:r w:rsidR="00BC54AA">
        <w:rPr>
          <w:rFonts w:ascii="Garamond" w:hAnsi="Garamond"/>
          <w:i/>
          <w:iCs/>
        </w:rPr>
        <w:t xml:space="preserve"> </w:t>
      </w:r>
      <w:r w:rsidR="00C9726B" w:rsidRPr="00BC54AA">
        <w:rPr>
          <w:rFonts w:ascii="Garamond" w:hAnsi="Garamond"/>
          <w:i/>
          <w:iCs/>
        </w:rPr>
        <w:t>V.</w:t>
      </w:r>
      <w:r w:rsidR="00BC54AA">
        <w:rPr>
          <w:rFonts w:ascii="Garamond" w:hAnsi="Garamond"/>
          <w:i/>
          <w:iCs/>
        </w:rPr>
        <w:t xml:space="preserve"> </w:t>
      </w:r>
      <w:r w:rsidR="00C9726B" w:rsidRPr="00BC54AA">
        <w:rPr>
          <w:rFonts w:ascii="Garamond" w:hAnsi="Garamond"/>
          <w:i/>
          <w:iCs/>
        </w:rPr>
        <w:t>kundër Shqipërisë</w:t>
      </w:r>
      <w:bookmarkEnd w:id="2"/>
      <w:r w:rsidR="00C9726B" w:rsidRPr="00BC54AA">
        <w:rPr>
          <w:rFonts w:ascii="Garamond" w:hAnsi="Garamond"/>
        </w:rPr>
        <w:t xml:space="preserve"> (nr. 41373/21 dhe 48801/21, §§ 72</w:t>
      </w:r>
      <w:r w:rsidR="00BC54AA">
        <w:rPr>
          <w:rFonts w:ascii="Garamond" w:hAnsi="Garamond"/>
        </w:rPr>
        <w:t>–</w:t>
      </w:r>
      <w:r w:rsidR="00C9726B" w:rsidRPr="00BC54AA">
        <w:rPr>
          <w:rFonts w:ascii="Garamond" w:hAnsi="Garamond"/>
        </w:rPr>
        <w:t>75, 16 korrik 2024).</w:t>
      </w:r>
    </w:p>
    <w:p w14:paraId="485DC7D4" w14:textId="6E8E2C32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12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Kërkuesi pretendoi që Gjykata Kushtetuese nuk kishte dhënë ndonjë arsyetim në lidhje me ankimet dhe argumentet e paraqitura përpara saj, sepse vendimi që rrëzoi këto ankime përmbante vetëm rezultatet e votimit. Kërkuesi pretendoi që ai nuk ishte në gjendje të kuptonte arsyen e rrëzimit të ankimeve të tij.</w:t>
      </w:r>
    </w:p>
    <w:p w14:paraId="50C7F578" w14:textId="130A0929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13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 xml:space="preserve">Qeveria paraqiti të njëjtat argumente si ato në çështjen </w:t>
      </w:r>
      <w:r w:rsidR="00C9726B" w:rsidRPr="00BC54AA">
        <w:rPr>
          <w:rFonts w:ascii="Garamond" w:hAnsi="Garamond"/>
          <w:i/>
          <w:iCs/>
        </w:rPr>
        <w:t xml:space="preserve">Meli </w:t>
      </w:r>
      <w:proofErr w:type="spellStart"/>
      <w:r w:rsidR="00C9726B" w:rsidRPr="00BC54AA">
        <w:rPr>
          <w:rFonts w:ascii="Garamond" w:hAnsi="Garamond"/>
          <w:i/>
          <w:iCs/>
        </w:rPr>
        <w:t>and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Swinkels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Family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Brewers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N.V</w:t>
      </w:r>
      <w:proofErr w:type="spellEnd"/>
      <w:r w:rsidR="00C9726B" w:rsidRPr="00BC54AA">
        <w:rPr>
          <w:rFonts w:ascii="Garamond" w:hAnsi="Garamond"/>
          <w:i/>
          <w:iCs/>
        </w:rPr>
        <w:t xml:space="preserve">. </w:t>
      </w:r>
      <w:r w:rsidR="00C9726B" w:rsidRPr="00BC54AA">
        <w:rPr>
          <w:rFonts w:ascii="Garamond" w:hAnsi="Garamond"/>
        </w:rPr>
        <w:t xml:space="preserve">(cituar më lart), duke argumentuar në thelb që pas ndryshimeve të vitit 2016 (shihni paragrafin </w:t>
      </w:r>
      <w:r w:rsidR="00C9726B" w:rsidRPr="00BC54AA">
        <w:rPr>
          <w:rFonts w:ascii="Garamond" w:hAnsi="Garamond"/>
        </w:rPr>
        <w:fldChar w:fldCharType="begin"/>
      </w:r>
      <w:r w:rsidR="00C9726B" w:rsidRPr="00BC54AA">
        <w:rPr>
          <w:rFonts w:ascii="Garamond" w:hAnsi="Garamond"/>
        </w:rPr>
        <w:instrText xml:space="preserve"> REF paragraph00007 \h  \* CharFormat </w:instrText>
      </w:r>
      <w:r w:rsidR="00C847D3" w:rsidRPr="00BC54AA">
        <w:rPr>
          <w:rFonts w:ascii="Garamond" w:hAnsi="Garamond"/>
        </w:rPr>
        <w:instrText xml:space="preserve"> \* MERGEFORMAT </w:instrText>
      </w:r>
      <w:r w:rsidR="00C9726B" w:rsidRPr="00BC54AA">
        <w:rPr>
          <w:rFonts w:ascii="Garamond" w:hAnsi="Garamond"/>
        </w:rPr>
      </w:r>
      <w:r w:rsidR="00C9726B"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8</w:t>
      </w:r>
      <w:r w:rsidR="00C9726B"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 xml:space="preserve"> më lart) Gjykata Kushtetuese, duke vepruar në përputhje me dispozitat ligjore në fuqi, kishte garantuar të drejtën për një gjykim të drejtë.</w:t>
      </w:r>
    </w:p>
    <w:p w14:paraId="2220D430" w14:textId="0248E11F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14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 xml:space="preserve">Gjykata vëren se kjo çështje nuk dallon në këtë drejtim nga ajo e </w:t>
      </w:r>
      <w:r w:rsidR="00C9726B" w:rsidRPr="00BC54AA">
        <w:rPr>
          <w:rFonts w:ascii="Garamond" w:hAnsi="Garamond"/>
          <w:i/>
          <w:iCs/>
        </w:rPr>
        <w:t xml:space="preserve">Meli dhe </w:t>
      </w:r>
      <w:proofErr w:type="spellStart"/>
      <w:r w:rsidR="00C9726B" w:rsidRPr="00BC54AA">
        <w:rPr>
          <w:rFonts w:ascii="Garamond" w:hAnsi="Garamond"/>
          <w:i/>
          <w:iCs/>
        </w:rPr>
        <w:t>Swinkles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Family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Brewers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N.V</w:t>
      </w:r>
      <w:proofErr w:type="spellEnd"/>
      <w:r w:rsidR="00C9726B" w:rsidRPr="00BC54AA">
        <w:rPr>
          <w:rFonts w:ascii="Garamond" w:hAnsi="Garamond"/>
          <w:i/>
          <w:iCs/>
        </w:rPr>
        <w:t>.</w:t>
      </w:r>
      <w:r w:rsidR="00C9726B" w:rsidRPr="00BC54AA">
        <w:rPr>
          <w:rFonts w:ascii="Garamond" w:hAnsi="Garamond"/>
        </w:rPr>
        <w:t xml:space="preserve"> (cituar më lart, § 76), ku gjeti se fakti që kërkuesve nuk i ishin dhënë shkaqet përkatëse për rrëzimin e pretendimeve të tyre përbënte shkelje të paragrafit 1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të nenit 6 të Konventës. Në atë çështje, vendimi i Gjykatës Kushtetuese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në lidhje me ankimin e kërkuesve ishte i kufizuar edhe në vënien n</w:t>
      </w:r>
      <w:r w:rsidR="00BC54AA">
        <w:rPr>
          <w:rFonts w:ascii="Garamond" w:hAnsi="Garamond"/>
        </w:rPr>
        <w:t>ë</w:t>
      </w:r>
      <w:r w:rsidR="00C9726B" w:rsidRPr="00BC54AA">
        <w:rPr>
          <w:rFonts w:ascii="Garamond" w:hAnsi="Garamond"/>
        </w:rPr>
        <w:t xml:space="preserve"> dukje të rezultatit të votimit dhe të rezultatit të tij, por nuk u dhanë arsye për themelin e çështjes (shihni paragrafin </w:t>
      </w:r>
      <w:r w:rsidR="00C9726B" w:rsidRPr="00BC54AA">
        <w:rPr>
          <w:rFonts w:ascii="Garamond" w:hAnsi="Garamond"/>
        </w:rPr>
        <w:fldChar w:fldCharType="begin"/>
      </w:r>
      <w:r w:rsidR="00C9726B" w:rsidRPr="00BC54AA">
        <w:rPr>
          <w:rFonts w:ascii="Garamond" w:hAnsi="Garamond"/>
        </w:rPr>
        <w:instrText xml:space="preserve"> REF paragraph00008 \h  \* CharFormat </w:instrText>
      </w:r>
      <w:r w:rsidR="00C847D3" w:rsidRPr="00BC54AA">
        <w:rPr>
          <w:rFonts w:ascii="Garamond" w:hAnsi="Garamond"/>
        </w:rPr>
        <w:instrText xml:space="preserve"> \* MERGEFORMAT </w:instrText>
      </w:r>
      <w:r w:rsidR="00C9726B" w:rsidRPr="00BC54AA">
        <w:rPr>
          <w:rFonts w:ascii="Garamond" w:hAnsi="Garamond"/>
        </w:rPr>
      </w:r>
      <w:r w:rsidR="00C9726B"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7</w:t>
      </w:r>
      <w:r w:rsidR="00C9726B"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 xml:space="preserve"> më lart). Gjykata vlerësoi se kërkuesit në atë çështje kishin mbetur pa arsyetimin e duhur në lidhje me shkaqet mbi të cilat Gjykata Kushtetuese kishte dalë në konkluzionet e saj.</w:t>
      </w:r>
    </w:p>
    <w:p w14:paraId="099E9149" w14:textId="7983005C" w:rsidR="00C847D3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 w:cstheme="majorHAnsi"/>
          <w:color w:val="000000"/>
        </w:rPr>
        <w:lastRenderedPageBreak/>
        <w:fldChar w:fldCharType="begin"/>
      </w:r>
      <w:r w:rsidRPr="00BC54AA">
        <w:rPr>
          <w:rFonts w:ascii="Garamond" w:hAnsi="Garamond" w:cstheme="majorHAnsi"/>
          <w:color w:val="000000"/>
        </w:rPr>
        <w:instrText xml:space="preserve"> SEQ level0 \*arabic \* MERGEFORMAT </w:instrText>
      </w:r>
      <w:r w:rsidRPr="00BC54AA">
        <w:rPr>
          <w:rFonts w:ascii="Garamond" w:hAnsi="Garamond" w:cstheme="majorHAnsi"/>
          <w:color w:val="000000"/>
        </w:rPr>
        <w:fldChar w:fldCharType="separate"/>
      </w:r>
      <w:r w:rsidR="002B2988" w:rsidRPr="00BC54AA">
        <w:rPr>
          <w:rFonts w:ascii="Garamond" w:hAnsi="Garamond" w:cstheme="majorHAnsi"/>
          <w:color w:val="000000"/>
        </w:rPr>
        <w:t>15</w:t>
      </w:r>
      <w:r w:rsidRPr="00BC54AA">
        <w:rPr>
          <w:rFonts w:ascii="Garamond" w:hAnsi="Garamond" w:cstheme="majorHAnsi"/>
          <w:color w:val="000000"/>
        </w:rPr>
        <w:fldChar w:fldCharType="end"/>
      </w:r>
      <w:r w:rsidRPr="00BC54AA">
        <w:rPr>
          <w:rFonts w:ascii="Garamond" w:hAnsi="Garamond"/>
          <w:color w:val="000000"/>
        </w:rPr>
        <w:t>.</w:t>
      </w:r>
      <w:r w:rsidR="00A4752D">
        <w:rPr>
          <w:rFonts w:ascii="Garamond" w:hAnsi="Garamond"/>
          <w:color w:val="000000"/>
        </w:rPr>
        <w:t xml:space="preserve"> </w:t>
      </w:r>
      <w:r w:rsidRPr="00BC54AA">
        <w:rPr>
          <w:rFonts w:ascii="Garamond" w:hAnsi="Garamond"/>
          <w:color w:val="000000"/>
        </w:rPr>
        <w:t xml:space="preserve">Në lidhje me çështjen në fjalë, pas shqyrtimit të </w:t>
      </w:r>
      <w:proofErr w:type="spellStart"/>
      <w:r w:rsidRPr="00BC54AA">
        <w:rPr>
          <w:rFonts w:ascii="Garamond" w:hAnsi="Garamond"/>
          <w:color w:val="000000"/>
        </w:rPr>
        <w:t>të</w:t>
      </w:r>
      <w:proofErr w:type="spellEnd"/>
      <w:r w:rsidRPr="00BC54AA">
        <w:rPr>
          <w:rFonts w:ascii="Garamond" w:hAnsi="Garamond"/>
          <w:color w:val="000000"/>
        </w:rPr>
        <w:t xml:space="preserve"> gjithë materialit para saj, Gjykata vlerëson se qeveria nuk ka paraqitur ndonjë fakt apo argument që ta bindte për të dalë në një konkluzion të ndryshëm.</w:t>
      </w:r>
      <w:r w:rsidRPr="00BC54AA">
        <w:rPr>
          <w:rFonts w:ascii="Garamond" w:hAnsi="Garamond"/>
        </w:rPr>
        <w:t> Prandaj, Gjykata del në përfundimin se kjo mungesë e arsyetimit adekuat nuk plotësoi kërkesat për proces gjyqësor të drejtë. Prandaj në këto rrethana konstatohet shkelje e paragrafit 1, të nenit 6 të Konventës.</w:t>
      </w:r>
    </w:p>
    <w:p w14:paraId="1B7D744F" w14:textId="6E5E3EDD" w:rsidR="00792B77" w:rsidRPr="00BC54AA" w:rsidRDefault="00C847D3" w:rsidP="00C847D3">
      <w:pPr>
        <w:pStyle w:val="JuPara"/>
        <w:rPr>
          <w:rFonts w:ascii="Garamond" w:hAnsi="Garamond"/>
        </w:rPr>
      </w:pPr>
      <w:proofErr w:type="spellStart"/>
      <w:r w:rsidRPr="00BC54AA">
        <w:rPr>
          <w:rFonts w:ascii="Garamond" w:hAnsi="Garamond"/>
        </w:rPr>
        <w:t>II</w:t>
      </w:r>
      <w:proofErr w:type="spellEnd"/>
      <w:r w:rsidRPr="00BC54AA">
        <w:rPr>
          <w:rFonts w:ascii="Garamond" w:hAnsi="Garamond"/>
        </w:rPr>
        <w:t>. SHKELJA E PRETENDUAR E PARAGRAFIT 1</w:t>
      </w:r>
      <w:r w:rsidR="00BC54AA">
        <w:rPr>
          <w:rFonts w:ascii="Garamond" w:hAnsi="Garamond"/>
        </w:rPr>
        <w:t>,</w:t>
      </w:r>
      <w:r w:rsidRPr="00BC54AA">
        <w:rPr>
          <w:rFonts w:ascii="Garamond" w:hAnsi="Garamond"/>
        </w:rPr>
        <w:t xml:space="preserve"> TË NENIT 6 TË KONVENTËS</w:t>
      </w:r>
      <w:r w:rsidR="00BC54AA">
        <w:rPr>
          <w:rFonts w:ascii="Garamond" w:hAnsi="Garamond"/>
        </w:rPr>
        <w:t>,</w:t>
      </w:r>
      <w:r w:rsidRPr="00BC54AA">
        <w:rPr>
          <w:rFonts w:ascii="Garamond" w:hAnsi="Garamond"/>
        </w:rPr>
        <w:t xml:space="preserve"> NË LIDHJE ME TË DREJTËN E </w:t>
      </w:r>
      <w:proofErr w:type="spellStart"/>
      <w:r w:rsidRPr="00BC54AA">
        <w:rPr>
          <w:rFonts w:ascii="Garamond" w:hAnsi="Garamond"/>
        </w:rPr>
        <w:t>AKSESIT</w:t>
      </w:r>
      <w:proofErr w:type="spellEnd"/>
      <w:r w:rsidRPr="00BC54AA">
        <w:rPr>
          <w:rFonts w:ascii="Garamond" w:hAnsi="Garamond"/>
        </w:rPr>
        <w:t xml:space="preserve"> NË GJYKATËN KUSHTETUESE</w:t>
      </w:r>
    </w:p>
    <w:p w14:paraId="36E3BDB0" w14:textId="0CCA4E4A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bookmarkStart w:id="3" w:name="paragraph00015"/>
      <w:r w:rsidR="002B2988" w:rsidRPr="00BC54AA">
        <w:rPr>
          <w:rFonts w:ascii="Garamond" w:hAnsi="Garamond"/>
        </w:rPr>
        <w:t>16</w:t>
      </w:r>
      <w:bookmarkEnd w:id="3"/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Parimet përkatëse mbi të drejtën për t</w:t>
      </w:r>
      <w:r w:rsidR="00BC54AA">
        <w:rPr>
          <w:rFonts w:ascii="Garamond" w:hAnsi="Garamond"/>
        </w:rPr>
        <w:t>’</w:t>
      </w:r>
      <w:r w:rsidR="00C9726B" w:rsidRPr="00BC54AA">
        <w:rPr>
          <w:rFonts w:ascii="Garamond" w:hAnsi="Garamond"/>
        </w:rPr>
        <w:t xml:space="preserve">ju drejtuar një gjykate dhe, në veçanti, për </w:t>
      </w:r>
      <w:proofErr w:type="spellStart"/>
      <w:r w:rsidR="00C9726B" w:rsidRPr="00BC54AA">
        <w:rPr>
          <w:rFonts w:ascii="Garamond" w:hAnsi="Garamond"/>
        </w:rPr>
        <w:t>aksesin</w:t>
      </w:r>
      <w:proofErr w:type="spellEnd"/>
      <w:r w:rsidR="00C9726B" w:rsidRPr="00BC54AA">
        <w:rPr>
          <w:rFonts w:ascii="Garamond" w:hAnsi="Garamond"/>
        </w:rPr>
        <w:t xml:space="preserve"> në gjykatat më të larta janë përmbledhur në </w:t>
      </w:r>
      <w:proofErr w:type="spellStart"/>
      <w:r w:rsidR="00C9726B" w:rsidRPr="00BC54AA">
        <w:rPr>
          <w:rFonts w:ascii="Garamond" w:hAnsi="Garamond"/>
          <w:i/>
          <w:iCs/>
        </w:rPr>
        <w:t>Zubac</w:t>
      </w:r>
      <w:proofErr w:type="spellEnd"/>
      <w:r w:rsidR="00C9726B" w:rsidRPr="00BC54AA">
        <w:rPr>
          <w:rFonts w:ascii="Garamond" w:hAnsi="Garamond"/>
          <w:i/>
          <w:iCs/>
        </w:rPr>
        <w:t xml:space="preserve"> kundër Kroacisë</w:t>
      </w:r>
      <w:r w:rsidR="00C9726B" w:rsidRPr="00BC54AA">
        <w:rPr>
          <w:rFonts w:ascii="Garamond" w:hAnsi="Garamond"/>
        </w:rPr>
        <w:t xml:space="preserve"> ([</w:t>
      </w:r>
      <w:proofErr w:type="spellStart"/>
      <w:r w:rsidR="00C9726B" w:rsidRPr="00BC54AA">
        <w:rPr>
          <w:rFonts w:ascii="Garamond" w:hAnsi="Garamond"/>
        </w:rPr>
        <w:t>DHM</w:t>
      </w:r>
      <w:proofErr w:type="spellEnd"/>
      <w:r w:rsidR="00C9726B" w:rsidRPr="00BC54AA">
        <w:rPr>
          <w:rFonts w:ascii="Garamond" w:hAnsi="Garamond"/>
        </w:rPr>
        <w:t>], nr. 40160/12, §§ 76</w:t>
      </w:r>
      <w:r w:rsidR="00BC54AA">
        <w:rPr>
          <w:rFonts w:ascii="Garamond" w:hAnsi="Garamond"/>
        </w:rPr>
        <w:t>–</w:t>
      </w:r>
      <w:r w:rsidR="00C9726B" w:rsidRPr="00BC54AA">
        <w:rPr>
          <w:rFonts w:ascii="Garamond" w:hAnsi="Garamond"/>
        </w:rPr>
        <w:t xml:space="preserve">99, 5 prill 2018. Gjykata ka adresuar situatën specifike të shumicës së cilësuar të votave nga Gjykata Kushtetuese në Shqipëri në </w:t>
      </w:r>
      <w:r w:rsidR="00C9726B" w:rsidRPr="00BC54AA">
        <w:rPr>
          <w:rFonts w:ascii="Garamond" w:hAnsi="Garamond"/>
          <w:i/>
          <w:iCs/>
        </w:rPr>
        <w:t xml:space="preserve">Meli dhe </w:t>
      </w:r>
      <w:proofErr w:type="spellStart"/>
      <w:r w:rsidR="00C9726B" w:rsidRPr="00BC54AA">
        <w:rPr>
          <w:rFonts w:ascii="Garamond" w:hAnsi="Garamond"/>
          <w:i/>
          <w:iCs/>
        </w:rPr>
        <w:t>Swinkels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Family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Brewers</w:t>
      </w:r>
      <w:proofErr w:type="spellEnd"/>
      <w:r w:rsidR="00C9726B" w:rsidRPr="00BC54AA">
        <w:rPr>
          <w:rFonts w:ascii="Garamond" w:hAnsi="Garamond"/>
          <w:i/>
          <w:iCs/>
        </w:rPr>
        <w:t xml:space="preserve"> N.</w:t>
      </w:r>
      <w:r w:rsidR="00BC54AA">
        <w:rPr>
          <w:rFonts w:ascii="Garamond" w:hAnsi="Garamond"/>
          <w:i/>
          <w:iCs/>
        </w:rPr>
        <w:t xml:space="preserve"> </w:t>
      </w:r>
      <w:r w:rsidR="00C9726B" w:rsidRPr="00BC54AA">
        <w:rPr>
          <w:rFonts w:ascii="Garamond" w:hAnsi="Garamond"/>
          <w:i/>
          <w:iCs/>
        </w:rPr>
        <w:t>V.</w:t>
      </w:r>
      <w:r w:rsidR="00C9726B" w:rsidRPr="00BC54AA">
        <w:rPr>
          <w:rFonts w:ascii="Garamond" w:hAnsi="Garamond"/>
        </w:rPr>
        <w:t xml:space="preserve"> (cituar më lart, §§ 64</w:t>
      </w:r>
      <w:r w:rsidR="00BC54AA">
        <w:rPr>
          <w:rFonts w:ascii="Garamond" w:hAnsi="Garamond"/>
        </w:rPr>
        <w:t>–</w:t>
      </w:r>
      <w:r w:rsidR="00C9726B" w:rsidRPr="00BC54AA">
        <w:rPr>
          <w:rFonts w:ascii="Garamond" w:hAnsi="Garamond"/>
        </w:rPr>
        <w:t>66).</w:t>
      </w:r>
    </w:p>
    <w:p w14:paraId="59F0CB3F" w14:textId="1347D9AD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17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 xml:space="preserve">Kërkuesi pretendoi se Gjykata Kushtetuese duke rrëzuar çështjen e tij nuk i dha një vendim përfundimtar dhe shkeli të drejtën e tij për </w:t>
      </w:r>
      <w:proofErr w:type="spellStart"/>
      <w:r w:rsidR="00C9726B" w:rsidRPr="00BC54AA">
        <w:rPr>
          <w:rFonts w:ascii="Garamond" w:hAnsi="Garamond"/>
        </w:rPr>
        <w:t>akses</w:t>
      </w:r>
      <w:proofErr w:type="spellEnd"/>
      <w:r w:rsidR="00C9726B" w:rsidRPr="00BC54AA">
        <w:rPr>
          <w:rFonts w:ascii="Garamond" w:hAnsi="Garamond"/>
        </w:rPr>
        <w:t xml:space="preserve"> në gjykatë.</w:t>
      </w:r>
    </w:p>
    <w:p w14:paraId="05B22694" w14:textId="48632FA1" w:rsidR="00792B77" w:rsidRPr="00BC54AA" w:rsidRDefault="00605CFF" w:rsidP="00C847D3">
      <w:pPr>
        <w:pStyle w:val="JuPara"/>
        <w:rPr>
          <w:rFonts w:ascii="Garamond" w:hAnsi="Garamond" w:cstheme="minorHAnsi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18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 xml:space="preserve">Në </w:t>
      </w:r>
      <w:r w:rsidR="00C9726B" w:rsidRPr="00BC54AA">
        <w:rPr>
          <w:rFonts w:ascii="Garamond" w:hAnsi="Garamond"/>
          <w:i/>
          <w:iCs/>
        </w:rPr>
        <w:t xml:space="preserve">Meli dhe </w:t>
      </w:r>
      <w:proofErr w:type="spellStart"/>
      <w:r w:rsidR="00C9726B" w:rsidRPr="00BC54AA">
        <w:rPr>
          <w:rFonts w:ascii="Garamond" w:hAnsi="Garamond"/>
          <w:i/>
          <w:iCs/>
        </w:rPr>
        <w:t>Swinkles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Family</w:t>
      </w:r>
      <w:proofErr w:type="spellEnd"/>
      <w:r w:rsidR="00C9726B" w:rsidRPr="00BC54AA">
        <w:rPr>
          <w:rFonts w:ascii="Garamond" w:hAnsi="Garamond"/>
          <w:i/>
          <w:iCs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Brewers</w:t>
      </w:r>
      <w:proofErr w:type="spellEnd"/>
      <w:r w:rsidR="00C9726B" w:rsidRPr="00BC54AA">
        <w:rPr>
          <w:rFonts w:ascii="Garamond" w:hAnsi="Garamond"/>
          <w:i/>
          <w:iCs/>
        </w:rPr>
        <w:t xml:space="preserve"> N.</w:t>
      </w:r>
      <w:r w:rsidR="00BC54AA">
        <w:rPr>
          <w:rFonts w:ascii="Garamond" w:hAnsi="Garamond"/>
          <w:i/>
          <w:iCs/>
        </w:rPr>
        <w:t xml:space="preserve"> </w:t>
      </w:r>
      <w:r w:rsidR="00C9726B" w:rsidRPr="00BC54AA">
        <w:rPr>
          <w:rFonts w:ascii="Garamond" w:hAnsi="Garamond"/>
          <w:i/>
          <w:iCs/>
        </w:rPr>
        <w:t>V.</w:t>
      </w:r>
      <w:r w:rsidR="00C9726B" w:rsidRPr="00BC54AA">
        <w:rPr>
          <w:rFonts w:ascii="Garamond" w:hAnsi="Garamond"/>
        </w:rPr>
        <w:t xml:space="preserve"> (citua</w:t>
      </w:r>
      <w:r w:rsidR="00BC54AA">
        <w:rPr>
          <w:rFonts w:ascii="Garamond" w:hAnsi="Garamond"/>
        </w:rPr>
        <w:t>r</w:t>
      </w:r>
      <w:r w:rsidR="00C9726B" w:rsidRPr="00BC54AA">
        <w:rPr>
          <w:rFonts w:ascii="Garamond" w:hAnsi="Garamond"/>
        </w:rPr>
        <w:t xml:space="preserve"> më lart, §67) ankimet kushtetuese të kërkuesve u rrëzuan përfundimisht sepse anëtarët e trupit gjykues nuk mund të arrinin shumicën me pesë gjyqtarë të kërkuar me ligj. Gjykata doli në përfundimin që kërkuesve nuk u ishte privuar e drejta për të vendosur për themelin e ankimeve të tyre, sepse rrëzimi nga Gjykata Kushtetuese ishte përfundimtar dhe u mor pas diskutimeve të duhura për themelin e ankimeve. Prandaj, nuk kishte shkelje të </w:t>
      </w:r>
      <w:proofErr w:type="spellStart"/>
      <w:r w:rsidR="00C9726B" w:rsidRPr="00BC54AA">
        <w:rPr>
          <w:rFonts w:ascii="Garamond" w:hAnsi="Garamond"/>
        </w:rPr>
        <w:t>të</w:t>
      </w:r>
      <w:proofErr w:type="spellEnd"/>
      <w:r w:rsidR="00C9726B" w:rsidRPr="00BC54AA">
        <w:rPr>
          <w:rFonts w:ascii="Garamond" w:hAnsi="Garamond"/>
        </w:rPr>
        <w:t xml:space="preserve"> drejtës për </w:t>
      </w:r>
      <w:proofErr w:type="spellStart"/>
      <w:r w:rsidR="00C9726B" w:rsidRPr="00BC54AA">
        <w:rPr>
          <w:rFonts w:ascii="Garamond" w:hAnsi="Garamond"/>
        </w:rPr>
        <w:t>akses</w:t>
      </w:r>
      <w:proofErr w:type="spellEnd"/>
      <w:r w:rsidR="00C9726B" w:rsidRPr="00BC54AA">
        <w:rPr>
          <w:rFonts w:ascii="Garamond" w:hAnsi="Garamond"/>
        </w:rPr>
        <w:t xml:space="preserve"> në gjykatë sipas paragrafit 1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të nenit 6 të Konventës.</w:t>
      </w:r>
    </w:p>
    <w:p w14:paraId="1E7EA474" w14:textId="130C5A27" w:rsidR="00792B77" w:rsidRPr="00BC54AA" w:rsidRDefault="00605CFF" w:rsidP="00C847D3">
      <w:pPr>
        <w:pStyle w:val="JuPara"/>
        <w:rPr>
          <w:rFonts w:ascii="Garamond" w:hAnsi="Garamond" w:cstheme="majorHAnsi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19</w:t>
      </w:r>
      <w:r w:rsidRPr="00BC54AA">
        <w:rPr>
          <w:rFonts w:ascii="Garamond" w:hAnsi="Garamond"/>
        </w:rPr>
        <w:fldChar w:fldCharType="end"/>
      </w:r>
      <w:r w:rsidR="002B2988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2B2988" w:rsidRPr="00BC54AA">
        <w:rPr>
          <w:rFonts w:ascii="Garamond" w:hAnsi="Garamond"/>
        </w:rPr>
        <w:t>Meqë të dy</w:t>
      </w:r>
      <w:r w:rsidR="00BC54AA">
        <w:rPr>
          <w:rFonts w:ascii="Garamond" w:hAnsi="Garamond"/>
        </w:rPr>
        <w:t>ja</w:t>
      </w:r>
      <w:r w:rsidR="002B2988" w:rsidRPr="00BC54AA">
        <w:rPr>
          <w:rFonts w:ascii="Garamond" w:hAnsi="Garamond"/>
        </w:rPr>
        <w:t xml:space="preserve"> çështjet kanë të bëjnë me të njëjtin problem, Gjykata nuk sheh arsye për t</w:t>
      </w:r>
      <w:r w:rsidR="00BC54AA">
        <w:rPr>
          <w:rFonts w:ascii="Garamond" w:hAnsi="Garamond"/>
        </w:rPr>
        <w:t>’</w:t>
      </w:r>
      <w:r w:rsidR="002B2988" w:rsidRPr="00BC54AA">
        <w:rPr>
          <w:rFonts w:ascii="Garamond" w:hAnsi="Garamond"/>
        </w:rPr>
        <w:t xml:space="preserve">u shmangur nga gjetjet e saj të mëparshme. Në këtë çështje, ankimi kushtetues i kërkuesit u rrëzua me trup gjykues me gjashtë gjyqtarë të ndarë katër me dy kundër gjetjes së shkeljes kushtetuese (shihni paragrafin </w:t>
      </w:r>
      <w:r w:rsidR="002B2988" w:rsidRPr="00BC54AA">
        <w:rPr>
          <w:rFonts w:ascii="Garamond" w:hAnsi="Garamond" w:cstheme="majorHAnsi"/>
        </w:rPr>
        <w:fldChar w:fldCharType="begin"/>
      </w:r>
      <w:r w:rsidR="002B2988" w:rsidRPr="00BC54AA">
        <w:rPr>
          <w:rFonts w:ascii="Garamond" w:hAnsi="Garamond" w:cstheme="majorHAnsi"/>
        </w:rPr>
        <w:instrText xml:space="preserve"> REF paragraph00008 \h  \* CharFormat </w:instrText>
      </w:r>
      <w:r w:rsidR="00C847D3" w:rsidRPr="00BC54AA">
        <w:rPr>
          <w:rFonts w:ascii="Garamond" w:hAnsi="Garamond" w:cstheme="majorHAnsi"/>
        </w:rPr>
        <w:instrText xml:space="preserve"> \* MERGEFORMAT </w:instrText>
      </w:r>
      <w:r w:rsidR="002B2988" w:rsidRPr="00BC54AA">
        <w:rPr>
          <w:rFonts w:ascii="Garamond" w:hAnsi="Garamond" w:cstheme="majorHAnsi"/>
        </w:rPr>
      </w:r>
      <w:r w:rsidR="002B2988" w:rsidRPr="00BC54AA">
        <w:rPr>
          <w:rFonts w:ascii="Garamond" w:hAnsi="Garamond" w:cstheme="majorHAnsi"/>
        </w:rPr>
        <w:fldChar w:fldCharType="separate"/>
      </w:r>
      <w:r w:rsidR="002B2988" w:rsidRPr="00BC54AA">
        <w:rPr>
          <w:rFonts w:ascii="Garamond" w:hAnsi="Garamond" w:cstheme="majorHAnsi"/>
        </w:rPr>
        <w:t>7</w:t>
      </w:r>
      <w:r w:rsidR="002B2988" w:rsidRPr="00BC54AA">
        <w:rPr>
          <w:rFonts w:ascii="Garamond" w:hAnsi="Garamond" w:cstheme="majorHAnsi"/>
        </w:rPr>
        <w:fldChar w:fldCharType="end"/>
      </w:r>
      <w:r w:rsidR="002B2988" w:rsidRPr="00BC54AA">
        <w:rPr>
          <w:rFonts w:ascii="Garamond" w:hAnsi="Garamond"/>
        </w:rPr>
        <w:t xml:space="preserve"> më lart). Kërkuesi u informua për rezultatin e votimit dhe pasojat e këtij rezultati për ankimet e tij. Prandaj, atij nuk ju privua e drejta për vendim mbi themelin e ankimeve të tij.</w:t>
      </w:r>
    </w:p>
    <w:p w14:paraId="01F4A938" w14:textId="690DA71B" w:rsidR="00C847D3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20</w:t>
      </w:r>
      <w:r w:rsidRPr="00BC54AA">
        <w:rPr>
          <w:rFonts w:ascii="Garamond" w:hAnsi="Garamond"/>
        </w:rPr>
        <w:fldChar w:fldCharType="end"/>
      </w:r>
      <w:r w:rsidR="002B2988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2B2988" w:rsidRPr="00BC54AA">
        <w:rPr>
          <w:rFonts w:ascii="Garamond" w:hAnsi="Garamond"/>
        </w:rPr>
        <w:t>Në këto rrethana, Gjykata vlerëson se ky ankim është haptazi i pabazuar dhe duhet të rrëzohet në përputhje me paragrafin 3 (a) dhe 4</w:t>
      </w:r>
      <w:r w:rsidR="00BC54AA">
        <w:rPr>
          <w:rFonts w:ascii="Garamond" w:hAnsi="Garamond"/>
        </w:rPr>
        <w:t>,</w:t>
      </w:r>
      <w:r w:rsidR="002B2988" w:rsidRPr="00BC54AA">
        <w:rPr>
          <w:rFonts w:ascii="Garamond" w:hAnsi="Garamond"/>
        </w:rPr>
        <w:t xml:space="preserve"> të nenit 35 të Konventës.</w:t>
      </w:r>
    </w:p>
    <w:p w14:paraId="3C535A4C" w14:textId="40CAAC57" w:rsidR="00792B77" w:rsidRPr="00BC54AA" w:rsidRDefault="00C847D3" w:rsidP="00C847D3">
      <w:pPr>
        <w:pStyle w:val="JuPara"/>
        <w:rPr>
          <w:rFonts w:ascii="Garamond" w:hAnsi="Garamond" w:cstheme="majorHAnsi"/>
        </w:rPr>
      </w:pPr>
      <w:proofErr w:type="spellStart"/>
      <w:r w:rsidRPr="00BC54AA">
        <w:rPr>
          <w:rFonts w:ascii="Garamond" w:hAnsi="Garamond"/>
        </w:rPr>
        <w:t>III</w:t>
      </w:r>
      <w:proofErr w:type="spellEnd"/>
      <w:r w:rsidRPr="00BC54AA">
        <w:rPr>
          <w:rFonts w:ascii="Garamond" w:hAnsi="Garamond"/>
        </w:rPr>
        <w:t xml:space="preserve">. </w:t>
      </w:r>
      <w:r w:rsidR="00605CFF" w:rsidRPr="00BC54AA">
        <w:rPr>
          <w:rFonts w:ascii="Garamond" w:hAnsi="Garamond"/>
        </w:rPr>
        <w:t>ANKIME TË TJERA</w:t>
      </w:r>
    </w:p>
    <w:p w14:paraId="64BBFAB0" w14:textId="1D4C8AD4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21</w:t>
      </w:r>
      <w:r w:rsidRPr="00BC54AA">
        <w:rPr>
          <w:rFonts w:ascii="Garamond" w:hAnsi="Garamond"/>
        </w:rPr>
        <w:fldChar w:fldCharType="end"/>
      </w:r>
      <w:r w:rsidR="002B2988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2B2988" w:rsidRPr="00BC54AA">
        <w:rPr>
          <w:rFonts w:ascii="Garamond" w:hAnsi="Garamond"/>
        </w:rPr>
        <w:t>Gjithashtu</w:t>
      </w:r>
      <w:r w:rsidR="00BC54AA">
        <w:rPr>
          <w:rFonts w:ascii="Garamond" w:hAnsi="Garamond"/>
        </w:rPr>
        <w:t>,</w:t>
      </w:r>
      <w:r w:rsidR="002B2988" w:rsidRPr="00BC54AA">
        <w:rPr>
          <w:rFonts w:ascii="Garamond" w:hAnsi="Garamond"/>
        </w:rPr>
        <w:t xml:space="preserve"> kërkuesi u ankua sipas paragrafit 1</w:t>
      </w:r>
      <w:r w:rsidR="00BC54AA">
        <w:rPr>
          <w:rFonts w:ascii="Garamond" w:hAnsi="Garamond"/>
        </w:rPr>
        <w:t>,</w:t>
      </w:r>
      <w:r w:rsidR="002B2988" w:rsidRPr="00BC54AA">
        <w:rPr>
          <w:rFonts w:ascii="Garamond" w:hAnsi="Garamond"/>
        </w:rPr>
        <w:t xml:space="preserve"> të nenit 6 të Konventës</w:t>
      </w:r>
      <w:r w:rsidR="00BC54AA">
        <w:rPr>
          <w:rFonts w:ascii="Garamond" w:hAnsi="Garamond"/>
        </w:rPr>
        <w:t>,</w:t>
      </w:r>
      <w:r w:rsidR="002B2988" w:rsidRPr="00BC54AA">
        <w:rPr>
          <w:rFonts w:ascii="Garamond" w:hAnsi="Garamond"/>
        </w:rPr>
        <w:t xml:space="preserve"> për mungesën e arsyetimit të duhur të Gjykatës së Lartë, që Gjykata e Lartë nuk ishte e pavarur dhe e paanshme, dhe sipas paragrafit 2</w:t>
      </w:r>
      <w:r w:rsidR="00BC54AA">
        <w:rPr>
          <w:rFonts w:ascii="Garamond" w:hAnsi="Garamond"/>
        </w:rPr>
        <w:t>,</w:t>
      </w:r>
      <w:r w:rsidR="002B2988" w:rsidRPr="00BC54AA">
        <w:rPr>
          <w:rFonts w:ascii="Garamond" w:hAnsi="Garamond"/>
        </w:rPr>
        <w:t xml:space="preserve"> të nenit 6 për </w:t>
      </w:r>
      <w:proofErr w:type="spellStart"/>
      <w:r w:rsidR="002B2988" w:rsidRPr="00BC54AA">
        <w:rPr>
          <w:rFonts w:ascii="Garamond" w:hAnsi="Garamond"/>
        </w:rPr>
        <w:t>prezumimin</w:t>
      </w:r>
      <w:proofErr w:type="spellEnd"/>
      <w:r w:rsidR="002B2988" w:rsidRPr="00BC54AA">
        <w:rPr>
          <w:rFonts w:ascii="Garamond" w:hAnsi="Garamond"/>
        </w:rPr>
        <w:t xml:space="preserve"> e pafajësisë.</w:t>
      </w:r>
    </w:p>
    <w:p w14:paraId="1A8D0D0E" w14:textId="4E008EF0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22</w:t>
      </w:r>
      <w:r w:rsidRPr="00BC54AA">
        <w:rPr>
          <w:rFonts w:ascii="Garamond" w:hAnsi="Garamond"/>
        </w:rPr>
        <w:fldChar w:fldCharType="end"/>
      </w:r>
      <w:r w:rsidR="002B2988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2B2988" w:rsidRPr="00BC54AA">
        <w:rPr>
          <w:rFonts w:ascii="Garamond" w:hAnsi="Garamond"/>
        </w:rPr>
        <w:t>Duke pasur parasysh gjetjen e saj</w:t>
      </w:r>
      <w:r w:rsidR="00BC54AA">
        <w:rPr>
          <w:rFonts w:ascii="Garamond" w:hAnsi="Garamond"/>
        </w:rPr>
        <w:t>,</w:t>
      </w:r>
      <w:r w:rsidR="002B2988" w:rsidRPr="00BC54AA">
        <w:rPr>
          <w:rFonts w:ascii="Garamond" w:hAnsi="Garamond"/>
        </w:rPr>
        <w:t xml:space="preserve"> në lidhje me të drejtën e kërkuesit për një vendim gjyqësor të arsyetuar sipas paragrafit 1</w:t>
      </w:r>
      <w:r w:rsidR="00BC54AA">
        <w:rPr>
          <w:rFonts w:ascii="Garamond" w:hAnsi="Garamond"/>
        </w:rPr>
        <w:t>,</w:t>
      </w:r>
      <w:r w:rsidR="002B2988" w:rsidRPr="00BC54AA">
        <w:rPr>
          <w:rFonts w:ascii="Garamond" w:hAnsi="Garamond"/>
        </w:rPr>
        <w:t xml:space="preserve"> të nenit 6 të Konventës (shihni paragrafin</w:t>
      </w:r>
      <w:r w:rsidR="00A4752D">
        <w:rPr>
          <w:rFonts w:ascii="Garamond" w:hAnsi="Garamond"/>
        </w:rPr>
        <w:t xml:space="preserve"> </w:t>
      </w:r>
      <w:r w:rsidR="002B2988" w:rsidRPr="00BC54AA">
        <w:rPr>
          <w:rFonts w:ascii="Garamond" w:hAnsi="Garamond"/>
        </w:rPr>
        <w:fldChar w:fldCharType="begin"/>
      </w:r>
      <w:r w:rsidR="002B2988" w:rsidRPr="00BC54AA">
        <w:rPr>
          <w:rFonts w:ascii="Garamond" w:hAnsi="Garamond"/>
        </w:rPr>
        <w:instrText xml:space="preserve"> REF paragraph00015 \h  \* CharFormat </w:instrText>
      </w:r>
      <w:r w:rsidR="00C847D3" w:rsidRPr="00BC54AA">
        <w:rPr>
          <w:rFonts w:ascii="Garamond" w:hAnsi="Garamond"/>
        </w:rPr>
        <w:instrText xml:space="preserve"> \* MERGEFORMAT </w:instrText>
      </w:r>
      <w:r w:rsidR="002B2988" w:rsidRPr="00BC54AA">
        <w:rPr>
          <w:rFonts w:ascii="Garamond" w:hAnsi="Garamond"/>
        </w:rPr>
      </w:r>
      <w:r w:rsidR="002B2988"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16</w:t>
      </w:r>
      <w:r w:rsidR="002B2988" w:rsidRPr="00BC54AA">
        <w:rPr>
          <w:rFonts w:ascii="Garamond" w:hAnsi="Garamond"/>
        </w:rPr>
        <w:fldChar w:fldCharType="end"/>
      </w:r>
      <w:r w:rsidR="002B2988" w:rsidRPr="00BC54AA">
        <w:rPr>
          <w:rFonts w:ascii="Garamond" w:hAnsi="Garamond"/>
        </w:rPr>
        <w:t xml:space="preserve"> më lart), Gjykata thekson se tani kërkuesi ka mundësi të kërkojë rihapjen e proceseve përpara Gjykatës Kushtetuese (shihni paragrafin </w:t>
      </w:r>
      <w:r w:rsidR="002B2988" w:rsidRPr="00BC54AA">
        <w:rPr>
          <w:rFonts w:ascii="Garamond" w:hAnsi="Garamond"/>
        </w:rPr>
        <w:fldChar w:fldCharType="begin"/>
      </w:r>
      <w:r w:rsidR="002B2988" w:rsidRPr="00BC54AA">
        <w:rPr>
          <w:rFonts w:ascii="Garamond" w:hAnsi="Garamond"/>
        </w:rPr>
        <w:instrText xml:space="preserve"> REF paragraph00025 \h  \* CharFormat </w:instrText>
      </w:r>
      <w:r w:rsidR="00C847D3" w:rsidRPr="00BC54AA">
        <w:rPr>
          <w:rFonts w:ascii="Garamond" w:hAnsi="Garamond"/>
        </w:rPr>
        <w:instrText xml:space="preserve"> \* MERGEFORMAT </w:instrText>
      </w:r>
      <w:r w:rsidR="002B2988" w:rsidRPr="00BC54AA">
        <w:rPr>
          <w:rFonts w:ascii="Garamond" w:hAnsi="Garamond"/>
        </w:rPr>
      </w:r>
      <w:r w:rsidR="002B2988"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25</w:t>
      </w:r>
      <w:r w:rsidR="002B2988" w:rsidRPr="00BC54AA">
        <w:rPr>
          <w:rFonts w:ascii="Garamond" w:hAnsi="Garamond"/>
        </w:rPr>
        <w:fldChar w:fldCharType="end"/>
      </w:r>
      <w:r w:rsidR="002B2988" w:rsidRPr="00BC54AA">
        <w:rPr>
          <w:rFonts w:ascii="Garamond" w:hAnsi="Garamond"/>
        </w:rPr>
        <w:t xml:space="preserve"> më poshtë). Në parim kjo mundëson shqyrtimin e ankimeve të mbetura të kërkuesit sipas Konventës përmes një vendimi të arsyetuar si duhet të asaj gjykate. Në këto rrethana dhe në përputhje me rolin e saj plotësues, Gjykata vlerëson se nuk është e nevojshme të shqyrtohen ankimet e mbetura të kërkuesit në këtë moment. Për atë është e hapur mundësia që të depozitojë kërkesa të reja në Gjykatë, sipas rastit, pas vendimmarrjes më të fundit për ankimin e tij kushtetues në nivel kombëtar.</w:t>
      </w:r>
    </w:p>
    <w:p w14:paraId="303A80C4" w14:textId="77777777" w:rsidR="00792B77" w:rsidRPr="00BC54AA" w:rsidRDefault="00605CFF" w:rsidP="00C847D3">
      <w:pPr>
        <w:pStyle w:val="JuHHead"/>
        <w:spacing w:before="0" w:beforeAutospacing="0" w:after="0"/>
        <w:ind w:firstLine="284"/>
        <w:rPr>
          <w:rFonts w:ascii="Garamond" w:hAnsi="Garamond"/>
          <w:sz w:val="24"/>
          <w:szCs w:val="24"/>
        </w:rPr>
      </w:pPr>
      <w:r w:rsidRPr="00BC54AA">
        <w:rPr>
          <w:rFonts w:ascii="Garamond" w:hAnsi="Garamond"/>
          <w:caps w:val="0"/>
          <w:sz w:val="24"/>
          <w:szCs w:val="24"/>
        </w:rPr>
        <w:t>ZBATIMI I NENIT 41 TË KONVENTËS</w:t>
      </w:r>
    </w:p>
    <w:p w14:paraId="4F6ABF43" w14:textId="53A52E42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23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Kërkuesi kërkoi 50,000 euro (</w:t>
      </w:r>
      <w:proofErr w:type="spellStart"/>
      <w:r w:rsidR="00C9726B" w:rsidRPr="00BC54AA">
        <w:rPr>
          <w:rFonts w:ascii="Garamond" w:hAnsi="Garamond"/>
        </w:rPr>
        <w:t>EUR</w:t>
      </w:r>
      <w:proofErr w:type="spellEnd"/>
      <w:r w:rsidR="00C9726B" w:rsidRPr="00BC54AA">
        <w:rPr>
          <w:rFonts w:ascii="Garamond" w:hAnsi="Garamond"/>
        </w:rPr>
        <w:t xml:space="preserve">) për dëmin </w:t>
      </w:r>
      <w:proofErr w:type="spellStart"/>
      <w:r w:rsidR="00C9726B" w:rsidRPr="00BC54AA">
        <w:rPr>
          <w:rFonts w:ascii="Garamond" w:hAnsi="Garamond"/>
        </w:rPr>
        <w:t>jomonetar</w:t>
      </w:r>
      <w:proofErr w:type="spellEnd"/>
      <w:r w:rsidR="00C9726B" w:rsidRPr="00BC54AA">
        <w:rPr>
          <w:rFonts w:ascii="Garamond" w:hAnsi="Garamond"/>
        </w:rPr>
        <w:t xml:space="preserve"> dhe 10,000 </w:t>
      </w:r>
      <w:proofErr w:type="spellStart"/>
      <w:r w:rsidR="00C9726B" w:rsidRPr="00BC54AA">
        <w:rPr>
          <w:rFonts w:ascii="Garamond" w:hAnsi="Garamond"/>
        </w:rPr>
        <w:t>EUR</w:t>
      </w:r>
      <w:proofErr w:type="spellEnd"/>
      <w:r w:rsidR="00C9726B" w:rsidRPr="00BC54AA">
        <w:rPr>
          <w:rFonts w:ascii="Garamond" w:hAnsi="Garamond"/>
        </w:rPr>
        <w:t xml:space="preserve"> për kosto dhe shpenzime të kryera pranë Gjykatës Kushtetuese dhe Gjykatës.</w:t>
      </w:r>
    </w:p>
    <w:p w14:paraId="4D3841EF" w14:textId="45297ED4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24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>Qeveria gjykon që shumat e pretenduara janë të pabazuara dhe të tepruara</w:t>
      </w:r>
      <w:r w:rsidR="00BC54AA">
        <w:rPr>
          <w:rFonts w:ascii="Garamond" w:hAnsi="Garamond"/>
        </w:rPr>
        <w:t>,</w:t>
      </w:r>
      <w:r w:rsidR="00C9726B" w:rsidRPr="00BC54AA">
        <w:rPr>
          <w:rFonts w:ascii="Garamond" w:hAnsi="Garamond"/>
        </w:rPr>
        <w:t xml:space="preserve"> dhe më tej deklaron që kërkuesi nuk kishte paraqitur fatura të mjaftueshme për të provuar shpenzimet e tij.</w:t>
      </w:r>
    </w:p>
    <w:p w14:paraId="02464A71" w14:textId="7B296E69" w:rsidR="00792B77" w:rsidRPr="00BC54AA" w:rsidRDefault="00605CFF" w:rsidP="00C847D3">
      <w:pPr>
        <w:pStyle w:val="JuPara"/>
        <w:rPr>
          <w:rFonts w:ascii="Garamond" w:hAnsi="Garamond" w:cstheme="majorHAnsi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bookmarkStart w:id="4" w:name="paragraph00025"/>
      <w:r w:rsidR="002B2988" w:rsidRPr="00BC54AA">
        <w:rPr>
          <w:rFonts w:ascii="Garamond" w:hAnsi="Garamond"/>
        </w:rPr>
        <w:t>25</w:t>
      </w:r>
      <w:bookmarkEnd w:id="4"/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 xml:space="preserve">Gjykata përsërit që një vendim gjyqësor ku ajo gjen shkelje të Konventës vendos ndaj </w:t>
      </w:r>
      <w:r w:rsidR="00BC54AA">
        <w:rPr>
          <w:rFonts w:ascii="Garamond" w:hAnsi="Garamond"/>
        </w:rPr>
        <w:t>s</w:t>
      </w:r>
      <w:r w:rsidR="00C9726B" w:rsidRPr="00BC54AA">
        <w:rPr>
          <w:rFonts w:ascii="Garamond" w:hAnsi="Garamond"/>
        </w:rPr>
        <w:t>htetit të paditur detyrimin ligjor për t</w:t>
      </w:r>
      <w:r w:rsidR="00BC54AA">
        <w:rPr>
          <w:rFonts w:ascii="Garamond" w:hAnsi="Garamond"/>
        </w:rPr>
        <w:t>’</w:t>
      </w:r>
      <w:r w:rsidR="00C9726B" w:rsidRPr="00BC54AA">
        <w:rPr>
          <w:rFonts w:ascii="Garamond" w:hAnsi="Garamond"/>
        </w:rPr>
        <w:t>i dhënë fund shkeljes dhe për të korrigjuar pasojat e saj. Nisur nga natyra e ankimit të kërkuesve dhe e shkeljes së gjetur, Gjykata vlerëson se forma më e përshtatshme e korrigjimit në këtë çështje do të ishte rihapja e procesit përpara Gjykatës Kushtetuese, nëse e kërkon kërkuesi, nisur nga fakti që është në gjendje të sigurojë</w:t>
      </w:r>
      <w:r w:rsidR="00A4752D">
        <w:rPr>
          <w:rFonts w:ascii="Garamond" w:hAnsi="Garamond"/>
        </w:rPr>
        <w:t xml:space="preserve"> </w:t>
      </w:r>
      <w:proofErr w:type="spellStart"/>
      <w:r w:rsidR="00C9726B" w:rsidRPr="00BC54AA">
        <w:rPr>
          <w:rFonts w:ascii="Garamond" w:hAnsi="Garamond"/>
          <w:i/>
          <w:iCs/>
        </w:rPr>
        <w:t>restitutio</w:t>
      </w:r>
      <w:proofErr w:type="spellEnd"/>
      <w:r w:rsidR="00C9726B" w:rsidRPr="00BC54AA">
        <w:rPr>
          <w:rFonts w:ascii="Garamond" w:hAnsi="Garamond"/>
          <w:i/>
          <w:iCs/>
        </w:rPr>
        <w:t xml:space="preserve"> in </w:t>
      </w:r>
      <w:proofErr w:type="spellStart"/>
      <w:r w:rsidR="00C9726B" w:rsidRPr="00BC54AA">
        <w:rPr>
          <w:rFonts w:ascii="Garamond" w:hAnsi="Garamond"/>
          <w:i/>
          <w:iCs/>
        </w:rPr>
        <w:t>integrum</w:t>
      </w:r>
      <w:proofErr w:type="spellEnd"/>
      <w:r w:rsidR="00BC54AA">
        <w:rPr>
          <w:rFonts w:ascii="Garamond" w:hAnsi="Garamond"/>
          <w:i/>
          <w:iCs/>
        </w:rPr>
        <w:t>,</w:t>
      </w:r>
      <w:r w:rsidR="00C9726B" w:rsidRPr="00BC54AA">
        <w:rPr>
          <w:rFonts w:ascii="Garamond" w:hAnsi="Garamond"/>
        </w:rPr>
        <w:t xml:space="preserve"> siç e kërkon neni 41 i Konventës (krahasoni </w:t>
      </w:r>
      <w:r w:rsidR="00C9726B" w:rsidRPr="00BC54AA">
        <w:rPr>
          <w:rFonts w:ascii="Garamond" w:hAnsi="Garamond"/>
          <w:i/>
          <w:iCs/>
        </w:rPr>
        <w:t>Shk</w:t>
      </w:r>
      <w:bookmarkStart w:id="5" w:name="cl36391"/>
      <w:r w:rsidR="00C9726B" w:rsidRPr="00BC54AA">
        <w:rPr>
          <w:rFonts w:ascii="Garamond" w:hAnsi="Garamond"/>
          <w:i/>
          <w:iCs/>
        </w:rPr>
        <w:t>alla kundër Shqipërisë</w:t>
      </w:r>
      <w:bookmarkEnd w:id="5"/>
      <w:r w:rsidR="00C9726B" w:rsidRPr="00BC54AA">
        <w:rPr>
          <w:rFonts w:ascii="Garamond" w:hAnsi="Garamond"/>
        </w:rPr>
        <w:t>, nr. 26866/05, §§ 77</w:t>
      </w:r>
      <w:r w:rsidR="00BC54AA">
        <w:rPr>
          <w:rFonts w:ascii="Garamond" w:hAnsi="Garamond"/>
        </w:rPr>
        <w:t>–</w:t>
      </w:r>
      <w:r w:rsidR="00C9726B" w:rsidRPr="00BC54AA">
        <w:rPr>
          <w:rFonts w:ascii="Garamond" w:hAnsi="Garamond"/>
        </w:rPr>
        <w:t xml:space="preserve">79, 10 maj 2011, dhe </w:t>
      </w:r>
      <w:r w:rsidR="00C9726B" w:rsidRPr="00BC54AA">
        <w:rPr>
          <w:rFonts w:ascii="Garamond" w:hAnsi="Garamond"/>
          <w:i/>
        </w:rPr>
        <w:t xml:space="preserve">X </w:t>
      </w:r>
      <w:r w:rsidR="00C9726B" w:rsidRPr="00BC54AA">
        <w:rPr>
          <w:rFonts w:ascii="Garamond" w:hAnsi="Garamond"/>
          <w:i/>
        </w:rPr>
        <w:lastRenderedPageBreak/>
        <w:t>kundër Holandës</w:t>
      </w:r>
      <w:r w:rsidR="00C9726B" w:rsidRPr="00BC54AA">
        <w:rPr>
          <w:rFonts w:ascii="Garamond" w:hAnsi="Garamond"/>
        </w:rPr>
        <w:t xml:space="preserve">, nr. 72631/17, § 61, 27 korrik 2021). </w:t>
      </w:r>
      <w:r w:rsidR="00C9726B" w:rsidRPr="00BC54AA">
        <w:rPr>
          <w:rFonts w:ascii="Garamond" w:hAnsi="Garamond"/>
          <w:color w:val="000000"/>
        </w:rPr>
        <w:t>Në këtë drejtim, Gjykata vëren që neni 71(c) i Ligjit për Gjykatën Kushtetuese parashikon që proceset në Gjykatën Kushtetuese mund të rihapen nëse një gjykatë ndërkombëtare, juridiksioni i të cilës shtrihet në Republikën e Shqipërisë</w:t>
      </w:r>
      <w:r w:rsidR="00BC54AA">
        <w:rPr>
          <w:rFonts w:ascii="Garamond" w:hAnsi="Garamond"/>
          <w:color w:val="000000"/>
        </w:rPr>
        <w:t>,</w:t>
      </w:r>
      <w:r w:rsidR="00C9726B" w:rsidRPr="00BC54AA">
        <w:rPr>
          <w:rFonts w:ascii="Garamond" w:hAnsi="Garamond"/>
          <w:color w:val="000000"/>
        </w:rPr>
        <w:t xml:space="preserve"> </w:t>
      </w:r>
      <w:r w:rsidR="00C9726B" w:rsidRPr="00BC54AA">
        <w:rPr>
          <w:rFonts w:ascii="Garamond" w:hAnsi="Garamond"/>
        </w:rPr>
        <w:t xml:space="preserve">konstaton se janë cenuar të drejtat dhe liritë themelore të një personi </w:t>
      </w:r>
      <w:r w:rsidR="00BC54AA">
        <w:rPr>
          <w:rFonts w:ascii="Garamond" w:hAnsi="Garamond"/>
        </w:rPr>
        <w:t>“</w:t>
      </w:r>
      <w:r w:rsidR="00C9726B" w:rsidRPr="00BC54AA">
        <w:rPr>
          <w:rFonts w:ascii="Garamond" w:hAnsi="Garamond"/>
        </w:rPr>
        <w:t>për shkak të një vendimi [të mëparshëm] të Gjykatës Kushtetuese</w:t>
      </w:r>
      <w:r w:rsidR="00BC54AA">
        <w:rPr>
          <w:rFonts w:ascii="Garamond" w:hAnsi="Garamond"/>
        </w:rPr>
        <w:t>”</w:t>
      </w:r>
      <w:r w:rsidR="00C9726B" w:rsidRPr="00BC54AA">
        <w:rPr>
          <w:rFonts w:ascii="Garamond" w:hAnsi="Garamond"/>
        </w:rPr>
        <w:t>. Thënë kjo, konstatimi i një shkeljeje përbën shpërblim mjaftueshëm të drejtë në këtë çështje.</w:t>
      </w:r>
    </w:p>
    <w:p w14:paraId="5DA271A5" w14:textId="1207EAEA" w:rsidR="00792B77" w:rsidRPr="00BC54AA" w:rsidRDefault="00605CFF" w:rsidP="00C847D3">
      <w:pPr>
        <w:pStyle w:val="JuPara"/>
        <w:rPr>
          <w:rFonts w:ascii="Garamond" w:hAnsi="Garamond" w:cs="Arial"/>
          <w:color w:val="000000"/>
        </w:rPr>
      </w:pPr>
      <w:r w:rsidRPr="00BC54AA">
        <w:rPr>
          <w:rFonts w:ascii="Garamond" w:hAnsi="Garamond"/>
        </w:rPr>
        <w:fldChar w:fldCharType="begin"/>
      </w:r>
      <w:r w:rsidRPr="00BC54AA">
        <w:rPr>
          <w:rFonts w:ascii="Garamond" w:hAnsi="Garamond"/>
        </w:rPr>
        <w:instrText xml:space="preserve"> SEQ level0 \*arabic \* MERGEFORMAT </w:instrText>
      </w:r>
      <w:r w:rsidRPr="00BC54AA">
        <w:rPr>
          <w:rFonts w:ascii="Garamond" w:hAnsi="Garamond"/>
        </w:rPr>
        <w:fldChar w:fldCharType="separate"/>
      </w:r>
      <w:r w:rsidR="002B2988" w:rsidRPr="00BC54AA">
        <w:rPr>
          <w:rFonts w:ascii="Garamond" w:hAnsi="Garamond"/>
        </w:rPr>
        <w:t>26</w:t>
      </w:r>
      <w:r w:rsidRPr="00BC54AA">
        <w:rPr>
          <w:rFonts w:ascii="Garamond" w:hAnsi="Garamond"/>
        </w:rPr>
        <w:fldChar w:fldCharType="end"/>
      </w:r>
      <w:r w:rsidR="00C9726B" w:rsidRPr="00BC54AA">
        <w:rPr>
          <w:rFonts w:ascii="Garamond" w:hAnsi="Garamond"/>
        </w:rPr>
        <w:t>.</w:t>
      </w:r>
      <w:r w:rsidR="00A4752D">
        <w:rPr>
          <w:rFonts w:ascii="Garamond" w:hAnsi="Garamond"/>
        </w:rPr>
        <w:t xml:space="preserve"> </w:t>
      </w:r>
      <w:r w:rsidR="00C9726B" w:rsidRPr="00BC54AA">
        <w:rPr>
          <w:rFonts w:ascii="Garamond" w:hAnsi="Garamond"/>
        </w:rPr>
        <w:t xml:space="preserve">Në lidhje me kostot dhe shpenzimet për proceset gjyqësore përpara Gjykatës Kushtetuese dhe Gjykatës, kërkuesi nuk e ka mbështetur </w:t>
      </w:r>
      <w:r w:rsidR="00C9726B" w:rsidRPr="00BC54AA">
        <w:rPr>
          <w:rFonts w:ascii="Garamond" w:hAnsi="Garamond"/>
          <w:color w:val="000000"/>
        </w:rPr>
        <w:t>pretendimin e tij me dokumente mbështetëse përkatëse. Prandaj Gjykata e refuzon pretendimin.</w:t>
      </w:r>
    </w:p>
    <w:p w14:paraId="3BEEA14F" w14:textId="407E59AE" w:rsidR="00792B77" w:rsidRPr="00BC54AA" w:rsidRDefault="00605CFF" w:rsidP="00C847D3">
      <w:pPr>
        <w:pStyle w:val="JuPara"/>
        <w:rPr>
          <w:rFonts w:ascii="Garamond" w:hAnsi="Garamond"/>
        </w:rPr>
      </w:pPr>
      <w:r w:rsidRPr="00BC54AA">
        <w:rPr>
          <w:rFonts w:ascii="Garamond" w:hAnsi="Garamond"/>
        </w:rPr>
        <w:t>PËR KËTO ARSYE, GJYKATA, UNANIMISHT,</w:t>
      </w:r>
    </w:p>
    <w:p w14:paraId="2671EF22" w14:textId="4DF1B89E" w:rsidR="00C847D3" w:rsidRPr="00BC54AA" w:rsidRDefault="00C847D3" w:rsidP="00C847D3">
      <w:pPr>
        <w:tabs>
          <w:tab w:val="left" w:pos="340"/>
        </w:tabs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BC54AA">
        <w:rPr>
          <w:rFonts w:ascii="Garamond" w:hAnsi="Garamond" w:cs="Garamond"/>
          <w:i/>
          <w:iCs/>
          <w:color w:val="000000"/>
        </w:rPr>
        <w:t>1. shpall</w:t>
      </w:r>
      <w:r w:rsidRPr="00BC54AA">
        <w:rPr>
          <w:rFonts w:ascii="Garamond" w:hAnsi="Garamond" w:cs="Garamond"/>
          <w:color w:val="000000"/>
        </w:rPr>
        <w:t xml:space="preserve"> të pranueshëm ankimin sipas paragrafit 1</w:t>
      </w:r>
      <w:r w:rsidR="00BC54AA">
        <w:rPr>
          <w:rFonts w:ascii="Garamond" w:hAnsi="Garamond" w:cs="Garamond"/>
          <w:color w:val="000000"/>
        </w:rPr>
        <w:t>,</w:t>
      </w:r>
      <w:r w:rsidRPr="00BC54AA">
        <w:rPr>
          <w:rFonts w:ascii="Garamond" w:hAnsi="Garamond" w:cs="Garamond"/>
          <w:color w:val="000000"/>
        </w:rPr>
        <w:t xml:space="preserve"> të nenit 6 të Konventës</w:t>
      </w:r>
      <w:r w:rsidR="00BC54AA">
        <w:rPr>
          <w:rFonts w:ascii="Garamond" w:hAnsi="Garamond" w:cs="Garamond"/>
          <w:color w:val="000000"/>
        </w:rPr>
        <w:t>,</w:t>
      </w:r>
      <w:r w:rsidRPr="00BC54AA">
        <w:rPr>
          <w:rFonts w:ascii="Garamond" w:hAnsi="Garamond" w:cs="Garamond"/>
          <w:color w:val="000000"/>
        </w:rPr>
        <w:t xml:space="preserve"> në lidhje me të drejtën për vendim të arsyetuar nga Gjykata Kushtetuese, dhe të papranueshëm ankimin sipas paragrafit 1</w:t>
      </w:r>
      <w:r w:rsidR="00BC54AA">
        <w:rPr>
          <w:rFonts w:ascii="Garamond" w:hAnsi="Garamond" w:cs="Garamond"/>
          <w:color w:val="000000"/>
        </w:rPr>
        <w:t>,</w:t>
      </w:r>
      <w:r w:rsidRPr="00BC54AA">
        <w:rPr>
          <w:rFonts w:ascii="Garamond" w:hAnsi="Garamond" w:cs="Garamond"/>
          <w:color w:val="000000"/>
        </w:rPr>
        <w:t xml:space="preserve"> të nenit 6 të Konventës për </w:t>
      </w:r>
      <w:proofErr w:type="spellStart"/>
      <w:r w:rsidRPr="00BC54AA">
        <w:rPr>
          <w:rFonts w:ascii="Garamond" w:hAnsi="Garamond" w:cs="Garamond"/>
          <w:color w:val="000000"/>
        </w:rPr>
        <w:t>aksesin</w:t>
      </w:r>
      <w:proofErr w:type="spellEnd"/>
      <w:r w:rsidRPr="00BC54AA">
        <w:rPr>
          <w:rFonts w:ascii="Garamond" w:hAnsi="Garamond" w:cs="Garamond"/>
          <w:color w:val="000000"/>
        </w:rPr>
        <w:t xml:space="preserve"> në Gjykatën Kushtetuese;</w:t>
      </w:r>
    </w:p>
    <w:p w14:paraId="7BEFB873" w14:textId="4D447497" w:rsidR="00C847D3" w:rsidRPr="00BC54AA" w:rsidRDefault="00C847D3" w:rsidP="00C847D3">
      <w:pPr>
        <w:tabs>
          <w:tab w:val="left" w:pos="340"/>
        </w:tabs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BC54AA">
        <w:rPr>
          <w:rFonts w:ascii="Garamond" w:hAnsi="Garamond" w:cs="Garamond"/>
          <w:i/>
          <w:iCs/>
          <w:color w:val="000000"/>
        </w:rPr>
        <w:t>2. gjen</w:t>
      </w:r>
      <w:r w:rsidRPr="00BC54AA">
        <w:rPr>
          <w:rFonts w:ascii="Garamond" w:hAnsi="Garamond" w:cs="Garamond"/>
          <w:color w:val="000000"/>
        </w:rPr>
        <w:t xml:space="preserve"> shkelje të paragrafit 1</w:t>
      </w:r>
      <w:r w:rsidR="00BC54AA">
        <w:rPr>
          <w:rFonts w:ascii="Garamond" w:hAnsi="Garamond" w:cs="Garamond"/>
          <w:color w:val="000000"/>
        </w:rPr>
        <w:t>,</w:t>
      </w:r>
      <w:r w:rsidRPr="00BC54AA">
        <w:rPr>
          <w:rFonts w:ascii="Garamond" w:hAnsi="Garamond" w:cs="Garamond"/>
          <w:color w:val="000000"/>
        </w:rPr>
        <w:t xml:space="preserve"> të nenit 6 të Konventës</w:t>
      </w:r>
      <w:r w:rsidR="00BC54AA">
        <w:rPr>
          <w:rFonts w:ascii="Garamond" w:hAnsi="Garamond" w:cs="Garamond"/>
          <w:color w:val="000000"/>
        </w:rPr>
        <w:t>,</w:t>
      </w:r>
      <w:r w:rsidRPr="00BC54AA">
        <w:rPr>
          <w:rFonts w:ascii="Garamond" w:hAnsi="Garamond" w:cs="Garamond"/>
          <w:color w:val="000000"/>
        </w:rPr>
        <w:t xml:space="preserve"> në lidhje me të drejtën e kërkuesit për vendim të arsyetuar nga Gjykata Kushtetuese;</w:t>
      </w:r>
    </w:p>
    <w:p w14:paraId="36841075" w14:textId="5639B3F9" w:rsidR="00C847D3" w:rsidRPr="00BC54AA" w:rsidRDefault="00C847D3" w:rsidP="00C847D3">
      <w:pPr>
        <w:tabs>
          <w:tab w:val="left" w:pos="340"/>
        </w:tabs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BC54AA">
        <w:rPr>
          <w:rFonts w:ascii="Garamond" w:hAnsi="Garamond" w:cs="Garamond"/>
          <w:i/>
          <w:iCs/>
          <w:color w:val="000000"/>
        </w:rPr>
        <w:t>3. shprehet</w:t>
      </w:r>
      <w:r w:rsidRPr="00BC54AA">
        <w:rPr>
          <w:rFonts w:ascii="Garamond" w:hAnsi="Garamond" w:cs="Garamond"/>
          <w:color w:val="000000"/>
        </w:rPr>
        <w:t xml:space="preserve"> që gjetja e shkeljes përbën në vetvete shpërblim mjaftueshëm të drejtë për çdo dëm </w:t>
      </w:r>
      <w:proofErr w:type="spellStart"/>
      <w:r w:rsidRPr="00BC54AA">
        <w:rPr>
          <w:rFonts w:ascii="Garamond" w:hAnsi="Garamond" w:cs="Garamond"/>
          <w:color w:val="000000"/>
        </w:rPr>
        <w:t>jomonetar</w:t>
      </w:r>
      <w:proofErr w:type="spellEnd"/>
      <w:r w:rsidRPr="00BC54AA">
        <w:rPr>
          <w:rFonts w:ascii="Garamond" w:hAnsi="Garamond" w:cs="Garamond"/>
          <w:color w:val="000000"/>
        </w:rPr>
        <w:t xml:space="preserve"> të pësuar nga kërkuesi;</w:t>
      </w:r>
    </w:p>
    <w:p w14:paraId="03783BF0" w14:textId="46A5F9B7" w:rsidR="00C847D3" w:rsidRPr="00BC54AA" w:rsidRDefault="00C847D3" w:rsidP="00C847D3">
      <w:pPr>
        <w:tabs>
          <w:tab w:val="left" w:pos="340"/>
        </w:tabs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BC54AA">
        <w:rPr>
          <w:rFonts w:ascii="Garamond" w:hAnsi="Garamond" w:cs="Garamond"/>
          <w:i/>
          <w:iCs/>
          <w:color w:val="000000"/>
        </w:rPr>
        <w:t>4. vendos</w:t>
      </w:r>
      <w:r w:rsidRPr="00BC54AA">
        <w:rPr>
          <w:rFonts w:ascii="Garamond" w:hAnsi="Garamond" w:cs="Garamond"/>
          <w:color w:val="000000"/>
        </w:rPr>
        <w:t xml:space="preserve"> që nuk ka nevojë të shqyrtojë </w:t>
      </w:r>
      <w:proofErr w:type="spellStart"/>
      <w:r w:rsidRPr="00BC54AA">
        <w:rPr>
          <w:rFonts w:ascii="Garamond" w:hAnsi="Garamond" w:cs="Garamond"/>
          <w:color w:val="000000"/>
        </w:rPr>
        <w:t>pranueshmërinë</w:t>
      </w:r>
      <w:proofErr w:type="spellEnd"/>
      <w:r w:rsidRPr="00BC54AA">
        <w:rPr>
          <w:rFonts w:ascii="Garamond" w:hAnsi="Garamond" w:cs="Garamond"/>
          <w:color w:val="000000"/>
        </w:rPr>
        <w:t xml:space="preserve"> dhe themelin e ankimeve të mbetura;</w:t>
      </w:r>
    </w:p>
    <w:p w14:paraId="36A01B16" w14:textId="3D914FF3" w:rsidR="00C847D3" w:rsidRPr="00BC54AA" w:rsidRDefault="00C847D3" w:rsidP="00C847D3">
      <w:pPr>
        <w:tabs>
          <w:tab w:val="left" w:pos="340"/>
        </w:tabs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</w:rPr>
      </w:pPr>
      <w:r w:rsidRPr="00BC54AA">
        <w:rPr>
          <w:rFonts w:ascii="Garamond" w:hAnsi="Garamond" w:cs="Garamond"/>
          <w:i/>
          <w:iCs/>
          <w:color w:val="000000"/>
        </w:rPr>
        <w:t xml:space="preserve">5. rrëzon </w:t>
      </w:r>
      <w:r w:rsidRPr="00BC54AA">
        <w:rPr>
          <w:rFonts w:ascii="Garamond" w:hAnsi="Garamond" w:cs="Garamond"/>
          <w:color w:val="000000"/>
        </w:rPr>
        <w:t>pretendimin e kërkuesit për shpërblim të drejtë.</w:t>
      </w:r>
    </w:p>
    <w:p w14:paraId="5D6B8D11" w14:textId="7EBA3F9B" w:rsidR="008E3A08" w:rsidRPr="00BC54AA" w:rsidRDefault="00605CFF" w:rsidP="00C847D3">
      <w:pPr>
        <w:pStyle w:val="JuParaLast"/>
        <w:spacing w:before="0" w:after="0"/>
        <w:rPr>
          <w:rFonts w:ascii="Garamond" w:hAnsi="Garamond"/>
        </w:rPr>
      </w:pPr>
      <w:r w:rsidRPr="00BC54AA">
        <w:rPr>
          <w:rFonts w:ascii="Garamond" w:hAnsi="Garamond"/>
        </w:rPr>
        <w:t>Bërë në gjuhën angleze dhe njoftuar me shkrim më 4 shkurt 2025</w:t>
      </w:r>
      <w:r w:rsidR="00BC54AA">
        <w:rPr>
          <w:rFonts w:ascii="Garamond" w:hAnsi="Garamond"/>
        </w:rPr>
        <w:t>,</w:t>
      </w:r>
      <w:r w:rsidRPr="00BC54AA">
        <w:rPr>
          <w:rFonts w:ascii="Garamond" w:hAnsi="Garamond"/>
        </w:rPr>
        <w:t xml:space="preserve"> sipas </w:t>
      </w:r>
      <w:r w:rsidR="00BC54AA">
        <w:rPr>
          <w:rFonts w:ascii="Garamond" w:hAnsi="Garamond"/>
        </w:rPr>
        <w:t>r</w:t>
      </w:r>
      <w:r w:rsidRPr="00BC54AA">
        <w:rPr>
          <w:rFonts w:ascii="Garamond" w:hAnsi="Garamond"/>
        </w:rPr>
        <w:t>regullit 77§§2 dhe 3 të Rregullores së Gjykatës.</w:t>
      </w:r>
    </w:p>
    <w:p w14:paraId="50B37F59" w14:textId="112957F8" w:rsidR="0020371D" w:rsidRPr="00BC54AA" w:rsidRDefault="0020371D" w:rsidP="00C847D3">
      <w:pPr>
        <w:pStyle w:val="JuParaLast"/>
        <w:spacing w:before="0" w:after="0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0371D" w:rsidRPr="00BC54AA" w14:paraId="57BCDAD0" w14:textId="77777777" w:rsidTr="0020371D">
        <w:tc>
          <w:tcPr>
            <w:tcW w:w="4508" w:type="dxa"/>
            <w:vAlign w:val="center"/>
          </w:tcPr>
          <w:p w14:paraId="4F2162B7" w14:textId="101157FC" w:rsidR="0020371D" w:rsidRPr="00BC54AA" w:rsidRDefault="0020371D" w:rsidP="0020371D">
            <w:pPr>
              <w:pStyle w:val="JuParaLast"/>
              <w:spacing w:before="0" w:after="0"/>
              <w:ind w:firstLine="0"/>
              <w:jc w:val="center"/>
              <w:rPr>
                <w:rFonts w:ascii="Garamond" w:hAnsi="Garamond"/>
                <w:b/>
              </w:rPr>
            </w:pPr>
            <w:proofErr w:type="spellStart"/>
            <w:r w:rsidRPr="00BC54AA">
              <w:rPr>
                <w:rFonts w:ascii="Garamond" w:hAnsi="Garamond"/>
                <w:b/>
              </w:rPr>
              <w:t>Olga</w:t>
            </w:r>
            <w:proofErr w:type="spellEnd"/>
            <w:r w:rsidRPr="00BC54AA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BC54AA">
              <w:rPr>
                <w:rFonts w:ascii="Garamond" w:hAnsi="Garamond"/>
                <w:b/>
              </w:rPr>
              <w:t>Chernishova</w:t>
            </w:r>
            <w:proofErr w:type="spellEnd"/>
          </w:p>
        </w:tc>
        <w:tc>
          <w:tcPr>
            <w:tcW w:w="4508" w:type="dxa"/>
            <w:vAlign w:val="center"/>
          </w:tcPr>
          <w:p w14:paraId="4ED4E0B2" w14:textId="2490B3AB" w:rsidR="0020371D" w:rsidRPr="00BC54AA" w:rsidRDefault="0020371D" w:rsidP="0020371D">
            <w:pPr>
              <w:pStyle w:val="JuParaLast"/>
              <w:spacing w:before="0" w:after="0"/>
              <w:ind w:firstLine="0"/>
              <w:jc w:val="center"/>
              <w:rPr>
                <w:rFonts w:ascii="Garamond" w:hAnsi="Garamond"/>
                <w:b/>
              </w:rPr>
            </w:pPr>
            <w:proofErr w:type="spellStart"/>
            <w:r w:rsidRPr="00BC54AA">
              <w:rPr>
                <w:rFonts w:ascii="Garamond" w:hAnsi="Garamond"/>
                <w:b/>
              </w:rPr>
              <w:t>L</w:t>
            </w:r>
            <w:r w:rsidRPr="00BC54AA">
              <w:rPr>
                <w:rFonts w:ascii="Times New Roman" w:hAnsi="Times New Roman" w:cs="Times New Roman"/>
                <w:b/>
              </w:rPr>
              <w:t>ə</w:t>
            </w:r>
            <w:r w:rsidRPr="00BC54AA">
              <w:rPr>
                <w:rFonts w:ascii="Garamond" w:hAnsi="Garamond"/>
                <w:b/>
              </w:rPr>
              <w:t>tif</w:t>
            </w:r>
            <w:proofErr w:type="spellEnd"/>
            <w:r w:rsidRPr="00BC54AA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BC54AA">
              <w:rPr>
                <w:rFonts w:ascii="Garamond" w:hAnsi="Garamond"/>
                <w:b/>
              </w:rPr>
              <w:t>Hüseynov</w:t>
            </w:r>
            <w:proofErr w:type="spellEnd"/>
          </w:p>
        </w:tc>
      </w:tr>
      <w:tr w:rsidR="0020371D" w:rsidRPr="00BC54AA" w14:paraId="26C4A47E" w14:textId="77777777" w:rsidTr="0020371D">
        <w:tc>
          <w:tcPr>
            <w:tcW w:w="4508" w:type="dxa"/>
            <w:vAlign w:val="center"/>
          </w:tcPr>
          <w:p w14:paraId="032348B7" w14:textId="79F998FB" w:rsidR="0020371D" w:rsidRPr="00BC54AA" w:rsidRDefault="00BC54AA" w:rsidP="0020371D">
            <w:pPr>
              <w:pStyle w:val="JuParaLast"/>
              <w:spacing w:before="0" w:after="0"/>
              <w:ind w:firstLine="0"/>
              <w:jc w:val="center"/>
              <w:rPr>
                <w:rFonts w:ascii="Garamond" w:hAnsi="Garamond"/>
              </w:rPr>
            </w:pPr>
            <w:proofErr w:type="spellStart"/>
            <w:r w:rsidRPr="00BC54AA">
              <w:rPr>
                <w:rFonts w:ascii="Garamond" w:hAnsi="Garamond"/>
              </w:rPr>
              <w:t>ZËVENDËS</w:t>
            </w:r>
            <w:bookmarkStart w:id="6" w:name="_GoBack"/>
            <w:bookmarkEnd w:id="6"/>
            <w:r w:rsidRPr="00BC54AA">
              <w:rPr>
                <w:rFonts w:ascii="Garamond" w:hAnsi="Garamond"/>
              </w:rPr>
              <w:t>KANCELARE</w:t>
            </w:r>
            <w:proofErr w:type="spellEnd"/>
          </w:p>
        </w:tc>
        <w:tc>
          <w:tcPr>
            <w:tcW w:w="4508" w:type="dxa"/>
            <w:vAlign w:val="center"/>
          </w:tcPr>
          <w:p w14:paraId="5345E823" w14:textId="504DD21A" w:rsidR="0020371D" w:rsidRPr="00BC54AA" w:rsidRDefault="00BC54AA" w:rsidP="0020371D">
            <w:pPr>
              <w:pStyle w:val="JuSigned"/>
              <w:spacing w:before="0"/>
              <w:ind w:firstLine="284"/>
              <w:jc w:val="center"/>
              <w:rPr>
                <w:rFonts w:ascii="Garamond" w:hAnsi="Garamond"/>
              </w:rPr>
            </w:pPr>
            <w:r w:rsidRPr="00BC54AA">
              <w:rPr>
                <w:rFonts w:ascii="Garamond" w:hAnsi="Garamond"/>
              </w:rPr>
              <w:t>KRYETAR</w:t>
            </w:r>
          </w:p>
          <w:p w14:paraId="7BA93E36" w14:textId="77777777" w:rsidR="0020371D" w:rsidRPr="00BC54AA" w:rsidRDefault="0020371D" w:rsidP="0020371D">
            <w:pPr>
              <w:pStyle w:val="JuParaLast"/>
              <w:spacing w:before="0" w:after="0"/>
              <w:ind w:firstLine="0"/>
              <w:jc w:val="center"/>
              <w:rPr>
                <w:rFonts w:ascii="Garamond" w:hAnsi="Garamond"/>
              </w:rPr>
            </w:pPr>
          </w:p>
        </w:tc>
      </w:tr>
    </w:tbl>
    <w:p w14:paraId="7A208860" w14:textId="77777777" w:rsidR="0020371D" w:rsidRPr="00BC54AA" w:rsidRDefault="0020371D" w:rsidP="00C847D3">
      <w:pPr>
        <w:pStyle w:val="JuParaLast"/>
        <w:spacing w:before="0" w:after="0"/>
        <w:rPr>
          <w:rFonts w:ascii="Garamond" w:hAnsi="Garamond"/>
        </w:rPr>
      </w:pPr>
    </w:p>
    <w:p w14:paraId="0BA2D52F" w14:textId="77777777" w:rsidR="00C847D3" w:rsidRPr="00BC54AA" w:rsidRDefault="00C847D3" w:rsidP="00C847D3">
      <w:pPr>
        <w:pStyle w:val="JuPara"/>
      </w:pPr>
    </w:p>
    <w:sectPr w:rsidR="00C847D3" w:rsidRPr="00BC54AA" w:rsidSect="00062A91">
      <w:footnotePr>
        <w:numRestart w:val="eachSect"/>
      </w:footnotePr>
      <w:pgSz w:w="11906" w:h="16838" w:code="9"/>
      <w:pgMar w:top="1440" w:right="1440" w:bottom="1440" w:left="1440" w:header="45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ECE01" w14:textId="77777777" w:rsidR="0028228C" w:rsidRDefault="0028228C">
      <w:r>
        <w:separator/>
      </w:r>
    </w:p>
  </w:endnote>
  <w:endnote w:type="continuationSeparator" w:id="0">
    <w:p w14:paraId="14EF47C6" w14:textId="77777777" w:rsidR="0028228C" w:rsidRDefault="0028228C">
      <w:r>
        <w:continuationSeparator/>
      </w:r>
    </w:p>
  </w:endnote>
  <w:endnote w:type="continuationNotice" w:id="1">
    <w:p w14:paraId="54940190" w14:textId="77777777" w:rsidR="0028228C" w:rsidRDefault="002822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25732" w14:textId="77777777" w:rsidR="0028228C" w:rsidRDefault="0028228C">
      <w:r>
        <w:separator/>
      </w:r>
    </w:p>
  </w:footnote>
  <w:footnote w:type="continuationSeparator" w:id="0">
    <w:p w14:paraId="6F096FA9" w14:textId="77777777" w:rsidR="0028228C" w:rsidRDefault="0028228C">
      <w:r>
        <w:continuationSeparator/>
      </w:r>
    </w:p>
  </w:footnote>
  <w:footnote w:type="continuationNotice" w:id="1">
    <w:p w14:paraId="1B2AF675" w14:textId="77777777" w:rsidR="0028228C" w:rsidRDefault="002822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67FD1241"/>
    <w:multiLevelType w:val="hybridMultilevel"/>
    <w:tmpl w:val="F6D86CC2"/>
    <w:lvl w:ilvl="0" w:tplc="D8B6355E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E42E4B7A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0D0706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235498D8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20D61308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7AA48CF6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1A489FB8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E312E2E8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698C9AE6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7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16"/>
  </w:num>
  <w:num w:numId="19">
    <w:abstractNumId w:val="10"/>
  </w:num>
  <w:num w:numId="2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w:rsids>
    <w:rsidRoot w:val="00792B77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592F"/>
    <w:rsid w:val="00031428"/>
    <w:rsid w:val="00034987"/>
    <w:rsid w:val="00041560"/>
    <w:rsid w:val="000602DF"/>
    <w:rsid w:val="00061B05"/>
    <w:rsid w:val="00062A91"/>
    <w:rsid w:val="000632D5"/>
    <w:rsid w:val="000644EE"/>
    <w:rsid w:val="000712E3"/>
    <w:rsid w:val="0007780A"/>
    <w:rsid w:val="00080141"/>
    <w:rsid w:val="00085457"/>
    <w:rsid w:val="000925AD"/>
    <w:rsid w:val="00096FE1"/>
    <w:rsid w:val="00097A62"/>
    <w:rsid w:val="000A24EB"/>
    <w:rsid w:val="000A6673"/>
    <w:rsid w:val="000B686A"/>
    <w:rsid w:val="000B6923"/>
    <w:rsid w:val="000B7195"/>
    <w:rsid w:val="000C5F3C"/>
    <w:rsid w:val="000C6DCC"/>
    <w:rsid w:val="000D47AA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0210"/>
    <w:rsid w:val="00101505"/>
    <w:rsid w:val="00104E23"/>
    <w:rsid w:val="00110DA8"/>
    <w:rsid w:val="00111B0C"/>
    <w:rsid w:val="00120D6C"/>
    <w:rsid w:val="001257EC"/>
    <w:rsid w:val="00133D33"/>
    <w:rsid w:val="00134B6A"/>
    <w:rsid w:val="00134D64"/>
    <w:rsid w:val="00135A30"/>
    <w:rsid w:val="0013612C"/>
    <w:rsid w:val="00137A8F"/>
    <w:rsid w:val="00137FF6"/>
    <w:rsid w:val="00141650"/>
    <w:rsid w:val="00150BFA"/>
    <w:rsid w:val="001561B6"/>
    <w:rsid w:val="00162A12"/>
    <w:rsid w:val="00166530"/>
    <w:rsid w:val="00170027"/>
    <w:rsid w:val="00182EBA"/>
    <w:rsid w:val="001832BD"/>
    <w:rsid w:val="001943B5"/>
    <w:rsid w:val="00195134"/>
    <w:rsid w:val="001A020C"/>
    <w:rsid w:val="001A145B"/>
    <w:rsid w:val="001A3E09"/>
    <w:rsid w:val="001A674C"/>
    <w:rsid w:val="001B3B24"/>
    <w:rsid w:val="001C055B"/>
    <w:rsid w:val="001C0F98"/>
    <w:rsid w:val="001C2A42"/>
    <w:rsid w:val="001C5C7B"/>
    <w:rsid w:val="001D63ED"/>
    <w:rsid w:val="001D7348"/>
    <w:rsid w:val="001E035B"/>
    <w:rsid w:val="001E0961"/>
    <w:rsid w:val="001E3EAE"/>
    <w:rsid w:val="001E6857"/>
    <w:rsid w:val="001E6F32"/>
    <w:rsid w:val="001F2145"/>
    <w:rsid w:val="001F401C"/>
    <w:rsid w:val="001F6262"/>
    <w:rsid w:val="001F67B0"/>
    <w:rsid w:val="001F7B3D"/>
    <w:rsid w:val="00202752"/>
    <w:rsid w:val="0020335A"/>
    <w:rsid w:val="0020371D"/>
    <w:rsid w:val="002052BC"/>
    <w:rsid w:val="00205F9F"/>
    <w:rsid w:val="0020718E"/>
    <w:rsid w:val="00210338"/>
    <w:rsid w:val="002115FC"/>
    <w:rsid w:val="0021423C"/>
    <w:rsid w:val="00226C89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5123"/>
    <w:rsid w:val="00281B7C"/>
    <w:rsid w:val="00282240"/>
    <w:rsid w:val="0028228C"/>
    <w:rsid w:val="00282BD8"/>
    <w:rsid w:val="00287AD5"/>
    <w:rsid w:val="002934D0"/>
    <w:rsid w:val="00293676"/>
    <w:rsid w:val="00293BD9"/>
    <w:rsid w:val="002948AD"/>
    <w:rsid w:val="002A01CC"/>
    <w:rsid w:val="002A613A"/>
    <w:rsid w:val="002A61B1"/>
    <w:rsid w:val="002A663C"/>
    <w:rsid w:val="002B2988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12A30"/>
    <w:rsid w:val="003201D8"/>
    <w:rsid w:val="00320F72"/>
    <w:rsid w:val="0032463E"/>
    <w:rsid w:val="00326224"/>
    <w:rsid w:val="00337EE4"/>
    <w:rsid w:val="00340FFD"/>
    <w:rsid w:val="00345C41"/>
    <w:rsid w:val="003506B1"/>
    <w:rsid w:val="00355877"/>
    <w:rsid w:val="00356AC7"/>
    <w:rsid w:val="003609FA"/>
    <w:rsid w:val="003710C8"/>
    <w:rsid w:val="003750BE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A0555"/>
    <w:rsid w:val="003B3A66"/>
    <w:rsid w:val="003B4941"/>
    <w:rsid w:val="003C5714"/>
    <w:rsid w:val="003C6B9F"/>
    <w:rsid w:val="003C6E2A"/>
    <w:rsid w:val="003D0299"/>
    <w:rsid w:val="003D59E6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433A"/>
    <w:rsid w:val="00414300"/>
    <w:rsid w:val="00414F27"/>
    <w:rsid w:val="00420703"/>
    <w:rsid w:val="00425C67"/>
    <w:rsid w:val="00427E7A"/>
    <w:rsid w:val="004355AC"/>
    <w:rsid w:val="00436C49"/>
    <w:rsid w:val="00443D98"/>
    <w:rsid w:val="00445366"/>
    <w:rsid w:val="00447F5B"/>
    <w:rsid w:val="00456020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3201"/>
    <w:rsid w:val="004A7044"/>
    <w:rsid w:val="004B013B"/>
    <w:rsid w:val="004B112B"/>
    <w:rsid w:val="004B444E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7E45"/>
    <w:rsid w:val="004F10AF"/>
    <w:rsid w:val="004F11A4"/>
    <w:rsid w:val="004F2389"/>
    <w:rsid w:val="004F304D"/>
    <w:rsid w:val="004F4290"/>
    <w:rsid w:val="004F61BE"/>
    <w:rsid w:val="004F66B1"/>
    <w:rsid w:val="004F7BDD"/>
    <w:rsid w:val="00505F69"/>
    <w:rsid w:val="00511C07"/>
    <w:rsid w:val="005125CB"/>
    <w:rsid w:val="00512EC4"/>
    <w:rsid w:val="0051725A"/>
    <w:rsid w:val="005173A6"/>
    <w:rsid w:val="00517BB8"/>
    <w:rsid w:val="00520354"/>
    <w:rsid w:val="00520BAA"/>
    <w:rsid w:val="005217D8"/>
    <w:rsid w:val="0052228F"/>
    <w:rsid w:val="00525208"/>
    <w:rsid w:val="005257A5"/>
    <w:rsid w:val="005264C0"/>
    <w:rsid w:val="00526A8A"/>
    <w:rsid w:val="00527FB1"/>
    <w:rsid w:val="00530FE6"/>
    <w:rsid w:val="00531DF2"/>
    <w:rsid w:val="0053315C"/>
    <w:rsid w:val="00537476"/>
    <w:rsid w:val="005442EE"/>
    <w:rsid w:val="00545DA6"/>
    <w:rsid w:val="0054716E"/>
    <w:rsid w:val="00547353"/>
    <w:rsid w:val="005474E7"/>
    <w:rsid w:val="005512A3"/>
    <w:rsid w:val="005578CE"/>
    <w:rsid w:val="00562781"/>
    <w:rsid w:val="00562B6C"/>
    <w:rsid w:val="0057271C"/>
    <w:rsid w:val="00572845"/>
    <w:rsid w:val="005879A2"/>
    <w:rsid w:val="00592772"/>
    <w:rsid w:val="0059574A"/>
    <w:rsid w:val="005A1B9B"/>
    <w:rsid w:val="005A2221"/>
    <w:rsid w:val="005A2E79"/>
    <w:rsid w:val="005A6751"/>
    <w:rsid w:val="005B092E"/>
    <w:rsid w:val="005B152C"/>
    <w:rsid w:val="005B1EE0"/>
    <w:rsid w:val="005B2B24"/>
    <w:rsid w:val="005B4425"/>
    <w:rsid w:val="005B4B94"/>
    <w:rsid w:val="005C2C62"/>
    <w:rsid w:val="005C3EE8"/>
    <w:rsid w:val="005D2F2A"/>
    <w:rsid w:val="005D34F9"/>
    <w:rsid w:val="005D4190"/>
    <w:rsid w:val="005D67A3"/>
    <w:rsid w:val="005E2988"/>
    <w:rsid w:val="005E3085"/>
    <w:rsid w:val="005F0EB3"/>
    <w:rsid w:val="005F51E1"/>
    <w:rsid w:val="005F5E9E"/>
    <w:rsid w:val="00605CFF"/>
    <w:rsid w:val="00611C80"/>
    <w:rsid w:val="00620692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5C4"/>
    <w:rsid w:val="00661971"/>
    <w:rsid w:val="00661CE8"/>
    <w:rsid w:val="006623D9"/>
    <w:rsid w:val="006642A5"/>
    <w:rsid w:val="0066550C"/>
    <w:rsid w:val="00665BD2"/>
    <w:rsid w:val="006716F2"/>
    <w:rsid w:val="00675AF2"/>
    <w:rsid w:val="00682BF2"/>
    <w:rsid w:val="0068573E"/>
    <w:rsid w:val="006859CE"/>
    <w:rsid w:val="00691270"/>
    <w:rsid w:val="00694BA8"/>
    <w:rsid w:val="006A037C"/>
    <w:rsid w:val="006A0C84"/>
    <w:rsid w:val="006A36F4"/>
    <w:rsid w:val="006A406F"/>
    <w:rsid w:val="006A4E97"/>
    <w:rsid w:val="006A5D3A"/>
    <w:rsid w:val="006B1942"/>
    <w:rsid w:val="006B2239"/>
    <w:rsid w:val="006C23D4"/>
    <w:rsid w:val="006C7BB0"/>
    <w:rsid w:val="006D3237"/>
    <w:rsid w:val="006E2E37"/>
    <w:rsid w:val="006E3CF1"/>
    <w:rsid w:val="006E68A3"/>
    <w:rsid w:val="006E7E80"/>
    <w:rsid w:val="006F1C2D"/>
    <w:rsid w:val="006F48CA"/>
    <w:rsid w:val="006F64DD"/>
    <w:rsid w:val="006F712D"/>
    <w:rsid w:val="00715127"/>
    <w:rsid w:val="00715E8E"/>
    <w:rsid w:val="00723580"/>
    <w:rsid w:val="00723755"/>
    <w:rsid w:val="0073136C"/>
    <w:rsid w:val="00731F0F"/>
    <w:rsid w:val="00733250"/>
    <w:rsid w:val="00741404"/>
    <w:rsid w:val="007449E5"/>
    <w:rsid w:val="0074750E"/>
    <w:rsid w:val="00747FF0"/>
    <w:rsid w:val="00751066"/>
    <w:rsid w:val="0075566E"/>
    <w:rsid w:val="00763602"/>
    <w:rsid w:val="00764D4E"/>
    <w:rsid w:val="00765A1F"/>
    <w:rsid w:val="00775B6D"/>
    <w:rsid w:val="00776696"/>
    <w:rsid w:val="00776D68"/>
    <w:rsid w:val="00781140"/>
    <w:rsid w:val="0078323E"/>
    <w:rsid w:val="007849C2"/>
    <w:rsid w:val="007850EE"/>
    <w:rsid w:val="00785B95"/>
    <w:rsid w:val="00790E96"/>
    <w:rsid w:val="007926FD"/>
    <w:rsid w:val="00792B77"/>
    <w:rsid w:val="00793366"/>
    <w:rsid w:val="0079666C"/>
    <w:rsid w:val="007A716F"/>
    <w:rsid w:val="007B270A"/>
    <w:rsid w:val="007B4182"/>
    <w:rsid w:val="007C0695"/>
    <w:rsid w:val="007C419A"/>
    <w:rsid w:val="007C4CC8"/>
    <w:rsid w:val="007C5426"/>
    <w:rsid w:val="007C5798"/>
    <w:rsid w:val="007C5A80"/>
    <w:rsid w:val="007D1ECD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751"/>
    <w:rsid w:val="007F27E4"/>
    <w:rsid w:val="007F3437"/>
    <w:rsid w:val="00802C64"/>
    <w:rsid w:val="00805E52"/>
    <w:rsid w:val="008061D0"/>
    <w:rsid w:val="00810B38"/>
    <w:rsid w:val="008204C7"/>
    <w:rsid w:val="00820992"/>
    <w:rsid w:val="00823602"/>
    <w:rsid w:val="008255F5"/>
    <w:rsid w:val="00826890"/>
    <w:rsid w:val="0083014E"/>
    <w:rsid w:val="0083214A"/>
    <w:rsid w:val="00834220"/>
    <w:rsid w:val="00845723"/>
    <w:rsid w:val="008519E7"/>
    <w:rsid w:val="00851EF9"/>
    <w:rsid w:val="008577FD"/>
    <w:rsid w:val="00860B03"/>
    <w:rsid w:val="0086497A"/>
    <w:rsid w:val="0086538E"/>
    <w:rsid w:val="00866E53"/>
    <w:rsid w:val="00867066"/>
    <w:rsid w:val="008713A1"/>
    <w:rsid w:val="00872584"/>
    <w:rsid w:val="008754AB"/>
    <w:rsid w:val="0088060C"/>
    <w:rsid w:val="00882CD5"/>
    <w:rsid w:val="00883151"/>
    <w:rsid w:val="00893576"/>
    <w:rsid w:val="00893E73"/>
    <w:rsid w:val="008B02DC"/>
    <w:rsid w:val="008B092C"/>
    <w:rsid w:val="008B57CE"/>
    <w:rsid w:val="008C26DE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112"/>
    <w:rsid w:val="00956D0C"/>
    <w:rsid w:val="009630C7"/>
    <w:rsid w:val="00972B55"/>
    <w:rsid w:val="009743B7"/>
    <w:rsid w:val="0098228B"/>
    <w:rsid w:val="009828DA"/>
    <w:rsid w:val="0098410D"/>
    <w:rsid w:val="00985BAB"/>
    <w:rsid w:val="00986B3C"/>
    <w:rsid w:val="009A115C"/>
    <w:rsid w:val="009A7FC1"/>
    <w:rsid w:val="009B1606"/>
    <w:rsid w:val="009B1B5F"/>
    <w:rsid w:val="009B6673"/>
    <w:rsid w:val="009C191B"/>
    <w:rsid w:val="009C2BD6"/>
    <w:rsid w:val="009D57AA"/>
    <w:rsid w:val="009E1F32"/>
    <w:rsid w:val="009E2CC2"/>
    <w:rsid w:val="009E47A2"/>
    <w:rsid w:val="009E776C"/>
    <w:rsid w:val="009E7A6F"/>
    <w:rsid w:val="009F4C8F"/>
    <w:rsid w:val="00A02972"/>
    <w:rsid w:val="00A05588"/>
    <w:rsid w:val="00A15601"/>
    <w:rsid w:val="00A1726E"/>
    <w:rsid w:val="00A204CF"/>
    <w:rsid w:val="00A21D2B"/>
    <w:rsid w:val="00A22745"/>
    <w:rsid w:val="00A23D49"/>
    <w:rsid w:val="00A27004"/>
    <w:rsid w:val="00A276DC"/>
    <w:rsid w:val="00A308CE"/>
    <w:rsid w:val="00A30C29"/>
    <w:rsid w:val="00A34DD6"/>
    <w:rsid w:val="00A35683"/>
    <w:rsid w:val="00A36819"/>
    <w:rsid w:val="00A36989"/>
    <w:rsid w:val="00A41D86"/>
    <w:rsid w:val="00A43628"/>
    <w:rsid w:val="00A45145"/>
    <w:rsid w:val="00A4752D"/>
    <w:rsid w:val="00A51D0F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82359"/>
    <w:rsid w:val="00A865D2"/>
    <w:rsid w:val="00A87C10"/>
    <w:rsid w:val="00A90BCD"/>
    <w:rsid w:val="00A92625"/>
    <w:rsid w:val="00A94C20"/>
    <w:rsid w:val="00A95D81"/>
    <w:rsid w:val="00AA1B09"/>
    <w:rsid w:val="00AA227F"/>
    <w:rsid w:val="00AA3BC7"/>
    <w:rsid w:val="00AA754A"/>
    <w:rsid w:val="00AB099E"/>
    <w:rsid w:val="00AB4328"/>
    <w:rsid w:val="00AC38DE"/>
    <w:rsid w:val="00AC4CD4"/>
    <w:rsid w:val="00AE0A2E"/>
    <w:rsid w:val="00AE354C"/>
    <w:rsid w:val="00AF12C5"/>
    <w:rsid w:val="00AF4B07"/>
    <w:rsid w:val="00AF6186"/>
    <w:rsid w:val="00AF7A3A"/>
    <w:rsid w:val="00B02587"/>
    <w:rsid w:val="00B049D1"/>
    <w:rsid w:val="00B14793"/>
    <w:rsid w:val="00B153A0"/>
    <w:rsid w:val="00B160DB"/>
    <w:rsid w:val="00B20836"/>
    <w:rsid w:val="00B235BB"/>
    <w:rsid w:val="00B27A44"/>
    <w:rsid w:val="00B30BBF"/>
    <w:rsid w:val="00B33C03"/>
    <w:rsid w:val="00B4421F"/>
    <w:rsid w:val="00B44E56"/>
    <w:rsid w:val="00B45917"/>
    <w:rsid w:val="00B46543"/>
    <w:rsid w:val="00B47D33"/>
    <w:rsid w:val="00B52BE0"/>
    <w:rsid w:val="00B54133"/>
    <w:rsid w:val="00B55A8D"/>
    <w:rsid w:val="00B701ED"/>
    <w:rsid w:val="00B748F7"/>
    <w:rsid w:val="00B8086C"/>
    <w:rsid w:val="00B81C58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345F"/>
    <w:rsid w:val="00BB68EA"/>
    <w:rsid w:val="00BC0B99"/>
    <w:rsid w:val="00BC1C27"/>
    <w:rsid w:val="00BC4B13"/>
    <w:rsid w:val="00BC54AA"/>
    <w:rsid w:val="00BC56A7"/>
    <w:rsid w:val="00BC6BBF"/>
    <w:rsid w:val="00BD1572"/>
    <w:rsid w:val="00BE14E3"/>
    <w:rsid w:val="00BE3774"/>
    <w:rsid w:val="00BE41E5"/>
    <w:rsid w:val="00BE4CE2"/>
    <w:rsid w:val="00BF118F"/>
    <w:rsid w:val="00BF3AA1"/>
    <w:rsid w:val="00BF4109"/>
    <w:rsid w:val="00BF4CC3"/>
    <w:rsid w:val="00C054C7"/>
    <w:rsid w:val="00C057B5"/>
    <w:rsid w:val="00C07D0E"/>
    <w:rsid w:val="00C115C3"/>
    <w:rsid w:val="00C15547"/>
    <w:rsid w:val="00C1672D"/>
    <w:rsid w:val="00C22687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0B4B"/>
    <w:rsid w:val="00C53F4A"/>
    <w:rsid w:val="00C54125"/>
    <w:rsid w:val="00C55B54"/>
    <w:rsid w:val="00C56AD7"/>
    <w:rsid w:val="00C6098E"/>
    <w:rsid w:val="00C6152C"/>
    <w:rsid w:val="00C71424"/>
    <w:rsid w:val="00C74810"/>
    <w:rsid w:val="00C847D3"/>
    <w:rsid w:val="00C90D68"/>
    <w:rsid w:val="00C939FE"/>
    <w:rsid w:val="00C9726B"/>
    <w:rsid w:val="00CA4BDA"/>
    <w:rsid w:val="00CB13E3"/>
    <w:rsid w:val="00CB13FD"/>
    <w:rsid w:val="00CB1F66"/>
    <w:rsid w:val="00CB232C"/>
    <w:rsid w:val="00CB2951"/>
    <w:rsid w:val="00CB4277"/>
    <w:rsid w:val="00CC5067"/>
    <w:rsid w:val="00CD11D3"/>
    <w:rsid w:val="00CD282B"/>
    <w:rsid w:val="00CD447B"/>
    <w:rsid w:val="00CD4C35"/>
    <w:rsid w:val="00CD7369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86E91"/>
    <w:rsid w:val="00D908A8"/>
    <w:rsid w:val="00D977B6"/>
    <w:rsid w:val="00DA1223"/>
    <w:rsid w:val="00DA4A31"/>
    <w:rsid w:val="00DA7B04"/>
    <w:rsid w:val="00DB36C2"/>
    <w:rsid w:val="00DC00A8"/>
    <w:rsid w:val="00DC169B"/>
    <w:rsid w:val="00DC2AB9"/>
    <w:rsid w:val="00DC63F0"/>
    <w:rsid w:val="00DD37EA"/>
    <w:rsid w:val="00DD6EE5"/>
    <w:rsid w:val="00DE386C"/>
    <w:rsid w:val="00DE4D35"/>
    <w:rsid w:val="00DF098B"/>
    <w:rsid w:val="00DF11C4"/>
    <w:rsid w:val="00DF210C"/>
    <w:rsid w:val="00DF4B6A"/>
    <w:rsid w:val="00E004C0"/>
    <w:rsid w:val="00E02C09"/>
    <w:rsid w:val="00E04D59"/>
    <w:rsid w:val="00E07DA1"/>
    <w:rsid w:val="00E123CB"/>
    <w:rsid w:val="00E13B09"/>
    <w:rsid w:val="00E20E13"/>
    <w:rsid w:val="00E21DBC"/>
    <w:rsid w:val="00E275D7"/>
    <w:rsid w:val="00E27DBE"/>
    <w:rsid w:val="00E32AB1"/>
    <w:rsid w:val="00E36C71"/>
    <w:rsid w:val="00E40404"/>
    <w:rsid w:val="00E4126A"/>
    <w:rsid w:val="00E42A06"/>
    <w:rsid w:val="00E459C6"/>
    <w:rsid w:val="00E47589"/>
    <w:rsid w:val="00E557AA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6D47"/>
    <w:rsid w:val="00E77D8F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A185E"/>
    <w:rsid w:val="00EA592A"/>
    <w:rsid w:val="00EB14E4"/>
    <w:rsid w:val="00EB32A5"/>
    <w:rsid w:val="00EB34ED"/>
    <w:rsid w:val="00EB447C"/>
    <w:rsid w:val="00EB7BE0"/>
    <w:rsid w:val="00EC315E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66A2"/>
    <w:rsid w:val="00F32269"/>
    <w:rsid w:val="00F35B7A"/>
    <w:rsid w:val="00F56A6F"/>
    <w:rsid w:val="00F56C07"/>
    <w:rsid w:val="00F5709C"/>
    <w:rsid w:val="00F60B85"/>
    <w:rsid w:val="00F64EF1"/>
    <w:rsid w:val="00F67AE6"/>
    <w:rsid w:val="00F72498"/>
    <w:rsid w:val="00F72B14"/>
    <w:rsid w:val="00F7349B"/>
    <w:rsid w:val="00F8765F"/>
    <w:rsid w:val="00F90767"/>
    <w:rsid w:val="00F9263C"/>
    <w:rsid w:val="00FA1637"/>
    <w:rsid w:val="00FA685B"/>
    <w:rsid w:val="00FB0C01"/>
    <w:rsid w:val="00FB5934"/>
    <w:rsid w:val="00FC18F2"/>
    <w:rsid w:val="00FC2A17"/>
    <w:rsid w:val="00FC38CF"/>
    <w:rsid w:val="00FC39E5"/>
    <w:rsid w:val="00FC3A78"/>
    <w:rsid w:val="00FD1005"/>
    <w:rsid w:val="00FD1F7F"/>
    <w:rsid w:val="00FD6C75"/>
    <w:rsid w:val="00FD7972"/>
    <w:rsid w:val="00FE0401"/>
    <w:rsid w:val="00FE71B3"/>
    <w:rsid w:val="00FF42C5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09DFDA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uiPriority="99"/>
    <w:lsdException w:name="Table Web 1" w:semiHidden="1" w:uiPriority="99" w:unhideWhenUsed="1"/>
    <w:lsdException w:name="Table Web 2" w:semiHidden="1" w:uiPriority="99" w:unhideWhenUsed="1"/>
    <w:lsdException w:name="Table Web 3" w:uiPriority="99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C9726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C9726B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C9726B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C9726B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C9726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C9726B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C9726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C9726B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C9726B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C9726B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C97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C9726B"/>
    <w:rPr>
      <w:rFonts w:ascii="Tahoma" w:hAnsi="Tahoma" w:cs="Tahoma"/>
      <w:sz w:val="16"/>
      <w:szCs w:val="16"/>
      <w:lang w:val="sq-AL"/>
    </w:rPr>
  </w:style>
  <w:style w:type="character" w:styleId="BookTitle">
    <w:name w:val="Book Title"/>
    <w:uiPriority w:val="98"/>
    <w:semiHidden/>
    <w:qFormat/>
    <w:rsid w:val="00C9726B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C9726B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C9726B"/>
    <w:pPr>
      <w:jc w:val="both"/>
    </w:pPr>
  </w:style>
  <w:style w:type="character" w:styleId="Strong">
    <w:name w:val="Strong"/>
    <w:uiPriority w:val="98"/>
    <w:semiHidden/>
    <w:qFormat/>
    <w:rsid w:val="00C9726B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C9726B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C9726B"/>
    <w:rPr>
      <w:sz w:val="24"/>
      <w:szCs w:val="24"/>
      <w:lang w:val="sq-AL"/>
    </w:rPr>
  </w:style>
  <w:style w:type="paragraph" w:customStyle="1" w:styleId="JuQuot">
    <w:name w:val="Ju_Quot"/>
    <w:aliases w:val="_Quote"/>
    <w:basedOn w:val="NormalJustified"/>
    <w:uiPriority w:val="20"/>
    <w:qFormat/>
    <w:rsid w:val="00C9726B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C9726B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C9726B"/>
    <w:pPr>
      <w:numPr>
        <w:numId w:val="2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C9726B"/>
    <w:pPr>
      <w:numPr>
        <w:ilvl w:val="1"/>
        <w:numId w:val="20"/>
      </w:numPr>
    </w:pPr>
  </w:style>
  <w:style w:type="paragraph" w:customStyle="1" w:styleId="JuListi">
    <w:name w:val="Ju_List_i"/>
    <w:aliases w:val="_List_3"/>
    <w:basedOn w:val="NormalJustified"/>
    <w:uiPriority w:val="23"/>
    <w:rsid w:val="00C9726B"/>
    <w:pPr>
      <w:numPr>
        <w:ilvl w:val="2"/>
        <w:numId w:val="2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C9726B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C9726B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C9726B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C9726B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C9726B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C9726B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C9726B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C9726B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numbering" w:customStyle="1" w:styleId="ECHRA1StyleList">
    <w:name w:val="ECHR_A1_Style_List"/>
    <w:basedOn w:val="NoList"/>
    <w:uiPriority w:val="99"/>
    <w:rsid w:val="00C9726B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C9726B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C9726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0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C9726B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C9726B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C9726B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C9726B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">
    <w:name w:val="header"/>
    <w:basedOn w:val="Normal"/>
    <w:link w:val="HeaderChar"/>
    <w:uiPriority w:val="98"/>
    <w:semiHidden/>
    <w:rsid w:val="00C972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C9726B"/>
    <w:rPr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C9726B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C9726B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C9726B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C9726B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C9726B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C9726B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C9726B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C9726B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C9726B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C9726B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Initialled">
    <w:name w:val="Ju_Initialled"/>
    <w:aliases w:val="_Right"/>
    <w:basedOn w:val="Normal"/>
    <w:uiPriority w:val="30"/>
    <w:qFormat/>
    <w:rsid w:val="00C9726B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C9726B"/>
    <w:rPr>
      <w:rFonts w:asciiTheme="majorHAnsi" w:eastAsiaTheme="majorEastAsia" w:hAnsiTheme="majorHAnsi" w:cstheme="majorBidi"/>
      <w:b/>
      <w:bCs/>
      <w:color w:val="808080"/>
      <w:lang w:val="sq-AL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C9726B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C9726B"/>
    <w:rPr>
      <w:caps w:val="0"/>
      <w:smallCaps/>
    </w:rPr>
  </w:style>
  <w:style w:type="character" w:styleId="SubtleEmphasis">
    <w:name w:val="Subtle Emphasis"/>
    <w:uiPriority w:val="98"/>
    <w:semiHidden/>
    <w:qFormat/>
    <w:rsid w:val="00C9726B"/>
    <w:rPr>
      <w:i/>
      <w:iCs/>
    </w:rPr>
  </w:style>
  <w:style w:type="table" w:customStyle="1" w:styleId="ECHRTable">
    <w:name w:val="ECHR_Table"/>
    <w:basedOn w:val="TableNormal"/>
    <w:rsid w:val="00C9726B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C9726B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C9726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rsid w:val="00C9726B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0"/>
    <w:rsid w:val="00C9726B"/>
    <w:rPr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8"/>
    <w:semiHidden/>
    <w:rsid w:val="00C9726B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C9726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C9726B"/>
    <w:rPr>
      <w:sz w:val="20"/>
      <w:szCs w:val="20"/>
      <w:lang w:val="sq-AL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C9726B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C9726B"/>
    <w:rPr>
      <w:rFonts w:asciiTheme="majorHAnsi" w:eastAsiaTheme="majorEastAsia" w:hAnsiTheme="majorHAnsi" w:cstheme="majorBidi"/>
      <w:i/>
      <w:iCs/>
      <w:lang w:val="sq-AL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C9726B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C9726B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character" w:styleId="Hyperlink">
    <w:name w:val="Hyperlink"/>
    <w:basedOn w:val="DefaultParagraphFont"/>
    <w:uiPriority w:val="98"/>
    <w:semiHidden/>
    <w:rsid w:val="00C9726B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C9726B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C9726B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C9726B"/>
    <w:rPr>
      <w:b/>
      <w:bCs/>
      <w:i/>
      <w:iCs/>
      <w:sz w:val="24"/>
      <w:szCs w:val="24"/>
      <w:lang w:val="sq-AL" w:bidi="en-US"/>
    </w:rPr>
  </w:style>
  <w:style w:type="character" w:styleId="IntenseReference">
    <w:name w:val="Intense Reference"/>
    <w:uiPriority w:val="98"/>
    <w:semiHidden/>
    <w:qFormat/>
    <w:rsid w:val="00C9726B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C9726B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C9726B"/>
    <w:rPr>
      <w:sz w:val="24"/>
      <w:szCs w:val="24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8"/>
    <w:semiHidden/>
    <w:qFormat/>
    <w:rsid w:val="00C9726B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C9726B"/>
    <w:rPr>
      <w:i/>
      <w:iCs/>
      <w:sz w:val="24"/>
      <w:szCs w:val="24"/>
      <w:lang w:val="sq-AL" w:bidi="en-US"/>
    </w:rPr>
  </w:style>
  <w:style w:type="character" w:styleId="SubtleReference">
    <w:name w:val="Subtle Reference"/>
    <w:uiPriority w:val="98"/>
    <w:semiHidden/>
    <w:qFormat/>
    <w:rsid w:val="00C9726B"/>
    <w:rPr>
      <w:smallCaps/>
    </w:rPr>
  </w:style>
  <w:style w:type="table" w:styleId="TableGrid">
    <w:name w:val="Table Grid"/>
    <w:basedOn w:val="TableNormal"/>
    <w:uiPriority w:val="59"/>
    <w:semiHidden/>
    <w:rsid w:val="00C9726B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C9726B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C9726B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C9726B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C9726B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C9726B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C9726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C9726B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C9726B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C9726B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C9726B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C9726B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C9726B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C9726B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C9726B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C9726B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numbering" w:styleId="111111">
    <w:name w:val="Outline List 2"/>
    <w:basedOn w:val="NoList"/>
    <w:uiPriority w:val="99"/>
    <w:semiHidden/>
    <w:unhideWhenUsed/>
    <w:rsid w:val="00C9726B"/>
    <w:pPr>
      <w:numPr>
        <w:numId w:val="1"/>
      </w:numPr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C9726B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C9726B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C9726B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C9726B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C9726B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C9726B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C9726B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C9726B"/>
  </w:style>
  <w:style w:type="paragraph" w:styleId="BlockText">
    <w:name w:val="Block Text"/>
    <w:basedOn w:val="Normal"/>
    <w:uiPriority w:val="98"/>
    <w:semiHidden/>
    <w:rsid w:val="00C9726B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C9726B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C972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C9726B"/>
    <w:rPr>
      <w:sz w:val="24"/>
      <w:szCs w:val="24"/>
      <w:lang w:val="sq-AL"/>
    </w:rPr>
  </w:style>
  <w:style w:type="table" w:customStyle="1" w:styleId="ECHRTableOddBanded">
    <w:name w:val="ECHR_Table_Odd_Banded"/>
    <w:basedOn w:val="TableNormal"/>
    <w:uiPriority w:val="99"/>
    <w:rsid w:val="00C9726B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C9726B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C9726B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C9726B"/>
    <w:pPr>
      <w:ind w:firstLine="284"/>
    </w:pPr>
    <w:rPr>
      <w:b/>
    </w:rPr>
  </w:style>
  <w:style w:type="character" w:styleId="PageNumber">
    <w:name w:val="page number"/>
    <w:uiPriority w:val="98"/>
    <w:semiHidden/>
    <w:rsid w:val="00C9726B"/>
    <w:rPr>
      <w:sz w:val="18"/>
    </w:rPr>
  </w:style>
  <w:style w:type="paragraph" w:styleId="ListBullet">
    <w:name w:val="List Bullet"/>
    <w:basedOn w:val="Normal"/>
    <w:uiPriority w:val="98"/>
    <w:semiHidden/>
    <w:rsid w:val="00C9726B"/>
    <w:pPr>
      <w:numPr>
        <w:numId w:val="7"/>
      </w:numPr>
    </w:pPr>
  </w:style>
  <w:style w:type="paragraph" w:styleId="ListBullet3">
    <w:name w:val="List Bullet 3"/>
    <w:basedOn w:val="Normal"/>
    <w:uiPriority w:val="98"/>
    <w:semiHidden/>
    <w:rsid w:val="00C9726B"/>
    <w:pPr>
      <w:numPr>
        <w:numId w:val="9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C9726B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C9726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C9726B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C9726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C9726B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C9726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C9726B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C9726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C9726B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C9726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C9726B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C9726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C9726B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C9726B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C9726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C9726B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C972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C972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C9726B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C97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C9726B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C9726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C9726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C9726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C9726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C9726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C9726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C9726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C9726B"/>
  </w:style>
  <w:style w:type="character" w:customStyle="1" w:styleId="DateChar">
    <w:name w:val="Date Char"/>
    <w:basedOn w:val="DefaultParagraphFont"/>
    <w:link w:val="Date"/>
    <w:uiPriority w:val="98"/>
    <w:semiHidden/>
    <w:rsid w:val="00C9726B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C9726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C9726B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C9726B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C9726B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C9726B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C9726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C9726B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C9726B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C9726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C9726B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C9726B"/>
  </w:style>
  <w:style w:type="paragraph" w:styleId="HTMLAddress">
    <w:name w:val="HTML Address"/>
    <w:basedOn w:val="Normal"/>
    <w:link w:val="HTMLAddressChar"/>
    <w:uiPriority w:val="98"/>
    <w:semiHidden/>
    <w:rsid w:val="00C9726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C9726B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C9726B"/>
    <w:rPr>
      <w:i/>
      <w:iCs/>
    </w:rPr>
  </w:style>
  <w:style w:type="character" w:styleId="HTMLCode">
    <w:name w:val="HTML Code"/>
    <w:basedOn w:val="DefaultParagraphFont"/>
    <w:uiPriority w:val="98"/>
    <w:semiHidden/>
    <w:rsid w:val="00C9726B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C9726B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C9726B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C9726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C9726B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C9726B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C9726B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C9726B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C9726B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C9726B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C9726B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C9726B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C9726B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C9726B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C9726B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C9726B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C9726B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C9726B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C9726B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C9726B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C9726B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C9726B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C9726B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C9726B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C9726B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C9726B"/>
  </w:style>
  <w:style w:type="paragraph" w:styleId="List">
    <w:name w:val="List"/>
    <w:basedOn w:val="Normal"/>
    <w:uiPriority w:val="98"/>
    <w:semiHidden/>
    <w:rsid w:val="00C9726B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C9726B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C9726B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C9726B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C9726B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C9726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8"/>
    <w:semiHidden/>
    <w:rsid w:val="00C9726B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C9726B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C9726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C9726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C9726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C9726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C9726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C9726B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C9726B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C9726B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C9726B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C9726B"/>
    <w:pPr>
      <w:numPr>
        <w:numId w:val="16"/>
      </w:numPr>
      <w:contextualSpacing/>
    </w:pPr>
  </w:style>
  <w:style w:type="paragraph" w:styleId="MacroText">
    <w:name w:val="macro"/>
    <w:link w:val="MacroTextChar"/>
    <w:uiPriority w:val="98"/>
    <w:semiHidden/>
    <w:rsid w:val="00C9726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C9726B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C9726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C9726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C9726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C972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C9726B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C9726B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C9726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C9726B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C9726B"/>
    <w:rPr>
      <w:sz w:val="24"/>
      <w:szCs w:val="24"/>
      <w:lang w:val="sq-AL"/>
    </w:rPr>
  </w:style>
  <w:style w:type="character" w:styleId="PlaceholderText">
    <w:name w:val="Placeholder Text"/>
    <w:basedOn w:val="DefaultParagraphFont"/>
    <w:uiPriority w:val="98"/>
    <w:semiHidden/>
    <w:rsid w:val="00C9726B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C9726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C9726B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C9726B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C9726B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C9726B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C9726B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9726B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9726B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9726B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9726B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9726B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9726B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C9726B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C9726B"/>
  </w:style>
  <w:style w:type="table" w:styleId="TableProfessional">
    <w:name w:val="Table Professional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9726B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C9726B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C9726B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C9726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C9726B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C9726B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C9726B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C9726B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C9726B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C9726B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C9726B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C9726B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C9726B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C9726B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C9726B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C9726B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C9726B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C9726B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C9726B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C9726B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C9726B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C9726B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C9726B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C9726B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C9726B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C9726B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C9726B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C9726B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C9726B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C9726B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C9726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C9726B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C9726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C9726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C9726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C9726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C9726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C9726B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C9726B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C9726B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C9726B"/>
    <w:rPr>
      <w:sz w:val="4"/>
    </w:rPr>
  </w:style>
  <w:style w:type="table" w:customStyle="1" w:styleId="ECHRTableGrey">
    <w:name w:val="ECHR_Table_Grey"/>
    <w:basedOn w:val="TableNormal"/>
    <w:uiPriority w:val="99"/>
    <w:rsid w:val="00C9726B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726B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792B77"/>
    <w:rPr>
      <w:sz w:val="24"/>
      <w:szCs w:val="24"/>
      <w:lang w:val="sq-AL"/>
    </w:rPr>
  </w:style>
  <w:style w:type="table" w:styleId="GridTable1Light">
    <w:name w:val="Grid Table 1 Light"/>
    <w:basedOn w:val="TableNormal"/>
    <w:uiPriority w:val="46"/>
    <w:semiHidden/>
    <w:rsid w:val="00BF3AA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F3AA1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F3AA1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F3AA1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F3AA1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F3AA1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F3AA1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F3AA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F3AA1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F3AA1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F3AA1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F3AA1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F3AA1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F3AA1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F3A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F3A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F3A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F3A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F3A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F3A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F3AA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F3AA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F3AA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F3AA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F3AA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F3AA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F3AA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F3AA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F3AA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F3AA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F3AA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F3AA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F3AA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F3AA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F3AA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BF3AA1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BF3A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F3A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F3A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F3A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F3A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F3A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F3AA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F3A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F3AA1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F3AA1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F3AA1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F3AA1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F3AA1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F3AA1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F3AA1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F3AA1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F3A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F3AA1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F3AA1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F3AA1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F3AA1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F3AA1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F3AA1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F3AA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F3AA1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F3AA1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F3AA1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F3AA1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F3AA1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F3AA1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F3AA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F3AA1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F3AA1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F3AA1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F3AA1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F3AA1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F3AA1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BF3AA1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BF3AA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F3AA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F3AA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F3AA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F3AA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BF3AA1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BF3AA1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BF3A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9B4A44F90F4FF1A942641D7CD387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30658-18</Nr_x002e__x0020_akti>
    <Data_x0020_e_x0020_Krijimit xmlns="0e656187-b300-4fb0-8bf4-3a50f872073c">2025-02-25T14:30:24Z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>JUD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2025-02-25T00:00:00Z</Date_x0020_protokolli>
    <Titulli xmlns="0e656187-b300-4fb0-8bf4-3a50f872073c">Çështja Frroku kundër Shqipërisë (Kërkesa nr. 30658/18)</Titulli>
    <Modifikuesi xmlns="0e656187-b300-4fb0-8bf4-3a50f872073c">entela.suli</Modifikuesi>
    <Nr_x002e__x0020_prot_x0020_QBZ xmlns="0e656187-b300-4fb0-8bf4-3a50f872073c">366/1</Nr_x002e__x0020_prot_x0020_QBZ>
    <Data_x0020_e_x0020_Modifikimit xmlns="0e656187-b300-4fb0-8bf4-3a50f872073c">2025-02-27T10:14:30Z</Data_x0020_e_x0020_Modifikimit>
    <Dekretuar xmlns="0e656187-b300-4fb0-8bf4-3a50f872073c">false</Dekretuar>
    <Data xmlns="0e656187-b300-4fb0-8bf4-3a50f872073c">2025-02-04T00:00:00Z</Data>
    <Nr_x002e__x0020_protokolli_x0020_i_x0020_aktit xmlns="0e656187-b300-4fb0-8bf4-3a50f872073c">888/1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BB6E9-E186-4DC6-9553-17930C7051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B06FB6-4DD7-44BF-AAAC-EFDA78B0D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0FC0B5D-777B-4D82-A305-EFCF3C8DACEF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A173FDE-1135-45B2-82CA-E2A54AF63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2126</Words>
  <Characters>12072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Frroku kundër Shqipërisë (Kërkesa nr. 30658/18)</vt:lpstr>
    </vt:vector>
  </TitlesOfParts>
  <Company/>
  <LinksUpToDate>false</LinksUpToDate>
  <CharactersWithSpaces>14170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Frroku kundër Shqipërisë (Kërkesa nr. 30658/18)</dc:title>
  <dc:subject>JUD</dc:subject>
  <cp:lastModifiedBy/>
  <cp:revision>1</cp:revision>
  <dcterms:created xsi:type="dcterms:W3CDTF">2025-01-23T10:33:00Z</dcterms:created>
  <dcterms:modified xsi:type="dcterms:W3CDTF">2025-02-28T12:54:00Z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1388694</vt:lpwstr>
  </property>
  <property fmtid="{D5CDD505-2E9C-101B-9397-08002B2CF9AE}" pid="3" name="cstLanguage">
    <vt:i4>2057</vt:i4>
  </property>
  <property fmtid="{D5CDD505-2E9C-101B-9397-08002B2CF9AE}" pid="4" name="RegisteredNo">
    <vt:lpwstr>30658/18</vt:lpwstr>
  </property>
</Properties>
</file>