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090BC" w14:textId="374C08A0" w:rsidR="007608E7" w:rsidRPr="00DA5056" w:rsidRDefault="007608E7" w:rsidP="007608E7">
      <w:pPr>
        <w:ind w:firstLine="284"/>
        <w:jc w:val="center"/>
        <w:rPr>
          <w:rFonts w:ascii="Garamond" w:hAnsi="Garamond"/>
        </w:rPr>
      </w:pPr>
      <w:r w:rsidRPr="00DA5056">
        <w:rPr>
          <w:rFonts w:ascii="Garamond" w:hAnsi="Garamond"/>
        </w:rPr>
        <w:t xml:space="preserve">GJYKATA </w:t>
      </w:r>
      <w:r w:rsidR="00DA5056" w:rsidRPr="00DA5056">
        <w:rPr>
          <w:rFonts w:ascii="Garamond" w:hAnsi="Garamond"/>
        </w:rPr>
        <w:t>EVROPIANE</w:t>
      </w:r>
      <w:r w:rsidRPr="00DA5056">
        <w:rPr>
          <w:rFonts w:ascii="Garamond" w:hAnsi="Garamond"/>
        </w:rPr>
        <w:t xml:space="preserve"> E TË DREJTAVE TË NJERIUT</w:t>
      </w:r>
    </w:p>
    <w:p w14:paraId="49E5A8B3" w14:textId="77777777" w:rsidR="007608E7" w:rsidRPr="00DA5056" w:rsidRDefault="007608E7" w:rsidP="007608E7">
      <w:pPr>
        <w:ind w:firstLine="284"/>
        <w:jc w:val="center"/>
        <w:rPr>
          <w:rFonts w:ascii="Garamond" w:hAnsi="Garamond"/>
        </w:rPr>
      </w:pPr>
    </w:p>
    <w:p w14:paraId="65119678" w14:textId="05FA4C23" w:rsidR="002E634D" w:rsidRPr="00DA5056" w:rsidRDefault="002E634D" w:rsidP="002D5DF9">
      <w:pPr>
        <w:ind w:firstLine="284"/>
        <w:jc w:val="center"/>
        <w:rPr>
          <w:rFonts w:ascii="Garamond" w:hAnsi="Garamond"/>
        </w:rPr>
      </w:pPr>
      <w:r w:rsidRPr="00DA5056">
        <w:rPr>
          <w:rFonts w:ascii="Garamond" w:hAnsi="Garamond"/>
        </w:rPr>
        <w:t>SEKSIONI I TRETË</w:t>
      </w:r>
    </w:p>
    <w:p w14:paraId="239F15AC" w14:textId="77777777" w:rsidR="002E634D" w:rsidRPr="00DA5056" w:rsidRDefault="002E634D" w:rsidP="002D5DF9">
      <w:pPr>
        <w:ind w:firstLine="284"/>
        <w:jc w:val="center"/>
        <w:rPr>
          <w:rFonts w:ascii="Garamond" w:hAnsi="Garamond"/>
        </w:rPr>
      </w:pPr>
    </w:p>
    <w:p w14:paraId="6EC6556A" w14:textId="290F1B30" w:rsidR="002E634D" w:rsidRPr="00DA5056" w:rsidRDefault="002E634D" w:rsidP="002D5DF9">
      <w:pPr>
        <w:ind w:firstLine="284"/>
        <w:jc w:val="center"/>
        <w:rPr>
          <w:rFonts w:ascii="Garamond" w:hAnsi="Garamond"/>
          <w:b/>
        </w:rPr>
      </w:pPr>
      <w:r w:rsidRPr="00DA5056">
        <w:rPr>
          <w:rFonts w:ascii="Garamond" w:hAnsi="Garamond"/>
          <w:b/>
        </w:rPr>
        <w:t>VENDIM</w:t>
      </w:r>
    </w:p>
    <w:p w14:paraId="4392C0A7" w14:textId="77777777" w:rsidR="002E634D" w:rsidRPr="00DA5056" w:rsidRDefault="002E634D" w:rsidP="002D5DF9">
      <w:pPr>
        <w:ind w:firstLine="284"/>
        <w:jc w:val="center"/>
        <w:rPr>
          <w:rFonts w:ascii="Garamond" w:hAnsi="Garamond"/>
        </w:rPr>
      </w:pPr>
    </w:p>
    <w:p w14:paraId="49C7C788" w14:textId="4BE44B6D" w:rsidR="002E634D" w:rsidRPr="00DA5056" w:rsidRDefault="002E634D" w:rsidP="002D5DF9">
      <w:pPr>
        <w:ind w:firstLine="284"/>
        <w:jc w:val="center"/>
        <w:rPr>
          <w:rFonts w:ascii="Garamond" w:hAnsi="Garamond"/>
        </w:rPr>
      </w:pPr>
      <w:r w:rsidRPr="00DA5056">
        <w:rPr>
          <w:rFonts w:ascii="Garamond" w:hAnsi="Garamond"/>
        </w:rPr>
        <w:t>Kërkesa nr. 1840/23</w:t>
      </w:r>
    </w:p>
    <w:p w14:paraId="103E8859" w14:textId="102E7B7A" w:rsidR="002E634D" w:rsidRPr="00DA5056" w:rsidRDefault="002E634D" w:rsidP="002D5DF9">
      <w:pPr>
        <w:ind w:firstLine="284"/>
        <w:jc w:val="center"/>
        <w:rPr>
          <w:rFonts w:ascii="Garamond" w:hAnsi="Garamond"/>
        </w:rPr>
      </w:pPr>
      <w:r w:rsidRPr="00DA5056">
        <w:rPr>
          <w:rFonts w:ascii="Garamond" w:hAnsi="Garamond"/>
        </w:rPr>
        <w:t>Marius TAFA</w:t>
      </w:r>
    </w:p>
    <w:p w14:paraId="4A016CF0" w14:textId="77777777" w:rsidR="002E634D" w:rsidRPr="00DA5056" w:rsidRDefault="002E634D" w:rsidP="002D5DF9">
      <w:pPr>
        <w:ind w:firstLine="284"/>
        <w:jc w:val="center"/>
        <w:rPr>
          <w:rFonts w:ascii="Garamond" w:hAnsi="Garamond"/>
        </w:rPr>
      </w:pPr>
      <w:r w:rsidRPr="00DA5056">
        <w:rPr>
          <w:rFonts w:ascii="Garamond" w:hAnsi="Garamond"/>
        </w:rPr>
        <w:t>kundër Shqipërisë</w:t>
      </w:r>
    </w:p>
    <w:p w14:paraId="33BD0C47" w14:textId="77777777" w:rsidR="002E634D" w:rsidRPr="00DA5056" w:rsidRDefault="002E634D" w:rsidP="002D5DF9">
      <w:pPr>
        <w:ind w:firstLine="284"/>
        <w:jc w:val="both"/>
        <w:rPr>
          <w:rFonts w:ascii="Garamond" w:hAnsi="Garamond"/>
        </w:rPr>
      </w:pPr>
    </w:p>
    <w:p w14:paraId="768CD881" w14:textId="7AF3BE5C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Gjykata Europiane e të Drejtave të Njeriut (Seksioni i Tretë), e mbledhur më 28 janar 2025</w:t>
      </w:r>
      <w:r w:rsidR="00DA5056">
        <w:rPr>
          <w:rFonts w:ascii="Garamond" w:hAnsi="Garamond"/>
        </w:rPr>
        <w:t>,</w:t>
      </w:r>
      <w:r w:rsidRPr="00DA5056">
        <w:rPr>
          <w:rFonts w:ascii="Garamond" w:hAnsi="Garamond"/>
        </w:rPr>
        <w:t xml:space="preserve"> si Komitet i përbërë nga:</w:t>
      </w:r>
    </w:p>
    <w:p w14:paraId="145ACF77" w14:textId="64FBC3CF" w:rsidR="002E634D" w:rsidRPr="00DA5056" w:rsidRDefault="002D5DF9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L</w:t>
      </w:r>
      <w:r w:rsidRPr="00DA5056">
        <w:rPr>
          <w:rFonts w:ascii="Times New Roman" w:hAnsi="Times New Roman" w:cs="Times New Roman"/>
        </w:rPr>
        <w:t>ə</w:t>
      </w:r>
      <w:r w:rsidRPr="00DA5056">
        <w:rPr>
          <w:rFonts w:ascii="Garamond" w:hAnsi="Garamond"/>
        </w:rPr>
        <w:t>tif</w:t>
      </w:r>
      <w:r w:rsidR="002E634D" w:rsidRPr="00DA5056">
        <w:rPr>
          <w:rFonts w:ascii="Garamond" w:hAnsi="Garamond"/>
        </w:rPr>
        <w:t xml:space="preserve"> Hüseynov, </w:t>
      </w:r>
      <w:r w:rsidR="00DA5056" w:rsidRPr="00DA5056">
        <w:rPr>
          <w:rFonts w:ascii="Garamond" w:hAnsi="Garamond"/>
        </w:rPr>
        <w:t>kryetar</w:t>
      </w:r>
      <w:r w:rsidR="002E634D" w:rsidRPr="00DA5056">
        <w:rPr>
          <w:rFonts w:ascii="Garamond" w:hAnsi="Garamond"/>
        </w:rPr>
        <w:t>,</w:t>
      </w:r>
    </w:p>
    <w:p w14:paraId="7AD5D2C8" w14:textId="3B2FE304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Darian Pavli,</w:t>
      </w:r>
    </w:p>
    <w:p w14:paraId="78043897" w14:textId="1B4A40EE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Úna Ní Raifeartaigh, gjyqtarë,</w:t>
      </w:r>
      <w:r w:rsidR="002D5DF9" w:rsidRPr="00DA5056">
        <w:rPr>
          <w:rFonts w:ascii="Garamond" w:hAnsi="Garamond"/>
        </w:rPr>
        <w:t xml:space="preserve"> </w:t>
      </w:r>
    </w:p>
    <w:p w14:paraId="54FBF576" w14:textId="22151A6B" w:rsidR="002E634D" w:rsidRPr="00DA5056" w:rsidRDefault="002E634D" w:rsidP="002D5DF9">
      <w:pPr>
        <w:jc w:val="both"/>
        <w:rPr>
          <w:rFonts w:ascii="Garamond" w:hAnsi="Garamond"/>
        </w:rPr>
      </w:pPr>
      <w:r w:rsidRPr="00DA5056">
        <w:rPr>
          <w:rFonts w:ascii="Garamond" w:hAnsi="Garamond"/>
        </w:rPr>
        <w:t xml:space="preserve">dhe Olga Chernishova, </w:t>
      </w:r>
      <w:r w:rsidR="004D26D7" w:rsidRPr="00DA5056">
        <w:rPr>
          <w:rFonts w:ascii="Garamond" w:hAnsi="Garamond"/>
        </w:rPr>
        <w:t>zëvendës</w:t>
      </w:r>
      <w:r w:rsidR="004D26D7">
        <w:rPr>
          <w:rFonts w:ascii="Garamond" w:hAnsi="Garamond"/>
        </w:rPr>
        <w:t>k</w:t>
      </w:r>
      <w:r w:rsidR="004D26D7" w:rsidRPr="00DA5056">
        <w:rPr>
          <w:rFonts w:ascii="Garamond" w:hAnsi="Garamond"/>
        </w:rPr>
        <w:t xml:space="preserve">ancelare </w:t>
      </w:r>
      <w:r w:rsidRPr="00DA5056">
        <w:rPr>
          <w:rFonts w:ascii="Garamond" w:hAnsi="Garamond"/>
        </w:rPr>
        <w:t>e Seksionit,</w:t>
      </w:r>
    </w:p>
    <w:p w14:paraId="61048C67" w14:textId="77777777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Duke pasur parasysh:</w:t>
      </w:r>
    </w:p>
    <w:p w14:paraId="068B31C6" w14:textId="3A943FDC" w:rsidR="002E634D" w:rsidRPr="00DA5056" w:rsidRDefault="00992311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 xml:space="preserve">Kërkesën </w:t>
      </w:r>
      <w:r w:rsidR="002E634D" w:rsidRPr="00DA5056">
        <w:rPr>
          <w:rFonts w:ascii="Garamond" w:hAnsi="Garamond"/>
        </w:rPr>
        <w:t xml:space="preserve">(nr. 1840/23) kundër Republikës së Shqipërisë të depozituar në Gjykatë sipas nenit 34 të Konventës për Mbrojtjen e të Drejtave dhe Lirive Themelore të Njeriut (“Konventa”) më 4 janar 2023 nga shtetasi shqiptar </w:t>
      </w:r>
      <w:r w:rsidR="00DA5056" w:rsidRPr="00DA5056">
        <w:rPr>
          <w:rFonts w:ascii="Garamond" w:hAnsi="Garamond"/>
        </w:rPr>
        <w:t>z</w:t>
      </w:r>
      <w:r w:rsidR="002E634D" w:rsidRPr="00DA5056">
        <w:rPr>
          <w:rFonts w:ascii="Garamond" w:hAnsi="Garamond"/>
        </w:rPr>
        <w:t xml:space="preserve">. Marius Tafa (“kërkuesi”), i lindur në vitin 1988, me banim në Peqin dhe i përfaqësuar nga </w:t>
      </w:r>
      <w:r w:rsidR="00DA5056" w:rsidRPr="00DA5056">
        <w:rPr>
          <w:rFonts w:ascii="Garamond" w:hAnsi="Garamond"/>
        </w:rPr>
        <w:t>znj</w:t>
      </w:r>
      <w:r w:rsidR="002E634D" w:rsidRPr="00DA5056">
        <w:rPr>
          <w:rFonts w:ascii="Garamond" w:hAnsi="Garamond"/>
        </w:rPr>
        <w:t>. E. Kanapari, avokate e licencuar në Tiranë;</w:t>
      </w:r>
    </w:p>
    <w:p w14:paraId="2501310E" w14:textId="3AB49AB6" w:rsidR="002E634D" w:rsidRPr="00DA5056" w:rsidRDefault="00DA5056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 xml:space="preserve">Vendimin </w:t>
      </w:r>
      <w:r w:rsidR="002E634D" w:rsidRPr="00DA5056">
        <w:rPr>
          <w:rFonts w:ascii="Garamond" w:hAnsi="Garamond"/>
        </w:rPr>
        <w:t>për të njoftuar Qeverinë e Shqipërisë (“Qeveria”) të përfaqësuar nga Agjenti Z.O. Moçka, Avokat i Përgjithshëm i Shtetit, për ankimet në lidhje me të drejtën e kërkuesit për kohë të nevojshme për të përgatitur mbrojtjen e tij në procesin penal kundër tij dhe për të shpallur të papranueshme pjesën tjetër të kërkesës;</w:t>
      </w:r>
    </w:p>
    <w:p w14:paraId="39C39B70" w14:textId="0036F085" w:rsidR="002E634D" w:rsidRPr="00DA5056" w:rsidRDefault="00DA5056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 xml:space="preserve">Parashtrimet </w:t>
      </w:r>
      <w:r w:rsidR="002E634D" w:rsidRPr="00DA5056">
        <w:rPr>
          <w:rFonts w:ascii="Garamond" w:hAnsi="Garamond"/>
        </w:rPr>
        <w:t>e depozituara nga Qeveria e paditur dhe prapësimet e paraqitura nga kërkuesi;</w:t>
      </w:r>
    </w:p>
    <w:p w14:paraId="202ED7C1" w14:textId="781437FB" w:rsidR="002E634D" w:rsidRPr="00DA5056" w:rsidRDefault="00DA5056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 xml:space="preserve">Komentet </w:t>
      </w:r>
      <w:r w:rsidR="002E634D" w:rsidRPr="00DA5056">
        <w:rPr>
          <w:rFonts w:ascii="Garamond" w:hAnsi="Garamond"/>
        </w:rPr>
        <w:t xml:space="preserve">e depozituara nga Res Publica që u pranuan për ndërhyrje nga </w:t>
      </w:r>
      <w:r w:rsidRPr="00DA5056">
        <w:rPr>
          <w:rFonts w:ascii="Garamond" w:hAnsi="Garamond"/>
        </w:rPr>
        <w:t xml:space="preserve">kryetari </w:t>
      </w:r>
      <w:r w:rsidR="002E634D" w:rsidRPr="00DA5056">
        <w:rPr>
          <w:rFonts w:ascii="Garamond" w:hAnsi="Garamond"/>
        </w:rPr>
        <w:t>i Seksionit;</w:t>
      </w:r>
    </w:p>
    <w:p w14:paraId="4017C634" w14:textId="77777777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Pas diskutimit, vendosi si më poshtë:</w:t>
      </w:r>
    </w:p>
    <w:p w14:paraId="6B1B907B" w14:textId="77777777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OBJEKTI I ÇËSHTJES</w:t>
      </w:r>
    </w:p>
    <w:p w14:paraId="1B82A57D" w14:textId="224FA8C0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1.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>Çështja ka të bëjë me padrejtësinë e gjykimit penal të kërkuesit.</w:t>
      </w:r>
    </w:p>
    <w:p w14:paraId="7E1367FA" w14:textId="1CC1BF1B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2.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>Gjykimi kundër kërkuesit për akuzën e vrasjes së një punonjësi policie dhe armëmbajtjes pa leje në Gjykatën e Rrethit Gjyqësor Elbasan filloi më 2 shkurt 2011. Në këto procese kërkuesi u përfaqësua nga J.K, avokat i zgjedhur prej tij. Gjykata caktoi seancat çdo të mërkurë në orën 13:00. Megjithatë, avokati i kërkuesit nuk u paraqit në disa seanca.</w:t>
      </w:r>
    </w:p>
    <w:p w14:paraId="4988CB2B" w14:textId="4FE4A21D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3.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>Kur J.K. nuk u paraqit pa arsye në seancat e planifikuara në 23 shkurt dhe 23 dhe 30 mars 2011, gjykata i shtyu seancat. Kur J.K. nuk u paraqit pa arsye në seancën e mbajtur më 13 prill 2011, gjykata caktoi avokatin K.M. për të përfaqësuar kërkuesin dhe shtyu seancën për të njoftuar avokatin K.M. Megjithatë, në seancën e radhës të mbajtur më 20 prill 2011, avokati J.K. u paraqit dhe vazhdoi të mbrojë kërkuesin dhe avokati K.M. u lirua nga detyra.</w:t>
      </w:r>
    </w:p>
    <w:p w14:paraId="1FE71973" w14:textId="6FAAAEA6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4.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>Kur J.K. sërish nuk u paraqit në seancën e caktuar në datën 27 prill 2011, gjykata caktoi avokatin Gj.Xh. për të mbrojtur kërkuesin dhe e shtyu seancën në mënyrë që avokati Gj.Xh. të kishte kohë për t’u përgatitur për mbrojtjen e kërkuesit. Në seancën e radhës të mbajtur më 4 maj 2011, avokati Gj.Xh.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>u paraqit dhe informoi gjykatën se ai kishte studiuar dosjen e çështjes dhe ishte gati të përfaqësonte kërkuesin.</w:t>
      </w:r>
    </w:p>
    <w:p w14:paraId="7FC808AC" w14:textId="20EE51B7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5.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>Në seancat e mëtejshme kërkuesi u përfaqësua ose nga avokati J.K. kur ai paraqitej, ose në rast të mungesës së tij, nga avokati Gj.Xh.</w:t>
      </w:r>
    </w:p>
    <w:p w14:paraId="38019BA8" w14:textId="1880CC41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6.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>Në seancën e mbajtur më 1 qershor 2011, avokati J.K. nuk u paraqit, dhe avokati Gj.Xh. u thirr menjëherë dhe përfaqësoi kërkuesin.</w:t>
      </w:r>
    </w:p>
    <w:p w14:paraId="30BD4889" w14:textId="50DD0352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7.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>Në seancën e mbajtur më 26 tetor 2011, avokati J.K. kërkoi kohë shtesë për të përgatitur diskutimet përfundimtare dhe gjykata e shtyu seancën. Avokati J.K. kërkoi sërish më shumë kohë më 9 nëntor 2011 dhe seanca e caktuar për atë ditë u shty.</w:t>
      </w:r>
    </w:p>
    <w:p w14:paraId="689474B4" w14:textId="4932A32F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lastRenderedPageBreak/>
        <w:t>8.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>Në seancën e mbajtur më 21 dhjetor 2011, avokati J.K. lexoi diskutimet përfundimtare përpara gjykatës.</w:t>
      </w:r>
    </w:p>
    <w:p w14:paraId="224DFB6E" w14:textId="1107415F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9.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>Më 11 janar 2012, gjykata e shpalli kërkuesin fajtor sipas akuzës dhe e dënoi atë me njëzet e tre v</w:t>
      </w:r>
      <w:r w:rsidR="00DA5056">
        <w:rPr>
          <w:rFonts w:ascii="Garamond" w:hAnsi="Garamond"/>
        </w:rPr>
        <w:t>jet</w:t>
      </w:r>
      <w:r w:rsidRPr="00DA5056">
        <w:rPr>
          <w:rFonts w:ascii="Garamond" w:hAnsi="Garamond"/>
        </w:rPr>
        <w:t xml:space="preserve"> burgim. Ky vendim u la në fuqi nga Gjykata e Apelit Durrës më 11 korrik 2012 dhe nga Gjykata e Lartë më 17 mars 2022. Më 30 shtator 2022, Gjykata Kushtetuese rrëzoi ankimin kushtetues të kërkuesit.</w:t>
      </w:r>
    </w:p>
    <w:p w14:paraId="24B35CDD" w14:textId="0D8C3721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VLERËSIMI I GJYKATËS</w:t>
      </w:r>
    </w:p>
    <w:p w14:paraId="0FFE6314" w14:textId="47541C24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10.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 xml:space="preserve">Kërkuesi u ankua sipas nenit 6 </w:t>
      </w:r>
      <w:r w:rsidR="002D5DF9" w:rsidRPr="00DA5056">
        <w:t>§§</w:t>
      </w:r>
      <w:r w:rsidRPr="00DA5056">
        <w:rPr>
          <w:rFonts w:ascii="Garamond" w:hAnsi="Garamond"/>
        </w:rPr>
        <w:t xml:space="preserve"> 1 dhe 3 (b) të Konventës që avokatit të caktuar nga gjykata nuk i ishte dhënë koha e mjaftueshme për të përgatitur mbrojtjen e tij për seancën e mbajtur në Gjykatën e Rrethit Elbasan më 1 qershor 2011 dhe për paraqitjen e diskutimeve përfundimtare në emër të kërkuesit.</w:t>
      </w:r>
    </w:p>
    <w:p w14:paraId="2D2BB31C" w14:textId="0A9E0465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11.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>Gjykata vëren që avokati i zgjedhur nga kërkuesi në mënyrë të përsëritur nuk u paraqit, pa arsye, në seancat e planifikuara paraprakisht, edhe pse ai ishte në dijeni që seancat ishin planifikuar të zhvilloheshin çdo të mërkurë në orën 13:00. Këto rrethana, sipas Gjykatës, justifikuan caktimin e një avokati tjetër nga gjykata për kërkuesin. Gjykata ka vendosur tashmë që caktimi i më shumë se një avokati mbrojtës nuk është në vetvete në kundërshtim me Konventën dhe mund të përdoret në raste specifike në interes të drejtësisë (shihni Croissant kundër Gjermanisë, 25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 xml:space="preserve">shtator 1992, </w:t>
      </w:r>
      <w:r w:rsidR="002D5DF9" w:rsidRPr="00DA5056">
        <w:t>§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>27, Seria A nr. 237-B).</w:t>
      </w:r>
    </w:p>
    <w:p w14:paraId="0082FF89" w14:textId="41B6F9B0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12.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>Avokati Gj.Xh. u emërua për herë të parë më 27 prill 2011 dhe seanca e caktuar për atë ditë u shty në mënyrë që ai të mund të përgatitej për mbrojtjen e kërkuesit. Që në seancën e mbajtur më 4 maj 2011 avokati Gj.Xh. tha se ai kishte studiuar dosjen e çështjes dhe ishte i gatshëm të përfaqësonte kërkuesin. Prandaj, duke e parë procesin në tërësi, Gjykata vlerëson se avokati Gj.Xh. pati mundësinë të njihej me dosjen e çështjes dhe të përgatitej për mbrojtjen e kërkuesit përpara seancës së mbajtur më 1 qershor 2011.</w:t>
      </w:r>
    </w:p>
    <w:p w14:paraId="3C91CD63" w14:textId="2D18BC8D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13.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>Më tej avokati J.K. vazhdoi të përfaqësonte kërkuesin. Ai asnjëherë nuk ka kundërshtuar përfaqësimin e kërkuesit nga avokati Gj.Xh. para gjykatës, dhe po kështu as kërkuesi.</w:t>
      </w:r>
    </w:p>
    <w:p w14:paraId="408125A9" w14:textId="2D0BAF7D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14.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>Për sa i përket seancës përfundimtare dhe diskutimeve përfundimtare, Gjykata vëren se këto janë bërë nga avokati i zgjedhur i kërkuesit, J.K. Gjykata nuk ka asnjë element që të dyshojë për kohën e mjaftueshme që ai kishte për t’u përgatitur, pasi gjykata i kishte shtyrë dy herë seancat pikërisht për këtë qëllim.</w:t>
      </w:r>
    </w:p>
    <w:p w14:paraId="358E8968" w14:textId="4F9AB100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15.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 xml:space="preserve">Nisur nga rrethanat e mësipërme, Gjykata konstaton se të drejtat kërkuesit për t’u mbrojtur, dhe, në veçanti, e drejta e tij për të pasur kohë të mjaftueshme për përgatitjen e mbrojtjes së tij, të garantuara sipas nenit 6 </w:t>
      </w:r>
      <w:r w:rsidR="002D5DF9" w:rsidRPr="00DA5056">
        <w:t>§§</w:t>
      </w:r>
      <w:r w:rsidRPr="00DA5056">
        <w:rPr>
          <w:rFonts w:ascii="Garamond" w:hAnsi="Garamond"/>
        </w:rPr>
        <w:t xml:space="preserve"> 1 dhe 3 (b) ishin mbrojtur në mënyrën e duhur në procesin penal në fjalë.</w:t>
      </w:r>
    </w:p>
    <w:p w14:paraId="383A196C" w14:textId="6B1B3F9A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16.</w:t>
      </w:r>
      <w:r w:rsidR="002D5DF9" w:rsidRPr="00DA5056">
        <w:rPr>
          <w:rFonts w:ascii="Garamond" w:hAnsi="Garamond"/>
        </w:rPr>
        <w:t xml:space="preserve"> </w:t>
      </w:r>
      <w:r w:rsidRPr="00DA5056">
        <w:rPr>
          <w:rFonts w:ascii="Garamond" w:hAnsi="Garamond"/>
        </w:rPr>
        <w:t xml:space="preserve">Për rrjedhojë, kjo pjesë e kërkesës është haptazi e pabazuar dhe duhet të refuzohet në përputhje me nenin 35 </w:t>
      </w:r>
      <w:r w:rsidR="002D5DF9" w:rsidRPr="00DA5056">
        <w:t>§</w:t>
      </w:r>
      <w:r w:rsidRPr="00DA5056">
        <w:rPr>
          <w:rFonts w:ascii="Garamond" w:hAnsi="Garamond"/>
        </w:rPr>
        <w:t>4 të Konventës.</w:t>
      </w:r>
    </w:p>
    <w:p w14:paraId="27EE1861" w14:textId="77777777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Për këto arsye, Gjykata, unanimisht,</w:t>
      </w:r>
    </w:p>
    <w:p w14:paraId="742A1A66" w14:textId="77777777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Shpall kërkesën të papranueshme.</w:t>
      </w:r>
    </w:p>
    <w:p w14:paraId="0E43C11B" w14:textId="77777777" w:rsidR="002E634D" w:rsidRPr="00DA5056" w:rsidRDefault="002E634D" w:rsidP="002D5DF9">
      <w:pPr>
        <w:ind w:firstLine="284"/>
        <w:jc w:val="both"/>
        <w:rPr>
          <w:rFonts w:ascii="Garamond" w:hAnsi="Garamond"/>
        </w:rPr>
      </w:pPr>
      <w:r w:rsidRPr="00DA5056">
        <w:rPr>
          <w:rFonts w:ascii="Garamond" w:hAnsi="Garamond"/>
        </w:rPr>
        <w:t>Bërë në gjuhën angleze dhe njoftuar me shkrim më 27 shkurt 2025.</w:t>
      </w:r>
    </w:p>
    <w:p w14:paraId="17B4E7C5" w14:textId="77777777" w:rsidR="002E634D" w:rsidRPr="00DA5056" w:rsidRDefault="002E634D" w:rsidP="002D5DF9">
      <w:pPr>
        <w:tabs>
          <w:tab w:val="center" w:pos="1400"/>
          <w:tab w:val="center" w:pos="5940"/>
        </w:tabs>
        <w:autoSpaceDE w:val="0"/>
        <w:autoSpaceDN w:val="0"/>
        <w:adjustRightInd w:val="0"/>
        <w:rPr>
          <w:rFonts w:ascii="Garamond" w:hAnsi="Garamond" w:cs="Garamond"/>
          <w:color w:val="000000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0"/>
        <w:gridCol w:w="4491"/>
      </w:tblGrid>
      <w:tr w:rsidR="002E634D" w:rsidRPr="00DA5056" w14:paraId="7D0F1EDC" w14:textId="77777777" w:rsidTr="002D5DF9">
        <w:trPr>
          <w:jc w:val="right"/>
        </w:trPr>
        <w:tc>
          <w:tcPr>
            <w:tcW w:w="4675" w:type="dxa"/>
          </w:tcPr>
          <w:p w14:paraId="51CB4FC3" w14:textId="487BBDB8" w:rsidR="002E634D" w:rsidRPr="00DA5056" w:rsidRDefault="00DA5056" w:rsidP="00DA5056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b/>
                <w:bCs/>
                <w:color w:val="000000"/>
              </w:rPr>
            </w:pPr>
            <w:r w:rsidRPr="00DA5056">
              <w:rPr>
                <w:rFonts w:ascii="Garamond" w:hAnsi="Garamond" w:cs="Garamond"/>
                <w:b/>
                <w:bCs/>
                <w:color w:val="000000"/>
              </w:rPr>
              <w:t>Olga Chernishova</w:t>
            </w:r>
          </w:p>
        </w:tc>
        <w:tc>
          <w:tcPr>
            <w:tcW w:w="4675" w:type="dxa"/>
          </w:tcPr>
          <w:p w14:paraId="7FBFD303" w14:textId="4A2B6509" w:rsidR="002E634D" w:rsidRPr="00DA5056" w:rsidRDefault="00F109CC" w:rsidP="00DA5056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b/>
                <w:bCs/>
                <w:color w:val="000000"/>
              </w:rPr>
            </w:pPr>
            <w:bookmarkStart w:id="0" w:name="_GoBack"/>
            <w:r w:rsidRPr="00F109CC">
              <w:rPr>
                <w:rFonts w:ascii="Garamond" w:hAnsi="Garamond"/>
                <w:b/>
              </w:rPr>
              <w:t>L</w:t>
            </w:r>
            <w:r w:rsidRPr="00F109CC">
              <w:rPr>
                <w:rFonts w:ascii="Times New Roman" w:hAnsi="Times New Roman" w:cs="Times New Roman"/>
                <w:b/>
              </w:rPr>
              <w:t>ə</w:t>
            </w:r>
            <w:r w:rsidRPr="00F109CC">
              <w:rPr>
                <w:rFonts w:ascii="Garamond" w:hAnsi="Garamond"/>
                <w:b/>
              </w:rPr>
              <w:t>tif</w:t>
            </w:r>
            <w:bookmarkEnd w:id="0"/>
            <w:r w:rsidR="00DA5056" w:rsidRPr="00DA5056">
              <w:rPr>
                <w:rFonts w:ascii="Garamond" w:hAnsi="Garamond" w:cs="Garamond"/>
                <w:b/>
                <w:bCs/>
                <w:color w:val="000000"/>
              </w:rPr>
              <w:t xml:space="preserve"> Hüseynov</w:t>
            </w:r>
          </w:p>
        </w:tc>
      </w:tr>
      <w:tr w:rsidR="002E634D" w:rsidRPr="00DA5056" w14:paraId="0D06534F" w14:textId="77777777" w:rsidTr="002D5DF9">
        <w:trPr>
          <w:jc w:val="right"/>
        </w:trPr>
        <w:tc>
          <w:tcPr>
            <w:tcW w:w="4675" w:type="dxa"/>
          </w:tcPr>
          <w:p w14:paraId="481FD907" w14:textId="36186ADB" w:rsidR="002E634D" w:rsidRPr="00DA5056" w:rsidRDefault="00DA5056" w:rsidP="00DA5056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</w:rPr>
            </w:pPr>
            <w:r w:rsidRPr="00DA5056">
              <w:rPr>
                <w:rFonts w:ascii="Garamond" w:hAnsi="Garamond" w:cs="Garamond"/>
                <w:color w:val="000000"/>
              </w:rPr>
              <w:t>ZËVENDËS</w:t>
            </w:r>
            <w:r>
              <w:rPr>
                <w:rFonts w:ascii="Garamond" w:hAnsi="Garamond" w:cs="Garamond"/>
                <w:color w:val="000000"/>
              </w:rPr>
              <w:t>K</w:t>
            </w:r>
            <w:r w:rsidRPr="00DA5056">
              <w:rPr>
                <w:rFonts w:ascii="Garamond" w:hAnsi="Garamond" w:cs="Garamond"/>
                <w:color w:val="000000"/>
              </w:rPr>
              <w:t>ANCELARE</w:t>
            </w:r>
          </w:p>
        </w:tc>
        <w:tc>
          <w:tcPr>
            <w:tcW w:w="4675" w:type="dxa"/>
          </w:tcPr>
          <w:p w14:paraId="08D5CC2B" w14:textId="575D1568" w:rsidR="002E634D" w:rsidRPr="00DA5056" w:rsidRDefault="00DA5056" w:rsidP="00DA5056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</w:rPr>
            </w:pPr>
            <w:r w:rsidRPr="00DA5056">
              <w:rPr>
                <w:rFonts w:ascii="Garamond" w:hAnsi="Garamond" w:cs="Garamond"/>
                <w:color w:val="000000"/>
              </w:rPr>
              <w:t>KRYETAR</w:t>
            </w:r>
          </w:p>
        </w:tc>
      </w:tr>
    </w:tbl>
    <w:p w14:paraId="459FE6F0" w14:textId="77777777" w:rsidR="002E634D" w:rsidRPr="00DA5056" w:rsidRDefault="002E634D" w:rsidP="002D5DF9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rPr>
          <w:rFonts w:ascii="Garamond" w:hAnsi="Garamond" w:cs="Garamond"/>
          <w:color w:val="000000"/>
        </w:rPr>
      </w:pPr>
    </w:p>
    <w:p w14:paraId="46C7BB91" w14:textId="77777777" w:rsidR="001232B4" w:rsidRPr="00DA5056" w:rsidRDefault="001232B4" w:rsidP="002D5DF9">
      <w:pPr>
        <w:ind w:firstLine="284"/>
        <w:rPr>
          <w:rFonts w:ascii="Garamond" w:hAnsi="Garamond"/>
        </w:rPr>
      </w:pPr>
    </w:p>
    <w:sectPr w:rsidR="001232B4" w:rsidRPr="00DA5056" w:rsidSect="002D5DF9">
      <w:pgSz w:w="11907" w:h="16840" w:code="9"/>
      <w:pgMar w:top="1418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15E0E2" w14:textId="77777777" w:rsidR="00992311" w:rsidRDefault="00992311">
      <w:r>
        <w:separator/>
      </w:r>
    </w:p>
  </w:endnote>
  <w:endnote w:type="continuationSeparator" w:id="0">
    <w:p w14:paraId="46ADD103" w14:textId="77777777" w:rsidR="00992311" w:rsidRDefault="00992311">
      <w:r>
        <w:continuationSeparator/>
      </w:r>
    </w:p>
  </w:endnote>
  <w:endnote w:type="continuationNotice" w:id="1">
    <w:p w14:paraId="2B5D96C0" w14:textId="77777777" w:rsidR="00992311" w:rsidRDefault="009923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C29C8" w14:textId="77777777" w:rsidR="00992311" w:rsidRDefault="00992311">
      <w:r>
        <w:separator/>
      </w:r>
    </w:p>
  </w:footnote>
  <w:footnote w:type="continuationSeparator" w:id="0">
    <w:p w14:paraId="13C7E9E8" w14:textId="77777777" w:rsidR="00992311" w:rsidRDefault="00992311">
      <w:r>
        <w:continuationSeparator/>
      </w:r>
    </w:p>
  </w:footnote>
  <w:footnote w:type="continuationNotice" w:id="1">
    <w:p w14:paraId="00E9E3AA" w14:textId="77777777" w:rsidR="00992311" w:rsidRDefault="0099231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56B9429C"/>
    <w:multiLevelType w:val="multilevel"/>
    <w:tmpl w:val="B7886602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18" w15:restartNumberingAfterBreak="0">
    <w:nsid w:val="67FD1241"/>
    <w:multiLevelType w:val="hybridMultilevel"/>
    <w:tmpl w:val="F6D86CC2"/>
    <w:lvl w:ilvl="0" w:tplc="E9E80F98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78D8757E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52847BC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804EB158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ED021F80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D15EBF62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8F9E4BCC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23305936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C95C5C44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2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3"/>
  </w:num>
  <w:num w:numId="17">
    <w:abstractNumId w:val="16"/>
  </w:num>
  <w:num w:numId="18">
    <w:abstractNumId w:val="15"/>
  </w:num>
  <w:num w:numId="19">
    <w:abstractNumId w:val="16"/>
  </w:num>
  <w:num w:numId="20">
    <w:abstractNumId w:val="10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3" w:val="P3"/>
    <w:docVar w:name="Plural" w:val="0"/>
    <w:docVar w:name="SignForeName" w:val="0"/>
    <w:docVar w:name="SndCaseNumber" w:val="Error!Nodocumentvariablesupplied."/>
  </w:docVars>
  <w:rsids>
    <w:rsidRoot w:val="00927643"/>
    <w:rsid w:val="00003373"/>
    <w:rsid w:val="00095FD8"/>
    <w:rsid w:val="000B1FA9"/>
    <w:rsid w:val="000D61E7"/>
    <w:rsid w:val="000E3A89"/>
    <w:rsid w:val="001232B4"/>
    <w:rsid w:val="00127548"/>
    <w:rsid w:val="00132029"/>
    <w:rsid w:val="00144EBC"/>
    <w:rsid w:val="00150BFA"/>
    <w:rsid w:val="001C6BCC"/>
    <w:rsid w:val="001D1233"/>
    <w:rsid w:val="0020718E"/>
    <w:rsid w:val="00223591"/>
    <w:rsid w:val="002A7443"/>
    <w:rsid w:val="002D5DF9"/>
    <w:rsid w:val="002E2C77"/>
    <w:rsid w:val="002E634D"/>
    <w:rsid w:val="003B50D7"/>
    <w:rsid w:val="003E3C60"/>
    <w:rsid w:val="00452087"/>
    <w:rsid w:val="00464268"/>
    <w:rsid w:val="00486CF5"/>
    <w:rsid w:val="004A4C71"/>
    <w:rsid w:val="004B4E73"/>
    <w:rsid w:val="004C3C84"/>
    <w:rsid w:val="004D26D7"/>
    <w:rsid w:val="005E56C2"/>
    <w:rsid w:val="005F11CB"/>
    <w:rsid w:val="006262FA"/>
    <w:rsid w:val="006267D3"/>
    <w:rsid w:val="006300E9"/>
    <w:rsid w:val="006362B9"/>
    <w:rsid w:val="00653EF4"/>
    <w:rsid w:val="00656B81"/>
    <w:rsid w:val="006C3581"/>
    <w:rsid w:val="006D4D63"/>
    <w:rsid w:val="006E123B"/>
    <w:rsid w:val="0071454D"/>
    <w:rsid w:val="00754EDA"/>
    <w:rsid w:val="0076040F"/>
    <w:rsid w:val="007608E7"/>
    <w:rsid w:val="007907C0"/>
    <w:rsid w:val="007A74FC"/>
    <w:rsid w:val="007B2364"/>
    <w:rsid w:val="007C5536"/>
    <w:rsid w:val="008120C3"/>
    <w:rsid w:val="00812D10"/>
    <w:rsid w:val="008D10E4"/>
    <w:rsid w:val="008F0A92"/>
    <w:rsid w:val="008F7189"/>
    <w:rsid w:val="00911B6B"/>
    <w:rsid w:val="00927643"/>
    <w:rsid w:val="00956B2A"/>
    <w:rsid w:val="0096293E"/>
    <w:rsid w:val="009656DE"/>
    <w:rsid w:val="00992311"/>
    <w:rsid w:val="009B6F49"/>
    <w:rsid w:val="009C21E8"/>
    <w:rsid w:val="009E01FB"/>
    <w:rsid w:val="009F466A"/>
    <w:rsid w:val="00A45145"/>
    <w:rsid w:val="00AA5AEE"/>
    <w:rsid w:val="00AC58E5"/>
    <w:rsid w:val="00B140D3"/>
    <w:rsid w:val="00B2260C"/>
    <w:rsid w:val="00BD1692"/>
    <w:rsid w:val="00C023B8"/>
    <w:rsid w:val="00C42C12"/>
    <w:rsid w:val="00C8038F"/>
    <w:rsid w:val="00CB3BD9"/>
    <w:rsid w:val="00CF3937"/>
    <w:rsid w:val="00CF73C3"/>
    <w:rsid w:val="00D415D6"/>
    <w:rsid w:val="00DA5056"/>
    <w:rsid w:val="00DB6354"/>
    <w:rsid w:val="00DE0CD7"/>
    <w:rsid w:val="00E5464B"/>
    <w:rsid w:val="00EA1004"/>
    <w:rsid w:val="00EE38CA"/>
    <w:rsid w:val="00F0534F"/>
    <w:rsid w:val="00F109CC"/>
    <w:rsid w:val="00F128C8"/>
    <w:rsid w:val="00F24AB9"/>
    <w:rsid w:val="00FA7C06"/>
    <w:rsid w:val="00FC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1A03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5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F128C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F128C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F128C8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F128C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F128C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F128C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F128C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F128C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F128C8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F128C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F128C8"/>
    <w:pPr>
      <w:tabs>
        <w:tab w:val="center" w:pos="1418"/>
        <w:tab w:val="center" w:pos="5954"/>
      </w:tabs>
      <w:spacing w:before="720"/>
    </w:pPr>
  </w:style>
  <w:style w:type="paragraph" w:customStyle="1" w:styleId="JuPara">
    <w:name w:val="Ju_Para"/>
    <w:aliases w:val="_Para"/>
    <w:basedOn w:val="NormalJustified"/>
    <w:link w:val="JuParaChar"/>
    <w:uiPriority w:val="99"/>
    <w:qFormat/>
    <w:rsid w:val="00F128C8"/>
    <w:pPr>
      <w:ind w:firstLine="284"/>
    </w:pPr>
  </w:style>
  <w:style w:type="character" w:styleId="PageNumber">
    <w:name w:val="page number"/>
    <w:uiPriority w:val="98"/>
    <w:semiHidden/>
    <w:rsid w:val="00F128C8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F12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F12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F128C8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99"/>
    <w:qFormat/>
    <w:rsid w:val="00F128C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99"/>
    <w:qFormat/>
    <w:rsid w:val="00F128C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F128C8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JuHeader">
    <w:name w:val="Ju_Header"/>
    <w:aliases w:val="_Header"/>
    <w:basedOn w:val="Header"/>
    <w:uiPriority w:val="29"/>
    <w:qFormat/>
    <w:rsid w:val="00F128C8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Header">
    <w:name w:val="header"/>
    <w:basedOn w:val="Normal"/>
    <w:link w:val="HeaderChar"/>
    <w:rsid w:val="00F128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128C8"/>
    <w:rPr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8"/>
    <w:semiHidden/>
    <w:rsid w:val="00F12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F128C8"/>
    <w:rPr>
      <w:rFonts w:ascii="Tahoma" w:hAnsi="Tahoma" w:cs="Tahoma"/>
      <w:sz w:val="16"/>
      <w:szCs w:val="16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F128C8"/>
    <w:rPr>
      <w:color w:val="00B050"/>
      <w:sz w:val="22"/>
    </w:rPr>
  </w:style>
  <w:style w:type="paragraph" w:customStyle="1" w:styleId="NormalJustified">
    <w:name w:val="Normal_Justified"/>
    <w:basedOn w:val="Normal"/>
    <w:semiHidden/>
    <w:rsid w:val="00F128C8"/>
    <w:pPr>
      <w:jc w:val="both"/>
    </w:pPr>
  </w:style>
  <w:style w:type="paragraph" w:customStyle="1" w:styleId="JuQuot">
    <w:name w:val="Ju_Quot"/>
    <w:aliases w:val="_Quote"/>
    <w:basedOn w:val="NormalJustified"/>
    <w:uiPriority w:val="20"/>
    <w:qFormat/>
    <w:rsid w:val="00F128C8"/>
    <w:pPr>
      <w:spacing w:before="120" w:after="120"/>
      <w:ind w:left="425" w:firstLine="142"/>
    </w:pPr>
    <w:rPr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F128C8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F128C8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F128C8"/>
    <w:pPr>
      <w:numPr>
        <w:numId w:val="15"/>
      </w:numPr>
    </w:pPr>
  </w:style>
  <w:style w:type="numbering" w:customStyle="1" w:styleId="ECHRA1StyleList">
    <w:name w:val="ECHR_A1_Style_List"/>
    <w:basedOn w:val="NoList"/>
    <w:uiPriority w:val="99"/>
    <w:rsid w:val="00F128C8"/>
    <w:pPr>
      <w:numPr>
        <w:numId w:val="16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F128C8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NumberedList">
    <w:name w:val="ECHR_A1_Style_Numbered_List"/>
    <w:basedOn w:val="NoList"/>
    <w:rsid w:val="00F128C8"/>
    <w:pPr>
      <w:numPr>
        <w:numId w:val="17"/>
      </w:numPr>
    </w:pPr>
  </w:style>
  <w:style w:type="table" w:customStyle="1" w:styleId="ECHRHeaderTable">
    <w:name w:val="ECHR_Header_Table"/>
    <w:basedOn w:val="TableNormal"/>
    <w:uiPriority w:val="99"/>
    <w:rsid w:val="00F128C8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99"/>
    <w:qFormat/>
    <w:rsid w:val="00F128C8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paragraph" w:customStyle="1" w:styleId="JuInitialled">
    <w:name w:val="Ju_Initialled"/>
    <w:aliases w:val="_Right"/>
    <w:basedOn w:val="Normal"/>
    <w:uiPriority w:val="30"/>
    <w:qFormat/>
    <w:rsid w:val="00F128C8"/>
    <w:pPr>
      <w:tabs>
        <w:tab w:val="center" w:pos="6407"/>
      </w:tabs>
      <w:spacing w:before="720"/>
      <w:jc w:val="right"/>
    </w:pPr>
  </w:style>
  <w:style w:type="table" w:customStyle="1" w:styleId="ECHRHeaderTableReduced">
    <w:name w:val="ECHR_Header_Table_Reduced"/>
    <w:basedOn w:val="TableNormal"/>
    <w:uiPriority w:val="99"/>
    <w:rsid w:val="00F128C8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F128C8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54"/>
    <w:qFormat/>
    <w:rsid w:val="00F128C8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table" w:customStyle="1" w:styleId="ECHRTable2019">
    <w:name w:val="ECHR_Table_2019"/>
    <w:basedOn w:val="TableNormal"/>
    <w:uiPriority w:val="99"/>
    <w:rsid w:val="00F128C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F128C8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F128C8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F128C8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F128C8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F128C8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F128C8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F128C8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F128C8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F128C8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F128C8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F128C8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F128C8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F128C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F128C8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F128C8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99"/>
    <w:qFormat/>
    <w:rsid w:val="00F128C8"/>
    <w:pPr>
      <w:keepNext/>
      <w:keepLines/>
      <w:spacing w:before="240" w:after="240"/>
      <w:ind w:firstLine="284"/>
    </w:pPr>
  </w:style>
  <w:style w:type="table" w:customStyle="1" w:styleId="ECHRTableBoxHeader">
    <w:name w:val="ECHR_Table_Box_Header"/>
    <w:basedOn w:val="TableNormal"/>
    <w:rsid w:val="00F128C8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customStyle="1" w:styleId="JuJudges">
    <w:name w:val="Ju_Judges"/>
    <w:aliases w:val="_Judges"/>
    <w:basedOn w:val="Normal"/>
    <w:uiPriority w:val="99"/>
    <w:qFormat/>
    <w:rsid w:val="00F128C8"/>
    <w:pPr>
      <w:tabs>
        <w:tab w:val="left" w:pos="567"/>
        <w:tab w:val="left" w:pos="1134"/>
      </w:tabs>
    </w:pPr>
  </w:style>
  <w:style w:type="paragraph" w:customStyle="1" w:styleId="JuList">
    <w:name w:val="Ju_List"/>
    <w:aliases w:val="_List_1"/>
    <w:basedOn w:val="NormalJustified"/>
    <w:uiPriority w:val="23"/>
    <w:qFormat/>
    <w:rsid w:val="00F128C8"/>
    <w:pPr>
      <w:numPr>
        <w:numId w:val="21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F128C8"/>
    <w:pPr>
      <w:numPr>
        <w:ilvl w:val="1"/>
        <w:numId w:val="21"/>
      </w:numPr>
    </w:pPr>
  </w:style>
  <w:style w:type="paragraph" w:customStyle="1" w:styleId="JuListi">
    <w:name w:val="Ju_List_i"/>
    <w:aliases w:val="_List_3"/>
    <w:basedOn w:val="NormalJustified"/>
    <w:uiPriority w:val="23"/>
    <w:rsid w:val="00F128C8"/>
    <w:pPr>
      <w:numPr>
        <w:ilvl w:val="2"/>
        <w:numId w:val="21"/>
      </w:numPr>
    </w:pPr>
  </w:style>
  <w:style w:type="table" w:customStyle="1" w:styleId="ECHRTableFax">
    <w:name w:val="ECHR_Table_Fax"/>
    <w:basedOn w:val="TableNormal"/>
    <w:uiPriority w:val="99"/>
    <w:rsid w:val="00F128C8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F128C8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F128C8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8"/>
    <w:semiHidden/>
    <w:rsid w:val="00F128C8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F128C8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semiHidden/>
    <w:qFormat/>
    <w:rsid w:val="00F128C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F128C8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F128C8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F128C8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semiHidden/>
    <w:qFormat/>
    <w:rsid w:val="00F128C8"/>
    <w:rPr>
      <w:b/>
      <w:bCs/>
    </w:rPr>
  </w:style>
  <w:style w:type="character" w:styleId="Emphasis">
    <w:name w:val="Emphasis"/>
    <w:uiPriority w:val="98"/>
    <w:semiHidden/>
    <w:qFormat/>
    <w:rsid w:val="00F128C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8"/>
    <w:semiHidden/>
    <w:qFormat/>
    <w:rsid w:val="00F128C8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F128C8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semiHidden/>
    <w:qFormat/>
    <w:rsid w:val="00F128C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semiHidden/>
    <w:qFormat/>
    <w:rsid w:val="00F128C8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F128C8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F128C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F128C8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semiHidden/>
    <w:qFormat/>
    <w:rsid w:val="00F128C8"/>
    <w:rPr>
      <w:i/>
      <w:iCs/>
    </w:rPr>
  </w:style>
  <w:style w:type="character" w:styleId="IntenseEmphasis">
    <w:name w:val="Intense Emphasis"/>
    <w:uiPriority w:val="98"/>
    <w:semiHidden/>
    <w:qFormat/>
    <w:rsid w:val="00F128C8"/>
    <w:rPr>
      <w:b/>
      <w:bCs/>
    </w:rPr>
  </w:style>
  <w:style w:type="character" w:styleId="SubtleReference">
    <w:name w:val="Subtle Reference"/>
    <w:uiPriority w:val="98"/>
    <w:semiHidden/>
    <w:qFormat/>
    <w:rsid w:val="00F128C8"/>
    <w:rPr>
      <w:smallCaps/>
    </w:rPr>
  </w:style>
  <w:style w:type="character" w:styleId="IntenseReference">
    <w:name w:val="Intense Reference"/>
    <w:uiPriority w:val="98"/>
    <w:semiHidden/>
    <w:qFormat/>
    <w:rsid w:val="00F128C8"/>
    <w:rPr>
      <w:smallCaps/>
      <w:spacing w:val="5"/>
      <w:u w:val="single"/>
    </w:rPr>
  </w:style>
  <w:style w:type="character" w:styleId="BookTitle">
    <w:name w:val="Book Title"/>
    <w:uiPriority w:val="98"/>
    <w:semiHidden/>
    <w:qFormat/>
    <w:rsid w:val="00F128C8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F128C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F128C8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F128C8"/>
    <w:pPr>
      <w:numPr>
        <w:numId w:val="3"/>
      </w:numPr>
    </w:pPr>
  </w:style>
  <w:style w:type="numbering" w:styleId="ArticleSection">
    <w:name w:val="Outline List 3"/>
    <w:basedOn w:val="NoList"/>
    <w:uiPriority w:val="99"/>
    <w:semiHidden/>
    <w:unhideWhenUsed/>
    <w:rsid w:val="00F128C8"/>
    <w:pPr>
      <w:numPr>
        <w:numId w:val="4"/>
      </w:numPr>
    </w:pPr>
  </w:style>
  <w:style w:type="paragraph" w:styleId="Bibliography">
    <w:name w:val="Bibliography"/>
    <w:basedOn w:val="Normal"/>
    <w:next w:val="Normal"/>
    <w:uiPriority w:val="98"/>
    <w:semiHidden/>
    <w:rsid w:val="00F128C8"/>
  </w:style>
  <w:style w:type="paragraph" w:styleId="BlockText">
    <w:name w:val="Block Text"/>
    <w:basedOn w:val="Normal"/>
    <w:uiPriority w:val="98"/>
    <w:semiHidden/>
    <w:rsid w:val="00F128C8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F128C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F128C8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F128C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F128C8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F128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F128C8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F128C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F128C8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F128C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F128C8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F128C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F128C8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F128C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F128C8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F128C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F128C8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F128C8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F128C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F128C8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F12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F128C8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F128C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F128C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F128C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F128C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F128C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F128C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F128C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F128C8"/>
  </w:style>
  <w:style w:type="character" w:customStyle="1" w:styleId="DateChar">
    <w:name w:val="Date Char"/>
    <w:basedOn w:val="DefaultParagraphFont"/>
    <w:link w:val="Date"/>
    <w:uiPriority w:val="98"/>
    <w:semiHidden/>
    <w:rsid w:val="00F128C8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F128C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F128C8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F128C8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F128C8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F128C8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F128C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F128C8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F128C8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F128C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F128C8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F128C8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F128C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F128C8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F128C8"/>
  </w:style>
  <w:style w:type="paragraph" w:styleId="HTMLAddress">
    <w:name w:val="HTML Address"/>
    <w:basedOn w:val="Normal"/>
    <w:link w:val="HTMLAddressChar"/>
    <w:uiPriority w:val="98"/>
    <w:semiHidden/>
    <w:rsid w:val="00F128C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F128C8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F128C8"/>
    <w:rPr>
      <w:i/>
      <w:iCs/>
    </w:rPr>
  </w:style>
  <w:style w:type="character" w:styleId="HTMLCode">
    <w:name w:val="HTML Code"/>
    <w:basedOn w:val="DefaultParagraphFont"/>
    <w:uiPriority w:val="98"/>
    <w:semiHidden/>
    <w:rsid w:val="00F128C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F128C8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F128C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F128C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F128C8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F128C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F128C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F128C8"/>
    <w:rPr>
      <w:i/>
      <w:iCs/>
    </w:rPr>
  </w:style>
  <w:style w:type="character" w:styleId="Hyperlink">
    <w:name w:val="Hyperlink"/>
    <w:basedOn w:val="DefaultParagraphFont"/>
    <w:uiPriority w:val="98"/>
    <w:semiHidden/>
    <w:rsid w:val="00F128C8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F128C8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F128C8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F128C8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F128C8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F128C8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F128C8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F128C8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F128C8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F128C8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F128C8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F128C8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F128C8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F128C8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F128C8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F128C8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F128C8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F128C8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F128C8"/>
  </w:style>
  <w:style w:type="paragraph" w:styleId="List">
    <w:name w:val="List"/>
    <w:basedOn w:val="Normal"/>
    <w:uiPriority w:val="98"/>
    <w:semiHidden/>
    <w:rsid w:val="00F128C8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F128C8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F128C8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F128C8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F128C8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F128C8"/>
    <w:pPr>
      <w:numPr>
        <w:numId w:val="5"/>
      </w:numPr>
    </w:pPr>
  </w:style>
  <w:style w:type="paragraph" w:styleId="ListBullet2">
    <w:name w:val="List Bullet 2"/>
    <w:basedOn w:val="Normal"/>
    <w:uiPriority w:val="98"/>
    <w:semiHidden/>
    <w:rsid w:val="00F128C8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8"/>
    <w:semiHidden/>
    <w:rsid w:val="00F128C8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F128C8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F128C8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F128C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F128C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F128C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F128C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F128C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F128C8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F128C8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F128C8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F128C8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F128C8"/>
    <w:pPr>
      <w:numPr>
        <w:numId w:val="14"/>
      </w:numPr>
      <w:contextualSpacing/>
    </w:pPr>
  </w:style>
  <w:style w:type="paragraph" w:styleId="MacroText">
    <w:name w:val="macro"/>
    <w:link w:val="MacroTextChar"/>
    <w:uiPriority w:val="98"/>
    <w:semiHidden/>
    <w:rsid w:val="00F128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F128C8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F128C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F128C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F128C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F128C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F128C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F128C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F128C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F128C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F128C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F128C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F128C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F128C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F128C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F128C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F128C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F128C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F128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F128C8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F128C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F128C8"/>
    <w:pPr>
      <w:ind w:left="720"/>
    </w:pPr>
  </w:style>
  <w:style w:type="table" w:customStyle="1" w:styleId="ECHRTableNoLines">
    <w:name w:val="ECHR_Table_No_Lines"/>
    <w:basedOn w:val="TableNormal"/>
    <w:uiPriority w:val="99"/>
    <w:rsid w:val="00F128C8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F128C8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F128C8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F128C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F128C8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F128C8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F128C8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F128C8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F128C8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128C8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128C8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128C8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128C8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128C8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semiHidden/>
    <w:rsid w:val="00F128C8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128C8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F128C8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F128C8"/>
  </w:style>
  <w:style w:type="table" w:styleId="TableProfessional">
    <w:name w:val="Table Professional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128C8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F128C8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F128C8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F128C8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F128C8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F128C8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F128C8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F128C8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F128C8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F128C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F128C8"/>
    <w:pPr>
      <w:spacing w:after="100"/>
      <w:ind w:left="1920"/>
    </w:pPr>
  </w:style>
  <w:style w:type="paragraph" w:customStyle="1" w:styleId="ECHRFooter">
    <w:name w:val="ECHR_Footer"/>
    <w:aliases w:val="Footer_ECHR"/>
    <w:basedOn w:val="Footer"/>
    <w:uiPriority w:val="57"/>
    <w:semiHidden/>
    <w:rsid w:val="00987A64"/>
    <w:rPr>
      <w:sz w:val="8"/>
    </w:rPr>
  </w:style>
  <w:style w:type="paragraph" w:customStyle="1" w:styleId="Footer0">
    <w:name w:val="_Footer"/>
    <w:aliases w:val="Footer_"/>
    <w:basedOn w:val="Footer"/>
    <w:uiPriority w:val="57"/>
    <w:semiHidden/>
    <w:rsid w:val="000D61E7"/>
    <w:rPr>
      <w:sz w:val="8"/>
    </w:rPr>
  </w:style>
  <w:style w:type="paragraph" w:styleId="Footer">
    <w:name w:val="footer"/>
    <w:basedOn w:val="Normal"/>
    <w:link w:val="FooterChar"/>
    <w:rsid w:val="00F128C8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rsid w:val="00F128C8"/>
    <w:rPr>
      <w:sz w:val="24"/>
      <w:szCs w:val="24"/>
      <w:lang w:val="sq-AL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F128C8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F128C8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F128C8"/>
    <w:pPr>
      <w:ind w:firstLine="284"/>
    </w:pPr>
    <w:rPr>
      <w:b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F128C8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F128C8"/>
    <w:rPr>
      <w:sz w:val="24"/>
      <w:szCs w:val="24"/>
      <w:lang w:val="sq-AL"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F128C8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F128C8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F128C8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F128C8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F128C8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F128C8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F128C8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F128C8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F128C8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F128C8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F128C8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F128C8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F128C8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F128C8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F128C8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F128C8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F128C8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F128C8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F128C8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F128C8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99"/>
    <w:rsid w:val="00F128C8"/>
    <w:pPr>
      <w:numPr>
        <w:numId w:val="0"/>
      </w:numPr>
      <w:ind w:left="284"/>
    </w:pPr>
  </w:style>
  <w:style w:type="table" w:customStyle="1" w:styleId="ECHRTable">
    <w:name w:val="ECHR_Table"/>
    <w:basedOn w:val="TableNormal"/>
    <w:rsid w:val="00F128C8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F128C8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F128C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F128C8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F128C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F128C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F128C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F128C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F128C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F128C8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F128C8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F128C8"/>
    <w:rPr>
      <w:sz w:val="24"/>
      <w:szCs w:val="24"/>
    </w:rPr>
    <w:tblPr>
      <w:tblInd w:w="5103" w:type="dxa"/>
    </w:tblPr>
  </w:style>
  <w:style w:type="table" w:customStyle="1" w:styleId="PCFTableStyle">
    <w:name w:val="PCF_Table_Style"/>
    <w:aliases w:val="ECHR_PCF_Table_Style"/>
    <w:basedOn w:val="TableNormal"/>
    <w:uiPriority w:val="99"/>
    <w:rsid w:val="00F128C8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F128C8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F128C8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laceholder">
    <w:name w:val="ECHR_Placeholder"/>
    <w:aliases w:val="_Placeholder"/>
    <w:basedOn w:val="JuSigned"/>
    <w:rsid w:val="00F128C8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F128C8"/>
    <w:rPr>
      <w:sz w:val="4"/>
    </w:rPr>
  </w:style>
  <w:style w:type="table" w:customStyle="1" w:styleId="ECHRTableGrey">
    <w:name w:val="ECHR_Table_Grey"/>
    <w:basedOn w:val="TableNormal"/>
    <w:uiPriority w:val="99"/>
    <w:rsid w:val="00F128C8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F128C8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28C8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rsid w:val="00927643"/>
    <w:rPr>
      <w:sz w:val="24"/>
      <w:szCs w:val="24"/>
      <w:lang w:val="sq-AL"/>
    </w:rPr>
  </w:style>
  <w:style w:type="table" w:styleId="GridTable1Light">
    <w:name w:val="Grid Table 1 Light"/>
    <w:basedOn w:val="TableNormal"/>
    <w:uiPriority w:val="46"/>
    <w:semiHidden/>
    <w:rsid w:val="00FA7C0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FA7C06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FA7C06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FA7C06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FA7C06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FA7C06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FA7C06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FA7C0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FA7C06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FA7C06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FA7C06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FA7C06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FA7C06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FA7C06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FA7C0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FA7C0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FA7C0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FA7C06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FA7C0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FA7C0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FA7C0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FA7C0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FA7C0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FA7C0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FA7C06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FA7C0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FA7C0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FA7C0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FA7C0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FA7C0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FA7C0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FA7C0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FA7C0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FA7C0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FA7C0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FA7C0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FA7C0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FA7C0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FA7C06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FA7C0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FA7C0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FA7C0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FA7C0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FA7C0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FA7C0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FA7C06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FA7C0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FA7C0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FA7C0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FA7C06"/>
    <w:rPr>
      <w:color w:val="2B579A"/>
      <w:shd w:val="clear" w:color="auto" w:fill="E1DFDD"/>
    </w:rPr>
  </w:style>
  <w:style w:type="table" w:styleId="ListTable1Light">
    <w:name w:val="List Table 1 Light"/>
    <w:basedOn w:val="TableNormal"/>
    <w:uiPriority w:val="46"/>
    <w:semiHidden/>
    <w:rsid w:val="00FA7C0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FA7C0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FA7C0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FA7C0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FA7C0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FA7C0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FA7C0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FA7C06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FA7C06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FA7C06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FA7C06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FA7C06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FA7C06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FA7C06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FA7C06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FA7C06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FA7C06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FA7C06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FA7C06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FA7C06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FA7C06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FA7C0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FA7C0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FA7C0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FA7C06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FA7C0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FA7C0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FA7C0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FA7C06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FA7C06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FA7C06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FA7C06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FA7C06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FA7C06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FA7C06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FA7C0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FA7C0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FA7C0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FA7C06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FA7C0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FA7C0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FA7C0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FA7C0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FA7C06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FA7C06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FA7C06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FA7C06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FA7C06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FA7C06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FA7C06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41"/>
    <w:semiHidden/>
    <w:rsid w:val="00FA7C0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FA7C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FA7C0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FA7C0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FA7C0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FA7C06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FA7C06"/>
    <w:rPr>
      <w:color w:val="0000FF"/>
      <w:u w:val="single"/>
      <w:shd w:val="clear" w:color="auto" w:fill="F3F2F1"/>
    </w:rPr>
  </w:style>
  <w:style w:type="table" w:styleId="TableGridLight">
    <w:name w:val="Grid Table Light"/>
    <w:basedOn w:val="TableNormal"/>
    <w:uiPriority w:val="40"/>
    <w:semiHidden/>
    <w:rsid w:val="00FA7C0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0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74AAFD32554B7BA12908147CA03F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1840-23</Nr_x002e__x0020_akti>
    <Data_x0020_e_x0020_Krijimit xmlns="0e656187-b300-4fb0-8bf4-3a50f872073c">2025-04-09T14:00:30Z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2025-04-09T00:00:00Z</Date_x0020_protokolli>
    <Titulli xmlns="0e656187-b300-4fb0-8bf4-3a50f872073c">Çështja Marius Tafa kundër Shqipërisë</Titulli>
    <Modifikuesi xmlns="0e656187-b300-4fb0-8bf4-3a50f872073c">Amarilda.Muja</Modifikuesi>
    <Nr_x002e__x0020_prot_x0020_QBZ xmlns="0e656187-b300-4fb0-8bf4-3a50f872073c">607/1</Nr_x002e__x0020_prot_x0020_QBZ>
    <Data_x0020_e_x0020_Modifikimit xmlns="0e656187-b300-4fb0-8bf4-3a50f872073c">2025-04-10T09:17:05Z</Data_x0020_e_x0020_Modifikimit>
    <Dekretuar xmlns="0e656187-b300-4fb0-8bf4-3a50f872073c">false</Dekretuar>
    <Data xmlns="0e656187-b300-4fb0-8bf4-3a50f872073c">2025-02-27T00:00:00Z</Data>
    <Nr_x002e__x0020_protokolli_x0020_i_x0020_aktit xmlns="0e656187-b300-4fb0-8bf4-3a50f872073c">1750/1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12AF4-CD97-40B1-AD6D-FFC5F07580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79018A-DB41-406D-B6F9-F7A1F4555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3FA17AA-1366-41F1-9FA7-6C27C90AA4A2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027C288-86A6-49D6-A4CF-2AC2E5FA6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1037</Words>
  <Characters>5091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Marius Tafa kundër Shqipërisë</vt:lpstr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Marius Tafa kundër Shqipërisë</dc:title>
  <dc:subject>DC</dc:subject>
  <cp:lastModifiedBy/>
  <cp:revision>1</cp:revision>
  <dcterms:created xsi:type="dcterms:W3CDTF">2025-04-09T13:28:00Z</dcterms:created>
  <dcterms:modified xsi:type="dcterms:W3CDTF">2025-04-10T08:24:00Z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1811115</vt:lpwstr>
  </property>
  <property fmtid="{D5CDD505-2E9C-101B-9397-08002B2CF9AE}" pid="3" name="cstLanguage">
    <vt:i4>2057</vt:i4>
  </property>
  <property fmtid="{D5CDD505-2E9C-101B-9397-08002B2CF9AE}" pid="4" name="RegisteredNo">
    <vt:lpwstr>1840/23</vt:lpwstr>
  </property>
</Properties>
</file>