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9000A" w14:textId="2D131DF1" w:rsidR="009C6236" w:rsidRPr="009C6236" w:rsidRDefault="009C6236" w:rsidP="004D16DB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 xml:space="preserve">GJYKATA EVROPIANE E TË DREJTAVE TË NJERIUT </w:t>
      </w:r>
    </w:p>
    <w:p w14:paraId="78019260" w14:textId="77777777" w:rsidR="004D16DB" w:rsidRPr="009C6236" w:rsidRDefault="004D16DB" w:rsidP="004D16DB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SEKSIONI I TRETË</w:t>
      </w:r>
    </w:p>
    <w:p w14:paraId="32DCB303" w14:textId="77777777" w:rsidR="004D16DB" w:rsidRPr="009C6236" w:rsidRDefault="004D16DB" w:rsidP="004D16DB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</w:p>
    <w:p w14:paraId="553E1451" w14:textId="378366A9" w:rsidR="004D16DB" w:rsidRPr="009C6236" w:rsidRDefault="004D16DB" w:rsidP="004D16DB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  <w:r w:rsidRPr="009C6236">
        <w:rPr>
          <w:rFonts w:ascii="Garamond" w:hAnsi="Garamond" w:cs="Times New Roman"/>
          <w:b/>
          <w:color w:val="000000"/>
        </w:rPr>
        <w:t>VENDIM</w:t>
      </w:r>
    </w:p>
    <w:p w14:paraId="547B2CDB" w14:textId="57CC574D" w:rsidR="004D16DB" w:rsidRPr="009C6236" w:rsidRDefault="004D16DB" w:rsidP="004D16DB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  <w:r w:rsidRPr="009C6236">
        <w:rPr>
          <w:rFonts w:ascii="Garamond" w:hAnsi="Garamond" w:cs="Times New Roman"/>
          <w:b/>
          <w:color w:val="000000"/>
        </w:rPr>
        <w:t>Kërkesa nr. 18948/22</w:t>
      </w:r>
    </w:p>
    <w:p w14:paraId="1474BBEE" w14:textId="46F09462" w:rsidR="004D16DB" w:rsidRPr="009C6236" w:rsidRDefault="004D16DB" w:rsidP="004D16DB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  <w:r w:rsidRPr="009C6236">
        <w:rPr>
          <w:rFonts w:ascii="Garamond" w:hAnsi="Garamond" w:cs="Times New Roman"/>
          <w:b/>
          <w:color w:val="000000"/>
        </w:rPr>
        <w:t xml:space="preserve">Bukurije PETRELA dhe të </w:t>
      </w:r>
      <w:r w:rsidR="00724508">
        <w:rPr>
          <w:rFonts w:ascii="Garamond" w:hAnsi="Garamond" w:cs="Times New Roman"/>
          <w:b/>
          <w:color w:val="000000"/>
        </w:rPr>
        <w:t>t</w:t>
      </w:r>
      <w:r w:rsidRPr="009C6236">
        <w:rPr>
          <w:rFonts w:ascii="Garamond" w:hAnsi="Garamond" w:cs="Times New Roman"/>
          <w:b/>
          <w:color w:val="000000"/>
        </w:rPr>
        <w:t>jerët kundër Shqipërisë</w:t>
      </w:r>
    </w:p>
    <w:p w14:paraId="5D5A624A" w14:textId="77777777" w:rsidR="004D16DB" w:rsidRPr="009C6236" w:rsidRDefault="004D16DB" w:rsidP="004D16DB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  <w:r w:rsidRPr="009C6236">
        <w:rPr>
          <w:rFonts w:ascii="Garamond" w:hAnsi="Garamond" w:cs="Times New Roman"/>
          <w:b/>
          <w:color w:val="000000"/>
        </w:rPr>
        <w:t xml:space="preserve"> dhe 4 kërkesa të tjera </w:t>
      </w:r>
    </w:p>
    <w:p w14:paraId="6F79A000" w14:textId="77777777" w:rsidR="004D16DB" w:rsidRPr="009C6236" w:rsidRDefault="004D16DB" w:rsidP="004D16DB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iCs/>
          <w:color w:val="000000"/>
        </w:rPr>
      </w:pPr>
      <w:r w:rsidRPr="009C6236">
        <w:rPr>
          <w:rFonts w:ascii="Garamond" w:hAnsi="Garamond" w:cs="Times New Roman"/>
          <w:i/>
          <w:color w:val="000000"/>
        </w:rPr>
        <w:t>(shihni tabelën bashkëngjitur)</w:t>
      </w:r>
    </w:p>
    <w:p w14:paraId="27FC0827" w14:textId="77777777" w:rsidR="004D16DB" w:rsidRPr="009C6236" w:rsidRDefault="004D16DB" w:rsidP="004D16DB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</w:rPr>
      </w:pPr>
    </w:p>
    <w:p w14:paraId="0AD1863B" w14:textId="1C17A24A" w:rsidR="004D16DB" w:rsidRPr="009C6236" w:rsidRDefault="004D16DB" w:rsidP="004D16DB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Gjykata E</w:t>
      </w:r>
      <w:r w:rsidR="009C6236" w:rsidRPr="009C6236">
        <w:rPr>
          <w:rFonts w:ascii="Garamond" w:hAnsi="Garamond" w:cs="Calibri"/>
          <w:color w:val="000000"/>
        </w:rPr>
        <w:t>v</w:t>
      </w:r>
      <w:r w:rsidRPr="009C6236">
        <w:rPr>
          <w:rFonts w:ascii="Garamond" w:hAnsi="Garamond" w:cs="Calibri"/>
          <w:color w:val="000000"/>
        </w:rPr>
        <w:t>ropiane e të Drejtave të Njeriut (Seksioni i Tretë), e mbledhur më 18 mars 2025, si Komitet i përbërë nga:</w:t>
      </w:r>
    </w:p>
    <w:p w14:paraId="2317328B" w14:textId="664E21C0" w:rsidR="004D16DB" w:rsidRPr="009C6236" w:rsidRDefault="004D16DB" w:rsidP="004D16DB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L</w:t>
      </w:r>
      <w:r w:rsidRPr="009C6236">
        <w:rPr>
          <w:rFonts w:ascii="Times New Roman" w:hAnsi="Times New Roman" w:cs="Times New Roman"/>
          <w:color w:val="000000"/>
        </w:rPr>
        <w:t>ə</w:t>
      </w:r>
      <w:r w:rsidRPr="009C6236">
        <w:rPr>
          <w:rFonts w:ascii="Garamond" w:hAnsi="Garamond" w:cs="Times New Roman"/>
          <w:color w:val="000000"/>
        </w:rPr>
        <w:t>tif Hüseynov</w:t>
      </w:r>
      <w:r w:rsidRPr="009C6236">
        <w:rPr>
          <w:rFonts w:ascii="Garamond" w:hAnsi="Garamond" w:cs="Times New Roman"/>
          <w:i/>
          <w:iCs/>
          <w:color w:val="000000"/>
        </w:rPr>
        <w:t xml:space="preserve">, </w:t>
      </w:r>
      <w:r w:rsidR="00D4304F">
        <w:rPr>
          <w:rFonts w:ascii="Garamond" w:hAnsi="Garamond" w:cs="Times New Roman"/>
          <w:i/>
          <w:iCs/>
          <w:color w:val="000000"/>
        </w:rPr>
        <w:t>k</w:t>
      </w:r>
      <w:r w:rsidRPr="009C6236">
        <w:rPr>
          <w:rFonts w:ascii="Garamond" w:hAnsi="Garamond" w:cs="Times New Roman"/>
          <w:i/>
          <w:iCs/>
          <w:color w:val="000000"/>
        </w:rPr>
        <w:t>ryetar</w:t>
      </w:r>
      <w:r w:rsidRPr="009C6236">
        <w:rPr>
          <w:rFonts w:ascii="Garamond" w:hAnsi="Garamond" w:cs="Times New Roman"/>
          <w:color w:val="000000"/>
        </w:rPr>
        <w:t>,</w:t>
      </w:r>
    </w:p>
    <w:p w14:paraId="4BFABF4F" w14:textId="499E3E1E" w:rsidR="004D16DB" w:rsidRPr="009C6236" w:rsidRDefault="004D16DB" w:rsidP="004D16DB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Darian Pavli,</w:t>
      </w:r>
    </w:p>
    <w:p w14:paraId="6D8A181B" w14:textId="67739FDB" w:rsidR="004D16DB" w:rsidRPr="009C6236" w:rsidRDefault="004D16DB" w:rsidP="004D16DB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Úna Ní Raifeartaigh</w:t>
      </w:r>
      <w:r w:rsidRPr="009C6236">
        <w:rPr>
          <w:rFonts w:ascii="Garamond" w:hAnsi="Garamond" w:cs="Times New Roman"/>
          <w:i/>
          <w:iCs/>
          <w:color w:val="000000"/>
        </w:rPr>
        <w:t>, gjyqtarë</w:t>
      </w:r>
      <w:r w:rsidRPr="009C6236">
        <w:rPr>
          <w:rFonts w:ascii="Garamond" w:hAnsi="Garamond" w:cs="Times New Roman"/>
          <w:color w:val="000000"/>
        </w:rPr>
        <w:t>,</w:t>
      </w:r>
    </w:p>
    <w:p w14:paraId="65CBBEEA" w14:textId="56751093" w:rsidR="004D16DB" w:rsidRPr="009C6236" w:rsidRDefault="004D16DB" w:rsidP="004D16DB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 xml:space="preserve">dhe Olga Chernishova, </w:t>
      </w:r>
      <w:r w:rsidR="00D4304F" w:rsidRPr="009C6236">
        <w:rPr>
          <w:rFonts w:ascii="Garamond" w:hAnsi="Garamond" w:cs="Times New Roman"/>
          <w:i/>
          <w:iCs/>
          <w:color w:val="000000"/>
        </w:rPr>
        <w:t xml:space="preserve">zëvendëskancelare </w:t>
      </w:r>
      <w:r w:rsidRPr="009C6236">
        <w:rPr>
          <w:rFonts w:ascii="Garamond" w:hAnsi="Garamond" w:cs="Times New Roman"/>
          <w:i/>
          <w:iCs/>
          <w:color w:val="000000"/>
        </w:rPr>
        <w:t>e Seksionit,</w:t>
      </w:r>
    </w:p>
    <w:p w14:paraId="546801A1" w14:textId="48DBAFA8" w:rsidR="004D16DB" w:rsidRPr="009C6236" w:rsidRDefault="00D4304F" w:rsidP="004D16D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>d</w:t>
      </w:r>
      <w:r w:rsidR="004D16DB" w:rsidRPr="009C6236">
        <w:rPr>
          <w:rFonts w:ascii="Garamond" w:hAnsi="Garamond" w:cs="Times New Roman"/>
          <w:color w:val="000000"/>
        </w:rPr>
        <w:t>uke pasur parasysh:</w:t>
      </w:r>
    </w:p>
    <w:p w14:paraId="35136989" w14:textId="03F6BD3A" w:rsidR="004D16DB" w:rsidRPr="009C6236" w:rsidRDefault="004D16DB" w:rsidP="004D16D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kërkesat (nr. 18948/22, 20351/22, 20354/22, 21643/22, dhe 22197/22) kundër Republikës së Shqipërisë të depozituar në Gjykatë sipas nenit 34 të Konventës për Mbrojtjen e të Drejtave dhe Lirive Themelore të Njeriut (“Konventa”) nga kërkuesit e listuar në tabelën bashkëlidhur (“kërkuesit”),</w:t>
      </w:r>
      <w:r w:rsidRPr="009C6236">
        <w:rPr>
          <w:rFonts w:ascii="Garamond" w:hAnsi="Garamond" w:cs="Times New Roman"/>
          <w:b/>
          <w:bCs/>
          <w:color w:val="000000"/>
        </w:rPr>
        <w:t xml:space="preserve"> </w:t>
      </w:r>
      <w:r w:rsidRPr="009C6236">
        <w:rPr>
          <w:rFonts w:ascii="Garamond" w:hAnsi="Garamond" w:cs="Times New Roman"/>
          <w:color w:val="000000"/>
        </w:rPr>
        <w:t xml:space="preserve">në data të ndryshme që tregohen në tabelë, të përfaqësuar në Gjykatë nga </w:t>
      </w:r>
      <w:r w:rsidR="00EA26F2">
        <w:rPr>
          <w:rFonts w:ascii="Garamond" w:hAnsi="Garamond" w:cs="Times New Roman"/>
          <w:color w:val="000000"/>
        </w:rPr>
        <w:t>z</w:t>
      </w:r>
      <w:r w:rsidRPr="009C6236">
        <w:rPr>
          <w:rFonts w:ascii="Garamond" w:hAnsi="Garamond" w:cs="Times New Roman"/>
          <w:color w:val="000000"/>
        </w:rPr>
        <w:t>nj. S.Mëneri, avokat i licencuar në Tiranë;</w:t>
      </w:r>
    </w:p>
    <w:p w14:paraId="44C483C3" w14:textId="77777777" w:rsidR="004D16DB" w:rsidRPr="009C6236" w:rsidRDefault="004D16DB" w:rsidP="004D16D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Pas diskutimit, vendosi si më poshtë:</w:t>
      </w:r>
    </w:p>
    <w:p w14:paraId="41FFA542" w14:textId="77777777" w:rsidR="004D16DB" w:rsidRPr="009C6236" w:rsidRDefault="004D16DB" w:rsidP="004D16DB">
      <w:pPr>
        <w:keepNext/>
        <w:keepLines/>
        <w:numPr>
          <w:ilvl w:val="0"/>
          <w:numId w:val="19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9C6236">
        <w:rPr>
          <w:rFonts w:ascii="Garamond" w:hAnsi="Garamond" w:cs="Times New Roman"/>
          <w:caps/>
          <w:color w:val="000000"/>
        </w:rPr>
        <w:t>OBJEKTI I ÇËSHTJEVE</w:t>
      </w:r>
    </w:p>
    <w:p w14:paraId="0773B184" w14:textId="6735B9DC" w:rsidR="004D16DB" w:rsidRPr="009C6236" w:rsidRDefault="004D16DB" w:rsidP="00A31271">
      <w:pPr>
        <w:numPr>
          <w:ilvl w:val="0"/>
          <w:numId w:val="19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1.</w:t>
      </w:r>
      <w:r w:rsidR="00EA26F2">
        <w:rPr>
          <w:rFonts w:ascii="Garamond" w:hAnsi="Garamond" w:cs="Times New Roman"/>
          <w:color w:val="000000"/>
        </w:rPr>
        <w:t xml:space="preserve"> </w:t>
      </w:r>
      <w:r w:rsidRPr="009C6236">
        <w:rPr>
          <w:rFonts w:ascii="Garamond" w:hAnsi="Garamond" w:cs="Times New Roman"/>
          <w:color w:val="000000"/>
        </w:rPr>
        <w:t xml:space="preserve">Kërkesat kanë të bëjnë me tejzgjatjen e mosekzekutimit të vendimeve administrative që njihnin të drejtën e kërkuesve për kompensim sipas një nga mënyrave të parashikuara me ligj </w:t>
      </w:r>
      <w:r w:rsidRPr="009C6236">
        <w:rPr>
          <w:rFonts w:ascii="Garamond" w:hAnsi="Garamond" w:cs="Times New Roman"/>
          <w:i/>
          <w:iCs/>
          <w:color w:val="000000"/>
        </w:rPr>
        <w:t>in lieu</w:t>
      </w:r>
      <w:r w:rsidRPr="009C6236">
        <w:rPr>
          <w:rFonts w:ascii="Garamond" w:hAnsi="Garamond" w:cs="Times New Roman"/>
          <w:color w:val="000000"/>
        </w:rPr>
        <w:t xml:space="preserve"> të kthimit të pronave të tyre që ishin shtetëzuar nga ish</w:t>
      </w:r>
      <w:r w:rsidR="00EA26F2">
        <w:rPr>
          <w:rFonts w:ascii="Garamond" w:hAnsi="Garamond" w:cs="Times New Roman"/>
          <w:color w:val="000000"/>
        </w:rPr>
        <w:t>-</w:t>
      </w:r>
      <w:r w:rsidRPr="009C6236">
        <w:rPr>
          <w:rFonts w:ascii="Garamond" w:hAnsi="Garamond" w:cs="Times New Roman"/>
          <w:color w:val="000000"/>
        </w:rPr>
        <w:t>regjimi komunist.</w:t>
      </w:r>
      <w:r w:rsidR="00EA26F2">
        <w:rPr>
          <w:rFonts w:ascii="Garamond" w:hAnsi="Garamond" w:cs="Times New Roman"/>
          <w:color w:val="000000"/>
        </w:rPr>
        <w:t xml:space="preserve"> </w:t>
      </w:r>
    </w:p>
    <w:p w14:paraId="7C6DD4F0" w14:textId="4953B2DF" w:rsidR="004D16DB" w:rsidRPr="009C6236" w:rsidRDefault="004D16DB" w:rsidP="00A3127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2.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Gjatë vitit 1995, Komisioni i Kthimit dhe </w:t>
      </w:r>
      <w:r w:rsidRPr="00C778E5">
        <w:rPr>
          <w:rFonts w:ascii="Garamond" w:hAnsi="Garamond" w:cs="Calibri"/>
          <w:color w:val="000000"/>
        </w:rPr>
        <w:t>Kompensimit të Pro</w:t>
      </w:r>
      <w:r w:rsidR="001A11FE" w:rsidRPr="00C778E5">
        <w:rPr>
          <w:rFonts w:ascii="Garamond" w:hAnsi="Garamond" w:cs="Calibri"/>
          <w:color w:val="000000"/>
        </w:rPr>
        <w:t>n</w:t>
      </w:r>
      <w:r w:rsidRPr="00C778E5">
        <w:rPr>
          <w:rFonts w:ascii="Garamond" w:hAnsi="Garamond" w:cs="Calibri"/>
          <w:color w:val="000000"/>
        </w:rPr>
        <w:t>ave Tiranë</w:t>
      </w:r>
      <w:r w:rsidRPr="009C6236">
        <w:rPr>
          <w:rFonts w:ascii="Garamond" w:hAnsi="Garamond" w:cs="Calibri"/>
          <w:color w:val="000000"/>
        </w:rPr>
        <w:t xml:space="preserve"> (“Komisioni i Pronave”) nxori disa vendime që njihnin të drejtat e pronës së trashëguar të kërkuesve mbi disa parcela toke. Në lidhje me pjesën e parcelave që ishin të zëna, ai vendosi që kërkuesit të</w:t>
      </w:r>
      <w:r w:rsidR="00FF3AFF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kompesoheshin sipas njërës prej mënyrave të parashikuara me ligj.</w:t>
      </w:r>
    </w:p>
    <w:p w14:paraId="1C8F000A" w14:textId="3D0A1EAF" w:rsidR="004D16DB" w:rsidRPr="009C6236" w:rsidRDefault="004D16DB" w:rsidP="00A31271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3.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Më 8 maj 2017, vlerësimi financiar në lidhje me pronat e kërkuesve u publikua në </w:t>
      </w:r>
      <w:r w:rsidRPr="009C6236">
        <w:rPr>
          <w:rFonts w:ascii="Garamond" w:hAnsi="Garamond" w:cs="Calibri"/>
          <w:i/>
          <w:iCs/>
          <w:color w:val="000000"/>
        </w:rPr>
        <w:t>Buletinin e Njoftimeve Zyrtare</w:t>
      </w:r>
      <w:r w:rsidRPr="009C6236">
        <w:rPr>
          <w:rFonts w:ascii="Garamond" w:hAnsi="Garamond" w:cs="Calibri"/>
          <w:color w:val="000000"/>
        </w:rPr>
        <w:t xml:space="preserve"> në përputhje me ligjin nr.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133/2015</w:t>
      </w:r>
      <w:r w:rsidR="00B3547B">
        <w:rPr>
          <w:rFonts w:ascii="Garamond" w:hAnsi="Garamond" w:cs="Calibri"/>
          <w:color w:val="000000"/>
        </w:rPr>
        <w:t>,</w:t>
      </w:r>
      <w:r w:rsidRPr="009C6236">
        <w:rPr>
          <w:rFonts w:ascii="Garamond" w:hAnsi="Garamond" w:cs="Calibri"/>
          <w:color w:val="000000"/>
        </w:rPr>
        <w:t xml:space="preserve"> </w:t>
      </w:r>
      <w:r w:rsidR="00EA26F2">
        <w:rPr>
          <w:rFonts w:ascii="Garamond" w:hAnsi="Garamond" w:cs="Calibri"/>
          <w:color w:val="000000"/>
        </w:rPr>
        <w:t>“P</w:t>
      </w:r>
      <w:r w:rsidRPr="009C6236">
        <w:rPr>
          <w:rFonts w:ascii="Garamond" w:hAnsi="Garamond" w:cs="Calibri"/>
          <w:color w:val="000000"/>
        </w:rPr>
        <w:t xml:space="preserve">ër </w:t>
      </w:r>
      <w:r w:rsidR="00EA26F2" w:rsidRPr="009C6236">
        <w:rPr>
          <w:rFonts w:ascii="Garamond" w:hAnsi="Garamond" w:cs="Calibri"/>
          <w:color w:val="000000"/>
        </w:rPr>
        <w:t>trajtimin e pronës dhe përfundimin e procesit të kompensimit të pronave</w:t>
      </w:r>
      <w:r w:rsidR="00EA26F2">
        <w:rPr>
          <w:rFonts w:ascii="Garamond" w:hAnsi="Garamond" w:cs="Calibri"/>
          <w:color w:val="000000"/>
        </w:rPr>
        <w:t>”</w:t>
      </w:r>
      <w:r w:rsidR="00EA26F2" w:rsidRPr="009C6236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(“Ligji për pronat 2015”). Kërkuesit nuk kundërshtuan atë vendim përfundimtar vlerësimi.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Ndërmjet periudhës maj dhe gusht 2017, ata paraqitën formularët dhe dokumentacionin e nevojshëm për kompensimin financiar bazuar në vendimin e Agjencisë për Trajtimin e Pronave (“ATP”).</w:t>
      </w:r>
    </w:p>
    <w:p w14:paraId="3501350F" w14:textId="76B1A7B2" w:rsidR="004D16DB" w:rsidRPr="009C6236" w:rsidRDefault="004D16DB" w:rsidP="00A31271">
      <w:pPr>
        <w:keepNext/>
        <w:keepLines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4.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Në vitin 2022, në përgjigje të kërkesës së kërkuesve për informacion, ATP</w:t>
      </w:r>
      <w:r w:rsidR="00A31271">
        <w:rPr>
          <w:rFonts w:ascii="Garamond" w:hAnsi="Garamond" w:cs="Calibri"/>
          <w:color w:val="000000"/>
        </w:rPr>
        <w:t>-ja</w:t>
      </w:r>
      <w:r w:rsidRPr="009C6236">
        <w:rPr>
          <w:rFonts w:ascii="Garamond" w:hAnsi="Garamond" w:cs="Calibri"/>
          <w:color w:val="000000"/>
        </w:rPr>
        <w:t xml:space="preserve"> njohu vlerësimin e pronave të tyre në vitin 2017 dhe i informoi që nuk ishin ndërmarrë veprime të tjera në lidhje me kompensimin e tyre, sepse priteshin ndryshime të tjera ligjore pas vendimit të Gjykatës Kushtetuese </w:t>
      </w:r>
      <w:r w:rsidRPr="001A11FE">
        <w:rPr>
          <w:rFonts w:ascii="Garamond" w:hAnsi="Garamond" w:cs="Calibri"/>
          <w:color w:val="000000"/>
        </w:rPr>
        <w:t xml:space="preserve">(shihni </w:t>
      </w:r>
      <w:r w:rsidRPr="00011159">
        <w:rPr>
          <w:rFonts w:ascii="Garamond" w:hAnsi="Garamond" w:cs="Calibri"/>
          <w:color w:val="000000"/>
        </w:rPr>
        <w:t xml:space="preserve">paragrafin </w:t>
      </w:r>
      <w:bookmarkStart w:id="0" w:name="_GoBack"/>
      <w:bookmarkEnd w:id="0"/>
      <w:r w:rsidRPr="002A5EA9">
        <w:rPr>
          <w:rFonts w:ascii="Garamond" w:hAnsi="Garamond" w:cs="Calibri"/>
          <w:color w:val="000000"/>
        </w:rPr>
        <w:t xml:space="preserve">9 më </w:t>
      </w:r>
      <w:r w:rsidR="001A11FE" w:rsidRPr="002A5EA9">
        <w:rPr>
          <w:rFonts w:ascii="Garamond" w:hAnsi="Garamond" w:cs="Calibri"/>
          <w:color w:val="000000"/>
        </w:rPr>
        <w:t>posht</w:t>
      </w:r>
      <w:r w:rsidRPr="002A5EA9">
        <w:rPr>
          <w:rFonts w:ascii="Garamond" w:hAnsi="Garamond" w:cs="Calibri"/>
          <w:color w:val="000000"/>
        </w:rPr>
        <w:t>ë).</w:t>
      </w:r>
    </w:p>
    <w:p w14:paraId="0A5D477C" w14:textId="63463AEB" w:rsidR="004D16DB" w:rsidRPr="009C6236" w:rsidRDefault="004D16DB" w:rsidP="004D16DB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5.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Më 5 tetor 2023, 14 dhjetor 2023, 13 tetor 2023, 23 gusht 2023 dhe 20 janar 2022, përkatësisht, ATP</w:t>
      </w:r>
      <w:r w:rsidR="00262F63">
        <w:rPr>
          <w:rFonts w:ascii="Garamond" w:hAnsi="Garamond" w:cs="Calibri"/>
          <w:color w:val="000000"/>
        </w:rPr>
        <w:t>-ja</w:t>
      </w:r>
      <w:r w:rsidRPr="009C6236">
        <w:rPr>
          <w:rFonts w:ascii="Garamond" w:hAnsi="Garamond" w:cs="Calibri"/>
          <w:color w:val="000000"/>
        </w:rPr>
        <w:t xml:space="preserve"> informoi kërkuesit që për ata do të zbatoheshin dispozitat e miratuara rishtazi (shihni paragrafin 8 më sipër), </w:t>
      </w:r>
      <w:r w:rsidR="00A31271">
        <w:rPr>
          <w:rFonts w:ascii="Garamond" w:hAnsi="Garamond" w:cs="Calibri"/>
          <w:color w:val="000000"/>
        </w:rPr>
        <w:t>i</w:t>
      </w:r>
      <w:r w:rsidRPr="009C6236">
        <w:rPr>
          <w:rFonts w:ascii="Garamond" w:hAnsi="Garamond" w:cs="Calibri"/>
          <w:color w:val="000000"/>
        </w:rPr>
        <w:t>u kërkoi që ata të tregonin për formën e preferuar të kompensimit dhe të paraqisnin dokumentet e nevojshme për të përfunduar procesin e kompensimit.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Nga materialet e dosjes së çështjes nuk rezulton që kërkuesit kanë përmbushur të gjitha këto kërkesa.</w:t>
      </w:r>
    </w:p>
    <w:p w14:paraId="378C1B04" w14:textId="77777777" w:rsidR="004D16DB" w:rsidRPr="009C6236" w:rsidRDefault="004D16DB" w:rsidP="004D16DB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aps/>
          <w:color w:val="000000"/>
        </w:rPr>
      </w:pPr>
      <w:r w:rsidRPr="009C6236">
        <w:rPr>
          <w:rFonts w:ascii="Garamond" w:hAnsi="Garamond" w:cs="Calibri"/>
          <w:color w:val="000000"/>
        </w:rPr>
        <w:tab/>
      </w:r>
      <w:r w:rsidRPr="009C6236">
        <w:rPr>
          <w:rFonts w:ascii="Garamond" w:hAnsi="Garamond" w:cs="Calibri"/>
          <w:caps/>
          <w:color w:val="000000"/>
        </w:rPr>
        <w:t>Legjislacioni i brendshëm përkatës</w:t>
      </w:r>
    </w:p>
    <w:p w14:paraId="14F5406C" w14:textId="61D42A5E" w:rsidR="004D16DB" w:rsidRPr="009C6236" w:rsidRDefault="004D16DB" w:rsidP="004D16DB">
      <w:pPr>
        <w:keepNext/>
        <w:numPr>
          <w:ilvl w:val="0"/>
          <w:numId w:val="19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6.</w:t>
      </w:r>
      <w:r w:rsidR="00EA26F2">
        <w:rPr>
          <w:rFonts w:ascii="Garamond" w:hAnsi="Garamond" w:cs="Times New Roman"/>
          <w:color w:val="000000"/>
        </w:rPr>
        <w:t xml:space="preserve"> </w:t>
      </w:r>
      <w:r w:rsidRPr="009C6236">
        <w:rPr>
          <w:rFonts w:ascii="Garamond" w:hAnsi="Garamond" w:cs="Times New Roman"/>
          <w:color w:val="000000"/>
        </w:rPr>
        <w:t>Një vështrim i përgjithshëm i legjislacionit të brendshëm dhe</w:t>
      </w:r>
      <w:r w:rsidR="00EA26F2">
        <w:rPr>
          <w:rFonts w:ascii="Garamond" w:hAnsi="Garamond" w:cs="Times New Roman"/>
          <w:color w:val="000000"/>
        </w:rPr>
        <w:t xml:space="preserve"> </w:t>
      </w:r>
      <w:r w:rsidRPr="009C6236">
        <w:rPr>
          <w:rFonts w:ascii="Garamond" w:hAnsi="Garamond" w:cs="Times New Roman"/>
          <w:color w:val="000000"/>
        </w:rPr>
        <w:t xml:space="preserve">praktikës përkatëse sipas </w:t>
      </w:r>
      <w:r w:rsidR="00EA26F2" w:rsidRPr="009C6236">
        <w:rPr>
          <w:rFonts w:ascii="Garamond" w:hAnsi="Garamond" w:cs="Times New Roman"/>
          <w:color w:val="000000"/>
        </w:rPr>
        <w:t xml:space="preserve">ligjit </w:t>
      </w:r>
      <w:r w:rsidRPr="009C6236">
        <w:rPr>
          <w:rFonts w:ascii="Garamond" w:hAnsi="Garamond" w:cs="Times New Roman"/>
          <w:color w:val="000000"/>
        </w:rPr>
        <w:t xml:space="preserve">për Pronat 2015 jepet në çështjen </w:t>
      </w:r>
      <w:r w:rsidRPr="009C6236">
        <w:rPr>
          <w:rFonts w:ascii="Garamond" w:hAnsi="Garamond" w:cs="Times New Roman"/>
          <w:i/>
          <w:iCs/>
          <w:color w:val="000000"/>
        </w:rPr>
        <w:t>Beshiri dhe të tjerët kundër Shqipërisë</w:t>
      </w:r>
      <w:r w:rsidRPr="009C6236">
        <w:rPr>
          <w:rFonts w:ascii="Garamond" w:hAnsi="Garamond" w:cs="Times New Roman"/>
          <w:color w:val="000000"/>
        </w:rPr>
        <w:t xml:space="preserve"> </w:t>
      </w:r>
      <w:r w:rsidRPr="001A11FE">
        <w:rPr>
          <w:rFonts w:ascii="Garamond" w:hAnsi="Garamond" w:cs="Times New Roman"/>
          <w:color w:val="000000"/>
        </w:rPr>
        <w:t>((ven.),</w:t>
      </w:r>
      <w:r w:rsidRPr="009C6236">
        <w:rPr>
          <w:rFonts w:ascii="Garamond" w:hAnsi="Garamond" w:cs="Times New Roman"/>
          <w:color w:val="000000"/>
        </w:rPr>
        <w:t xml:space="preserve"> nr</w:t>
      </w:r>
      <w:r w:rsidR="00EA26F2">
        <w:rPr>
          <w:rFonts w:ascii="Garamond" w:hAnsi="Garamond" w:cs="Times New Roman"/>
          <w:color w:val="000000"/>
        </w:rPr>
        <w:t>.</w:t>
      </w:r>
      <w:r w:rsidRPr="009C6236">
        <w:rPr>
          <w:rFonts w:ascii="Garamond" w:hAnsi="Garamond" w:cs="Times New Roman"/>
          <w:color w:val="000000"/>
        </w:rPr>
        <w:t xml:space="preserve"> 29026/06 dhe 11 të </w:t>
      </w:r>
      <w:r w:rsidRPr="009C6236">
        <w:rPr>
          <w:rFonts w:ascii="Garamond" w:hAnsi="Garamond" w:cs="Times New Roman"/>
          <w:color w:val="000000"/>
        </w:rPr>
        <w:lastRenderedPageBreak/>
        <w:t>tjerë, §§ 29</w:t>
      </w:r>
      <w:r w:rsidR="00EA26F2">
        <w:rPr>
          <w:rFonts w:ascii="Garamond" w:hAnsi="Garamond" w:cs="Calibri"/>
          <w:color w:val="000000"/>
        </w:rPr>
        <w:t>–</w:t>
      </w:r>
      <w:r w:rsidRPr="009C6236">
        <w:rPr>
          <w:rFonts w:ascii="Garamond" w:hAnsi="Garamond" w:cs="Times New Roman"/>
          <w:color w:val="000000"/>
        </w:rPr>
        <w:t xml:space="preserve">109, 17 mars 2020). Në atë vendim, Gjykata gjeti që mjeti juridik i prezantuar me </w:t>
      </w:r>
      <w:r w:rsidR="00EA26F2" w:rsidRPr="009C6236">
        <w:rPr>
          <w:rFonts w:ascii="Garamond" w:hAnsi="Garamond" w:cs="Times New Roman"/>
          <w:color w:val="000000"/>
        </w:rPr>
        <w:t xml:space="preserve">ligjin </w:t>
      </w:r>
      <w:r w:rsidRPr="009C6236">
        <w:rPr>
          <w:rFonts w:ascii="Garamond" w:hAnsi="Garamond" w:cs="Times New Roman"/>
          <w:color w:val="000000"/>
        </w:rPr>
        <w:t xml:space="preserve">për </w:t>
      </w:r>
      <w:r w:rsidR="00EA26F2" w:rsidRPr="009C6236">
        <w:rPr>
          <w:rFonts w:ascii="Garamond" w:hAnsi="Garamond" w:cs="Times New Roman"/>
          <w:color w:val="000000"/>
        </w:rPr>
        <w:t xml:space="preserve">pronat </w:t>
      </w:r>
      <w:r w:rsidRPr="009C6236">
        <w:rPr>
          <w:rFonts w:ascii="Garamond" w:hAnsi="Garamond" w:cs="Times New Roman"/>
          <w:color w:val="000000"/>
        </w:rPr>
        <w:t>2015 ishte efektiv sipas kuptimit të paragrafit 1 të nenit 35 dhe nenit 13 të Konventës.</w:t>
      </w:r>
    </w:p>
    <w:p w14:paraId="046BA17F" w14:textId="69DCD031" w:rsidR="004D16DB" w:rsidRPr="009C6236" w:rsidRDefault="004D16DB" w:rsidP="004D16DB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 w:rsidRPr="009C6236">
        <w:rPr>
          <w:rFonts w:ascii="Garamond" w:hAnsi="Garamond" w:cs="Calibri"/>
          <w:color w:val="000000"/>
        </w:rPr>
        <w:t>7.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ATP</w:t>
      </w:r>
      <w:r w:rsidR="00EA26F2">
        <w:rPr>
          <w:rFonts w:ascii="Garamond" w:hAnsi="Garamond" w:cs="Calibri"/>
          <w:color w:val="000000"/>
        </w:rPr>
        <w:t>-ja</w:t>
      </w:r>
      <w:r w:rsidRPr="009C6236">
        <w:rPr>
          <w:rFonts w:ascii="Garamond" w:hAnsi="Garamond" w:cs="Calibri"/>
          <w:color w:val="000000"/>
        </w:rPr>
        <w:t xml:space="preserve"> brenda tre </w:t>
      </w:r>
      <w:r w:rsidR="00EA26F2">
        <w:rPr>
          <w:rFonts w:ascii="Garamond" w:hAnsi="Garamond" w:cs="Calibri"/>
          <w:color w:val="000000"/>
        </w:rPr>
        <w:t>vjetëve</w:t>
      </w:r>
      <w:r w:rsidRPr="009C6236">
        <w:rPr>
          <w:rFonts w:ascii="Garamond" w:hAnsi="Garamond" w:cs="Calibri"/>
          <w:color w:val="000000"/>
        </w:rPr>
        <w:t xml:space="preserve"> nga data e hyrjes në fuqi të ligjit duhej të kryente vlerësimin financiar të të gjitha vendimeve që njihnin të drejtën e kompensimit, në përputhje me paragrafin 1 të nenit 15 </w:t>
      </w:r>
      <w:r w:rsidR="00EA26F2" w:rsidRPr="009C6236">
        <w:rPr>
          <w:rFonts w:ascii="Garamond" w:hAnsi="Garamond" w:cs="Calibri"/>
          <w:color w:val="000000"/>
        </w:rPr>
        <w:t>të ligjit për pronat</w:t>
      </w:r>
      <w:r w:rsidRPr="009C6236">
        <w:rPr>
          <w:rFonts w:ascii="Garamond" w:hAnsi="Garamond" w:cs="Calibri"/>
          <w:color w:val="000000"/>
        </w:rPr>
        <w:t>. Në të kundërt, me mbarimin e afatit tre vjeçar, ish</w:t>
      </w:r>
      <w:r w:rsidR="00EA26F2">
        <w:rPr>
          <w:rFonts w:ascii="Garamond" w:hAnsi="Garamond" w:cs="Calibri"/>
          <w:color w:val="000000"/>
        </w:rPr>
        <w:t>-</w:t>
      </w:r>
      <w:r w:rsidRPr="009C6236">
        <w:rPr>
          <w:rFonts w:ascii="Garamond" w:hAnsi="Garamond" w:cs="Calibri"/>
          <w:color w:val="000000"/>
        </w:rPr>
        <w:t xml:space="preserve">pronarët do të kishin të drejtë të fillonin procesin gjyqësor në Gjykatën Administrative të Shkallës së Parë për të kërkuar vlerësimin financiar të vendimeve përfundimtare që njihnin të drejtat e pronës dhe të drejtën për kompensim, në përputhje me paragrafin 1 të nenit 15 </w:t>
      </w:r>
      <w:r w:rsidR="00EA26F2" w:rsidRPr="009C6236">
        <w:rPr>
          <w:rFonts w:ascii="Garamond" w:hAnsi="Garamond" w:cs="Calibri"/>
          <w:color w:val="000000"/>
        </w:rPr>
        <w:t>të ligjit për pronat</w:t>
      </w:r>
      <w:r w:rsidRPr="009C6236">
        <w:rPr>
          <w:rFonts w:ascii="Garamond" w:hAnsi="Garamond" w:cs="Calibri"/>
          <w:color w:val="000000"/>
        </w:rPr>
        <w:t>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Sipas nenit 19 të </w:t>
      </w:r>
      <w:r w:rsidR="00EA26F2">
        <w:rPr>
          <w:rFonts w:ascii="Garamond" w:hAnsi="Garamond" w:cs="Calibri"/>
          <w:color w:val="000000"/>
        </w:rPr>
        <w:t>l</w:t>
      </w:r>
      <w:r w:rsidRPr="009C6236">
        <w:rPr>
          <w:rFonts w:ascii="Garamond" w:hAnsi="Garamond" w:cs="Calibri"/>
          <w:color w:val="000000"/>
        </w:rPr>
        <w:t xml:space="preserve">igjit, vendimet e ATP-së për vlerësimin financiar mund të ankimoheshin në Gjykatën Administrative të Apelit brenda 30 ditëve nga njoftimi i tyre, vetëm në lidhje me masën e kompensimit të vlerësuar. </w:t>
      </w:r>
    </w:p>
    <w:p w14:paraId="301F49FF" w14:textId="55F22C7F" w:rsidR="004D16DB" w:rsidRPr="009C6236" w:rsidRDefault="004D16DB" w:rsidP="004D16DB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8.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Vendimi i Këshillit të Ministrave nr. 223/2016 (shihni </w:t>
      </w:r>
      <w:r w:rsidRPr="009C6236">
        <w:rPr>
          <w:rFonts w:ascii="Garamond" w:hAnsi="Garamond" w:cs="Calibri"/>
          <w:i/>
          <w:iCs/>
          <w:color w:val="000000"/>
        </w:rPr>
        <w:t>Beshiri dhe të tjerë</w:t>
      </w:r>
      <w:r w:rsidRPr="009C6236">
        <w:rPr>
          <w:rFonts w:ascii="Garamond" w:hAnsi="Garamond" w:cs="Calibri"/>
          <w:color w:val="000000"/>
        </w:rPr>
        <w:t>, i përmendur më sipër) u ndryshua me vendimin nr.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766/2017, i cili hyri në fuqi më 27 dhjetor 2017. Ky ndryshim, në veçanti, vendosi një tavan për kompensimin financiar (d.m.th. monetar) në 20% të vlerës së marrë si rezultat i vlerësimit dhe 80% për kompensimin në natyrë nga Fondi i Tokave. Këto ndryshime përfshinë edhe radhën e përparësisë për llojet e mëposhtme të kompensimit: (a) kompensimi në natyrë brenda pronës së shpronësuar të ish</w:t>
      </w:r>
      <w:r w:rsidR="00EA26F2">
        <w:rPr>
          <w:rFonts w:ascii="Garamond" w:hAnsi="Garamond" w:cs="Calibri"/>
          <w:color w:val="000000"/>
        </w:rPr>
        <w:t>-</w:t>
      </w:r>
      <w:r w:rsidRPr="009C6236">
        <w:rPr>
          <w:rFonts w:ascii="Garamond" w:hAnsi="Garamond" w:cs="Calibri"/>
          <w:color w:val="000000"/>
        </w:rPr>
        <w:t>pronarëve</w:t>
      </w:r>
      <w:r w:rsidR="00EA26F2">
        <w:rPr>
          <w:rFonts w:ascii="Garamond" w:hAnsi="Garamond" w:cs="Calibri"/>
          <w:color w:val="000000"/>
        </w:rPr>
        <w:t>;</w:t>
      </w:r>
      <w:r w:rsidRPr="009C6236">
        <w:rPr>
          <w:rFonts w:ascii="Garamond" w:hAnsi="Garamond" w:cs="Calibri"/>
          <w:color w:val="000000"/>
        </w:rPr>
        <w:t xml:space="preserve"> (b) kompensimi në natyrë nga Fondi i Tokave</w:t>
      </w:r>
      <w:r w:rsidR="00EA26F2">
        <w:rPr>
          <w:rFonts w:ascii="Garamond" w:hAnsi="Garamond" w:cs="Calibri"/>
          <w:color w:val="000000"/>
        </w:rPr>
        <w:t>;</w:t>
      </w:r>
      <w:r w:rsidRPr="009C6236">
        <w:rPr>
          <w:rFonts w:ascii="Garamond" w:hAnsi="Garamond" w:cs="Calibri"/>
          <w:color w:val="000000"/>
        </w:rPr>
        <w:t xml:space="preserve"> dhe (c) kompensimi monetar. Pra, kompensimi monetar do të jepej vetëm nëse nuk mund të jepej kompensimi në natyrë dhe do të jepej në masën 20% të vlerësimit financiar të përgjithshëm (shihni </w:t>
      </w:r>
      <w:r w:rsidRPr="009C6236">
        <w:rPr>
          <w:rFonts w:ascii="Garamond" w:hAnsi="Garamond" w:cs="Calibri"/>
          <w:i/>
          <w:iCs/>
          <w:color w:val="000000"/>
        </w:rPr>
        <w:t>Beshiri dhe të tjerët</w:t>
      </w:r>
      <w:r w:rsidRPr="009C6236">
        <w:rPr>
          <w:rFonts w:ascii="Garamond" w:hAnsi="Garamond" w:cs="Calibri"/>
          <w:color w:val="000000"/>
        </w:rPr>
        <w:t>, përmendur më sipër §§ 90</w:t>
      </w:r>
      <w:r w:rsidR="00EA26F2">
        <w:rPr>
          <w:rFonts w:ascii="Garamond" w:hAnsi="Garamond" w:cs="Calibri"/>
          <w:color w:val="000000"/>
        </w:rPr>
        <w:t>–</w:t>
      </w:r>
      <w:r w:rsidRPr="009C6236">
        <w:rPr>
          <w:rFonts w:ascii="Garamond" w:hAnsi="Garamond" w:cs="Calibri"/>
          <w:color w:val="000000"/>
        </w:rPr>
        <w:t>98).</w:t>
      </w:r>
    </w:p>
    <w:p w14:paraId="3B6692B4" w14:textId="5FB600A7" w:rsidR="004D16DB" w:rsidRPr="009C6236" w:rsidRDefault="004D16DB" w:rsidP="004D16DB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9.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Pas dhënies së vendimit në çështjen </w:t>
      </w:r>
      <w:r w:rsidRPr="009C6236">
        <w:rPr>
          <w:rFonts w:ascii="Garamond" w:hAnsi="Garamond" w:cs="Calibri"/>
          <w:i/>
          <w:iCs/>
          <w:color w:val="000000"/>
        </w:rPr>
        <w:t xml:space="preserve">Beshiri dhe të tjerët </w:t>
      </w:r>
      <w:r w:rsidRPr="009C6236">
        <w:rPr>
          <w:rFonts w:ascii="Garamond" w:hAnsi="Garamond" w:cs="Calibri"/>
          <w:color w:val="000000"/>
        </w:rPr>
        <w:t xml:space="preserve">(përmendur më sipër) më 15 shkurt 2021, Gjykata Kushtetuese mori një vendim në përgjigje të një kërkese për rishikim kushtetues </w:t>
      </w:r>
      <w:r w:rsidRPr="009C6236">
        <w:rPr>
          <w:rFonts w:ascii="Garamond" w:hAnsi="Garamond" w:cs="Calibri"/>
          <w:i/>
          <w:iCs/>
          <w:color w:val="000000"/>
        </w:rPr>
        <w:t xml:space="preserve">in abstracto </w:t>
      </w:r>
      <w:r w:rsidRPr="009C6236">
        <w:rPr>
          <w:rFonts w:ascii="Garamond" w:hAnsi="Garamond" w:cs="Calibri"/>
          <w:color w:val="000000"/>
        </w:rPr>
        <w:t xml:space="preserve">të disa dispozitave </w:t>
      </w:r>
      <w:r w:rsidR="00EA26F2" w:rsidRPr="009C6236">
        <w:rPr>
          <w:rFonts w:ascii="Garamond" w:hAnsi="Garamond" w:cs="Calibri"/>
          <w:color w:val="000000"/>
        </w:rPr>
        <w:t xml:space="preserve">të ligjit për pronat </w:t>
      </w:r>
      <w:r w:rsidRPr="009C6236">
        <w:rPr>
          <w:rFonts w:ascii="Garamond" w:hAnsi="Garamond" w:cs="Calibri"/>
          <w:color w:val="000000"/>
        </w:rPr>
        <w:t xml:space="preserve">2015, që shfuqizoi nenin 7 (2) (a) dhe (b) dhe disa dispozita të vendimeve zbatuese. Në çështjen </w:t>
      </w:r>
      <w:r w:rsidRPr="009C6236">
        <w:rPr>
          <w:rFonts w:ascii="Garamond" w:hAnsi="Garamond" w:cs="Calibri"/>
          <w:i/>
          <w:iCs/>
          <w:color w:val="000000"/>
        </w:rPr>
        <w:t xml:space="preserve">Ruçi dhe Bejleri kundër Shqipërisë </w:t>
      </w:r>
      <w:r w:rsidRPr="009C6236">
        <w:rPr>
          <w:rFonts w:ascii="Garamond" w:hAnsi="Garamond" w:cs="Calibri"/>
          <w:color w:val="000000"/>
        </w:rPr>
        <w:t>(ven.), Gjykata vlerësoi që gjetjet e Gjykatës Kushtetuese nuk justifikonin shmangien nga gjetjet e saj që kompensimi përsëri mbetej një mjet efektiv, sipas kuptimit të paragrafit 1 të nenit 35 dhe nenit 13 të Konventës ([Komiteti], nr. 56937/10 dhe 191 të tjerë, § 22, prill 2021).</w:t>
      </w:r>
    </w:p>
    <w:p w14:paraId="6916DFC6" w14:textId="586291F1" w:rsidR="004D16DB" w:rsidRPr="009C6236" w:rsidRDefault="004D16DB" w:rsidP="004D16DB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aps/>
          <w:color w:val="000000"/>
        </w:rPr>
      </w:pPr>
      <w:r w:rsidRPr="009C6236">
        <w:rPr>
          <w:rFonts w:ascii="Garamond" w:hAnsi="Garamond" w:cs="Calibri"/>
          <w:caps/>
          <w:color w:val="000000"/>
        </w:rPr>
        <w:t>VLERËSIMI I GJYKATËS</w:t>
      </w:r>
    </w:p>
    <w:p w14:paraId="2D93ADB6" w14:textId="6C661E92" w:rsidR="004D16DB" w:rsidRPr="009C6236" w:rsidRDefault="004D16DB" w:rsidP="00EA26F2">
      <w:pPr>
        <w:numPr>
          <w:ilvl w:val="0"/>
          <w:numId w:val="19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10.</w:t>
      </w:r>
      <w:r w:rsidR="00EA26F2">
        <w:rPr>
          <w:rFonts w:ascii="Garamond" w:hAnsi="Garamond" w:cs="Times New Roman"/>
          <w:color w:val="000000"/>
        </w:rPr>
        <w:t xml:space="preserve"> </w:t>
      </w:r>
      <w:r w:rsidRPr="009C6236">
        <w:rPr>
          <w:rFonts w:ascii="Garamond" w:hAnsi="Garamond" w:cs="Times New Roman"/>
          <w:color w:val="000000"/>
        </w:rPr>
        <w:t>Duke pasur parasysh objektin e ngjashëm të kërkesave, Gjykata e sheh të përshtatshme t’i shqyrtojë ato së bashku në një vendim të vetëm.</w:t>
      </w:r>
    </w:p>
    <w:p w14:paraId="157BDF7C" w14:textId="6443E1B4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11.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Kërkuesit u ankuan për shkelje të paragrafit 1 të nenit 6 dhe nenit 13 të Konventës dhe të nenit 1 të Protokollit nr.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1 të Konventës, për shkak të mosekzekutimit nga autoritetet të vendimeve përfundimtare që përcaktonin të drejtën e tyre për të marrë kompensimin </w:t>
      </w:r>
      <w:r w:rsidRPr="009C6236">
        <w:rPr>
          <w:rFonts w:ascii="Garamond" w:hAnsi="Garamond" w:cs="Calibri"/>
          <w:i/>
          <w:iCs/>
          <w:color w:val="000000"/>
        </w:rPr>
        <w:t>in lieu</w:t>
      </w:r>
      <w:r w:rsidRPr="009C6236">
        <w:rPr>
          <w:rFonts w:ascii="Garamond" w:hAnsi="Garamond" w:cs="Calibri"/>
          <w:color w:val="000000"/>
        </w:rPr>
        <w:t xml:space="preserve"> të kthimit të pronave, bazuar në vendimet për vlerësimin financiar që ata konsideronin të formës së prerë në vitin 2017. </w:t>
      </w:r>
    </w:p>
    <w:p w14:paraId="4C394CA5" w14:textId="53F788B6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12.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Kërkuesit pretenduan që dispozitat e prezantuara rishtazi nuk zbatoheshin për ata dhe që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kompensimi monetar nuk kishte tavanin 20% të vlerësimit financiar të përgjithshëm (shihni paragrafin 8 më lart) kur ata bënë kërkesën për kompensim.</w:t>
      </w:r>
    </w:p>
    <w:p w14:paraId="4D3E4369" w14:textId="0FA3B24E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13.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Në çështjen e lart-përmendur, </w:t>
      </w:r>
      <w:r w:rsidRPr="009C6236">
        <w:rPr>
          <w:rFonts w:ascii="Garamond" w:hAnsi="Garamond" w:cs="Calibri"/>
          <w:i/>
          <w:iCs/>
          <w:color w:val="000000"/>
        </w:rPr>
        <w:t>Beshiri dhe të tjerët</w:t>
      </w:r>
      <w:r w:rsidRPr="009C6236">
        <w:rPr>
          <w:rFonts w:ascii="Garamond" w:hAnsi="Garamond" w:cs="Calibri"/>
          <w:color w:val="000000"/>
        </w:rPr>
        <w:t xml:space="preserve">, Gjykata u shpreh </w:t>
      </w:r>
      <w:r w:rsidR="00EA26F2" w:rsidRPr="009C6236">
        <w:rPr>
          <w:rFonts w:ascii="Garamond" w:hAnsi="Garamond" w:cs="Calibri"/>
          <w:color w:val="000000"/>
        </w:rPr>
        <w:t xml:space="preserve">që ligji për pronat </w:t>
      </w:r>
      <w:r w:rsidRPr="009C6236">
        <w:rPr>
          <w:rFonts w:ascii="Garamond" w:hAnsi="Garamond" w:cs="Calibri"/>
          <w:color w:val="000000"/>
        </w:rPr>
        <w:t>2015 ishte hartuar për të trajtuar çështjen e ekzekutimit të të drejtave të ish</w:t>
      </w:r>
      <w:r w:rsidR="00EA26F2">
        <w:rPr>
          <w:rFonts w:ascii="Garamond" w:hAnsi="Garamond" w:cs="Calibri"/>
          <w:color w:val="000000"/>
        </w:rPr>
        <w:t>-</w:t>
      </w:r>
      <w:r w:rsidRPr="009C6236">
        <w:rPr>
          <w:rFonts w:ascii="Garamond" w:hAnsi="Garamond" w:cs="Calibri"/>
          <w:color w:val="000000"/>
        </w:rPr>
        <w:t>pronarëve për kompensim në mënyrë efektive dhe domethënëse, duke pasur parasysh kërkesat e Konventës (përmendur më lart, §§ 215 dhe 217).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Në atë vendim, Gjykata u shpreh që nuk kishte për detyrë “të përcaktonte hierarkinë e formave të kompensimit që duhej të jepej nga autoritetet e brendshme”, dhe që kuadri ligjor i brendshëm “duhet të përshkruajë dhe të përcaktojë me qartësi të mjaftueshme ushtrimin e diskrecionit nga ATP - ose autoritet tjetër zbatues - në vendimmarrje për dhënien e kompensimit” (ibid. §§ 179 dhe 180).</w:t>
      </w:r>
    </w:p>
    <w:p w14:paraId="68ACFB71" w14:textId="3B950F3E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14.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Gjykata përsërit që vendimet administrative për pronat janë “përfundimtare” për qëllimet e paragrafit 1 të nenit 6 të Konventës, sa kohë që ato nuk kundërshtohen dhe “gjenerojnë të drejta që janë përfundimtare dhe të ekzekutueshme” (shihni për shembull, </w:t>
      </w:r>
      <w:r w:rsidRPr="009C6236">
        <w:rPr>
          <w:rFonts w:ascii="Garamond" w:hAnsi="Garamond" w:cs="Calibri"/>
          <w:i/>
          <w:iCs/>
          <w:color w:val="000000"/>
        </w:rPr>
        <w:t>Ramadhi dhe të tjerët kundër Shqipërisë</w:t>
      </w:r>
      <w:r w:rsidRPr="009C6236">
        <w:rPr>
          <w:rFonts w:ascii="Garamond" w:hAnsi="Garamond" w:cs="Calibri"/>
          <w:color w:val="000000"/>
        </w:rPr>
        <w:t>, nr. 38222/02, § 36, 13 nëntor 2007;</w:t>
      </w:r>
      <w:r w:rsidRPr="009C6236">
        <w:rPr>
          <w:rFonts w:ascii="Garamond" w:hAnsi="Garamond" w:cs="Calibri"/>
          <w:i/>
          <w:iCs/>
          <w:color w:val="000000"/>
        </w:rPr>
        <w:t xml:space="preserve"> Hamzaraj kundër Shqipërisë (nr. 1)</w:t>
      </w:r>
      <w:r w:rsidRPr="009C6236">
        <w:rPr>
          <w:rFonts w:ascii="Garamond" w:hAnsi="Garamond" w:cs="Calibri"/>
          <w:color w:val="000000"/>
        </w:rPr>
        <w:t xml:space="preserve">, nr. 45264/04, § 26, 3 shkurt 2009; dhe </w:t>
      </w:r>
      <w:r w:rsidRPr="009C6236">
        <w:rPr>
          <w:rFonts w:ascii="Garamond" w:hAnsi="Garamond" w:cs="Calibri"/>
          <w:i/>
          <w:iCs/>
          <w:color w:val="000000"/>
        </w:rPr>
        <w:t>Nuri kundër Shqipërisë</w:t>
      </w:r>
      <w:r w:rsidRPr="009C6236">
        <w:rPr>
          <w:rFonts w:ascii="Garamond" w:hAnsi="Garamond" w:cs="Calibri"/>
          <w:color w:val="000000"/>
        </w:rPr>
        <w:t>, nr. 12306/04, § 28, 3 shkurt 2009).</w:t>
      </w:r>
    </w:p>
    <w:p w14:paraId="4F371842" w14:textId="0ABFC748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 w:rsidRPr="009C6236">
        <w:rPr>
          <w:rFonts w:ascii="Garamond" w:hAnsi="Garamond" w:cs="Calibri"/>
          <w:color w:val="000000"/>
        </w:rPr>
        <w:lastRenderedPageBreak/>
        <w:t>15.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Në lidhje me çështjet në fjalë, Gjykata vëren që vlerësimet financiare të pronave të kërkuesve të cilat nuk mund të ktheheshin u publikuan në maj 2017 (shihni paragrafin 3 më lart). Linja kryesore e arsyetimit të kërkuesve është që ndryshimet e prezantuara me vendimin e Këshillit të Ministrave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nr. 766/2017, legjislacion dytësor, nuk duhej të zbatoheshin në mënyrë “prapavepruese” për çështjet e tyre, të cilat ishin vendosur në rrugë administrative nga Agjencia përpara hyrjes në fuqi të këtyre ndryshimeve. Kështu kërkuesit ftojnë Gjykatën të zgjidhë mosmarrëveshjen në lidhje me interpretimin e së drejtës kombëtare, pa ndërmarrë ndonjë veprim të çfarëdo lloji për të kundërshtuar interpretimin e Agjencisë përpara gjykatave kombëtare. Gjykata rikujton që vendimet e Agjencisë në lidhje me masën e kompensimit, në parim, janë objekt ankimimi përpara Gjykatës Administrative të Apelit (shihni paragrafin 7 më lart), që përbën një mjet juridik</w:t>
      </w:r>
      <w:r w:rsidR="00262F63">
        <w:rPr>
          <w:rFonts w:ascii="Garamond" w:hAnsi="Garamond" w:cs="Calibri"/>
          <w:color w:val="000000"/>
        </w:rPr>
        <w:t>,</w:t>
      </w:r>
      <w:r w:rsidRPr="009C6236">
        <w:rPr>
          <w:rFonts w:ascii="Garamond" w:hAnsi="Garamond" w:cs="Calibri"/>
          <w:color w:val="000000"/>
        </w:rPr>
        <w:t xml:space="preserve"> i cili duhet të shterohet. Në masën që kërkuesit pretendojnë se sipas së drejtës kombëtare nuk ekziston asnjë zgjidhje efektive “e zakonshme” në rrethanat e çështjes së tyre, kërkuesit nuk e kanë ngritur atë pretendim të paktën përpara Gjykatës Kushtetuese, që kërkohet në parim të vlerësojë nëse i tillë është rasti dhe të japë ndonjë zgjidhje të duhur për pretendimet e tyre sipas n</w:t>
      </w:r>
      <w:r w:rsidRPr="009C6236">
        <w:rPr>
          <w:rFonts w:ascii="Garamond" w:hAnsi="Garamond" w:cs="Calibri"/>
        </w:rPr>
        <w:t>enit 1 të Protokollit nr.</w:t>
      </w:r>
      <w:r w:rsidR="00262F63">
        <w:rPr>
          <w:rFonts w:ascii="Garamond" w:hAnsi="Garamond" w:cs="Calibri"/>
        </w:rPr>
        <w:t xml:space="preserve"> </w:t>
      </w:r>
      <w:r w:rsidRPr="009C6236">
        <w:rPr>
          <w:rFonts w:ascii="Garamond" w:hAnsi="Garamond" w:cs="Calibri"/>
        </w:rPr>
        <w:t xml:space="preserve">1. </w:t>
      </w:r>
    </w:p>
    <w:p w14:paraId="0FAA7FA2" w14:textId="69B7CDF3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</w:rPr>
        <w:t>16.</w:t>
      </w:r>
      <w:r w:rsidR="00EA26F2">
        <w:rPr>
          <w:rFonts w:ascii="Garamond" w:hAnsi="Garamond" w:cs="Calibri"/>
        </w:rPr>
        <w:t xml:space="preserve"> </w:t>
      </w:r>
      <w:r w:rsidRPr="009C6236">
        <w:rPr>
          <w:rFonts w:ascii="Garamond" w:hAnsi="Garamond" w:cs="Calibri"/>
        </w:rPr>
        <w:t>Gjykata vëren që ATP</w:t>
      </w:r>
      <w:r w:rsidR="009375D0">
        <w:rPr>
          <w:rFonts w:ascii="Garamond" w:hAnsi="Garamond" w:cs="Calibri"/>
        </w:rPr>
        <w:t>-ja</w:t>
      </w:r>
      <w:r w:rsidRPr="009C6236">
        <w:rPr>
          <w:rFonts w:ascii="Garamond" w:hAnsi="Garamond" w:cs="Calibri"/>
        </w:rPr>
        <w:t xml:space="preserve"> ka informuar kërkuesit që për kompensimin e tyre nuk </w:t>
      </w:r>
      <w:r w:rsidRPr="009C6236">
        <w:rPr>
          <w:rFonts w:ascii="Garamond" w:hAnsi="Garamond" w:cs="Calibri"/>
          <w:color w:val="000000"/>
        </w:rPr>
        <w:t>është marrë asnjë vendim përfundimtar sepse nevojiteshin ndryshime të tjera ligjore dhe rregullatore për të respektuar vendimin e Gjykatës Kushtetuese (shihni paragrafin 4 më lart). Sipas regjimit ligjor përkatës që ka rezultuar nga këto ndryshime (shihni paragrafin 8 më lart), vlera e përllogaritur mund të jepej si kompensim në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natyrë, kompensim financiar, ose kombinim i të dyjave. Sidoqoftë, çdo mosmarrëveshje për këtë çështje do t’i nënshtrohej, në parim, ankimit përpara Gjykatës Administrative të Apelit.</w:t>
      </w:r>
    </w:p>
    <w:p w14:paraId="1AEF33A9" w14:textId="2DB6F3FE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17.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Më tej, pas vlerësimeve të Agjencisë, kërkuesit nuk kanë ndërmarrë veprime efektive për të siguruar zbatimin e vendimeve të kompensimit. Në veçanti, ata nuk kanë përmbushur kërkesat e ATP-së për të dhënë dokumentet e nevojshme dhe për të treguar zgjedhjen e tyre për format e kompensimit (shihni paragrafin 5 më lart). Kështu Gjykata vëren që kërkuesit ose nuk kanë përmbushur këto kërkesa ose nuk kanë informuar Gjykatën për ndonjë veprim për t’i kundërshtuar ato. Duke pasur parasysh specifikat e legjislacionit për kthimin e pronave, fakti që kërkuesve u kërkohet pjesëmarrje aktive nuk mund të konsiderohet si vendosja e një barre të tepruar ose të paarsyeshme mbi ata. </w:t>
      </w:r>
    </w:p>
    <w:p w14:paraId="659D8AA5" w14:textId="26F4BD74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18.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Në përfundim, aktualisht nuk duket se ka ndonjë vendim administrativ përfundimtar nga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ATP</w:t>
      </w:r>
      <w:r w:rsidR="00EA26F2">
        <w:rPr>
          <w:rFonts w:ascii="Garamond" w:hAnsi="Garamond" w:cs="Calibri"/>
          <w:color w:val="000000"/>
        </w:rPr>
        <w:t>-ja</w:t>
      </w:r>
      <w:r w:rsidRPr="009C6236">
        <w:rPr>
          <w:rFonts w:ascii="Garamond" w:hAnsi="Garamond" w:cs="Calibri"/>
          <w:color w:val="000000"/>
        </w:rPr>
        <w:t xml:space="preserve"> për modalitetet dhe llojin e kompensimit që duhet t’i jepet kërkuesve. Prandaj kërkuesve u kërkohet që të përdorin zgjidhjet e brendshme në lidhje me llojet e kompensimit që u jepet atyre, ose në lidhje me mosmarrjen e këtyre vendimeve nga ATP</w:t>
      </w:r>
      <w:r w:rsidR="009375D0">
        <w:rPr>
          <w:rFonts w:ascii="Garamond" w:hAnsi="Garamond" w:cs="Calibri"/>
          <w:color w:val="000000"/>
        </w:rPr>
        <w:t>-ja</w:t>
      </w:r>
      <w:r w:rsidRPr="009C6236">
        <w:rPr>
          <w:rFonts w:ascii="Garamond" w:hAnsi="Garamond" w:cs="Calibri"/>
          <w:color w:val="000000"/>
        </w:rPr>
        <w:t>.</w:t>
      </w:r>
    </w:p>
    <w:p w14:paraId="67DCDB3E" w14:textId="616562DA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19.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Gjykata shprehet që autoritetet e brendshme, të cilat janë në pozitën më të mirë për të vlerësuar aspektet praktike, përparësitë dhe interesat konkurruese në nivel të brendshëm, gëzojnë një diskrecion të gjerë për zgjedhjen e formave të korrigjimit për shkeljen e të drejtës së pronës (shihni </w:t>
      </w:r>
      <w:r w:rsidRPr="009C6236">
        <w:rPr>
          <w:rFonts w:ascii="Garamond" w:hAnsi="Garamond" w:cs="Calibri"/>
          <w:i/>
          <w:iCs/>
          <w:color w:val="000000"/>
        </w:rPr>
        <w:t xml:space="preserve">Beshiri dhe të tjerët, </w:t>
      </w:r>
      <w:r w:rsidRPr="009C6236">
        <w:rPr>
          <w:rFonts w:ascii="Garamond" w:hAnsi="Garamond" w:cs="Calibri"/>
          <w:color w:val="000000"/>
        </w:rPr>
        <w:t>përmendur më sipër,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§ 188). Gjykata nuk sheh arsye për t’u shmangur nga ky konkluzion në lidhje me përcaktimin e llojit dhe modaliteteve të kompensimit të duhur.</w:t>
      </w:r>
    </w:p>
    <w:p w14:paraId="1ED3CAAB" w14:textId="37E6C248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20.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Në përfundim, Gjykata rikujton që ndryshimet e shpeshta në skemën e kompensimit kombëtar në kontekstin e kthimit të pronave synojnë të cenojnë parimin e sigurisë juridike dhe duhet të shmangen. Në këtë drejtim, mund të lindin pyetje, në parim, për justifikimin për ndryshimet e konsiderueshme të prezantuara me vendimin nr. 766/2017, pak më shumë se një vit pas miratimit të rregullave zbatueshme </w:t>
      </w:r>
      <w:r w:rsidR="009375D0" w:rsidRPr="009C6236">
        <w:rPr>
          <w:rFonts w:ascii="Garamond" w:hAnsi="Garamond" w:cs="Calibri"/>
          <w:color w:val="000000"/>
        </w:rPr>
        <w:t xml:space="preserve">të ligjit për pronat 2015 përmes vendimit </w:t>
      </w:r>
      <w:r w:rsidRPr="009C6236">
        <w:rPr>
          <w:rFonts w:ascii="Garamond" w:hAnsi="Garamond" w:cs="Calibri"/>
          <w:color w:val="000000"/>
        </w:rPr>
        <w:t xml:space="preserve">të Këshillit të Ministrave nr. 223/2016 (shihni </w:t>
      </w:r>
      <w:r w:rsidRPr="009C6236">
        <w:rPr>
          <w:rFonts w:ascii="Garamond" w:hAnsi="Garamond" w:cs="Calibri"/>
          <w:i/>
          <w:iCs/>
          <w:color w:val="000000"/>
        </w:rPr>
        <w:t>Beshiri dhe të tjerët,</w:t>
      </w:r>
      <w:r w:rsidRPr="009C6236">
        <w:rPr>
          <w:rFonts w:ascii="Garamond" w:hAnsi="Garamond" w:cs="Calibri"/>
          <w:color w:val="000000"/>
        </w:rPr>
        <w:t xml:space="preserve"> përmendur më sipër, § 201). Sido që të jetë, Gjykata nuk mund të trajtojë këto pyetje në çështjet në fjalë, kur vetë zbatueshmëria e ndryshimeve të vitit 2017 për çështjet e kërkuesve mbetet akoma për t’u testuar në nivel kombëtar dhe kur autoritetet kombëtare nuk kanë miratuar vendime kompensimi përfundimtare.</w:t>
      </w:r>
      <w:r w:rsidR="00EA26F2">
        <w:rPr>
          <w:rFonts w:ascii="Garamond" w:hAnsi="Garamond" w:cs="Calibri"/>
          <w:color w:val="000000"/>
        </w:rPr>
        <w:t xml:space="preserve"> </w:t>
      </w:r>
    </w:p>
    <w:p w14:paraId="3E12C03D" w14:textId="132902F3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>21.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Për rrjedhojë, ankimet e kërkuesve sipas paragrafit 1 të nenit 6 të Konventës dhe nenit 1 të Protokollit nr.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>1 duhet të refuzohen sipas nenit 35 §§ 1 dhe 4 të Konventës për mosshterimin e mjeteve të brendshme ligjore.</w:t>
      </w:r>
    </w:p>
    <w:p w14:paraId="7065ADE3" w14:textId="49C484D7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lastRenderedPageBreak/>
        <w:t>22.</w:t>
      </w:r>
      <w:r w:rsidR="00EA26F2">
        <w:rPr>
          <w:rFonts w:ascii="Garamond" w:hAnsi="Garamond" w:cs="Calibri"/>
          <w:color w:val="000000"/>
        </w:rPr>
        <w:t xml:space="preserve"> </w:t>
      </w:r>
      <w:r w:rsidRPr="009C6236">
        <w:rPr>
          <w:rFonts w:ascii="Garamond" w:hAnsi="Garamond" w:cs="Calibri"/>
          <w:color w:val="000000"/>
        </w:rPr>
        <w:t xml:space="preserve">Gjykata nuk sheh arsye për t’u shmangur nga gjetjet për aksesueshmërinë dhe efikasitetin e zgjidhjes të parashikuar </w:t>
      </w:r>
      <w:r w:rsidR="00EA26F2" w:rsidRPr="009C6236">
        <w:rPr>
          <w:rFonts w:ascii="Garamond" w:hAnsi="Garamond" w:cs="Calibri"/>
          <w:color w:val="000000"/>
        </w:rPr>
        <w:t xml:space="preserve">nga ligji për pronat </w:t>
      </w:r>
      <w:r w:rsidRPr="009C6236">
        <w:rPr>
          <w:rFonts w:ascii="Garamond" w:hAnsi="Garamond" w:cs="Calibri"/>
          <w:color w:val="000000"/>
        </w:rPr>
        <w:t xml:space="preserve">2015 (shihni </w:t>
      </w:r>
      <w:r w:rsidRPr="009C6236">
        <w:rPr>
          <w:rFonts w:ascii="Garamond" w:hAnsi="Garamond" w:cs="Calibri"/>
          <w:i/>
          <w:iCs/>
          <w:color w:val="000000"/>
        </w:rPr>
        <w:t>Beshiri dhe të tjerët</w:t>
      </w:r>
      <w:r w:rsidRPr="009C6236">
        <w:rPr>
          <w:rFonts w:ascii="Garamond" w:hAnsi="Garamond" w:cs="Calibri"/>
          <w:color w:val="000000"/>
        </w:rPr>
        <w:t xml:space="preserve">, përmendur më sipër, § 221, dhe </w:t>
      </w:r>
      <w:r w:rsidRPr="009C6236">
        <w:rPr>
          <w:rFonts w:ascii="Garamond" w:hAnsi="Garamond" w:cs="Calibri"/>
          <w:i/>
          <w:iCs/>
          <w:color w:val="000000"/>
        </w:rPr>
        <w:t>Ruçi dhe Bejleri</w:t>
      </w:r>
      <w:r w:rsidRPr="009C6236">
        <w:rPr>
          <w:rFonts w:ascii="Garamond" w:hAnsi="Garamond" w:cs="Calibri"/>
          <w:color w:val="000000"/>
        </w:rPr>
        <w:t>, përmendur më sipër, § 26). Ankimi i kërkuesve sipas nenit 13 të Konventës është haptazi i pabazuar dhe duhet të rrëzohet në përputhje me nenin 35 §§ 3 dhe 4 të Konventës.</w:t>
      </w:r>
    </w:p>
    <w:p w14:paraId="07CCD37B" w14:textId="77777777" w:rsidR="004D16DB" w:rsidRPr="009C6236" w:rsidRDefault="004D16DB" w:rsidP="00EA26F2">
      <w:pPr>
        <w:keepNext/>
        <w:keepLines/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Për këto arsye, Gjykata, unanimisht,</w:t>
      </w:r>
    </w:p>
    <w:p w14:paraId="57D9CC74" w14:textId="77777777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9C6236">
        <w:rPr>
          <w:rFonts w:ascii="Garamond" w:hAnsi="Garamond" w:cs="Times New Roman"/>
          <w:i/>
          <w:iCs/>
          <w:color w:val="000000"/>
        </w:rPr>
        <w:t>vendos</w:t>
      </w:r>
      <w:r w:rsidRPr="009C6236">
        <w:rPr>
          <w:rFonts w:ascii="Garamond" w:hAnsi="Garamond" w:cs="Times New Roman"/>
          <w:color w:val="000000"/>
        </w:rPr>
        <w:t xml:space="preserve"> të bashkojë kërkesat;</w:t>
      </w:r>
    </w:p>
    <w:p w14:paraId="598575E0" w14:textId="77777777" w:rsidR="004D16DB" w:rsidRPr="009C6236" w:rsidRDefault="004D16DB" w:rsidP="00EA26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i/>
          <w:iCs/>
          <w:color w:val="000000"/>
        </w:rPr>
        <w:t>shpall</w:t>
      </w:r>
      <w:r w:rsidRPr="009C6236">
        <w:rPr>
          <w:rFonts w:ascii="Garamond" w:hAnsi="Garamond" w:cs="Times New Roman"/>
          <w:color w:val="000000"/>
        </w:rPr>
        <w:t xml:space="preserve"> kërkesat të papranueshme.</w:t>
      </w:r>
    </w:p>
    <w:p w14:paraId="7007F640" w14:textId="6157393C" w:rsidR="004D16DB" w:rsidRPr="009C6236" w:rsidRDefault="004D16DB" w:rsidP="00EA26F2">
      <w:pPr>
        <w:keepNext/>
        <w:keepLines/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9C6236">
        <w:rPr>
          <w:rFonts w:ascii="Garamond" w:hAnsi="Garamond" w:cs="Times New Roman"/>
          <w:color w:val="000000"/>
        </w:rPr>
        <w:t>Bërë në gjuhën angleze dhe njoftuar me shkrim</w:t>
      </w:r>
      <w:r w:rsidR="00EA26F2">
        <w:rPr>
          <w:rFonts w:ascii="Garamond" w:hAnsi="Garamond" w:cs="Times New Roman"/>
          <w:color w:val="000000"/>
        </w:rPr>
        <w:t>,</w:t>
      </w:r>
      <w:r w:rsidRPr="009C6236">
        <w:rPr>
          <w:rFonts w:ascii="Garamond" w:hAnsi="Garamond" w:cs="Times New Roman"/>
          <w:color w:val="000000"/>
        </w:rPr>
        <w:t xml:space="preserve"> më 24 prill 2025.</w:t>
      </w:r>
    </w:p>
    <w:p w14:paraId="1AF796E1" w14:textId="77777777" w:rsidR="004D16DB" w:rsidRPr="009C6236" w:rsidRDefault="004D16DB" w:rsidP="004D16DB">
      <w:pPr>
        <w:keepNext/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354"/>
      </w:tblGrid>
      <w:tr w:rsidR="004D16DB" w:rsidRPr="009C6236" w14:paraId="17C89151" w14:textId="77777777" w:rsidTr="004D16DB">
        <w:trPr>
          <w:jc w:val="center"/>
        </w:trPr>
        <w:tc>
          <w:tcPr>
            <w:tcW w:w="5228" w:type="dxa"/>
          </w:tcPr>
          <w:p w14:paraId="3F84FC61" w14:textId="1B36AAD5" w:rsidR="004D16DB" w:rsidRPr="009C6236" w:rsidRDefault="004D16DB" w:rsidP="004D16DB">
            <w:pPr>
              <w:keepNext/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color w:val="000000"/>
              </w:rPr>
            </w:pPr>
            <w:r w:rsidRPr="009C6236">
              <w:rPr>
                <w:rFonts w:ascii="Garamond" w:hAnsi="Garamond"/>
              </w:rPr>
              <w:t>ZËVENDËSKANCELARE E SEKSIONIT</w:t>
            </w:r>
          </w:p>
        </w:tc>
        <w:tc>
          <w:tcPr>
            <w:tcW w:w="5228" w:type="dxa"/>
          </w:tcPr>
          <w:p w14:paraId="6BD2F9DD" w14:textId="17085E05" w:rsidR="004D16DB" w:rsidRPr="009C6236" w:rsidRDefault="004D16DB" w:rsidP="004D16DB">
            <w:pPr>
              <w:keepNext/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color w:val="000000"/>
              </w:rPr>
            </w:pPr>
            <w:r w:rsidRPr="009C6236">
              <w:rPr>
                <w:rFonts w:ascii="Garamond" w:hAnsi="Garamond"/>
              </w:rPr>
              <w:t>KRYETAR</w:t>
            </w:r>
          </w:p>
        </w:tc>
      </w:tr>
      <w:tr w:rsidR="004D16DB" w:rsidRPr="009C6236" w14:paraId="694082F1" w14:textId="77777777" w:rsidTr="004D16DB">
        <w:trPr>
          <w:jc w:val="center"/>
        </w:trPr>
        <w:tc>
          <w:tcPr>
            <w:tcW w:w="5228" w:type="dxa"/>
          </w:tcPr>
          <w:p w14:paraId="047B97FC" w14:textId="6E031383" w:rsidR="004D16DB" w:rsidRPr="009C6236" w:rsidRDefault="004D16DB" w:rsidP="004D16DB">
            <w:pPr>
              <w:keepNext/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9C6236">
              <w:rPr>
                <w:rFonts w:ascii="Garamond" w:hAnsi="Garamond" w:cs="Calibri"/>
                <w:b/>
                <w:color w:val="000000"/>
              </w:rPr>
              <w:t>Olga Chernishova</w:t>
            </w:r>
          </w:p>
        </w:tc>
        <w:tc>
          <w:tcPr>
            <w:tcW w:w="5228" w:type="dxa"/>
          </w:tcPr>
          <w:p w14:paraId="148263EF" w14:textId="3CE25AF9" w:rsidR="004D16DB" w:rsidRPr="009C6236" w:rsidRDefault="004D16DB" w:rsidP="004D16DB">
            <w:pPr>
              <w:keepNext/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9C6236">
              <w:rPr>
                <w:rFonts w:ascii="Garamond" w:hAnsi="Garamond" w:cs="Calibri"/>
                <w:b/>
                <w:color w:val="000000"/>
              </w:rPr>
              <w:t>L</w:t>
            </w:r>
            <w:r w:rsidRPr="009C6236">
              <w:rPr>
                <w:rFonts w:ascii="Times New Roman" w:hAnsi="Times New Roman" w:cs="Times New Roman"/>
                <w:b/>
                <w:color w:val="000000"/>
              </w:rPr>
              <w:t>ə</w:t>
            </w:r>
            <w:r w:rsidRPr="009C6236">
              <w:rPr>
                <w:rFonts w:ascii="Garamond" w:hAnsi="Garamond" w:cs="Calibri"/>
                <w:b/>
                <w:color w:val="000000"/>
              </w:rPr>
              <w:t>tif Hüseynov</w:t>
            </w:r>
          </w:p>
        </w:tc>
      </w:tr>
    </w:tbl>
    <w:p w14:paraId="3271EA2A" w14:textId="77777777" w:rsidR="0014683A" w:rsidRPr="009C6236" w:rsidRDefault="0014683A" w:rsidP="004D16DB">
      <w:pPr>
        <w:pStyle w:val="DecHTitle"/>
        <w:spacing w:after="0"/>
        <w:ind w:firstLine="284"/>
        <w:rPr>
          <w:rFonts w:ascii="Garamond" w:hAnsi="Garamond"/>
          <w:sz w:val="24"/>
          <w:szCs w:val="16"/>
        </w:rPr>
      </w:pPr>
    </w:p>
    <w:p w14:paraId="3E48F3E6" w14:textId="2AD13163" w:rsidR="004D16DB" w:rsidRPr="009C6236" w:rsidRDefault="00EA26F2" w:rsidP="004D16DB">
      <w:pPr>
        <w:pStyle w:val="DecHTitle"/>
        <w:spacing w:after="0"/>
        <w:ind w:firstLine="284"/>
        <w:rPr>
          <w:rFonts w:ascii="Garamond" w:hAnsi="Garamond"/>
          <w:sz w:val="24"/>
          <w:szCs w:val="16"/>
        </w:rPr>
      </w:pPr>
      <w:r w:rsidRPr="009C6236">
        <w:rPr>
          <w:rFonts w:ascii="Garamond" w:hAnsi="Garamond"/>
          <w:sz w:val="24"/>
          <w:szCs w:val="16"/>
        </w:rPr>
        <w:t>SHTOJCË</w:t>
      </w:r>
    </w:p>
    <w:p w14:paraId="788DEDD8" w14:textId="5285C4D9" w:rsidR="009C7786" w:rsidRPr="009C6236" w:rsidRDefault="00406994" w:rsidP="00FB0A8C">
      <w:pPr>
        <w:pStyle w:val="DecHCase"/>
        <w:keepNext w:val="0"/>
        <w:keepLines w:val="0"/>
        <w:spacing w:after="0"/>
        <w:ind w:firstLine="284"/>
        <w:jc w:val="left"/>
        <w:rPr>
          <w:rFonts w:ascii="Garamond" w:hAnsi="Garamond"/>
          <w:sz w:val="16"/>
          <w:szCs w:val="16"/>
        </w:rPr>
      </w:pPr>
      <w:r w:rsidRPr="009C6236">
        <w:rPr>
          <w:rFonts w:ascii="Garamond" w:hAnsi="Garamond"/>
          <w:szCs w:val="16"/>
        </w:rPr>
        <w:t>Lista e çështjeve:</w:t>
      </w:r>
    </w:p>
    <w:tbl>
      <w:tblPr>
        <w:tblStyle w:val="ECHRListTable"/>
        <w:tblW w:w="5000" w:type="pct"/>
        <w:tblLook w:val="0420" w:firstRow="1" w:lastRow="0" w:firstColumn="0" w:lastColumn="0" w:noHBand="0" w:noVBand="1"/>
      </w:tblPr>
      <w:tblGrid>
        <w:gridCol w:w="672"/>
        <w:gridCol w:w="1104"/>
        <w:gridCol w:w="2704"/>
        <w:gridCol w:w="1337"/>
        <w:gridCol w:w="1783"/>
        <w:gridCol w:w="1460"/>
      </w:tblGrid>
      <w:tr w:rsidR="002711FD" w:rsidRPr="00EA26F2" w14:paraId="698269A7" w14:textId="77777777" w:rsidTr="004D16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371" w:type="pct"/>
            <w:vAlign w:val="center"/>
            <w:hideMark/>
          </w:tcPr>
          <w:p w14:paraId="77EA7C8A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color w:val="auto"/>
                <w:sz w:val="16"/>
                <w:szCs w:val="16"/>
              </w:rPr>
            </w:pPr>
            <w:r w:rsidRPr="00EA26F2">
              <w:rPr>
                <w:rFonts w:ascii="Garamond" w:hAnsi="Garamond"/>
                <w:color w:val="auto"/>
                <w:sz w:val="16"/>
                <w:szCs w:val="16"/>
              </w:rPr>
              <w:t>Nr.</w:t>
            </w:r>
          </w:p>
        </w:tc>
        <w:tc>
          <w:tcPr>
            <w:tcW w:w="609" w:type="pct"/>
            <w:vAlign w:val="center"/>
            <w:hideMark/>
          </w:tcPr>
          <w:p w14:paraId="79B8AABF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color w:val="auto"/>
                <w:sz w:val="16"/>
                <w:szCs w:val="16"/>
              </w:rPr>
            </w:pPr>
            <w:r w:rsidRPr="00EA26F2">
              <w:rPr>
                <w:rFonts w:ascii="Garamond" w:hAnsi="Garamond"/>
                <w:color w:val="auto"/>
                <w:sz w:val="16"/>
                <w:szCs w:val="16"/>
              </w:rPr>
              <w:t>Kërkesa nr.</w:t>
            </w:r>
          </w:p>
        </w:tc>
        <w:tc>
          <w:tcPr>
            <w:tcW w:w="1492" w:type="pct"/>
            <w:vAlign w:val="center"/>
            <w:hideMark/>
          </w:tcPr>
          <w:p w14:paraId="3C7B61E4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color w:val="auto"/>
                <w:sz w:val="16"/>
                <w:szCs w:val="16"/>
              </w:rPr>
            </w:pPr>
            <w:r w:rsidRPr="00EA26F2">
              <w:rPr>
                <w:rFonts w:ascii="Garamond" w:hAnsi="Garamond"/>
                <w:color w:val="auto"/>
                <w:sz w:val="16"/>
                <w:szCs w:val="16"/>
              </w:rPr>
              <w:t>Emri i çështjes</w:t>
            </w:r>
          </w:p>
        </w:tc>
        <w:tc>
          <w:tcPr>
            <w:tcW w:w="738" w:type="pct"/>
            <w:vAlign w:val="center"/>
            <w:hideMark/>
          </w:tcPr>
          <w:p w14:paraId="64672F15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color w:val="auto"/>
                <w:sz w:val="16"/>
                <w:szCs w:val="16"/>
              </w:rPr>
            </w:pPr>
            <w:r w:rsidRPr="00EA26F2">
              <w:rPr>
                <w:rFonts w:ascii="Garamond" w:hAnsi="Garamond"/>
                <w:color w:val="auto"/>
                <w:sz w:val="16"/>
                <w:szCs w:val="16"/>
              </w:rPr>
              <w:t>Depozituar më</w:t>
            </w:r>
          </w:p>
        </w:tc>
        <w:tc>
          <w:tcPr>
            <w:tcW w:w="984" w:type="pct"/>
            <w:vAlign w:val="center"/>
            <w:hideMark/>
          </w:tcPr>
          <w:p w14:paraId="65862EDD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color w:val="auto"/>
                <w:sz w:val="16"/>
                <w:szCs w:val="16"/>
              </w:rPr>
            </w:pPr>
            <w:r w:rsidRPr="00EA26F2">
              <w:rPr>
                <w:rFonts w:ascii="Garamond" w:hAnsi="Garamond"/>
                <w:color w:val="auto"/>
                <w:sz w:val="16"/>
                <w:szCs w:val="16"/>
              </w:rPr>
              <w:t>Kërkues</w:t>
            </w:r>
            <w:r w:rsidRPr="00EA26F2">
              <w:rPr>
                <w:rFonts w:ascii="Garamond" w:hAnsi="Garamond"/>
                <w:color w:val="auto"/>
                <w:sz w:val="16"/>
                <w:szCs w:val="16"/>
              </w:rPr>
              <w:br/>
              <w:t>Viti i lindjes</w:t>
            </w:r>
            <w:r w:rsidRPr="00EA26F2">
              <w:rPr>
                <w:rFonts w:ascii="Garamond" w:hAnsi="Garamond"/>
                <w:color w:val="auto"/>
                <w:sz w:val="16"/>
                <w:szCs w:val="16"/>
              </w:rPr>
              <w:br/>
              <w:t>Vendi i qëndrimit</w:t>
            </w:r>
            <w:r w:rsidRPr="00EA26F2">
              <w:rPr>
                <w:rFonts w:ascii="Garamond" w:hAnsi="Garamond"/>
                <w:color w:val="auto"/>
                <w:sz w:val="16"/>
                <w:szCs w:val="16"/>
              </w:rPr>
              <w:br/>
              <w:t>Shtetësia</w:t>
            </w:r>
          </w:p>
        </w:tc>
        <w:tc>
          <w:tcPr>
            <w:tcW w:w="806" w:type="pct"/>
            <w:vAlign w:val="center"/>
            <w:hideMark/>
          </w:tcPr>
          <w:p w14:paraId="67C0C640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color w:val="auto"/>
                <w:sz w:val="16"/>
                <w:szCs w:val="16"/>
              </w:rPr>
            </w:pPr>
            <w:r w:rsidRPr="00EA26F2">
              <w:rPr>
                <w:rFonts w:ascii="Garamond" w:hAnsi="Garamond"/>
                <w:color w:val="auto"/>
                <w:sz w:val="16"/>
                <w:szCs w:val="16"/>
              </w:rPr>
              <w:t>Përfaqësuar nga</w:t>
            </w:r>
          </w:p>
        </w:tc>
      </w:tr>
      <w:tr w:rsidR="002711FD" w:rsidRPr="00EA26F2" w14:paraId="4F1F3152" w14:textId="77777777" w:rsidTr="004D16DB">
        <w:trPr>
          <w:trHeight w:val="20"/>
        </w:trPr>
        <w:tc>
          <w:tcPr>
            <w:tcW w:w="371" w:type="pct"/>
            <w:vAlign w:val="center"/>
            <w:hideMark/>
          </w:tcPr>
          <w:p w14:paraId="4B1C14CB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1.</w:t>
            </w:r>
          </w:p>
        </w:tc>
        <w:tc>
          <w:tcPr>
            <w:tcW w:w="609" w:type="pct"/>
            <w:vAlign w:val="center"/>
            <w:hideMark/>
          </w:tcPr>
          <w:p w14:paraId="0F568385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18948/22</w:t>
            </w:r>
          </w:p>
        </w:tc>
        <w:tc>
          <w:tcPr>
            <w:tcW w:w="1492" w:type="pct"/>
            <w:vAlign w:val="center"/>
            <w:hideMark/>
          </w:tcPr>
          <w:p w14:paraId="05003BA5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Petrela dhe të tjerët kundër Shqipërisë</w:t>
            </w:r>
          </w:p>
        </w:tc>
        <w:tc>
          <w:tcPr>
            <w:tcW w:w="738" w:type="pct"/>
            <w:vAlign w:val="center"/>
            <w:hideMark/>
          </w:tcPr>
          <w:p w14:paraId="74FCD080" w14:textId="5647DCF1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8</w:t>
            </w:r>
            <w:r w:rsidR="00FB0A8C">
              <w:rPr>
                <w:rFonts w:ascii="Garamond" w:hAnsi="Garamond"/>
                <w:sz w:val="16"/>
                <w:szCs w:val="16"/>
              </w:rPr>
              <w:t>.</w:t>
            </w:r>
            <w:r w:rsidRPr="00EA26F2">
              <w:rPr>
                <w:rFonts w:ascii="Garamond" w:hAnsi="Garamond"/>
                <w:sz w:val="16"/>
                <w:szCs w:val="16"/>
              </w:rPr>
              <w:t>42022</w:t>
            </w:r>
          </w:p>
        </w:tc>
        <w:tc>
          <w:tcPr>
            <w:tcW w:w="984" w:type="pct"/>
            <w:vAlign w:val="center"/>
            <w:hideMark/>
          </w:tcPr>
          <w:p w14:paraId="21D7BB1C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Bukurije PETRELA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1937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Shqiptare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Kliton PETRELA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1976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Mirjan PETRELA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1942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Natasha PETRELA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1953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Shqiptare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Sokol PETRELA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1971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Maria Enzesdorf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</w:t>
            </w:r>
          </w:p>
        </w:tc>
        <w:tc>
          <w:tcPr>
            <w:tcW w:w="806" w:type="pct"/>
            <w:vAlign w:val="center"/>
            <w:hideMark/>
          </w:tcPr>
          <w:p w14:paraId="6C31D758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Suela Mëneri</w:t>
            </w:r>
          </w:p>
        </w:tc>
      </w:tr>
      <w:tr w:rsidR="002711FD" w:rsidRPr="00EA26F2" w14:paraId="7CFF1097" w14:textId="77777777" w:rsidTr="004D16DB">
        <w:trPr>
          <w:trHeight w:val="20"/>
        </w:trPr>
        <w:tc>
          <w:tcPr>
            <w:tcW w:w="371" w:type="pct"/>
            <w:vAlign w:val="center"/>
            <w:hideMark/>
          </w:tcPr>
          <w:p w14:paraId="7AB3F56C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2.</w:t>
            </w:r>
          </w:p>
        </w:tc>
        <w:tc>
          <w:tcPr>
            <w:tcW w:w="609" w:type="pct"/>
            <w:vAlign w:val="center"/>
            <w:hideMark/>
          </w:tcPr>
          <w:p w14:paraId="64DB19E2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20351/22</w:t>
            </w:r>
          </w:p>
        </w:tc>
        <w:tc>
          <w:tcPr>
            <w:tcW w:w="1492" w:type="pct"/>
            <w:vAlign w:val="center"/>
            <w:hideMark/>
          </w:tcPr>
          <w:p w14:paraId="447CD170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Shllaku kundër Shqipërisë</w:t>
            </w:r>
          </w:p>
        </w:tc>
        <w:tc>
          <w:tcPr>
            <w:tcW w:w="738" w:type="pct"/>
            <w:vAlign w:val="center"/>
            <w:hideMark/>
          </w:tcPr>
          <w:p w14:paraId="037B8378" w14:textId="60CA8953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16</w:t>
            </w:r>
            <w:r w:rsidR="00FB0A8C">
              <w:rPr>
                <w:rFonts w:ascii="Garamond" w:hAnsi="Garamond"/>
                <w:sz w:val="16"/>
                <w:szCs w:val="16"/>
              </w:rPr>
              <w:t>.</w:t>
            </w:r>
            <w:r w:rsidRPr="00EA26F2">
              <w:rPr>
                <w:rFonts w:ascii="Garamond" w:hAnsi="Garamond"/>
                <w:sz w:val="16"/>
                <w:szCs w:val="16"/>
              </w:rPr>
              <w:t>4</w:t>
            </w:r>
            <w:r w:rsidR="00FB0A8C">
              <w:rPr>
                <w:rFonts w:ascii="Garamond" w:hAnsi="Garamond"/>
                <w:sz w:val="16"/>
                <w:szCs w:val="16"/>
              </w:rPr>
              <w:t>.</w:t>
            </w:r>
            <w:r w:rsidRPr="00EA26F2">
              <w:rPr>
                <w:rFonts w:ascii="Garamond" w:hAnsi="Garamond"/>
                <w:sz w:val="16"/>
                <w:szCs w:val="16"/>
              </w:rPr>
              <w:t>2022</w:t>
            </w:r>
          </w:p>
        </w:tc>
        <w:tc>
          <w:tcPr>
            <w:tcW w:w="984" w:type="pct"/>
            <w:vAlign w:val="center"/>
            <w:hideMark/>
          </w:tcPr>
          <w:p w14:paraId="346F348A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Nine SHLLAKU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1937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Shqiptare</w:t>
            </w:r>
          </w:p>
        </w:tc>
        <w:tc>
          <w:tcPr>
            <w:tcW w:w="806" w:type="pct"/>
            <w:vAlign w:val="center"/>
            <w:hideMark/>
          </w:tcPr>
          <w:p w14:paraId="293F507A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Suela Mëneri</w:t>
            </w:r>
          </w:p>
        </w:tc>
      </w:tr>
      <w:tr w:rsidR="002711FD" w:rsidRPr="00EA26F2" w14:paraId="3637DA08" w14:textId="77777777" w:rsidTr="004D16DB">
        <w:trPr>
          <w:trHeight w:val="20"/>
        </w:trPr>
        <w:tc>
          <w:tcPr>
            <w:tcW w:w="371" w:type="pct"/>
            <w:vAlign w:val="center"/>
            <w:hideMark/>
          </w:tcPr>
          <w:p w14:paraId="602C5A81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3.</w:t>
            </w:r>
          </w:p>
        </w:tc>
        <w:tc>
          <w:tcPr>
            <w:tcW w:w="609" w:type="pct"/>
            <w:vAlign w:val="center"/>
            <w:hideMark/>
          </w:tcPr>
          <w:p w14:paraId="2098E533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20354/22</w:t>
            </w:r>
          </w:p>
        </w:tc>
        <w:tc>
          <w:tcPr>
            <w:tcW w:w="1492" w:type="pct"/>
            <w:vAlign w:val="center"/>
            <w:hideMark/>
          </w:tcPr>
          <w:p w14:paraId="249DA34E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Kacerja dhe të tjerët kundër Shqipërisë</w:t>
            </w:r>
          </w:p>
        </w:tc>
        <w:tc>
          <w:tcPr>
            <w:tcW w:w="738" w:type="pct"/>
            <w:vAlign w:val="center"/>
            <w:hideMark/>
          </w:tcPr>
          <w:p w14:paraId="4E8EAFA4" w14:textId="40F93EC4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16</w:t>
            </w:r>
            <w:r w:rsidR="00FB0A8C">
              <w:rPr>
                <w:rFonts w:ascii="Garamond" w:hAnsi="Garamond"/>
                <w:sz w:val="16"/>
                <w:szCs w:val="16"/>
              </w:rPr>
              <w:t>.</w:t>
            </w:r>
            <w:r w:rsidRPr="00EA26F2">
              <w:rPr>
                <w:rFonts w:ascii="Garamond" w:hAnsi="Garamond"/>
                <w:sz w:val="16"/>
                <w:szCs w:val="16"/>
              </w:rPr>
              <w:t>4</w:t>
            </w:r>
            <w:r w:rsidR="00FB0A8C">
              <w:rPr>
                <w:rFonts w:ascii="Garamond" w:hAnsi="Garamond"/>
                <w:sz w:val="16"/>
                <w:szCs w:val="16"/>
              </w:rPr>
              <w:t>.</w:t>
            </w:r>
            <w:r w:rsidRPr="00EA26F2">
              <w:rPr>
                <w:rFonts w:ascii="Garamond" w:hAnsi="Garamond"/>
                <w:sz w:val="16"/>
                <w:szCs w:val="16"/>
              </w:rPr>
              <w:t>2022</w:t>
            </w:r>
          </w:p>
        </w:tc>
        <w:tc>
          <w:tcPr>
            <w:tcW w:w="984" w:type="pct"/>
            <w:vAlign w:val="center"/>
            <w:hideMark/>
          </w:tcPr>
          <w:p w14:paraId="52F50B48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Ardiana KACERJA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1961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Shqiptare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Mimoza HADO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1957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Shqiptare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Manjola XHIKU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1961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Shqiptare</w:t>
            </w:r>
          </w:p>
        </w:tc>
        <w:tc>
          <w:tcPr>
            <w:tcW w:w="806" w:type="pct"/>
            <w:vAlign w:val="center"/>
            <w:hideMark/>
          </w:tcPr>
          <w:p w14:paraId="1DBEA7CB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Suela Mëneri</w:t>
            </w:r>
          </w:p>
        </w:tc>
      </w:tr>
      <w:tr w:rsidR="002711FD" w:rsidRPr="00EA26F2" w14:paraId="22A33210" w14:textId="77777777" w:rsidTr="004D16DB">
        <w:trPr>
          <w:trHeight w:val="20"/>
        </w:trPr>
        <w:tc>
          <w:tcPr>
            <w:tcW w:w="371" w:type="pct"/>
            <w:vAlign w:val="center"/>
            <w:hideMark/>
          </w:tcPr>
          <w:p w14:paraId="17B44318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4.</w:t>
            </w:r>
          </w:p>
        </w:tc>
        <w:tc>
          <w:tcPr>
            <w:tcW w:w="609" w:type="pct"/>
            <w:vAlign w:val="center"/>
            <w:hideMark/>
          </w:tcPr>
          <w:p w14:paraId="797EAF8E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21643/22</w:t>
            </w:r>
          </w:p>
        </w:tc>
        <w:tc>
          <w:tcPr>
            <w:tcW w:w="1492" w:type="pct"/>
            <w:vAlign w:val="center"/>
            <w:hideMark/>
          </w:tcPr>
          <w:p w14:paraId="0C21D180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Bardhoshi dhe Papinova kundër Shqipërisë</w:t>
            </w:r>
          </w:p>
        </w:tc>
        <w:tc>
          <w:tcPr>
            <w:tcW w:w="738" w:type="pct"/>
            <w:vAlign w:val="center"/>
            <w:hideMark/>
          </w:tcPr>
          <w:p w14:paraId="086ED92B" w14:textId="7D739FCA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25</w:t>
            </w:r>
            <w:r w:rsidR="00FB0A8C">
              <w:rPr>
                <w:rFonts w:ascii="Garamond" w:hAnsi="Garamond"/>
                <w:sz w:val="16"/>
                <w:szCs w:val="16"/>
              </w:rPr>
              <w:t>.</w:t>
            </w:r>
            <w:r w:rsidRPr="00EA26F2">
              <w:rPr>
                <w:rFonts w:ascii="Garamond" w:hAnsi="Garamond"/>
                <w:sz w:val="16"/>
                <w:szCs w:val="16"/>
              </w:rPr>
              <w:t>4</w:t>
            </w:r>
            <w:r w:rsidR="00FB0A8C">
              <w:rPr>
                <w:rFonts w:ascii="Garamond" w:hAnsi="Garamond"/>
                <w:sz w:val="16"/>
                <w:szCs w:val="16"/>
              </w:rPr>
              <w:t>.</w:t>
            </w:r>
            <w:r w:rsidRPr="00EA26F2">
              <w:rPr>
                <w:rFonts w:ascii="Garamond" w:hAnsi="Garamond"/>
                <w:sz w:val="16"/>
                <w:szCs w:val="16"/>
              </w:rPr>
              <w:t>2022</w:t>
            </w:r>
          </w:p>
        </w:tc>
        <w:tc>
          <w:tcPr>
            <w:tcW w:w="984" w:type="pct"/>
            <w:vAlign w:val="center"/>
            <w:hideMark/>
          </w:tcPr>
          <w:p w14:paraId="1F8E0CE8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Lirije BARDHOSHI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1945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Shqiptare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Genti BARDHOSHI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1969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lastRenderedPageBreak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Sonila PAPINOVA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1974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Shqiptare</w:t>
            </w:r>
          </w:p>
        </w:tc>
        <w:tc>
          <w:tcPr>
            <w:tcW w:w="806" w:type="pct"/>
            <w:vAlign w:val="center"/>
            <w:hideMark/>
          </w:tcPr>
          <w:p w14:paraId="2791E24B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lastRenderedPageBreak/>
              <w:t>Suela Mëneri</w:t>
            </w:r>
          </w:p>
        </w:tc>
      </w:tr>
      <w:tr w:rsidR="002711FD" w:rsidRPr="00EA26F2" w14:paraId="6E44C635" w14:textId="77777777" w:rsidTr="004D16DB">
        <w:trPr>
          <w:trHeight w:val="20"/>
        </w:trPr>
        <w:tc>
          <w:tcPr>
            <w:tcW w:w="371" w:type="pct"/>
            <w:vAlign w:val="center"/>
            <w:hideMark/>
          </w:tcPr>
          <w:p w14:paraId="69C448FB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5.</w:t>
            </w:r>
          </w:p>
        </w:tc>
        <w:tc>
          <w:tcPr>
            <w:tcW w:w="609" w:type="pct"/>
            <w:vAlign w:val="center"/>
            <w:hideMark/>
          </w:tcPr>
          <w:p w14:paraId="2A30B5BA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22197/22</w:t>
            </w:r>
          </w:p>
        </w:tc>
        <w:tc>
          <w:tcPr>
            <w:tcW w:w="1492" w:type="pct"/>
            <w:vAlign w:val="center"/>
            <w:hideMark/>
          </w:tcPr>
          <w:p w14:paraId="29B873AB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Xhuglini kundër Shqipërisë</w:t>
            </w:r>
          </w:p>
        </w:tc>
        <w:tc>
          <w:tcPr>
            <w:tcW w:w="738" w:type="pct"/>
            <w:vAlign w:val="center"/>
            <w:hideMark/>
          </w:tcPr>
          <w:p w14:paraId="243A2B75" w14:textId="1BBFB8DB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23</w:t>
            </w:r>
            <w:r w:rsidR="00FB0A8C">
              <w:rPr>
                <w:rFonts w:ascii="Garamond" w:hAnsi="Garamond"/>
                <w:sz w:val="16"/>
                <w:szCs w:val="16"/>
              </w:rPr>
              <w:t>.</w:t>
            </w:r>
            <w:r w:rsidRPr="00EA26F2">
              <w:rPr>
                <w:rFonts w:ascii="Garamond" w:hAnsi="Garamond"/>
                <w:sz w:val="16"/>
                <w:szCs w:val="16"/>
              </w:rPr>
              <w:t>4</w:t>
            </w:r>
            <w:r w:rsidR="00FB0A8C">
              <w:rPr>
                <w:rFonts w:ascii="Garamond" w:hAnsi="Garamond"/>
                <w:sz w:val="16"/>
                <w:szCs w:val="16"/>
              </w:rPr>
              <w:t>.</w:t>
            </w:r>
            <w:r w:rsidRPr="00EA26F2">
              <w:rPr>
                <w:rFonts w:ascii="Garamond" w:hAnsi="Garamond"/>
                <w:sz w:val="16"/>
                <w:szCs w:val="16"/>
              </w:rPr>
              <w:t>2022</w:t>
            </w:r>
          </w:p>
        </w:tc>
        <w:tc>
          <w:tcPr>
            <w:tcW w:w="984" w:type="pct"/>
            <w:vAlign w:val="center"/>
            <w:hideMark/>
          </w:tcPr>
          <w:p w14:paraId="66A1F427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Fitnet XHUGLINI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1935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Bulent XHUGLINI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1973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Dhurata XHUGLINI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1945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Shqiptare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Marlind XHUGLINI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1980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sz w:val="16"/>
                <w:szCs w:val="16"/>
              </w:rPr>
              <w:br/>
            </w:r>
            <w:r w:rsidRPr="00EA26F2">
              <w:rPr>
                <w:rFonts w:ascii="Garamond" w:hAnsi="Garamond"/>
                <w:b/>
                <w:bCs/>
                <w:sz w:val="16"/>
                <w:szCs w:val="16"/>
              </w:rPr>
              <w:t>Meliz XHUGLINI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1968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Tiranë</w:t>
            </w:r>
            <w:r w:rsidRPr="00EA26F2">
              <w:rPr>
                <w:rFonts w:ascii="Garamond" w:hAnsi="Garamond"/>
                <w:sz w:val="16"/>
                <w:szCs w:val="16"/>
              </w:rPr>
              <w:br/>
              <w:t>Shqiptar</w:t>
            </w:r>
          </w:p>
        </w:tc>
        <w:tc>
          <w:tcPr>
            <w:tcW w:w="806" w:type="pct"/>
            <w:vAlign w:val="center"/>
            <w:hideMark/>
          </w:tcPr>
          <w:p w14:paraId="6E207566" w14:textId="77777777" w:rsidR="009C7786" w:rsidRPr="00EA26F2" w:rsidRDefault="00406994" w:rsidP="004D16DB">
            <w:pPr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EA26F2">
              <w:rPr>
                <w:rFonts w:ascii="Garamond" w:hAnsi="Garamond"/>
                <w:sz w:val="16"/>
                <w:szCs w:val="16"/>
              </w:rPr>
              <w:t>Suela Mëneri</w:t>
            </w:r>
          </w:p>
        </w:tc>
      </w:tr>
    </w:tbl>
    <w:p w14:paraId="5F74DEB5" w14:textId="77777777" w:rsidR="00CB3BD9" w:rsidRPr="00EA26F2" w:rsidRDefault="00CB3BD9" w:rsidP="004D16DB">
      <w:pPr>
        <w:ind w:firstLine="284"/>
        <w:rPr>
          <w:rFonts w:ascii="Garamond" w:hAnsi="Garamond"/>
        </w:rPr>
      </w:pPr>
      <w:bookmarkStart w:id="1" w:name="AppTableStart"/>
      <w:bookmarkEnd w:id="1"/>
    </w:p>
    <w:sectPr w:rsidR="00CB3BD9" w:rsidRPr="00EA26F2" w:rsidSect="004D16DB">
      <w:headerReference w:type="first" r:id="rId11"/>
      <w:footerReference w:type="first" r:id="rId12"/>
      <w:endnotePr>
        <w:numFmt w:val="decimal"/>
      </w:endnotePr>
      <w:pgSz w:w="11906" w:h="16838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24625" w14:textId="77777777" w:rsidR="00C778E5" w:rsidRDefault="00C778E5">
      <w:r>
        <w:separator/>
      </w:r>
    </w:p>
  </w:endnote>
  <w:endnote w:type="continuationSeparator" w:id="0">
    <w:p w14:paraId="1806C250" w14:textId="77777777" w:rsidR="00C778E5" w:rsidRDefault="00C778E5">
      <w:r>
        <w:continuationSeparator/>
      </w:r>
    </w:p>
  </w:endnote>
  <w:endnote w:type="continuationNotice" w:id="1">
    <w:p w14:paraId="38F7DCD1" w14:textId="77777777" w:rsidR="00C778E5" w:rsidRDefault="00C778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169713"/>
      <w:placeholder>
        <w:docPart w:val="43D43B122FCB422481BCB0508E05D403"/>
      </w:placeholder>
      <w:temporary/>
      <w:showingPlcHdr/>
      <w15:appearance w15:val="hidden"/>
    </w:sdtPr>
    <w:sdtEndPr/>
    <w:sdtContent>
      <w:p w14:paraId="4319993D" w14:textId="77777777" w:rsidR="00C778E5" w:rsidRDefault="00C778E5">
        <w:pPr>
          <w:pStyle w:val="Footer"/>
        </w:pPr>
        <w:r>
          <w:t>[Type here]</w:t>
        </w:r>
      </w:p>
    </w:sdtContent>
  </w:sdt>
  <w:p w14:paraId="4C6E74CA" w14:textId="77777777" w:rsidR="00C778E5" w:rsidRPr="00C54826" w:rsidRDefault="00C778E5" w:rsidP="002E2C7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9E308" w14:textId="77777777" w:rsidR="00C778E5" w:rsidRDefault="00C778E5">
      <w:r>
        <w:separator/>
      </w:r>
    </w:p>
  </w:footnote>
  <w:footnote w:type="continuationSeparator" w:id="0">
    <w:p w14:paraId="668C24F9" w14:textId="77777777" w:rsidR="00C778E5" w:rsidRDefault="00C778E5">
      <w:r>
        <w:continuationSeparator/>
      </w:r>
    </w:p>
  </w:footnote>
  <w:footnote w:type="continuationNotice" w:id="1">
    <w:p w14:paraId="4637EF20" w14:textId="77777777" w:rsidR="00C778E5" w:rsidRDefault="00C778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2ED4F" w14:textId="77777777" w:rsidR="00C778E5" w:rsidRPr="00C54826" w:rsidRDefault="00C778E5" w:rsidP="00EA100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67FD1241"/>
    <w:multiLevelType w:val="hybridMultilevel"/>
    <w:tmpl w:val="F6D86CC2"/>
    <w:lvl w:ilvl="0" w:tplc="B958D63A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A3E50D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64245410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6024D2AA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758CE2A8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FE5A84F6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70BC6BA0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5F5E363E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34900A52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7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3"/>
  </w:num>
  <w:num w:numId="16">
    <w:abstractNumId w:val="16"/>
  </w:num>
  <w:num w:numId="17">
    <w:abstractNumId w:val="15"/>
  </w:num>
  <w:num w:numId="18">
    <w:abstractNumId w:val="16"/>
  </w:num>
  <w:num w:numId="19">
    <w:abstractNumId w:val="10"/>
  </w:num>
  <w:num w:numId="2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sApp" w:val="3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3"/>
    <w:docVar w:name="SignForeName" w:val="0"/>
    <w:docVar w:name="SndCaseNumber" w:val="Error!Nodocumentvariablesupplied."/>
  </w:docVars>
  <w:rsids>
    <w:rsidRoot w:val="00C54826"/>
    <w:rsid w:val="00011159"/>
    <w:rsid w:val="00054F29"/>
    <w:rsid w:val="000704D7"/>
    <w:rsid w:val="00095FD8"/>
    <w:rsid w:val="000B1FA9"/>
    <w:rsid w:val="000D61E7"/>
    <w:rsid w:val="000E3A89"/>
    <w:rsid w:val="00132029"/>
    <w:rsid w:val="00144EBC"/>
    <w:rsid w:val="0014683A"/>
    <w:rsid w:val="00150BFA"/>
    <w:rsid w:val="001A11FE"/>
    <w:rsid w:val="001D1233"/>
    <w:rsid w:val="0020718E"/>
    <w:rsid w:val="00223591"/>
    <w:rsid w:val="00236502"/>
    <w:rsid w:val="00260B69"/>
    <w:rsid w:val="00262F63"/>
    <w:rsid w:val="002711FD"/>
    <w:rsid w:val="002A5EA9"/>
    <w:rsid w:val="002A7443"/>
    <w:rsid w:val="002D1F30"/>
    <w:rsid w:val="002E2C77"/>
    <w:rsid w:val="00342A2A"/>
    <w:rsid w:val="00343C81"/>
    <w:rsid w:val="003B50D7"/>
    <w:rsid w:val="003E3C60"/>
    <w:rsid w:val="003F5F8A"/>
    <w:rsid w:val="00406994"/>
    <w:rsid w:val="00452087"/>
    <w:rsid w:val="00464268"/>
    <w:rsid w:val="004A4C71"/>
    <w:rsid w:val="004B4E73"/>
    <w:rsid w:val="004D16DB"/>
    <w:rsid w:val="00582882"/>
    <w:rsid w:val="005E56C2"/>
    <w:rsid w:val="005F11CB"/>
    <w:rsid w:val="00603E94"/>
    <w:rsid w:val="006047CF"/>
    <w:rsid w:val="006262FA"/>
    <w:rsid w:val="006267D3"/>
    <w:rsid w:val="006300E9"/>
    <w:rsid w:val="00653EF4"/>
    <w:rsid w:val="00656B81"/>
    <w:rsid w:val="006D4D63"/>
    <w:rsid w:val="006E123B"/>
    <w:rsid w:val="00724508"/>
    <w:rsid w:val="0076040F"/>
    <w:rsid w:val="007907C0"/>
    <w:rsid w:val="007A477D"/>
    <w:rsid w:val="007A74FC"/>
    <w:rsid w:val="007B2364"/>
    <w:rsid w:val="00812D10"/>
    <w:rsid w:val="00850671"/>
    <w:rsid w:val="00865AB4"/>
    <w:rsid w:val="008D10E4"/>
    <w:rsid w:val="008F0A92"/>
    <w:rsid w:val="008F7189"/>
    <w:rsid w:val="00926BC2"/>
    <w:rsid w:val="009375D0"/>
    <w:rsid w:val="00956B2A"/>
    <w:rsid w:val="0096293E"/>
    <w:rsid w:val="009656DE"/>
    <w:rsid w:val="009B6F49"/>
    <w:rsid w:val="009C21E8"/>
    <w:rsid w:val="009C6236"/>
    <w:rsid w:val="009C7786"/>
    <w:rsid w:val="009E01FB"/>
    <w:rsid w:val="009F2DFA"/>
    <w:rsid w:val="00A31271"/>
    <w:rsid w:val="00A45145"/>
    <w:rsid w:val="00A70633"/>
    <w:rsid w:val="00A83689"/>
    <w:rsid w:val="00AA5AEE"/>
    <w:rsid w:val="00AC21F0"/>
    <w:rsid w:val="00AC58E5"/>
    <w:rsid w:val="00AF4A45"/>
    <w:rsid w:val="00B140D3"/>
    <w:rsid w:val="00B3547B"/>
    <w:rsid w:val="00B84666"/>
    <w:rsid w:val="00BD1692"/>
    <w:rsid w:val="00C42C12"/>
    <w:rsid w:val="00C47629"/>
    <w:rsid w:val="00C54826"/>
    <w:rsid w:val="00C778E5"/>
    <w:rsid w:val="00C8038F"/>
    <w:rsid w:val="00CB3BD9"/>
    <w:rsid w:val="00D415D6"/>
    <w:rsid w:val="00D4304F"/>
    <w:rsid w:val="00D979F2"/>
    <w:rsid w:val="00DB2996"/>
    <w:rsid w:val="00DB6354"/>
    <w:rsid w:val="00DE63DA"/>
    <w:rsid w:val="00E3316A"/>
    <w:rsid w:val="00E5464B"/>
    <w:rsid w:val="00E67505"/>
    <w:rsid w:val="00EA1004"/>
    <w:rsid w:val="00EA26F2"/>
    <w:rsid w:val="00EE38CA"/>
    <w:rsid w:val="00F052E8"/>
    <w:rsid w:val="00F0534F"/>
    <w:rsid w:val="00F24AB9"/>
    <w:rsid w:val="00F71185"/>
    <w:rsid w:val="00FB0A8C"/>
    <w:rsid w:val="00FC2655"/>
    <w:rsid w:val="00FF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B46CF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F052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F052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F052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F052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F052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F052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F052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F052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F052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F052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F052E8"/>
    <w:pPr>
      <w:tabs>
        <w:tab w:val="center" w:pos="1418"/>
        <w:tab w:val="center" w:pos="5954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F052E8"/>
    <w:pPr>
      <w:ind w:firstLine="284"/>
    </w:pPr>
  </w:style>
  <w:style w:type="character" w:styleId="PageNumber">
    <w:name w:val="page number"/>
    <w:uiPriority w:val="98"/>
    <w:semiHidden/>
    <w:rsid w:val="00F052E8"/>
    <w:rPr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F052E8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F052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99"/>
    <w:qFormat/>
    <w:rsid w:val="00F052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F052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F052E8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rsid w:val="00F052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052E8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F05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F052E8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F052E8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F052E8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F052E8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F052E8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F052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F052E8"/>
    <w:pPr>
      <w:numPr>
        <w:numId w:val="14"/>
      </w:numPr>
    </w:pPr>
  </w:style>
  <w:style w:type="numbering" w:customStyle="1" w:styleId="ECHRA1StyleList">
    <w:name w:val="ECHR_A1_Style_List"/>
    <w:basedOn w:val="NoList"/>
    <w:uiPriority w:val="99"/>
    <w:rsid w:val="00F052E8"/>
    <w:pPr>
      <w:numPr>
        <w:numId w:val="1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F052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F052E8"/>
    <w:pPr>
      <w:numPr>
        <w:numId w:val="16"/>
      </w:numPr>
    </w:pPr>
  </w:style>
  <w:style w:type="table" w:customStyle="1" w:styleId="ECHRHeaderTable">
    <w:name w:val="ECHR_Header_Table"/>
    <w:basedOn w:val="TableNormal"/>
    <w:uiPriority w:val="99"/>
    <w:rsid w:val="00F052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99"/>
    <w:qFormat/>
    <w:rsid w:val="00F052E8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F052E8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F052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F052E8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F052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table" w:customStyle="1" w:styleId="ECHRTable2019">
    <w:name w:val="ECHR_Table_2019"/>
    <w:basedOn w:val="TableNormal"/>
    <w:uiPriority w:val="99"/>
    <w:rsid w:val="00F052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F052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F052E8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F052E8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F052E8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F052E8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F052E8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F052E8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F052E8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F052E8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F052E8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F052E8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F052E8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F052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F052E8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F052E8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link w:val="ECHRParaSpacedChar"/>
    <w:uiPriority w:val="99"/>
    <w:qFormat/>
    <w:rsid w:val="00F052E8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F052E8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customStyle="1" w:styleId="JuJudges">
    <w:name w:val="Ju_Judges"/>
    <w:aliases w:val="_Judges"/>
    <w:basedOn w:val="Normal"/>
    <w:uiPriority w:val="99"/>
    <w:qFormat/>
    <w:rsid w:val="00F052E8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F052E8"/>
    <w:pPr>
      <w:numPr>
        <w:numId w:val="2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F052E8"/>
    <w:pPr>
      <w:numPr>
        <w:ilvl w:val="1"/>
        <w:numId w:val="20"/>
      </w:numPr>
    </w:pPr>
  </w:style>
  <w:style w:type="paragraph" w:customStyle="1" w:styleId="JuListi">
    <w:name w:val="Ju_List_i"/>
    <w:aliases w:val="_List_3"/>
    <w:basedOn w:val="NormalJustified"/>
    <w:uiPriority w:val="23"/>
    <w:rsid w:val="00F052E8"/>
    <w:pPr>
      <w:numPr>
        <w:ilvl w:val="2"/>
        <w:numId w:val="20"/>
      </w:numPr>
    </w:pPr>
  </w:style>
  <w:style w:type="table" w:customStyle="1" w:styleId="ECHRTableFax">
    <w:name w:val="ECHR_Table_Fax"/>
    <w:basedOn w:val="TableNormal"/>
    <w:uiPriority w:val="99"/>
    <w:rsid w:val="00F052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F052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F052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F052E8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F052E8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F052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F052E8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F052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F052E8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semiHidden/>
    <w:qFormat/>
    <w:rsid w:val="00F052E8"/>
    <w:rPr>
      <w:b/>
      <w:bCs/>
    </w:rPr>
  </w:style>
  <w:style w:type="character" w:styleId="Emphasis">
    <w:name w:val="Emphasis"/>
    <w:uiPriority w:val="98"/>
    <w:semiHidden/>
    <w:qFormat/>
    <w:rsid w:val="00F052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F052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F052E8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semiHidden/>
    <w:qFormat/>
    <w:rsid w:val="00F052E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F052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F052E8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F052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F052E8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semiHidden/>
    <w:qFormat/>
    <w:rsid w:val="00F052E8"/>
    <w:rPr>
      <w:i/>
      <w:iCs/>
    </w:rPr>
  </w:style>
  <w:style w:type="character" w:styleId="IntenseEmphasis">
    <w:name w:val="Intense Emphasis"/>
    <w:uiPriority w:val="98"/>
    <w:semiHidden/>
    <w:qFormat/>
    <w:rsid w:val="00F052E8"/>
    <w:rPr>
      <w:b/>
      <w:bCs/>
    </w:rPr>
  </w:style>
  <w:style w:type="character" w:styleId="SubtleReference">
    <w:name w:val="Subtle Reference"/>
    <w:uiPriority w:val="98"/>
    <w:semiHidden/>
    <w:qFormat/>
    <w:rsid w:val="00F052E8"/>
    <w:rPr>
      <w:smallCaps/>
    </w:rPr>
  </w:style>
  <w:style w:type="character" w:styleId="IntenseReference">
    <w:name w:val="Intense Reference"/>
    <w:uiPriority w:val="98"/>
    <w:semiHidden/>
    <w:qFormat/>
    <w:rsid w:val="00F052E8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F052E8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F052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F052E8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F052E8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F052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F052E8"/>
  </w:style>
  <w:style w:type="paragraph" w:styleId="BlockText">
    <w:name w:val="Block Text"/>
    <w:basedOn w:val="Normal"/>
    <w:uiPriority w:val="98"/>
    <w:semiHidden/>
    <w:rsid w:val="00F052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F052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F052E8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F052E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F052E8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F052E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F052E8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F052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F052E8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F052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F052E8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F052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F052E8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F052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F052E8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F052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F052E8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F052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F052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F052E8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F05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F052E8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F052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F052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F052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F052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F052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F052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F052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F052E8"/>
  </w:style>
  <w:style w:type="character" w:customStyle="1" w:styleId="DateChar">
    <w:name w:val="Date Char"/>
    <w:basedOn w:val="DefaultParagraphFont"/>
    <w:link w:val="Date"/>
    <w:uiPriority w:val="98"/>
    <w:semiHidden/>
    <w:rsid w:val="00F052E8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F052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F052E8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F052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F052E8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F052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F052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F052E8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F052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F052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F052E8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F052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F052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F052E8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F052E8"/>
  </w:style>
  <w:style w:type="paragraph" w:styleId="HTMLAddress">
    <w:name w:val="HTML Address"/>
    <w:basedOn w:val="Normal"/>
    <w:link w:val="HTMLAddressChar"/>
    <w:uiPriority w:val="98"/>
    <w:semiHidden/>
    <w:rsid w:val="00F052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F052E8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F052E8"/>
    <w:rPr>
      <w:i/>
      <w:iCs/>
    </w:rPr>
  </w:style>
  <w:style w:type="character" w:styleId="HTMLCode">
    <w:name w:val="HTML Code"/>
    <w:basedOn w:val="DefaultParagraphFont"/>
    <w:uiPriority w:val="98"/>
    <w:semiHidden/>
    <w:rsid w:val="00F052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F052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F052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F052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F052E8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F052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F052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F052E8"/>
    <w:rPr>
      <w:i/>
      <w:iCs/>
    </w:rPr>
  </w:style>
  <w:style w:type="character" w:styleId="Hyperlink">
    <w:name w:val="Hyperlink"/>
    <w:basedOn w:val="DefaultParagraphFont"/>
    <w:uiPriority w:val="98"/>
    <w:semiHidden/>
    <w:rsid w:val="00F052E8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F052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F052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F052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F052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F052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F052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F052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F052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F052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F052E8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F052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F052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F052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F052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F052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F052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F052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F052E8"/>
  </w:style>
  <w:style w:type="paragraph" w:styleId="List">
    <w:name w:val="List"/>
    <w:basedOn w:val="Normal"/>
    <w:uiPriority w:val="98"/>
    <w:semiHidden/>
    <w:rsid w:val="00F052E8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F052E8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F052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F052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F052E8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F052E8"/>
    <w:pPr>
      <w:numPr>
        <w:numId w:val="4"/>
      </w:numPr>
    </w:pPr>
  </w:style>
  <w:style w:type="paragraph" w:styleId="ListBullet2">
    <w:name w:val="List Bullet 2"/>
    <w:basedOn w:val="Normal"/>
    <w:uiPriority w:val="98"/>
    <w:semiHidden/>
    <w:rsid w:val="00F052E8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8"/>
    <w:semiHidden/>
    <w:rsid w:val="00F052E8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8"/>
    <w:semiHidden/>
    <w:rsid w:val="00F052E8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8"/>
    <w:semiHidden/>
    <w:rsid w:val="00F052E8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8"/>
    <w:semiHidden/>
    <w:rsid w:val="00F052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F052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F052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F052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F052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F052E8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8"/>
    <w:semiHidden/>
    <w:rsid w:val="00F052E8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8"/>
    <w:semiHidden/>
    <w:rsid w:val="00F052E8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8"/>
    <w:semiHidden/>
    <w:rsid w:val="00F052E8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8"/>
    <w:semiHidden/>
    <w:rsid w:val="00F052E8"/>
    <w:pPr>
      <w:numPr>
        <w:numId w:val="13"/>
      </w:numPr>
      <w:contextualSpacing/>
    </w:pPr>
  </w:style>
  <w:style w:type="paragraph" w:styleId="MacroText">
    <w:name w:val="macro"/>
    <w:link w:val="MacroTextChar"/>
    <w:uiPriority w:val="98"/>
    <w:semiHidden/>
    <w:rsid w:val="00F052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F052E8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F052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F052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F052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F052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F052E8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F052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F052E8"/>
    <w:pPr>
      <w:ind w:left="720"/>
    </w:pPr>
  </w:style>
  <w:style w:type="table" w:customStyle="1" w:styleId="ECHRTableNoLines">
    <w:name w:val="ECHR_Table_No_Lines"/>
    <w:basedOn w:val="TableNormal"/>
    <w:uiPriority w:val="99"/>
    <w:rsid w:val="00F052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F052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F052E8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F052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F052E8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F052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F052E8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F052E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F052E8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052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052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052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052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052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semiHidden/>
    <w:rsid w:val="00F052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052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F052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F052E8"/>
  </w:style>
  <w:style w:type="table" w:styleId="TableProfessional">
    <w:name w:val="Table Professional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052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F052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F052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F052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F052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F052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F052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F052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F052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F052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F052E8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semiHidden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rsid w:val="00F052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rsid w:val="00F052E8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F052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F052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F052E8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F052E8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F052E8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F052E8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F052E8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F052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F052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F052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F052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F052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F052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F052E8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F052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F052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F052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F052E8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F052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F052E8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F052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F052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F052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F052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F052E8"/>
    <w:rPr>
      <w:color w:val="C00000" w:themeColor="accent2"/>
    </w:rPr>
  </w:style>
  <w:style w:type="paragraph" w:customStyle="1" w:styleId="DecList">
    <w:name w:val="Dec_List"/>
    <w:aliases w:val="_List"/>
    <w:basedOn w:val="JuList"/>
    <w:rsid w:val="00F052E8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F052E8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F052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F052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F052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F052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F052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F052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F052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F052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F052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F052E8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F052E8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F052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F052E8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F052E8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F052E8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F052E8"/>
    <w:rPr>
      <w:sz w:val="4"/>
    </w:rPr>
  </w:style>
  <w:style w:type="table" w:customStyle="1" w:styleId="ECHRTableGrey">
    <w:name w:val="ECHR_Table_Grey"/>
    <w:basedOn w:val="TableNormal"/>
    <w:uiPriority w:val="99"/>
    <w:rsid w:val="00F052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F052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52E8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C54826"/>
    <w:rPr>
      <w:sz w:val="24"/>
      <w:szCs w:val="24"/>
      <w:lang w:val="sq-AL"/>
    </w:rPr>
  </w:style>
  <w:style w:type="character" w:customStyle="1" w:styleId="ECHRParaSpacedChar">
    <w:name w:val="ECHR_Para_Spaced Char"/>
    <w:aliases w:val="Para_Spaced Char"/>
    <w:basedOn w:val="DefaultParagraphFont"/>
    <w:link w:val="JuParaLast"/>
    <w:uiPriority w:val="5"/>
    <w:locked/>
    <w:rsid w:val="00C54826"/>
    <w:rPr>
      <w:sz w:val="24"/>
      <w:szCs w:val="24"/>
      <w:lang w:val="sq-AL"/>
    </w:rPr>
  </w:style>
  <w:style w:type="table" w:styleId="GridTable1Light">
    <w:name w:val="Grid Table 1 Light"/>
    <w:basedOn w:val="TableNormal"/>
    <w:uiPriority w:val="46"/>
    <w:semiHidden/>
    <w:rsid w:val="00F052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F052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F052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F052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F052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F052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F052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F052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F052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F052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F052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F052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F052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F052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F052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F052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F052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F052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F052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F052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F052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F052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F052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F052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F052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F052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F052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F052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F052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F052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F052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F052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F052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F052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F052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F052E8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F052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F052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F052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F052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F052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F052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F052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F052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F052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F052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F052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F052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F052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F052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F052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F052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F052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F052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F052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F052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F052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F052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F052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F052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F052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F052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F052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F052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F052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F052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F052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F052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F052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F052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F052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F052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F052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F052E8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F052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F052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F052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F052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F052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F052E8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F052E8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F052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3D43B122FCB422481BCB0508E05D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5E2F1-CA87-45BB-A06E-9705C1025067}"/>
      </w:docPartPr>
      <w:docPartBody>
        <w:p w:rsidR="003F379F" w:rsidRDefault="00EA697F" w:rsidP="00EA697F">
          <w:pPr>
            <w:pStyle w:val="43D43B122FCB422481BCB0508E05D403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7F"/>
    <w:rsid w:val="003F379F"/>
    <w:rsid w:val="00603E94"/>
    <w:rsid w:val="009206D1"/>
    <w:rsid w:val="00C179DE"/>
    <w:rsid w:val="00C675C2"/>
    <w:rsid w:val="00EA697F"/>
    <w:rsid w:val="00FB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3D43B122FCB422481BCB0508E05D403">
    <w:name w:val="43D43B122FCB422481BCB0508E05D403"/>
    <w:rsid w:val="00EA697F"/>
  </w:style>
  <w:style w:type="paragraph" w:customStyle="1" w:styleId="E12930642F76417995E81D655E9BC5E9">
    <w:name w:val="E12930642F76417995E81D655E9BC5E9"/>
    <w:rsid w:val="00EA69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18948-22</Nr_x002e__x0020_akti>
    <Data_x0020_e_x0020_Krijimit xmlns="0e656187-b300-4fb0-8bf4-3a50f872073c">2025-05-07T14:51:20Z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2025-05-07T00:00:00Z</Date_x0020_protokolli>
    <Titulli xmlns="0e656187-b300-4fb0-8bf4-3a50f872073c">Çështja Bukurije Pertrela dhe të Tjerët kundër Shqipërisë</Titulli>
    <Modifikuesi xmlns="0e656187-b300-4fb0-8bf4-3a50f872073c">Amarilda.Muja</Modifikuesi>
    <Nr_x002e__x0020_prot_x0020_QBZ xmlns="0e656187-b300-4fb0-8bf4-3a50f872073c">737/1</Nr_x002e__x0020_prot_x0020_QBZ>
    <Data_x0020_e_x0020_Modifikimit xmlns="0e656187-b300-4fb0-8bf4-3a50f872073c">2025-05-08T10:48:47Z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2401/1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6EFC3486374BF29B1A67BA3D2D1E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E69BD-1877-4EBB-A2C1-20FDAD0D883A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2116874-7BD4-4FCF-ABFB-66AFE512F2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10A260-7F96-4BE6-93EC-2C620694D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016817-BC91-49BF-A26F-10531897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2062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Bukurije Pertrela dhe të Tjerët kundër Shqipërisë</vt:lpstr>
    </vt:vector>
  </TitlesOfParts>
  <Company/>
  <LinksUpToDate>false</LinksUpToDate>
  <CharactersWithSpaces>13789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Bukurije Pertrela dhe të Tjerët kundër Shqipërisë</dc:title>
  <dc:subject>DC</dc:subject>
  <cp:lastModifiedBy/>
  <cp:revision>1</cp:revision>
  <dcterms:created xsi:type="dcterms:W3CDTF">2025-04-22T13:17:00Z</dcterms:created>
  <dcterms:modified xsi:type="dcterms:W3CDTF">2025-05-08T10:05:00Z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1730256</vt:lpwstr>
  </property>
  <property fmtid="{D5CDD505-2E9C-101B-9397-08002B2CF9AE}" pid="3" name="cstLanguage">
    <vt:i4>2057</vt:i4>
  </property>
  <property fmtid="{D5CDD505-2E9C-101B-9397-08002B2CF9AE}" pid="4" name="RegisteredNo">
    <vt:lpwstr>18948/22</vt:lpwstr>
  </property>
</Properties>
</file>