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130E86" w14:textId="77777777" w:rsidR="008419ED" w:rsidRPr="008419ED" w:rsidRDefault="008419ED" w:rsidP="008419ED">
      <w:pPr>
        <w:autoSpaceDE w:val="0"/>
        <w:autoSpaceDN w:val="0"/>
        <w:adjustRightInd w:val="0"/>
        <w:spacing w:after="0" w:line="240" w:lineRule="auto"/>
        <w:ind w:firstLine="284"/>
        <w:jc w:val="center"/>
        <w:rPr>
          <w:rFonts w:ascii="Garamond" w:eastAsiaTheme="minorHAnsi" w:hAnsi="Garamond" w:cs="Garamond"/>
          <w:color w:val="000000"/>
          <w:sz w:val="24"/>
          <w:szCs w:val="24"/>
          <w:lang w:val="sq-AL"/>
          <w14:ligatures w14:val="standardContextual"/>
        </w:rPr>
      </w:pPr>
      <w:r w:rsidRPr="008419ED">
        <w:rPr>
          <w:rFonts w:ascii="Garamond" w:eastAsiaTheme="minorHAnsi" w:hAnsi="Garamond" w:cs="Garamond"/>
          <w:color w:val="000000"/>
          <w:sz w:val="24"/>
          <w:szCs w:val="24"/>
          <w:lang w:val="sq-AL"/>
          <w14:ligatures w14:val="standardContextual"/>
        </w:rPr>
        <w:t>GJYKATA EVROPIANE E TË DREJTAVE TË NJERIUT</w:t>
      </w:r>
    </w:p>
    <w:p w14:paraId="180FCD74" w14:textId="161217A2" w:rsidR="008419ED" w:rsidRDefault="008419ED" w:rsidP="008419ED">
      <w:pPr>
        <w:tabs>
          <w:tab w:val="left" w:pos="5520"/>
        </w:tabs>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SEKSIONI I TRETË</w:t>
      </w:r>
    </w:p>
    <w:p w14:paraId="4F214CDD" w14:textId="77777777" w:rsidR="00EF023D" w:rsidRPr="008419ED" w:rsidRDefault="00EF023D" w:rsidP="008419ED">
      <w:pPr>
        <w:tabs>
          <w:tab w:val="left" w:pos="5520"/>
        </w:tabs>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p>
    <w:p w14:paraId="31498DB8" w14:textId="77777777" w:rsidR="008419ED" w:rsidRPr="008419ED" w:rsidRDefault="008419ED" w:rsidP="008419ED">
      <w:pPr>
        <w:autoSpaceDE w:val="0"/>
        <w:autoSpaceDN w:val="0"/>
        <w:adjustRightInd w:val="0"/>
        <w:spacing w:after="0" w:line="240" w:lineRule="auto"/>
        <w:ind w:firstLine="284"/>
        <w:jc w:val="center"/>
        <w:rPr>
          <w:rFonts w:ascii="Garamond" w:eastAsiaTheme="minorHAnsi" w:hAnsi="Garamond"/>
          <w:b/>
          <w:bCs/>
          <w:color w:val="000000"/>
          <w:sz w:val="24"/>
          <w:szCs w:val="24"/>
          <w:lang w:val="sq-AL"/>
          <w14:ligatures w14:val="standardContextual"/>
        </w:rPr>
      </w:pPr>
      <w:r w:rsidRPr="008419ED">
        <w:rPr>
          <w:rFonts w:ascii="Garamond" w:eastAsiaTheme="minorHAnsi" w:hAnsi="Garamond"/>
          <w:b/>
          <w:bCs/>
          <w:color w:val="000000"/>
          <w:sz w:val="24"/>
          <w:szCs w:val="24"/>
          <w:lang w:val="sq-AL"/>
          <w14:ligatures w14:val="standardContextual"/>
        </w:rPr>
        <w:t>ÇËSHTJA ARB SHPK DHE TË TJERË KUNDËR SHQIPËRISË</w:t>
      </w:r>
    </w:p>
    <w:p w14:paraId="6DCE969F" w14:textId="77777777" w:rsidR="008419ED" w:rsidRPr="008419ED" w:rsidRDefault="008419ED" w:rsidP="008419ED">
      <w:pPr>
        <w:autoSpaceDE w:val="0"/>
        <w:autoSpaceDN w:val="0"/>
        <w:adjustRightInd w:val="0"/>
        <w:spacing w:after="0" w:line="240" w:lineRule="auto"/>
        <w:ind w:firstLine="284"/>
        <w:jc w:val="center"/>
        <w:rPr>
          <w:rFonts w:ascii="Garamond" w:eastAsiaTheme="minorHAnsi" w:hAnsi="Garamond"/>
          <w:i/>
          <w:iCs/>
          <w:color w:val="000000"/>
          <w:sz w:val="24"/>
          <w:szCs w:val="24"/>
          <w:lang w:val="sq-AL"/>
          <w14:ligatures w14:val="standardContextual"/>
        </w:rPr>
      </w:pPr>
      <w:r w:rsidRPr="008419ED">
        <w:rPr>
          <w:rFonts w:ascii="Garamond" w:eastAsiaTheme="minorHAnsi" w:hAnsi="Garamond"/>
          <w:i/>
          <w:iCs/>
          <w:color w:val="000000"/>
          <w:sz w:val="24"/>
          <w:szCs w:val="24"/>
          <w:lang w:val="sq-AL"/>
          <w14:ligatures w14:val="standardContextual"/>
        </w:rPr>
        <w:t>(Kërkesat nr. 39860/19 dhe 3 të tjera – shih listën bashkëlidhur)</w:t>
      </w:r>
    </w:p>
    <w:p w14:paraId="6C5AF104" w14:textId="77777777" w:rsidR="008419ED" w:rsidRDefault="008419ED" w:rsidP="008419ED">
      <w:pPr>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p>
    <w:p w14:paraId="2975363E" w14:textId="4B8E8ECE" w:rsidR="008419ED" w:rsidRDefault="008419ED" w:rsidP="008419ED">
      <w:pPr>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VENDIM</w:t>
      </w:r>
    </w:p>
    <w:p w14:paraId="37094A7B" w14:textId="77777777" w:rsidR="00EF023D" w:rsidRPr="008419ED" w:rsidRDefault="00EF023D" w:rsidP="008419ED">
      <w:pPr>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p>
    <w:tbl>
      <w:tblPr>
        <w:tblStyle w:val="TableGrid"/>
        <w:tblW w:w="0" w:type="auto"/>
        <w:tblLook w:val="04A0" w:firstRow="1" w:lastRow="0" w:firstColumn="1" w:lastColumn="0" w:noHBand="0" w:noVBand="1"/>
      </w:tblPr>
      <w:tblGrid>
        <w:gridCol w:w="9061"/>
      </w:tblGrid>
      <w:tr w:rsidR="00FF0BBE" w14:paraId="4C389614" w14:textId="77777777" w:rsidTr="00FF0BBE">
        <w:tc>
          <w:tcPr>
            <w:tcW w:w="9061" w:type="dxa"/>
          </w:tcPr>
          <w:p w14:paraId="67AC32C1" w14:textId="7C79D1EF" w:rsidR="00B92915" w:rsidRPr="0075710A" w:rsidRDefault="00FF0BBE" w:rsidP="00FF0BBE">
            <w:pPr>
              <w:tabs>
                <w:tab w:val="left" w:pos="9061"/>
              </w:tabs>
              <w:autoSpaceDE w:val="0"/>
              <w:autoSpaceDN w:val="0"/>
              <w:adjustRightInd w:val="0"/>
              <w:spacing w:after="0" w:line="240" w:lineRule="auto"/>
              <w:ind w:firstLine="284"/>
              <w:jc w:val="both"/>
              <w:rPr>
                <w:rFonts w:ascii="Garamond" w:eastAsiaTheme="minorHAnsi" w:hAnsi="Garamond"/>
                <w:color w:val="000000"/>
                <w:szCs w:val="24"/>
                <w:lang w:val="sq-AL"/>
                <w14:ligatures w14:val="standardContextual"/>
              </w:rPr>
            </w:pPr>
            <w:r w:rsidRPr="0075710A">
              <w:rPr>
                <w:rFonts w:ascii="Garamond" w:eastAsiaTheme="minorHAnsi" w:hAnsi="Garamond"/>
                <w:color w:val="000000"/>
                <w:szCs w:val="24"/>
                <w:lang w:val="sq-AL"/>
                <w14:ligatures w14:val="standardContextual"/>
              </w:rPr>
              <w:t>Neni 6</w:t>
            </w:r>
            <w:r w:rsidR="008E491E">
              <w:rPr>
                <w:rFonts w:ascii="Garamond" w:eastAsiaTheme="minorHAnsi" w:hAnsi="Garamond"/>
                <w:color w:val="000000"/>
                <w:szCs w:val="24"/>
                <w:lang w:val="sq-AL"/>
                <w14:ligatures w14:val="standardContextual"/>
              </w:rPr>
              <w:t>§</w:t>
            </w:r>
            <w:r w:rsidRPr="0075710A">
              <w:rPr>
                <w:rFonts w:ascii="Garamond" w:eastAsiaTheme="minorHAnsi" w:hAnsi="Garamond"/>
                <w:color w:val="000000"/>
                <w:szCs w:val="24"/>
                <w:lang w:val="sq-AL"/>
                <w14:ligatures w14:val="standardContextual"/>
              </w:rPr>
              <w:t>1 (civil) – Në kërkesën e tretë, kërkuesi nuk bëri apelim kushtetues për kohëzgjatjen e proceduarve, një mjet me mundësi për të qenë efikas – Mosshterim i mjeteve vendase – Neni 13 – Mjet efektiv – Qartazi i pambështetur në fakte</w:t>
            </w:r>
          </w:p>
          <w:p w14:paraId="297EE07E" w14:textId="4A6280FA" w:rsidR="00B92915" w:rsidRPr="0075710A" w:rsidRDefault="00FF0BBE" w:rsidP="00FF0BBE">
            <w:pPr>
              <w:tabs>
                <w:tab w:val="left" w:pos="9061"/>
              </w:tabs>
              <w:autoSpaceDE w:val="0"/>
              <w:autoSpaceDN w:val="0"/>
              <w:adjustRightInd w:val="0"/>
              <w:spacing w:after="0" w:line="240" w:lineRule="auto"/>
              <w:ind w:firstLine="284"/>
              <w:jc w:val="both"/>
              <w:rPr>
                <w:rFonts w:ascii="Garamond" w:eastAsiaTheme="minorHAnsi" w:hAnsi="Garamond"/>
                <w:color w:val="000000"/>
                <w:szCs w:val="24"/>
                <w:lang w:val="sq-AL"/>
                <w14:ligatures w14:val="standardContextual"/>
              </w:rPr>
            </w:pPr>
            <w:r w:rsidRPr="0075710A">
              <w:rPr>
                <w:rFonts w:ascii="Garamond" w:eastAsiaTheme="minorHAnsi" w:hAnsi="Garamond"/>
                <w:color w:val="000000"/>
                <w:szCs w:val="24"/>
                <w:lang w:val="sq-AL"/>
                <w14:ligatures w14:val="standardContextual"/>
              </w:rPr>
              <w:t>Neni 6</w:t>
            </w:r>
            <w:r w:rsidR="008E491E">
              <w:rPr>
                <w:rFonts w:ascii="Garamond" w:eastAsiaTheme="minorHAnsi" w:hAnsi="Garamond"/>
                <w:color w:val="000000"/>
                <w:szCs w:val="24"/>
                <w:lang w:val="sq-AL"/>
                <w14:ligatures w14:val="standardContextual"/>
              </w:rPr>
              <w:t>§</w:t>
            </w:r>
            <w:r w:rsidRPr="0075710A">
              <w:rPr>
                <w:rFonts w:ascii="Garamond" w:eastAsiaTheme="minorHAnsi" w:hAnsi="Garamond"/>
                <w:color w:val="000000"/>
                <w:szCs w:val="24"/>
                <w:lang w:val="sq-AL"/>
                <w14:ligatures w14:val="standardContextual"/>
              </w:rPr>
              <w:t>1 (civil) – Kohëzgjatje e paarsyeshme e procedurave pranë Gjykatës së Lartë në lidhje me kërkesën e parë dhe të dytë – Neni 13 – Mjet efektiv për ankesat në lidhje me kohëzgjatjen e tepërt – I pambështetur në fakte</w:t>
            </w:r>
          </w:p>
          <w:p w14:paraId="061B84E2" w14:textId="548B46AC" w:rsidR="00B92915" w:rsidRPr="0075710A" w:rsidRDefault="00FF0BBE" w:rsidP="00FF0BBE">
            <w:pPr>
              <w:tabs>
                <w:tab w:val="left" w:pos="9061"/>
              </w:tabs>
              <w:autoSpaceDE w:val="0"/>
              <w:autoSpaceDN w:val="0"/>
              <w:adjustRightInd w:val="0"/>
              <w:spacing w:after="0" w:line="240" w:lineRule="auto"/>
              <w:ind w:firstLine="284"/>
              <w:jc w:val="both"/>
              <w:rPr>
                <w:rFonts w:ascii="Garamond" w:eastAsiaTheme="minorHAnsi" w:hAnsi="Garamond"/>
                <w:color w:val="000000"/>
                <w:szCs w:val="24"/>
                <w:lang w:val="sq-AL"/>
                <w14:ligatures w14:val="standardContextual"/>
              </w:rPr>
            </w:pPr>
            <w:r w:rsidRPr="0075710A">
              <w:rPr>
                <w:rFonts w:ascii="Garamond" w:eastAsiaTheme="minorHAnsi" w:hAnsi="Garamond"/>
                <w:color w:val="000000"/>
                <w:szCs w:val="24"/>
                <w:lang w:val="sq-AL"/>
                <w14:ligatures w14:val="standardContextual"/>
              </w:rPr>
              <w:t>Neni 6</w:t>
            </w:r>
            <w:r w:rsidR="008E491E">
              <w:rPr>
                <w:rFonts w:ascii="Garamond" w:eastAsiaTheme="minorHAnsi" w:hAnsi="Garamond"/>
                <w:color w:val="000000"/>
                <w:szCs w:val="24"/>
                <w:lang w:val="sq-AL"/>
                <w14:ligatures w14:val="standardContextual"/>
              </w:rPr>
              <w:t>§</w:t>
            </w:r>
            <w:r w:rsidRPr="0075710A">
              <w:rPr>
                <w:rFonts w:ascii="Garamond" w:eastAsiaTheme="minorHAnsi" w:hAnsi="Garamond"/>
                <w:color w:val="000000"/>
                <w:szCs w:val="24"/>
                <w:lang w:val="sq-AL"/>
                <w14:ligatures w14:val="standardContextual"/>
              </w:rPr>
              <w:t>1 (civil) – Vonesë e tepërt për procedurat në lidhje me mjetin përshpejtues/parandalues dhe kompensues për kohëzgjatjen e procedurave të kërkesës së katërt – Neni 13 – Mungesa e një mjeti efektiv</w:t>
            </w:r>
          </w:p>
          <w:p w14:paraId="19F0BA4E" w14:textId="77777777" w:rsidR="0075710A" w:rsidRDefault="00FF0BBE" w:rsidP="00FF0BBE">
            <w:pPr>
              <w:tabs>
                <w:tab w:val="left" w:pos="9061"/>
              </w:tabs>
              <w:autoSpaceDE w:val="0"/>
              <w:autoSpaceDN w:val="0"/>
              <w:adjustRightInd w:val="0"/>
              <w:spacing w:after="0" w:line="240" w:lineRule="auto"/>
              <w:ind w:firstLine="284"/>
              <w:jc w:val="both"/>
              <w:rPr>
                <w:rFonts w:ascii="Garamond" w:eastAsiaTheme="minorHAnsi" w:hAnsi="Garamond"/>
                <w:color w:val="000000"/>
                <w:szCs w:val="24"/>
                <w:lang w:val="sq-AL"/>
                <w14:ligatures w14:val="standardContextual"/>
              </w:rPr>
            </w:pPr>
            <w:r w:rsidRPr="0075710A">
              <w:rPr>
                <w:rFonts w:ascii="Garamond" w:eastAsiaTheme="minorHAnsi" w:hAnsi="Garamond"/>
                <w:color w:val="000000"/>
                <w:szCs w:val="24"/>
                <w:lang w:val="sq-AL"/>
                <w14:ligatures w14:val="standardContextual"/>
              </w:rPr>
              <w:t>Neni 46 – Ekzekutimi i vendimit – Masat e përgjithshme – Autoritetet vendase të vijojnë përpjekjet e tyre për të parandaluar shkeljet e kërkesës për “afat të arsyeshëm” dhe për të shqyrtuar efikasitetin praktik të mjetit kompensues</w:t>
            </w:r>
          </w:p>
          <w:p w14:paraId="521A0B84" w14:textId="582B8DEE" w:rsidR="00FF0BBE" w:rsidRDefault="00FF0BBE" w:rsidP="004F2906">
            <w:pPr>
              <w:tabs>
                <w:tab w:val="left" w:pos="9061"/>
              </w:tabs>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r w:rsidRPr="0075710A">
              <w:rPr>
                <w:rFonts w:ascii="Garamond" w:eastAsiaTheme="minorHAnsi" w:hAnsi="Garamond"/>
                <w:color w:val="000000"/>
                <w:szCs w:val="24"/>
                <w:lang w:val="sq-AL"/>
                <w14:ligatures w14:val="standardContextual"/>
              </w:rPr>
              <w:t>Përgatitur nga Regjistri. Nuk është detyrues për Gjykatën.</w:t>
            </w:r>
          </w:p>
        </w:tc>
      </w:tr>
    </w:tbl>
    <w:p w14:paraId="756F42D5" w14:textId="77777777" w:rsidR="008419ED" w:rsidRDefault="008419ED" w:rsidP="008419ED">
      <w:pPr>
        <w:tabs>
          <w:tab w:val="left" w:pos="9061"/>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p>
    <w:p w14:paraId="1A104C4B" w14:textId="77777777" w:rsidR="008419ED" w:rsidRPr="008419ED" w:rsidRDefault="008419ED" w:rsidP="00FF0BBE">
      <w:pPr>
        <w:tabs>
          <w:tab w:val="left" w:pos="9061"/>
        </w:tabs>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STRASBURG</w:t>
      </w:r>
    </w:p>
    <w:p w14:paraId="7E4BA405" w14:textId="47ACA14F" w:rsidR="008419ED" w:rsidRDefault="008419ED" w:rsidP="00FF0BBE">
      <w:pPr>
        <w:tabs>
          <w:tab w:val="left" w:pos="9061"/>
        </w:tabs>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27 </w:t>
      </w:r>
      <w:r w:rsidR="0027326B" w:rsidRPr="008419ED">
        <w:rPr>
          <w:rFonts w:ascii="Garamond" w:eastAsiaTheme="minorHAnsi" w:hAnsi="Garamond"/>
          <w:color w:val="000000"/>
          <w:sz w:val="24"/>
          <w:szCs w:val="24"/>
          <w:lang w:val="sq-AL"/>
          <w14:ligatures w14:val="standardContextual"/>
        </w:rPr>
        <w:t xml:space="preserve">maj </w:t>
      </w:r>
      <w:r w:rsidRPr="008419ED">
        <w:rPr>
          <w:rFonts w:ascii="Garamond" w:eastAsiaTheme="minorHAnsi" w:hAnsi="Garamond"/>
          <w:color w:val="000000"/>
          <w:sz w:val="24"/>
          <w:szCs w:val="24"/>
          <w:lang w:val="sq-AL"/>
          <w14:ligatures w14:val="standardContextual"/>
        </w:rPr>
        <w:t>2025</w:t>
      </w:r>
    </w:p>
    <w:p w14:paraId="44B53DA6" w14:textId="77777777" w:rsidR="00F55DA8" w:rsidRPr="008419ED" w:rsidRDefault="00F55DA8" w:rsidP="00FF0BBE">
      <w:pPr>
        <w:tabs>
          <w:tab w:val="left" w:pos="9061"/>
        </w:tabs>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p>
    <w:p w14:paraId="36E05EA9" w14:textId="552EB8F1" w:rsidR="008419ED" w:rsidRPr="008419ED" w:rsidRDefault="008419ED" w:rsidP="00FF0BBE">
      <w:pPr>
        <w:autoSpaceDE w:val="0"/>
        <w:autoSpaceDN w:val="0"/>
        <w:adjustRightInd w:val="0"/>
        <w:spacing w:after="0" w:line="240" w:lineRule="auto"/>
        <w:ind w:firstLine="284"/>
        <w:jc w:val="center"/>
        <w:rPr>
          <w:rFonts w:ascii="Garamond" w:eastAsiaTheme="minorHAnsi" w:hAnsi="Garamond"/>
          <w:i/>
          <w:iCs/>
          <w:color w:val="000000"/>
          <w:sz w:val="24"/>
          <w:szCs w:val="24"/>
          <w:lang w:val="sq-AL"/>
          <w14:ligatures w14:val="standardContextual"/>
        </w:rPr>
      </w:pPr>
      <w:r w:rsidRPr="008419ED">
        <w:rPr>
          <w:rFonts w:ascii="Garamond" w:eastAsiaTheme="minorHAnsi" w:hAnsi="Garamond"/>
          <w:i/>
          <w:iCs/>
          <w:color w:val="000000"/>
          <w:sz w:val="24"/>
          <w:szCs w:val="24"/>
          <w:lang w:val="sq-AL"/>
          <w14:ligatures w14:val="standardContextual"/>
        </w:rPr>
        <w:t xml:space="preserve">Ky vendim do të bëhet përfundimtar sipas rrethanave të parashikuara në </w:t>
      </w:r>
      <w:r w:rsidR="0027326B" w:rsidRPr="008419ED">
        <w:rPr>
          <w:rFonts w:ascii="Garamond" w:eastAsiaTheme="minorHAnsi" w:hAnsi="Garamond"/>
          <w:i/>
          <w:iCs/>
          <w:color w:val="000000"/>
          <w:sz w:val="24"/>
          <w:szCs w:val="24"/>
          <w:lang w:val="sq-AL"/>
          <w14:ligatures w14:val="standardContextual"/>
        </w:rPr>
        <w:t xml:space="preserve">nenin </w:t>
      </w:r>
      <w:r w:rsidRPr="008419ED">
        <w:rPr>
          <w:rFonts w:ascii="Garamond" w:eastAsiaTheme="minorHAnsi" w:hAnsi="Garamond"/>
          <w:i/>
          <w:iCs/>
          <w:color w:val="000000"/>
          <w:sz w:val="24"/>
          <w:szCs w:val="24"/>
          <w:lang w:val="sq-AL"/>
          <w14:ligatures w14:val="standardContextual"/>
        </w:rPr>
        <w:t>44</w:t>
      </w:r>
      <w:r w:rsidR="008E491E">
        <w:rPr>
          <w:rFonts w:ascii="Garamond" w:eastAsiaTheme="minorHAnsi" w:hAnsi="Garamond"/>
          <w:i/>
          <w:iCs/>
          <w:color w:val="000000"/>
          <w:sz w:val="24"/>
          <w:szCs w:val="24"/>
          <w:lang w:val="sq-AL"/>
          <w14:ligatures w14:val="standardContextual"/>
        </w:rPr>
        <w:t>§</w:t>
      </w:r>
      <w:r w:rsidRPr="008419ED">
        <w:rPr>
          <w:rFonts w:ascii="Garamond" w:eastAsiaTheme="minorHAnsi" w:hAnsi="Garamond"/>
          <w:i/>
          <w:iCs/>
          <w:color w:val="000000"/>
          <w:sz w:val="24"/>
          <w:szCs w:val="24"/>
          <w:lang w:val="sq-AL"/>
          <w14:ligatures w14:val="standardContextual"/>
        </w:rPr>
        <w:t>2 të Konventës. Ai mund të bëhet subjekt i rishikimit redaktues.</w:t>
      </w:r>
    </w:p>
    <w:p w14:paraId="589C4333" w14:textId="77777777" w:rsidR="008419ED" w:rsidRPr="008419ED" w:rsidRDefault="008419ED" w:rsidP="008419E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p>
    <w:p w14:paraId="78803D96" w14:textId="54C31E2C" w:rsidR="008419ED" w:rsidRPr="008419ED" w:rsidRDefault="008419ED" w:rsidP="008419ED">
      <w:pPr>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8419ED">
        <w:rPr>
          <w:rFonts w:ascii="Garamond" w:eastAsiaTheme="minorHAnsi" w:hAnsi="Garamond"/>
          <w:b/>
          <w:bCs/>
          <w:color w:val="000000"/>
          <w:sz w:val="24"/>
          <w:szCs w:val="24"/>
          <w:lang w:val="sq-AL"/>
          <w14:ligatures w14:val="standardContextual"/>
        </w:rPr>
        <w:t xml:space="preserve">Në çështjen ARB SHPK dhe të </w:t>
      </w:r>
      <w:r w:rsidR="0027326B" w:rsidRPr="008419ED">
        <w:rPr>
          <w:rFonts w:ascii="Garamond" w:eastAsiaTheme="minorHAnsi" w:hAnsi="Garamond"/>
          <w:b/>
          <w:bCs/>
          <w:color w:val="000000"/>
          <w:sz w:val="24"/>
          <w:szCs w:val="24"/>
          <w:lang w:val="sq-AL"/>
          <w14:ligatures w14:val="standardContextual"/>
        </w:rPr>
        <w:t xml:space="preserve">tjerë </w:t>
      </w:r>
      <w:r w:rsidRPr="008419ED">
        <w:rPr>
          <w:rFonts w:ascii="Garamond" w:eastAsiaTheme="minorHAnsi" w:hAnsi="Garamond"/>
          <w:b/>
          <w:bCs/>
          <w:color w:val="000000"/>
          <w:sz w:val="24"/>
          <w:szCs w:val="24"/>
          <w:lang w:val="sq-AL"/>
          <w14:ligatures w14:val="standardContextual"/>
        </w:rPr>
        <w:t>kundër Shqipërisë</w:t>
      </w:r>
    </w:p>
    <w:p w14:paraId="6AC78F76" w14:textId="360DE187" w:rsidR="008419ED" w:rsidRPr="008419ED" w:rsidRDefault="008419ED" w:rsidP="008419E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Gjykata Evropiane e të Drejtave të Njeriut (Seksioni i Tretë), e mbledhur si një Dhomë</w:t>
      </w:r>
      <w:r w:rsidR="008A2F1D">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 e përbërë nga: </w:t>
      </w:r>
    </w:p>
    <w:p w14:paraId="04D79855" w14:textId="76777335" w:rsidR="008419ED" w:rsidRPr="008419ED" w:rsidRDefault="008419ED" w:rsidP="008419ED">
      <w:pPr>
        <w:tabs>
          <w:tab w:val="left" w:pos="560"/>
          <w:tab w:val="left" w:pos="1120"/>
        </w:tabs>
        <w:autoSpaceDE w:val="0"/>
        <w:autoSpaceDN w:val="0"/>
        <w:adjustRightInd w:val="0"/>
        <w:spacing w:after="0" w:line="240" w:lineRule="auto"/>
        <w:ind w:firstLine="284"/>
        <w:rPr>
          <w:rFonts w:ascii="Garamond" w:eastAsiaTheme="minorHAnsi" w:hAnsi="Garamond"/>
          <w:i/>
          <w:iCs/>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Ioannis Ktistakis,</w:t>
      </w:r>
      <w:r w:rsidRPr="008419ED">
        <w:rPr>
          <w:rFonts w:ascii="Garamond" w:eastAsiaTheme="minorHAnsi" w:hAnsi="Garamond"/>
          <w:i/>
          <w:iCs/>
          <w:color w:val="000000"/>
          <w:sz w:val="24"/>
          <w:szCs w:val="24"/>
          <w:lang w:val="sq-AL"/>
          <w14:ligatures w14:val="standardContextual"/>
        </w:rPr>
        <w:t xml:space="preserve"> </w:t>
      </w:r>
      <w:r w:rsidR="00753882" w:rsidRPr="008419ED">
        <w:rPr>
          <w:rFonts w:ascii="Garamond" w:eastAsiaTheme="minorHAnsi" w:hAnsi="Garamond"/>
          <w:i/>
          <w:iCs/>
          <w:color w:val="000000"/>
          <w:sz w:val="24"/>
          <w:szCs w:val="24"/>
          <w:lang w:val="sq-AL"/>
          <w14:ligatures w14:val="standardContextual"/>
        </w:rPr>
        <w:t>kryetar</w:t>
      </w:r>
      <w:r w:rsidRPr="008419ED">
        <w:rPr>
          <w:rFonts w:ascii="Garamond" w:eastAsiaTheme="minorHAnsi" w:hAnsi="Garamond"/>
          <w:i/>
          <w:iCs/>
          <w:color w:val="000000"/>
          <w:sz w:val="24"/>
          <w:szCs w:val="24"/>
          <w:lang w:val="sq-AL"/>
          <w14:ligatures w14:val="standardContextual"/>
        </w:rPr>
        <w:t>,</w:t>
      </w:r>
    </w:p>
    <w:p w14:paraId="5DFBAF19" w14:textId="7B047E8A" w:rsidR="008419ED" w:rsidRPr="008419ED" w:rsidRDefault="008419ED" w:rsidP="008419ED">
      <w:pPr>
        <w:tabs>
          <w:tab w:val="left" w:pos="560"/>
          <w:tab w:val="left" w:pos="1120"/>
        </w:tabs>
        <w:autoSpaceDE w:val="0"/>
        <w:autoSpaceDN w:val="0"/>
        <w:adjustRightInd w:val="0"/>
        <w:spacing w:after="0" w:line="240" w:lineRule="auto"/>
        <w:ind w:firstLine="284"/>
        <w:rPr>
          <w:rFonts w:ascii="Garamond" w:eastAsiaTheme="minorHAnsi" w:hAnsi="Garamond"/>
          <w:i/>
          <w:iCs/>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L</w:t>
      </w:r>
      <w:r w:rsidR="004855EC" w:rsidRPr="008E491E">
        <w:rPr>
          <w:rFonts w:ascii="Times New Roman" w:eastAsiaTheme="minorHAnsi" w:hAnsi="Times New Roman"/>
          <w:color w:val="000000"/>
          <w:sz w:val="24"/>
          <w:szCs w:val="24"/>
          <w:lang w:val="sq-AL"/>
          <w14:ligatures w14:val="standardContextual"/>
        </w:rPr>
        <w:t>ə</w:t>
      </w:r>
      <w:r w:rsidRPr="008419ED">
        <w:rPr>
          <w:rFonts w:ascii="Garamond" w:eastAsiaTheme="minorHAnsi" w:hAnsi="Garamond"/>
          <w:color w:val="000000"/>
          <w:sz w:val="24"/>
          <w:szCs w:val="24"/>
          <w:lang w:val="sq-AL"/>
          <w14:ligatures w14:val="standardContextual"/>
        </w:rPr>
        <w:t>tif Hüseynov,</w:t>
      </w:r>
    </w:p>
    <w:p w14:paraId="1B793118" w14:textId="28CA7C04" w:rsidR="008419ED" w:rsidRPr="008419ED" w:rsidRDefault="008419ED" w:rsidP="008419ED">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Darian Pavli,</w:t>
      </w:r>
    </w:p>
    <w:p w14:paraId="135D257C" w14:textId="15423A7D" w:rsidR="008419ED" w:rsidRPr="008419ED" w:rsidRDefault="008419ED" w:rsidP="008419ED">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Oddný Mjöll Arnardóttir,</w:t>
      </w:r>
      <w:r w:rsidRPr="008419ED">
        <w:rPr>
          <w:rFonts w:ascii="Garamond" w:eastAsiaTheme="minorHAnsi" w:hAnsi="Garamond"/>
          <w:i/>
          <w:iCs/>
          <w:color w:val="000000"/>
          <w:sz w:val="24"/>
          <w:szCs w:val="24"/>
          <w:lang w:val="sq-AL"/>
          <w14:ligatures w14:val="standardContextual"/>
        </w:rPr>
        <w:t xml:space="preserve"> </w:t>
      </w:r>
    </w:p>
    <w:p w14:paraId="7773CFA0" w14:textId="04BE57FD" w:rsidR="008419ED" w:rsidRPr="008419ED" w:rsidRDefault="008419ED" w:rsidP="008419ED">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Úna Ní Raifeartaigh, </w:t>
      </w:r>
    </w:p>
    <w:p w14:paraId="30F11534" w14:textId="6C90A95D" w:rsidR="008419ED" w:rsidRPr="008419ED" w:rsidRDefault="008419ED" w:rsidP="008419ED">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Mateja Ðurović, </w:t>
      </w:r>
    </w:p>
    <w:p w14:paraId="2BC72AE8" w14:textId="6F5D624A" w:rsidR="008419ED" w:rsidRPr="008419ED" w:rsidRDefault="008419ED" w:rsidP="008419ED">
      <w:pPr>
        <w:tabs>
          <w:tab w:val="left" w:pos="560"/>
          <w:tab w:val="left" w:pos="1120"/>
        </w:tabs>
        <w:autoSpaceDE w:val="0"/>
        <w:autoSpaceDN w:val="0"/>
        <w:adjustRightInd w:val="0"/>
        <w:spacing w:after="0" w:line="240" w:lineRule="auto"/>
        <w:ind w:firstLine="284"/>
        <w:rPr>
          <w:rFonts w:ascii="Garamond" w:eastAsiaTheme="minorHAnsi" w:hAnsi="Garamond"/>
          <w:i/>
          <w:iCs/>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Canòlic Mingorance Cairat, </w:t>
      </w:r>
      <w:r w:rsidRPr="008419ED">
        <w:rPr>
          <w:rFonts w:ascii="Garamond" w:eastAsiaTheme="minorHAnsi" w:hAnsi="Garamond"/>
          <w:i/>
          <w:iCs/>
          <w:color w:val="000000"/>
          <w:sz w:val="24"/>
          <w:szCs w:val="24"/>
          <w:lang w:val="sq-AL"/>
          <w14:ligatures w14:val="standardContextual"/>
        </w:rPr>
        <w:t>gjyqtarë</w:t>
      </w:r>
    </w:p>
    <w:p w14:paraId="12C5D6E8" w14:textId="22CBC7E2" w:rsidR="008419ED" w:rsidRPr="008419ED" w:rsidRDefault="008419ED" w:rsidP="008419ED">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dhe Milan Blaško, </w:t>
      </w:r>
      <w:r w:rsidR="00753882" w:rsidRPr="008419ED">
        <w:rPr>
          <w:rFonts w:ascii="Garamond" w:eastAsiaTheme="minorHAnsi" w:hAnsi="Garamond"/>
          <w:i/>
          <w:iCs/>
          <w:color w:val="000000"/>
          <w:sz w:val="24"/>
          <w:szCs w:val="24"/>
          <w:lang w:val="sq-AL"/>
          <w14:ligatures w14:val="standardContextual"/>
        </w:rPr>
        <w:t xml:space="preserve">regjistrar </w:t>
      </w:r>
      <w:r w:rsidRPr="008419ED">
        <w:rPr>
          <w:rFonts w:ascii="Garamond" w:eastAsiaTheme="minorHAnsi" w:hAnsi="Garamond"/>
          <w:i/>
          <w:iCs/>
          <w:color w:val="000000"/>
          <w:sz w:val="24"/>
          <w:szCs w:val="24"/>
          <w:lang w:val="sq-AL"/>
          <w14:ligatures w14:val="standardContextual"/>
        </w:rPr>
        <w:t>i Seksionit,</w:t>
      </w:r>
    </w:p>
    <w:p w14:paraId="4AD246D7" w14:textId="13CE609F"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Duke mbajtur në konsideratë: </w:t>
      </w:r>
    </w:p>
    <w:p w14:paraId="7FF487A9" w14:textId="04823F98"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kërkesat (nr. 39869/19, 38996/20, 6142/22 dhe 27370/22) kundër Republikës së Shqipërisë paraqitur pranë Gjykatës në mbështetje të </w:t>
      </w:r>
      <w:r w:rsidR="001F14E5">
        <w:rPr>
          <w:rFonts w:ascii="Garamond" w:eastAsiaTheme="minorHAnsi" w:hAnsi="Garamond"/>
          <w:color w:val="000000"/>
          <w:sz w:val="24"/>
          <w:szCs w:val="24"/>
          <w:lang w:val="sq-AL"/>
          <w14:ligatures w14:val="standardContextual"/>
        </w:rPr>
        <w:t>n</w:t>
      </w:r>
      <w:r w:rsidRPr="008419ED">
        <w:rPr>
          <w:rFonts w:ascii="Garamond" w:eastAsiaTheme="minorHAnsi" w:hAnsi="Garamond"/>
          <w:color w:val="000000"/>
          <w:sz w:val="24"/>
          <w:szCs w:val="24"/>
          <w:lang w:val="sq-AL"/>
          <w14:ligatures w14:val="standardContextual"/>
        </w:rPr>
        <w:t>enit 34 të Konventës për Mbrojtjen e të Drejtave të Njeriut dhe Lirive Themelore (“Konventa”) nga ARB SHPK dhe dy të tjerë (“kërkuesit”), në data të ndryshme të paraqitura në tabelën bashkëlidhur;</w:t>
      </w:r>
    </w:p>
    <w:p w14:paraId="63054B43" w14:textId="48306AE9"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vendimin për të njoftuar Qeverinë shqiptare (“Qeveria”) për ankesat në mbështetje të </w:t>
      </w:r>
      <w:r w:rsidR="00E73208">
        <w:rPr>
          <w:rFonts w:ascii="Garamond" w:eastAsiaTheme="minorHAnsi" w:hAnsi="Garamond"/>
          <w:color w:val="000000"/>
          <w:sz w:val="24"/>
          <w:szCs w:val="24"/>
          <w:lang w:val="sq-AL"/>
          <w14:ligatures w14:val="standardContextual"/>
        </w:rPr>
        <w:t>n</w:t>
      </w:r>
      <w:r w:rsidRPr="008419ED">
        <w:rPr>
          <w:rFonts w:ascii="Garamond" w:eastAsiaTheme="minorHAnsi" w:hAnsi="Garamond"/>
          <w:color w:val="000000"/>
          <w:sz w:val="24"/>
          <w:szCs w:val="24"/>
          <w:lang w:val="sq-AL"/>
          <w14:ligatures w14:val="standardContextual"/>
        </w:rPr>
        <w:t>enit 6</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1 të Konventës dhe për të shpallur pjesën tjetër të kërkesave të papranueshme;</w:t>
      </w:r>
    </w:p>
    <w:p w14:paraId="5D2546B2" w14:textId="70B76F29"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vërejtjet e palëve;</w:t>
      </w:r>
    </w:p>
    <w:p w14:paraId="7A15F014" w14:textId="322280E4"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Pasi diskutoi me dyer të mbyllura më 29 </w:t>
      </w:r>
      <w:r w:rsidR="00D96BEC">
        <w:rPr>
          <w:rFonts w:ascii="Garamond" w:eastAsiaTheme="minorHAnsi" w:hAnsi="Garamond"/>
          <w:color w:val="000000"/>
          <w:sz w:val="24"/>
          <w:szCs w:val="24"/>
          <w:lang w:val="sq-AL"/>
          <w14:ligatures w14:val="standardContextual"/>
        </w:rPr>
        <w:t>p</w:t>
      </w:r>
      <w:r w:rsidRPr="008419ED">
        <w:rPr>
          <w:rFonts w:ascii="Garamond" w:eastAsiaTheme="minorHAnsi" w:hAnsi="Garamond"/>
          <w:color w:val="000000"/>
          <w:sz w:val="24"/>
          <w:szCs w:val="24"/>
          <w:lang w:val="sq-AL"/>
          <w14:ligatures w14:val="standardContextual"/>
        </w:rPr>
        <w:t xml:space="preserve">rill 2025, </w:t>
      </w:r>
    </w:p>
    <w:p w14:paraId="36A8322B" w14:textId="5F329246"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Shpall vendimin e mëposhtëm, që u miratua në të njëjtën datë: </w:t>
      </w:r>
    </w:p>
    <w:p w14:paraId="2F5F2E07" w14:textId="77777777"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HYRJE</w:t>
      </w:r>
    </w:p>
    <w:p w14:paraId="47ACB0E5" w14:textId="7521E9BA"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 Çështja ka të bëjë me ankesat e kërkuesve në lidhje me kohëzgjatjen e procedurave dhe efikasitetin e një mjeti që hyri në fuqi në vitin 2017 për të adresuar këto ankesa brenda vendit (“mjeti i vitit 2017”).  </w:t>
      </w:r>
    </w:p>
    <w:p w14:paraId="1018D395" w14:textId="77777777"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FAKTET</w:t>
      </w:r>
    </w:p>
    <w:p w14:paraId="0E1B02C2" w14:textId="5E5898FD"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2. Detajet e kërkuesve paraqiten në tabelën bashkëlidhur. </w:t>
      </w:r>
    </w:p>
    <w:p w14:paraId="3D45983B" w14:textId="657E60A2"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3. Qeveria u përfaqësua nga </w:t>
      </w:r>
      <w:r w:rsidR="003E5EE6">
        <w:rPr>
          <w:rFonts w:ascii="Garamond" w:eastAsiaTheme="minorHAnsi" w:hAnsi="Garamond"/>
          <w:color w:val="000000"/>
          <w:sz w:val="24"/>
          <w:szCs w:val="24"/>
          <w:lang w:val="sq-AL"/>
          <w14:ligatures w14:val="standardContextual"/>
        </w:rPr>
        <w:t>z</w:t>
      </w:r>
      <w:r w:rsidRPr="008419ED">
        <w:rPr>
          <w:rFonts w:ascii="Garamond" w:eastAsiaTheme="minorHAnsi" w:hAnsi="Garamond"/>
          <w:color w:val="000000"/>
          <w:sz w:val="24"/>
          <w:szCs w:val="24"/>
          <w:lang w:val="sq-AL"/>
          <w14:ligatures w14:val="standardContextual"/>
        </w:rPr>
        <w:t xml:space="preserve">. O. Moçka, </w:t>
      </w:r>
      <w:r w:rsidR="003E5EE6" w:rsidRPr="008419ED">
        <w:rPr>
          <w:rFonts w:ascii="Garamond" w:eastAsiaTheme="minorHAnsi" w:hAnsi="Garamond"/>
          <w:color w:val="000000"/>
          <w:sz w:val="24"/>
          <w:szCs w:val="24"/>
          <w:lang w:val="sq-AL"/>
          <w14:ligatures w14:val="standardContextual"/>
        </w:rPr>
        <w:t>avokat i përgjithshëm i shtetit</w:t>
      </w:r>
      <w:r w:rsidRPr="008419ED">
        <w:rPr>
          <w:rFonts w:ascii="Garamond" w:eastAsiaTheme="minorHAnsi" w:hAnsi="Garamond"/>
          <w:color w:val="000000"/>
          <w:sz w:val="24"/>
          <w:szCs w:val="24"/>
          <w:lang w:val="sq-AL"/>
          <w14:ligatures w14:val="standardContextual"/>
        </w:rPr>
        <w:t xml:space="preserve">. </w:t>
      </w:r>
    </w:p>
    <w:p w14:paraId="0D072C08" w14:textId="6E5A813B" w:rsidR="008419ED" w:rsidRPr="008419ED" w:rsidRDefault="008419ED" w:rsidP="008419E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lastRenderedPageBreak/>
        <w:t>I. KËRKESA E PARË: ARB SHPK kundër SHQIPËRISË (</w:t>
      </w:r>
      <w:r w:rsidR="003E5EE6">
        <w:rPr>
          <w:rFonts w:ascii="Garamond" w:eastAsiaTheme="minorHAnsi" w:hAnsi="Garamond"/>
          <w:color w:val="000000"/>
          <w:sz w:val="24"/>
          <w:szCs w:val="24"/>
          <w:lang w:val="sq-AL"/>
          <w14:ligatures w14:val="standardContextual"/>
        </w:rPr>
        <w:t>n</w:t>
      </w:r>
      <w:r w:rsidRPr="008419ED">
        <w:rPr>
          <w:rFonts w:ascii="Garamond" w:eastAsiaTheme="minorHAnsi" w:hAnsi="Garamond"/>
          <w:color w:val="000000"/>
          <w:sz w:val="24"/>
          <w:szCs w:val="24"/>
          <w:lang w:val="sq-AL"/>
          <w14:ligatures w14:val="standardContextual"/>
        </w:rPr>
        <w:t>r. 39860/19)</w:t>
      </w:r>
    </w:p>
    <w:p w14:paraId="589D8474" w14:textId="6ABB9354"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4. Kërkuesi është një kompani që ofron shërbime përmbarimore private me komision për palët që kanë një vendim ose urdhër gjykate të zbatueshëm. </w:t>
      </w:r>
    </w:p>
    <w:p w14:paraId="4F99F91E" w14:textId="30EDA269"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8419ED">
        <w:rPr>
          <w:rFonts w:ascii="Garamond" w:eastAsiaTheme="minorHAnsi" w:hAnsi="Garamond"/>
          <w:b/>
          <w:bCs/>
          <w:color w:val="000000"/>
          <w:sz w:val="24"/>
          <w:szCs w:val="24"/>
          <w:lang w:val="sq-AL"/>
          <w14:ligatures w14:val="standardContextual"/>
        </w:rPr>
        <w:t>A. Procedurat kryesore vendase: pretendimi për dëmshpërblim ndaj një banke lokale</w:t>
      </w:r>
    </w:p>
    <w:p w14:paraId="781CF35F" w14:textId="29BE54A2"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5. Më 27 </w:t>
      </w:r>
      <w:r w:rsidR="003E5EE6" w:rsidRPr="008419ED">
        <w:rPr>
          <w:rFonts w:ascii="Garamond" w:eastAsiaTheme="minorHAnsi" w:hAnsi="Garamond"/>
          <w:color w:val="000000"/>
          <w:sz w:val="24"/>
          <w:szCs w:val="24"/>
          <w:lang w:val="sq-AL"/>
          <w14:ligatures w14:val="standardContextual"/>
        </w:rPr>
        <w:t xml:space="preserve">maj </w:t>
      </w:r>
      <w:r w:rsidRPr="008419ED">
        <w:rPr>
          <w:rFonts w:ascii="Garamond" w:eastAsiaTheme="minorHAnsi" w:hAnsi="Garamond"/>
          <w:color w:val="000000"/>
          <w:sz w:val="24"/>
          <w:szCs w:val="24"/>
          <w:lang w:val="sq-AL"/>
          <w14:ligatures w14:val="standardContextual"/>
        </w:rPr>
        <w:t xml:space="preserve">2014, kompania kërkuese ndërmori procedura gjyqësore ku kërkonte dëmshpërblim nga një bankë lokale, banka B., e cila pretendohej se, në mënyrë të paligjshme. Kishte penguar një procedurë përmbarimore të drejtuar nga kompania kërkuese ndaj një debitori të përmbarimit. </w:t>
      </w:r>
    </w:p>
    <w:p w14:paraId="09B178DA" w14:textId="7CDB456B"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6. Më 15 </w:t>
      </w:r>
      <w:r w:rsidR="003E5EE6" w:rsidRPr="008419ED">
        <w:rPr>
          <w:rFonts w:ascii="Garamond" w:eastAsiaTheme="minorHAnsi" w:hAnsi="Garamond"/>
          <w:color w:val="000000"/>
          <w:sz w:val="24"/>
          <w:szCs w:val="24"/>
          <w:lang w:val="sq-AL"/>
          <w14:ligatures w14:val="standardContextual"/>
        </w:rPr>
        <w:t xml:space="preserve">prill </w:t>
      </w:r>
      <w:r w:rsidRPr="008419ED">
        <w:rPr>
          <w:rFonts w:ascii="Garamond" w:eastAsiaTheme="minorHAnsi" w:hAnsi="Garamond"/>
          <w:color w:val="000000"/>
          <w:sz w:val="24"/>
          <w:szCs w:val="24"/>
          <w:lang w:val="sq-AL"/>
          <w14:ligatures w14:val="standardContextual"/>
        </w:rPr>
        <w:t xml:space="preserve">2015 dhe 21 </w:t>
      </w:r>
      <w:r w:rsidR="003E5EE6" w:rsidRPr="008419ED">
        <w:rPr>
          <w:rFonts w:ascii="Garamond" w:eastAsiaTheme="minorHAnsi" w:hAnsi="Garamond"/>
          <w:color w:val="000000"/>
          <w:sz w:val="24"/>
          <w:szCs w:val="24"/>
          <w:lang w:val="sq-AL"/>
          <w14:ligatures w14:val="standardContextual"/>
        </w:rPr>
        <w:t xml:space="preserve">prill </w:t>
      </w:r>
      <w:r w:rsidRPr="008419ED">
        <w:rPr>
          <w:rFonts w:ascii="Garamond" w:eastAsiaTheme="minorHAnsi" w:hAnsi="Garamond"/>
          <w:color w:val="000000"/>
          <w:sz w:val="24"/>
          <w:szCs w:val="24"/>
          <w:lang w:val="sq-AL"/>
          <w14:ligatures w14:val="standardContextual"/>
        </w:rPr>
        <w:t xml:space="preserve">2016, Gjykata e Rrethit Tiranë dhe Gjykata e Apelit Tiranë, respektivisht, e rrëzuan pretendimin si të pambështetur në fakte. Gjykatat nuk gjetën prova për ndonjë akt të paligjshëm nga banka gjatë procedurës së përmbarimit, apo ndonjë dëm të vuajtur nga kompania kërkuese. </w:t>
      </w:r>
    </w:p>
    <w:p w14:paraId="7876080D" w14:textId="370DDC14"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7. Më 20 </w:t>
      </w:r>
      <w:r w:rsidR="003E5EE6" w:rsidRPr="008419ED">
        <w:rPr>
          <w:rFonts w:ascii="Garamond" w:eastAsiaTheme="minorHAnsi" w:hAnsi="Garamond"/>
          <w:color w:val="000000"/>
          <w:sz w:val="24"/>
          <w:szCs w:val="24"/>
          <w:lang w:val="sq-AL"/>
          <w14:ligatures w14:val="standardContextual"/>
        </w:rPr>
        <w:t xml:space="preserve">maj </w:t>
      </w:r>
      <w:r w:rsidRPr="008419ED">
        <w:rPr>
          <w:rFonts w:ascii="Garamond" w:eastAsiaTheme="minorHAnsi" w:hAnsi="Garamond"/>
          <w:color w:val="000000"/>
          <w:sz w:val="24"/>
          <w:szCs w:val="24"/>
          <w:lang w:val="sq-AL"/>
          <w14:ligatures w14:val="standardContextual"/>
        </w:rPr>
        <w:t xml:space="preserve">2016, kompania kërkuese paraqiti një rekurs pranë Gjykatës së Lartë. Ankesa u shpall e papranueshme më 27 </w:t>
      </w:r>
      <w:r w:rsidR="003E5EE6" w:rsidRPr="008419ED">
        <w:rPr>
          <w:rFonts w:ascii="Garamond" w:eastAsiaTheme="minorHAnsi" w:hAnsi="Garamond"/>
          <w:color w:val="000000"/>
          <w:sz w:val="24"/>
          <w:szCs w:val="24"/>
          <w:lang w:val="sq-AL"/>
          <w14:ligatures w14:val="standardContextual"/>
        </w:rPr>
        <w:t xml:space="preserve">nëntor </w:t>
      </w:r>
      <w:r w:rsidRPr="008419ED">
        <w:rPr>
          <w:rFonts w:ascii="Garamond" w:eastAsiaTheme="minorHAnsi" w:hAnsi="Garamond"/>
          <w:color w:val="000000"/>
          <w:sz w:val="24"/>
          <w:szCs w:val="24"/>
          <w:lang w:val="sq-AL"/>
          <w14:ligatures w14:val="standardContextual"/>
        </w:rPr>
        <w:t xml:space="preserve">2024, me anë të një vendimi </w:t>
      </w:r>
      <w:r w:rsidRPr="008419ED">
        <w:rPr>
          <w:rFonts w:ascii="Garamond" w:eastAsiaTheme="minorHAnsi" w:hAnsi="Garamond"/>
          <w:i/>
          <w:iCs/>
          <w:color w:val="000000"/>
          <w:sz w:val="24"/>
          <w:szCs w:val="24"/>
          <w:lang w:val="sq-AL"/>
          <w14:ligatures w14:val="standardContextual"/>
        </w:rPr>
        <w:t xml:space="preserve">de plano. </w:t>
      </w:r>
    </w:p>
    <w:p w14:paraId="57B42CB4" w14:textId="521F4B98"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b/>
          <w:bCs/>
          <w:color w:val="000000"/>
          <w:sz w:val="24"/>
          <w:szCs w:val="24"/>
          <w:lang w:val="sq-AL"/>
          <w14:ligatures w14:val="standardContextual"/>
        </w:rPr>
        <w:t>B. Ankesa në mbështetje të nenit 399/1 të Kodit të Procedurës Civile për kohëzgjatjen e procedurave</w:t>
      </w:r>
    </w:p>
    <w:p w14:paraId="18B1E683" w14:textId="4E21AB3A"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i/>
          <w:iCs/>
          <w:color w:val="000000"/>
          <w:sz w:val="24"/>
          <w:szCs w:val="24"/>
          <w:lang w:val="sq-AL"/>
          <w14:ligatures w14:val="standardContextual"/>
        </w:rPr>
        <w:t xml:space="preserve">1. Gjykata e Lartë </w:t>
      </w:r>
    </w:p>
    <w:p w14:paraId="172FB19E" w14:textId="662D3460"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8. Më 30 </w:t>
      </w:r>
      <w:r w:rsidR="003E5EE6" w:rsidRPr="008419ED">
        <w:rPr>
          <w:rFonts w:ascii="Garamond" w:eastAsiaTheme="minorHAnsi" w:hAnsi="Garamond"/>
          <w:color w:val="000000"/>
          <w:sz w:val="24"/>
          <w:szCs w:val="24"/>
          <w:lang w:val="sq-AL"/>
          <w14:ligatures w14:val="standardContextual"/>
        </w:rPr>
        <w:t xml:space="preserve">dhjetor </w:t>
      </w:r>
      <w:r w:rsidRPr="008419ED">
        <w:rPr>
          <w:rFonts w:ascii="Garamond" w:eastAsiaTheme="minorHAnsi" w:hAnsi="Garamond"/>
          <w:color w:val="000000"/>
          <w:sz w:val="24"/>
          <w:szCs w:val="24"/>
          <w:lang w:val="sq-AL"/>
          <w14:ligatures w14:val="standardContextual"/>
        </w:rPr>
        <w:t xml:space="preserve">2020, teksa procedurat kryesore në lidhje me pretendimin për dëmshpërblim ishin pezull pranë Gjykatës së Lartë (shih paragrafin 7 më sipër), kompania kërkuese paraqiti një ankesë pranë Gjykatës së Lartë në mbështetje të </w:t>
      </w:r>
      <w:r w:rsidR="003E5EE6" w:rsidRPr="008419ED">
        <w:rPr>
          <w:rFonts w:ascii="Garamond" w:eastAsiaTheme="minorHAnsi" w:hAnsi="Garamond"/>
          <w:color w:val="000000"/>
          <w:sz w:val="24"/>
          <w:szCs w:val="24"/>
          <w:lang w:val="sq-AL"/>
          <w14:ligatures w14:val="standardContextual"/>
        </w:rPr>
        <w:t xml:space="preserve">nenit </w:t>
      </w:r>
      <w:r w:rsidRPr="008419ED">
        <w:rPr>
          <w:rFonts w:ascii="Garamond" w:eastAsiaTheme="minorHAnsi" w:hAnsi="Garamond"/>
          <w:color w:val="000000"/>
          <w:sz w:val="24"/>
          <w:szCs w:val="24"/>
          <w:lang w:val="sq-AL"/>
          <w14:ligatures w14:val="standardContextual"/>
        </w:rPr>
        <w:t xml:space="preserve">399/1 të Kodit të Procedurës Civile (“KPC”), ku i kërkonte Gjykatës të konstatonte se ishte shkelur kërkesa për “afat të arsyeshëm”. </w:t>
      </w:r>
    </w:p>
    <w:p w14:paraId="5884A7DF" w14:textId="34DCDA6D"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i/>
          <w:iCs/>
          <w:color w:val="000000"/>
          <w:sz w:val="24"/>
          <w:szCs w:val="24"/>
          <w:lang w:val="sq-AL"/>
          <w14:ligatures w14:val="standardContextual"/>
        </w:rPr>
        <w:t xml:space="preserve">2. Gjykata Kushtetuese </w:t>
      </w:r>
    </w:p>
    <w:p w14:paraId="62D9809B" w14:textId="697093CF"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9. Në mungesë të një vendimi për ankesën e saj të datës 30 </w:t>
      </w:r>
      <w:r w:rsidR="003E5EE6" w:rsidRPr="008419ED">
        <w:rPr>
          <w:rFonts w:ascii="Garamond" w:eastAsiaTheme="minorHAnsi" w:hAnsi="Garamond"/>
          <w:color w:val="000000"/>
          <w:sz w:val="24"/>
          <w:szCs w:val="24"/>
          <w:lang w:val="sq-AL"/>
          <w14:ligatures w14:val="standardContextual"/>
        </w:rPr>
        <w:t xml:space="preserve">dhjetor </w:t>
      </w:r>
      <w:r w:rsidRPr="008419ED">
        <w:rPr>
          <w:rFonts w:ascii="Garamond" w:eastAsiaTheme="minorHAnsi" w:hAnsi="Garamond"/>
          <w:color w:val="000000"/>
          <w:sz w:val="24"/>
          <w:szCs w:val="24"/>
          <w:lang w:val="sq-AL"/>
          <w14:ligatures w14:val="standardContextual"/>
        </w:rPr>
        <w:t xml:space="preserve">2020, kompania kërkuese bëri një ankesë pranë Gjykatës Kushtetuese më 21 </w:t>
      </w:r>
      <w:r w:rsidR="003E5EE6" w:rsidRPr="008419ED">
        <w:rPr>
          <w:rFonts w:ascii="Garamond" w:eastAsiaTheme="minorHAnsi" w:hAnsi="Garamond"/>
          <w:color w:val="000000"/>
          <w:sz w:val="24"/>
          <w:szCs w:val="24"/>
          <w:lang w:val="sq-AL"/>
          <w14:ligatures w14:val="standardContextual"/>
        </w:rPr>
        <w:t xml:space="preserve">prill </w:t>
      </w:r>
      <w:r w:rsidRPr="008419ED">
        <w:rPr>
          <w:rFonts w:ascii="Garamond" w:eastAsiaTheme="minorHAnsi" w:hAnsi="Garamond"/>
          <w:color w:val="000000"/>
          <w:sz w:val="24"/>
          <w:szCs w:val="24"/>
          <w:lang w:val="sq-AL"/>
          <w14:ligatures w14:val="standardContextual"/>
        </w:rPr>
        <w:t>2021.</w:t>
      </w:r>
      <w:r w:rsidR="00FF0BBE">
        <w:rPr>
          <w:rFonts w:ascii="Garamond" w:eastAsiaTheme="minorHAnsi" w:hAnsi="Garamond"/>
          <w:color w:val="000000"/>
          <w:sz w:val="24"/>
          <w:szCs w:val="24"/>
          <w:lang w:val="sq-AL"/>
          <w14:ligatures w14:val="standardContextual"/>
        </w:rPr>
        <w:t xml:space="preserve"> </w:t>
      </w:r>
    </w:p>
    <w:p w14:paraId="4D27A023" w14:textId="5E5A4C8B"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10. Më 1 </w:t>
      </w:r>
      <w:r w:rsidR="003E5EE6" w:rsidRPr="008419ED">
        <w:rPr>
          <w:rFonts w:ascii="Garamond" w:eastAsiaTheme="minorHAnsi" w:hAnsi="Garamond"/>
          <w:color w:val="000000"/>
          <w:sz w:val="24"/>
          <w:szCs w:val="24"/>
          <w:lang w:val="sq-AL"/>
          <w14:ligatures w14:val="standardContextual"/>
        </w:rPr>
        <w:t xml:space="preserve">nëntor </w:t>
      </w:r>
      <w:r w:rsidRPr="008419ED">
        <w:rPr>
          <w:rFonts w:ascii="Garamond" w:eastAsiaTheme="minorHAnsi" w:hAnsi="Garamond"/>
          <w:color w:val="000000"/>
          <w:sz w:val="24"/>
          <w:szCs w:val="24"/>
          <w:lang w:val="sq-AL"/>
          <w14:ligatures w14:val="standardContextual"/>
        </w:rPr>
        <w:t xml:space="preserve">2021, Gjykata Kushtetuese shqyrtoi ankesën dhe miratoi </w:t>
      </w:r>
      <w:r w:rsidR="003E5EE6" w:rsidRPr="008419ED">
        <w:rPr>
          <w:rFonts w:ascii="Garamond" w:eastAsiaTheme="minorHAnsi" w:hAnsi="Garamond"/>
          <w:color w:val="000000"/>
          <w:sz w:val="24"/>
          <w:szCs w:val="24"/>
          <w:lang w:val="sq-AL"/>
          <w14:ligatures w14:val="standardContextual"/>
        </w:rPr>
        <w:t xml:space="preserve">vendimin </w:t>
      </w:r>
      <w:r w:rsidRPr="008419ED">
        <w:rPr>
          <w:rFonts w:ascii="Garamond" w:eastAsiaTheme="minorHAnsi" w:hAnsi="Garamond"/>
          <w:color w:val="000000"/>
          <w:sz w:val="24"/>
          <w:szCs w:val="24"/>
          <w:lang w:val="sq-AL"/>
          <w14:ligatures w14:val="standardContextual"/>
        </w:rPr>
        <w:t>nr. 34 (“</w:t>
      </w:r>
      <w:r w:rsidR="003E5EE6" w:rsidRPr="008419ED">
        <w:rPr>
          <w:rFonts w:ascii="Garamond" w:eastAsiaTheme="minorHAnsi" w:hAnsi="Garamond"/>
          <w:color w:val="000000"/>
          <w:sz w:val="24"/>
          <w:szCs w:val="24"/>
          <w:lang w:val="sq-AL"/>
          <w14:ligatures w14:val="standardContextual"/>
        </w:rPr>
        <w:t xml:space="preserve">vendim </w:t>
      </w:r>
      <w:r w:rsidRPr="008419ED">
        <w:rPr>
          <w:rFonts w:ascii="Garamond" w:eastAsiaTheme="minorHAnsi" w:hAnsi="Garamond"/>
          <w:color w:val="000000"/>
          <w:sz w:val="24"/>
          <w:szCs w:val="24"/>
          <w:lang w:val="sq-AL"/>
          <w14:ligatures w14:val="standardContextual"/>
        </w:rPr>
        <w:t xml:space="preserve">34/2021”). </w:t>
      </w:r>
    </w:p>
    <w:p w14:paraId="043732CA" w14:textId="3C83D535"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11. Në atë vendim, Gjykata Kushtetuese konstatonte se ankesa ishte e papranueshme. </w:t>
      </w:r>
    </w:p>
    <w:p w14:paraId="54A41B37" w14:textId="406FF355"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12. Specifikisht, në lidhje me shterimin e mjeteve juridike, Gjykatë Kushtetuese theksoi se Gjykata e Lartë nuk kishte lëshuar një vendim për ankesën brenda dyzet e pesë ditëve siç parashikohej në </w:t>
      </w:r>
      <w:r w:rsidR="003E5EE6" w:rsidRPr="008419ED">
        <w:rPr>
          <w:rFonts w:ascii="Garamond" w:eastAsiaTheme="minorHAnsi" w:hAnsi="Garamond"/>
          <w:color w:val="000000"/>
          <w:sz w:val="24"/>
          <w:szCs w:val="24"/>
          <w:lang w:val="sq-AL"/>
          <w14:ligatures w14:val="standardContextual"/>
        </w:rPr>
        <w:t xml:space="preserve">nenin </w:t>
      </w:r>
      <w:r w:rsidRPr="008419ED">
        <w:rPr>
          <w:rFonts w:ascii="Garamond" w:eastAsiaTheme="minorHAnsi" w:hAnsi="Garamond"/>
          <w:color w:val="000000"/>
          <w:sz w:val="24"/>
          <w:szCs w:val="24"/>
          <w:lang w:val="sq-AL"/>
          <w14:ligatures w14:val="standardContextual"/>
        </w:rPr>
        <w:t>399/7 të KPC</w:t>
      </w:r>
      <w:r w:rsidR="003E5EE6">
        <w:rPr>
          <w:rFonts w:ascii="Garamond" w:eastAsiaTheme="minorHAnsi" w:hAnsi="Garamond"/>
          <w:color w:val="000000"/>
          <w:sz w:val="24"/>
          <w:szCs w:val="24"/>
          <w:lang w:val="sq-AL"/>
          <w14:ligatures w14:val="standardContextual"/>
        </w:rPr>
        <w:t>-së</w:t>
      </w:r>
      <w:r w:rsidRPr="008419ED">
        <w:rPr>
          <w:rFonts w:ascii="Garamond" w:eastAsiaTheme="minorHAnsi" w:hAnsi="Garamond"/>
          <w:color w:val="000000"/>
          <w:sz w:val="24"/>
          <w:szCs w:val="24"/>
          <w:lang w:val="sq-AL"/>
          <w14:ligatures w14:val="standardContextual"/>
        </w:rPr>
        <w:t xml:space="preserve"> (shih </w:t>
      </w:r>
      <w:r w:rsidRPr="008419ED">
        <w:rPr>
          <w:rFonts w:ascii="Garamond" w:eastAsiaTheme="minorHAnsi" w:hAnsi="Garamond"/>
          <w:i/>
          <w:iCs/>
          <w:color w:val="000000"/>
          <w:sz w:val="24"/>
          <w:szCs w:val="24"/>
          <w:lang w:val="sq-AL"/>
          <w14:ligatures w14:val="standardContextual"/>
        </w:rPr>
        <w:t>Bara dhe Kola kundër Shqipërisë</w:t>
      </w:r>
      <w:r w:rsidRPr="008419ED">
        <w:rPr>
          <w:rFonts w:ascii="Garamond" w:eastAsiaTheme="minorHAnsi" w:hAnsi="Garamond"/>
          <w:color w:val="000000"/>
          <w:sz w:val="24"/>
          <w:szCs w:val="24"/>
          <w:lang w:val="sq-AL"/>
          <w14:ligatures w14:val="standardContextual"/>
        </w:rPr>
        <w:t xml:space="preserve">, nr. 43391/18 dhe 17766/19,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37, 12 </w:t>
      </w:r>
      <w:r w:rsidR="003E5EE6" w:rsidRPr="008419ED">
        <w:rPr>
          <w:rFonts w:ascii="Garamond" w:eastAsiaTheme="minorHAnsi" w:hAnsi="Garamond"/>
          <w:color w:val="000000"/>
          <w:sz w:val="24"/>
          <w:szCs w:val="24"/>
          <w:lang w:val="sq-AL"/>
          <w14:ligatures w14:val="standardContextual"/>
        </w:rPr>
        <w:t xml:space="preserve">tetor </w:t>
      </w:r>
      <w:r w:rsidRPr="008419ED">
        <w:rPr>
          <w:rFonts w:ascii="Garamond" w:eastAsiaTheme="minorHAnsi" w:hAnsi="Garamond"/>
          <w:color w:val="000000"/>
          <w:sz w:val="24"/>
          <w:szCs w:val="24"/>
          <w:lang w:val="sq-AL"/>
          <w14:ligatures w14:val="standardContextual"/>
        </w:rPr>
        <w:t xml:space="preserve">2021). Në ato rrethana specifike, moslëshimi i atij vendimi e kishte bërë Gjykatën e Lartë një mjet joefektiv, dhe për këtë arsye, kompania kërkuese mund të thuhet se ka shteruar mjetet juridike efektive. </w:t>
      </w:r>
    </w:p>
    <w:p w14:paraId="36B4F0C9" w14:textId="10F50D91"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13. Në lidhje me meritat e ankesës për një kohëzgjatje të tepërt të procedurave për sa i përket pretendimit të kompanisë kërkuese për dëmshpërblim, Gjykata Kushtetuese konstatoi se, </w:t>
      </w:r>
      <w:r w:rsidRPr="008419ED">
        <w:rPr>
          <w:rFonts w:ascii="Garamond" w:eastAsiaTheme="minorHAnsi" w:hAnsi="Garamond"/>
          <w:i/>
          <w:iCs/>
          <w:color w:val="000000"/>
          <w:sz w:val="24"/>
          <w:szCs w:val="24"/>
          <w:lang w:val="sq-AL"/>
          <w14:ligatures w14:val="standardContextual"/>
        </w:rPr>
        <w:t xml:space="preserve">prima facie, </w:t>
      </w:r>
      <w:r w:rsidRPr="008419ED">
        <w:rPr>
          <w:rFonts w:ascii="Garamond" w:eastAsiaTheme="minorHAnsi" w:hAnsi="Garamond"/>
          <w:color w:val="000000"/>
          <w:sz w:val="24"/>
          <w:szCs w:val="24"/>
          <w:lang w:val="sq-AL"/>
          <w14:ligatures w14:val="standardContextual"/>
        </w:rPr>
        <w:t xml:space="preserve">kohëzgjatja e procedurave duket të ishte e tepërt. </w:t>
      </w:r>
    </w:p>
    <w:p w14:paraId="568626C2" w14:textId="00591B4F"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14. Gjykata Kushtetuese konstatoi edhe se sjellja e kompanisë kërkuese nuk kishte shkaktuar vonesat në fjalë. </w:t>
      </w:r>
    </w:p>
    <w:p w14:paraId="7389D536" w14:textId="4D6FCD39"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15. Duke u kthyer tek ajo se çfarë rrezikonte kompania kërkuese, Gjykata Kushtetuese konstatoi se procedurat kryesore nuk përfshinin ndonjë të drejtë personale të tillë si kujdestari fëmije, ndalim, kufizim të ndonjë lirie të veçantë apo ndonjë çështje tjetër me prioritet; procedurat kishin të bënin me pretendimin për dëmshpërblim midis kompanive. Për këtë arsye, tejzgjatja e procedurave gjyqësore nuk paraqiste një rrezik të arsyeshëm për interesat e kompanisë kërkuese. </w:t>
      </w:r>
    </w:p>
    <w:p w14:paraId="09C578AC" w14:textId="6C4FADF5"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16. Në vijim, Gjykata Kushtetuese konstatonte se çështja ishte komplekse. </w:t>
      </w:r>
    </w:p>
    <w:p w14:paraId="77B3224B" w14:textId="0F732B87"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17. Për sa kishte të bënte me sjelljen e autoriteteve, Gjykata Kushtetuese theksoi se reforma e vitit 2016 në drejtësi kishte përjashtuar shumë gjyqtarë nga gjyqësori, duke shkaktuar në këtë mënyrë një </w:t>
      </w:r>
      <w:r w:rsidRPr="008419ED">
        <w:rPr>
          <w:rFonts w:ascii="Garamond" w:eastAsiaTheme="minorHAnsi" w:hAnsi="Garamond"/>
          <w:i/>
          <w:iCs/>
          <w:color w:val="000000"/>
          <w:sz w:val="24"/>
          <w:szCs w:val="24"/>
          <w:lang w:val="sq-AL"/>
          <w14:ligatures w14:val="standardContextual"/>
        </w:rPr>
        <w:t>backlog</w:t>
      </w:r>
      <w:r w:rsidRPr="008419ED">
        <w:rPr>
          <w:rFonts w:ascii="Garamond" w:eastAsiaTheme="minorHAnsi" w:hAnsi="Garamond"/>
          <w:color w:val="000000"/>
          <w:sz w:val="24"/>
          <w:szCs w:val="24"/>
          <w:lang w:val="sq-AL"/>
          <w14:ligatures w14:val="standardContextual"/>
        </w:rPr>
        <w:t xml:space="preserve"> të çështjeve (shih, për kontekst, </w:t>
      </w:r>
      <w:r w:rsidRPr="008419ED">
        <w:rPr>
          <w:rFonts w:ascii="Garamond" w:eastAsiaTheme="minorHAnsi" w:hAnsi="Garamond"/>
          <w:i/>
          <w:iCs/>
          <w:color w:val="000000"/>
          <w:sz w:val="24"/>
          <w:szCs w:val="24"/>
          <w:lang w:val="sq-AL"/>
          <w14:ligatures w14:val="standardContextual"/>
        </w:rPr>
        <w:t>Bara dhe Kola</w:t>
      </w:r>
      <w:r w:rsidRPr="008419ED">
        <w:rPr>
          <w:rFonts w:ascii="Garamond" w:eastAsiaTheme="minorHAnsi" w:hAnsi="Garamond"/>
          <w:color w:val="000000"/>
          <w:sz w:val="24"/>
          <w:szCs w:val="24"/>
          <w:lang w:val="sq-AL"/>
          <w14:ligatures w14:val="standardContextual"/>
        </w:rPr>
        <w:t>, cituar më sipër,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24</w:t>
      </w:r>
      <w:r w:rsidR="00F8529D">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25). Megjithatë, ajo gjykoi se i takonte autoriteteve vendase që të planifikonin futjen në fuqi të reformave në mënyrë të tillë që të shmangeshin vonesat e tejzgjatura.  Në çështjen konkrete, edhe pse autoritetet kishin ndërmarrë disa masa për këtë gjë, ato nuk kishin bërë mjaftueshëm përpjekje, pasi pranë Gjykatës së Lartë vijonte të kishte vonesa të mëdha. </w:t>
      </w:r>
    </w:p>
    <w:p w14:paraId="2E377FD9" w14:textId="6E18FB54"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lastRenderedPageBreak/>
        <w:t xml:space="preserve">18. Në vlerësimin e përgjithshëm të elementeve të mësipërme, Gjykata Kushtetuese arriti në përfundimin se deri diku, kohëzgjatja e procedurave rezultonte të kishte qenë e tejzgjatur, por duke pasur në konsideratë kompleksitetin e çështjes, mungesën e rrezikut serioz për interesat e kompanisë kërkuese dhe </w:t>
      </w:r>
      <w:r w:rsidRPr="008419ED">
        <w:rPr>
          <w:rFonts w:ascii="Garamond" w:eastAsiaTheme="minorHAnsi" w:hAnsi="Garamond"/>
          <w:i/>
          <w:iCs/>
          <w:color w:val="000000"/>
          <w:sz w:val="24"/>
          <w:szCs w:val="24"/>
          <w:lang w:val="sq-AL"/>
          <w14:ligatures w14:val="standardContextual"/>
        </w:rPr>
        <w:t>backlog-un</w:t>
      </w:r>
      <w:r w:rsidRPr="008419ED">
        <w:rPr>
          <w:rFonts w:ascii="Garamond" w:eastAsiaTheme="minorHAnsi" w:hAnsi="Garamond"/>
          <w:color w:val="000000"/>
          <w:sz w:val="24"/>
          <w:szCs w:val="24"/>
          <w:lang w:val="sq-AL"/>
          <w14:ligatures w14:val="standardContextual"/>
        </w:rPr>
        <w:t xml:space="preserve"> në Gjykatën e Lartë – e cila, për më tepër, vijonte të mos</w:t>
      </w:r>
      <w:r w:rsidR="00725B18">
        <w:rPr>
          <w:rFonts w:ascii="Garamond" w:eastAsiaTheme="minorHAnsi" w:hAnsi="Garamond"/>
          <w:color w:val="000000"/>
          <w:sz w:val="24"/>
          <w:szCs w:val="24"/>
          <w:lang w:val="sq-AL"/>
          <w14:ligatures w14:val="standardContextual"/>
        </w:rPr>
        <w:t xml:space="preserve"> </w:t>
      </w:r>
      <w:r w:rsidRPr="008419ED">
        <w:rPr>
          <w:rFonts w:ascii="Garamond" w:eastAsiaTheme="minorHAnsi" w:hAnsi="Garamond"/>
          <w:color w:val="000000"/>
          <w:sz w:val="24"/>
          <w:szCs w:val="24"/>
          <w:lang w:val="sq-AL"/>
          <w14:ligatures w14:val="standardContextual"/>
        </w:rPr>
        <w:t xml:space="preserve">funksiononte me trupë të plotë gjyqësore – kërkesa për “afat të arsyeshëm” nuk ishte shkelur. Mbështetur në këto rrethana, Gjykata Kushtetuese e rrëzoi ankesën. </w:t>
      </w:r>
    </w:p>
    <w:p w14:paraId="3773119C" w14:textId="6B5E17BA"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8419ED">
        <w:rPr>
          <w:rFonts w:ascii="Garamond" w:eastAsiaTheme="minorHAnsi" w:hAnsi="Garamond"/>
          <w:i/>
          <w:iCs/>
          <w:color w:val="000000"/>
          <w:sz w:val="24"/>
          <w:szCs w:val="24"/>
          <w:lang w:val="sq-AL"/>
          <w14:ligatures w14:val="standardContextual"/>
        </w:rPr>
        <w:t xml:space="preserve">3. Vendimet e mëpasshme </w:t>
      </w:r>
    </w:p>
    <w:p w14:paraId="019D375B" w14:textId="20CD8EFC"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19. Më 16 </w:t>
      </w:r>
      <w:r w:rsidR="00C65616">
        <w:rPr>
          <w:rFonts w:ascii="Garamond" w:eastAsiaTheme="minorHAnsi" w:hAnsi="Garamond"/>
          <w:color w:val="000000"/>
          <w:sz w:val="24"/>
          <w:szCs w:val="24"/>
          <w:lang w:val="sq-AL"/>
          <w14:ligatures w14:val="standardContextual"/>
        </w:rPr>
        <w:t>d</w:t>
      </w:r>
      <w:r w:rsidRPr="008419ED">
        <w:rPr>
          <w:rFonts w:ascii="Garamond" w:eastAsiaTheme="minorHAnsi" w:hAnsi="Garamond"/>
          <w:color w:val="000000"/>
          <w:sz w:val="24"/>
          <w:szCs w:val="24"/>
          <w:lang w:val="sq-AL"/>
          <w14:ligatures w14:val="standardContextual"/>
        </w:rPr>
        <w:t>hjetor 2021, Gjykata e Lartë vendosi se e drejta e kompanisë kërkuese për një proces gjyqësor brenda një afati të arsyeshëm nuk ishte shkelur, pasi duke pasur në konsideratë reformën në drejtësi, kishte qenë objektivisht e pamundur për gjykatat vendase që ta shqyrtonin çështjen më shpejt (</w:t>
      </w:r>
      <w:r w:rsidRPr="008419ED">
        <w:rPr>
          <w:rFonts w:ascii="Garamond" w:eastAsiaTheme="minorHAnsi" w:hAnsi="Garamond"/>
          <w:i/>
          <w:iCs/>
          <w:color w:val="000000"/>
          <w:sz w:val="24"/>
          <w:szCs w:val="24"/>
          <w:lang w:val="sq-AL"/>
          <w14:ligatures w14:val="standardContextual"/>
        </w:rPr>
        <w:t xml:space="preserve">ibid.,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15). </w:t>
      </w:r>
    </w:p>
    <w:p w14:paraId="07614AF2" w14:textId="27F16AD3"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20. Kompania kërkuese e kundërshtoi atë vendim pranë Gjykatës Kushtetuese, e cila më 20 </w:t>
      </w:r>
      <w:r w:rsidR="00C65616" w:rsidRPr="008419ED">
        <w:rPr>
          <w:rFonts w:ascii="Garamond" w:eastAsiaTheme="minorHAnsi" w:hAnsi="Garamond"/>
          <w:color w:val="000000"/>
          <w:sz w:val="24"/>
          <w:szCs w:val="24"/>
          <w:lang w:val="sq-AL"/>
          <w14:ligatures w14:val="standardContextual"/>
        </w:rPr>
        <w:t xml:space="preserve">maj </w:t>
      </w:r>
      <w:r w:rsidRPr="008419ED">
        <w:rPr>
          <w:rFonts w:ascii="Garamond" w:eastAsiaTheme="minorHAnsi" w:hAnsi="Garamond"/>
          <w:color w:val="000000"/>
          <w:sz w:val="24"/>
          <w:szCs w:val="24"/>
          <w:lang w:val="sq-AL"/>
          <w14:ligatures w14:val="standardContextual"/>
        </w:rPr>
        <w:t>2022, e rrëzoi këtë veprim në mbështetje të gjykimit të saj të mëparshëm (shih paragrafët 13</w:t>
      </w:r>
      <w:r w:rsidR="00AC3C9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18 më sipër). </w:t>
      </w:r>
    </w:p>
    <w:p w14:paraId="3A84D1D3" w14:textId="2A5BA301"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21. Pas një ankese të re nga kompania ankuese, më 30 </w:t>
      </w:r>
      <w:r w:rsidR="00C65616" w:rsidRPr="008419ED">
        <w:rPr>
          <w:rFonts w:ascii="Garamond" w:eastAsiaTheme="minorHAnsi" w:hAnsi="Garamond"/>
          <w:color w:val="000000"/>
          <w:sz w:val="24"/>
          <w:szCs w:val="24"/>
          <w:lang w:val="sq-AL"/>
          <w14:ligatures w14:val="standardContextual"/>
        </w:rPr>
        <w:t xml:space="preserve">maj </w:t>
      </w:r>
      <w:r w:rsidRPr="008419ED">
        <w:rPr>
          <w:rFonts w:ascii="Garamond" w:eastAsiaTheme="minorHAnsi" w:hAnsi="Garamond"/>
          <w:color w:val="000000"/>
          <w:sz w:val="24"/>
          <w:szCs w:val="24"/>
          <w:lang w:val="sq-AL"/>
          <w14:ligatures w14:val="standardContextual"/>
        </w:rPr>
        <w:t xml:space="preserve">2024, Gjykata e Lartë e rrëzoi atë përsëri. Gjykata konstatoi se kohëzgjatjet nuk kishin ndodhur si pasojë e arsyeve subjektive, apo si pasojë e ndonjë shkeljeje nga ana e gjyqtarit relator. Gjithashtu, ajo nuk gjeti arsye për ta trajtuar çështjen e kompanisë kërkuese me prioritet. </w:t>
      </w:r>
    </w:p>
    <w:p w14:paraId="14725B91" w14:textId="1AD474F8"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22. Kompania kërkuese e kundërshtoi vendimin e Gjykatës së Lartë të datës 30 </w:t>
      </w:r>
      <w:r w:rsidR="00C65616" w:rsidRPr="008419ED">
        <w:rPr>
          <w:rFonts w:ascii="Garamond" w:eastAsiaTheme="minorHAnsi" w:hAnsi="Garamond"/>
          <w:color w:val="000000"/>
          <w:sz w:val="24"/>
          <w:szCs w:val="24"/>
          <w:lang w:val="sq-AL"/>
          <w14:ligatures w14:val="standardContextual"/>
        </w:rPr>
        <w:t xml:space="preserve">maj </w:t>
      </w:r>
      <w:r w:rsidRPr="008419ED">
        <w:rPr>
          <w:rFonts w:ascii="Garamond" w:eastAsiaTheme="minorHAnsi" w:hAnsi="Garamond"/>
          <w:color w:val="000000"/>
          <w:sz w:val="24"/>
          <w:szCs w:val="24"/>
          <w:lang w:val="sq-AL"/>
          <w14:ligatures w14:val="standardContextual"/>
        </w:rPr>
        <w:t xml:space="preserve">2024 pranë Gjykatës Kushtetuese, e cila mori një vendim për çështjen më 21 </w:t>
      </w:r>
      <w:r w:rsidR="00C65616" w:rsidRPr="008419ED">
        <w:rPr>
          <w:rFonts w:ascii="Garamond" w:eastAsiaTheme="minorHAnsi" w:hAnsi="Garamond"/>
          <w:color w:val="000000"/>
          <w:sz w:val="24"/>
          <w:szCs w:val="24"/>
          <w:lang w:val="sq-AL"/>
          <w14:ligatures w14:val="standardContextual"/>
        </w:rPr>
        <w:t xml:space="preserve">nëntor </w:t>
      </w:r>
      <w:r w:rsidRPr="008419ED">
        <w:rPr>
          <w:rFonts w:ascii="Garamond" w:eastAsiaTheme="minorHAnsi" w:hAnsi="Garamond"/>
          <w:color w:val="000000"/>
          <w:sz w:val="24"/>
          <w:szCs w:val="24"/>
          <w:lang w:val="sq-AL"/>
          <w14:ligatures w14:val="standardContextual"/>
        </w:rPr>
        <w:t xml:space="preserve">2024, e mbledhur me një trupë gjyqësore me tetë gjyqtarë. Katër gjyqtarë votuan në favor për gjetjen e një shkelje për kërkesën për “afat të arsyeshëm”, dhe katër gjyqtarë votuan kundër. Për shkak të votimit me vota të barabarta, ankesa u rrëzua (shih, për kontekst, </w:t>
      </w:r>
      <w:r w:rsidRPr="008419ED">
        <w:rPr>
          <w:rFonts w:ascii="Garamond" w:eastAsiaTheme="minorHAnsi" w:hAnsi="Garamond"/>
          <w:i/>
          <w:iCs/>
          <w:color w:val="000000"/>
          <w:sz w:val="24"/>
          <w:szCs w:val="24"/>
          <w:lang w:val="sq-AL"/>
          <w14:ligatures w14:val="standardContextual"/>
        </w:rPr>
        <w:t>Meli dhe Sëinkels Family Brewers N.V. kundër Shqipërisë</w:t>
      </w:r>
      <w:r w:rsidRPr="008419ED">
        <w:rPr>
          <w:rFonts w:ascii="Garamond" w:eastAsiaTheme="minorHAnsi" w:hAnsi="Garamond"/>
          <w:color w:val="000000"/>
          <w:sz w:val="24"/>
          <w:szCs w:val="24"/>
          <w:lang w:val="sq-AL"/>
          <w14:ligatures w14:val="standardContextual"/>
        </w:rPr>
        <w:t>, nr. 41373/21 dhe 48801/21,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12</w:t>
      </w:r>
      <w:r w:rsidR="00AC3C9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13 dhe 29, 16 </w:t>
      </w:r>
      <w:r w:rsidR="00AC3C9E">
        <w:rPr>
          <w:rFonts w:ascii="Garamond" w:eastAsiaTheme="minorHAnsi" w:hAnsi="Garamond"/>
          <w:color w:val="000000"/>
          <w:sz w:val="24"/>
          <w:szCs w:val="24"/>
          <w:lang w:val="sq-AL"/>
          <w14:ligatures w14:val="standardContextual"/>
        </w:rPr>
        <w:t>k</w:t>
      </w:r>
      <w:r w:rsidRPr="008419ED">
        <w:rPr>
          <w:rFonts w:ascii="Garamond" w:eastAsiaTheme="minorHAnsi" w:hAnsi="Garamond"/>
          <w:color w:val="000000"/>
          <w:sz w:val="24"/>
          <w:szCs w:val="24"/>
          <w:lang w:val="sq-AL"/>
          <w14:ligatures w14:val="standardContextual"/>
        </w:rPr>
        <w:t xml:space="preserve">orrik 2024). </w:t>
      </w:r>
    </w:p>
    <w:p w14:paraId="022F859F" w14:textId="0C7176C7"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23. Të tetë gjyqtarët rezultojnë të kenë rënë dakord se kompania kërkuese nuk kishte shkaktuar vonesa. </w:t>
      </w:r>
    </w:p>
    <w:p w14:paraId="7425E439" w14:textId="5CBF2C0A"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24. Gjithashtu ata ranë dakord se kompleksiteti i çështjes nuk kishte luajtur rol në vonesë. Në lidhje me këtë, ata theksuan se një çështje që ishte komplekse përpara gjykatave më të ulëta jo domosdoshmërisht ishte e tillë përpara Gjykatës së Lartë, për shkak të juridiksionit kushtetues. </w:t>
      </w:r>
    </w:p>
    <w:p w14:paraId="6CB15924" w14:textId="5B1249C4"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25. Gjykata Kushtetuese vlerësoi sjelljen e autoriteteve në mënyrë të ngjashme me atë në vendimin e saj të mëparshëm (shih paragrafin 17 më sipër). </w:t>
      </w:r>
    </w:p>
    <w:p w14:paraId="6AB5A35A" w14:textId="35E7BFFF"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26. Ishte çështja se çfarë ishte në rrezik për kompaninë kërkuese dhe vlerësimin e përgjithshëm të çështjes që ndante gjyqtarët. Katër gjyqtarë arritën në përfundimin se tejzgjatja në zgjidhjen e procedurave civile ishte e tillë që bënte të padobishëm edhe një rezultat të mundshëm të suksesshëm për kompaninë kërkuese. </w:t>
      </w:r>
    </w:p>
    <w:p w14:paraId="5548957A" w14:textId="7C90E629"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27. Katër gjyqtarët e tjerë gjykuan se sipas konstatimeve në gjykim dhe konstatimet nga gjykatat e apelit (shih paragrafin 6 më sipër), kompania kërkuese nuk kishte vuajtur asnjë dëm nga veprimet e bankës përgjegjëse. Ata theksuan se Gjykata e Lartë, pranë së cilës ishin pezull procedurat civile, kishte planifikuar të merrte një vendim mbi çështjen së shpejti. Duke bërë një vlerësim të përgjithshëm të çështjes, ata gjykuan se nuk kishte pasur asnjë shkelje të kërkesës për “afat të arsyeshëm”. </w:t>
      </w:r>
    </w:p>
    <w:p w14:paraId="4BA8AADA" w14:textId="491186EA"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II. KËRKESA E DYTË: ARB SHPK </w:t>
      </w:r>
      <w:r w:rsidR="00753882" w:rsidRPr="008419ED">
        <w:rPr>
          <w:rFonts w:ascii="Garamond" w:eastAsiaTheme="minorHAnsi" w:hAnsi="Garamond"/>
          <w:color w:val="000000"/>
          <w:sz w:val="24"/>
          <w:szCs w:val="24"/>
          <w:lang w:val="sq-AL"/>
          <w14:ligatures w14:val="standardContextual"/>
        </w:rPr>
        <w:t xml:space="preserve">KUNDËR </w:t>
      </w:r>
      <w:r w:rsidRPr="008419ED">
        <w:rPr>
          <w:rFonts w:ascii="Garamond" w:eastAsiaTheme="minorHAnsi" w:hAnsi="Garamond"/>
          <w:color w:val="000000"/>
          <w:sz w:val="24"/>
          <w:szCs w:val="24"/>
          <w:lang w:val="sq-AL"/>
          <w14:ligatures w14:val="standardContextual"/>
        </w:rPr>
        <w:t>SHQIPËRISË (</w:t>
      </w:r>
      <w:r w:rsidR="00C65616">
        <w:rPr>
          <w:rFonts w:ascii="Garamond" w:eastAsiaTheme="minorHAnsi" w:hAnsi="Garamond"/>
          <w:color w:val="000000"/>
          <w:sz w:val="24"/>
          <w:szCs w:val="24"/>
          <w:lang w:val="sq-AL"/>
          <w14:ligatures w14:val="standardContextual"/>
        </w:rPr>
        <w:t>n</w:t>
      </w:r>
      <w:r w:rsidRPr="008419ED">
        <w:rPr>
          <w:rFonts w:ascii="Garamond" w:eastAsiaTheme="minorHAnsi" w:hAnsi="Garamond"/>
          <w:color w:val="000000"/>
          <w:sz w:val="24"/>
          <w:szCs w:val="24"/>
          <w:lang w:val="sq-AL"/>
          <w14:ligatures w14:val="standardContextual"/>
        </w:rPr>
        <w:t>r. 38996/20)</w:t>
      </w:r>
    </w:p>
    <w:p w14:paraId="7DBB27A8" w14:textId="20C56A96"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28. Kërkuesi është e njëjta kompani si edhe në kërkesën e parë të përshkruar më sipër. </w:t>
      </w:r>
    </w:p>
    <w:p w14:paraId="1DACBB00" w14:textId="414DFEBB"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8419ED">
        <w:rPr>
          <w:rFonts w:ascii="Garamond" w:eastAsiaTheme="minorHAnsi" w:hAnsi="Garamond"/>
          <w:b/>
          <w:bCs/>
          <w:color w:val="000000"/>
          <w:sz w:val="24"/>
          <w:szCs w:val="24"/>
          <w:lang w:val="sq-AL"/>
          <w14:ligatures w14:val="standardContextual"/>
        </w:rPr>
        <w:t>A. Procedurat kryesore vendase: pretendimi për dëmshpërblim ndaj një banke lokale</w:t>
      </w:r>
    </w:p>
    <w:p w14:paraId="2A2F8628" w14:textId="7B38698A"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29. Më 28 </w:t>
      </w:r>
      <w:r w:rsidR="00265B6D" w:rsidRPr="008419ED">
        <w:rPr>
          <w:rFonts w:ascii="Garamond" w:eastAsiaTheme="minorHAnsi" w:hAnsi="Garamond"/>
          <w:color w:val="000000"/>
          <w:sz w:val="24"/>
          <w:szCs w:val="24"/>
          <w:lang w:val="sq-AL"/>
          <w14:ligatures w14:val="standardContextual"/>
        </w:rPr>
        <w:t xml:space="preserve">maj </w:t>
      </w:r>
      <w:r w:rsidRPr="008419ED">
        <w:rPr>
          <w:rFonts w:ascii="Garamond" w:eastAsiaTheme="minorHAnsi" w:hAnsi="Garamond"/>
          <w:color w:val="000000"/>
          <w:sz w:val="24"/>
          <w:szCs w:val="24"/>
          <w:lang w:val="sq-AL"/>
          <w14:ligatures w14:val="standardContextual"/>
        </w:rPr>
        <w:t>2014, kompania kërkuese ndërmori procedura gjyqësore ku kërkonte dëmshpërblim nga një bankë lokale, banka T.</w:t>
      </w:r>
    </w:p>
    <w:p w14:paraId="7C3A72F6" w14:textId="62E1E0E3"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30. Më 16 </w:t>
      </w:r>
      <w:r w:rsidR="00265B6D" w:rsidRPr="008419ED">
        <w:rPr>
          <w:rFonts w:ascii="Garamond" w:eastAsiaTheme="minorHAnsi" w:hAnsi="Garamond"/>
          <w:color w:val="000000"/>
          <w:sz w:val="24"/>
          <w:szCs w:val="24"/>
          <w:lang w:val="sq-AL"/>
          <w14:ligatures w14:val="standardContextual"/>
        </w:rPr>
        <w:t xml:space="preserve">nëntor </w:t>
      </w:r>
      <w:r w:rsidRPr="008419ED">
        <w:rPr>
          <w:rFonts w:ascii="Garamond" w:eastAsiaTheme="minorHAnsi" w:hAnsi="Garamond"/>
          <w:color w:val="000000"/>
          <w:sz w:val="24"/>
          <w:szCs w:val="24"/>
          <w:lang w:val="sq-AL"/>
          <w14:ligatures w14:val="standardContextual"/>
        </w:rPr>
        <w:t xml:space="preserve">2015 dhe 23 </w:t>
      </w:r>
      <w:r w:rsidR="00265B6D" w:rsidRPr="008419ED">
        <w:rPr>
          <w:rFonts w:ascii="Garamond" w:eastAsiaTheme="minorHAnsi" w:hAnsi="Garamond"/>
          <w:color w:val="000000"/>
          <w:sz w:val="24"/>
          <w:szCs w:val="24"/>
          <w:lang w:val="sq-AL"/>
          <w14:ligatures w14:val="standardContextual"/>
        </w:rPr>
        <w:t xml:space="preserve">mars </w:t>
      </w:r>
      <w:r w:rsidRPr="008419ED">
        <w:rPr>
          <w:rFonts w:ascii="Garamond" w:eastAsiaTheme="minorHAnsi" w:hAnsi="Garamond"/>
          <w:color w:val="000000"/>
          <w:sz w:val="24"/>
          <w:szCs w:val="24"/>
          <w:lang w:val="sq-AL"/>
          <w14:ligatures w14:val="standardContextual"/>
        </w:rPr>
        <w:t xml:space="preserve">2017, Gjykata e Rrethit Tiranë dhe Gjykata e Apelit Tiranë, respektivisht, e rrëzuan pretendimin. Natyra e pretendimit dhe arsyet për rrëzimin e tij ishin identike me ato të përshkruara në kërkesën e parë (shih paragrafët 5 dhe 6 më sipër). </w:t>
      </w:r>
    </w:p>
    <w:p w14:paraId="69593DAD" w14:textId="09AB0F9E"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31. Më 14 </w:t>
      </w:r>
      <w:r w:rsidR="00265B6D" w:rsidRPr="008419ED">
        <w:rPr>
          <w:rFonts w:ascii="Garamond" w:eastAsiaTheme="minorHAnsi" w:hAnsi="Garamond"/>
          <w:color w:val="000000"/>
          <w:sz w:val="24"/>
          <w:szCs w:val="24"/>
          <w:lang w:val="sq-AL"/>
          <w14:ligatures w14:val="standardContextual"/>
        </w:rPr>
        <w:t xml:space="preserve">shtator </w:t>
      </w:r>
      <w:r w:rsidRPr="008419ED">
        <w:rPr>
          <w:rFonts w:ascii="Garamond" w:eastAsiaTheme="minorHAnsi" w:hAnsi="Garamond"/>
          <w:color w:val="000000"/>
          <w:sz w:val="24"/>
          <w:szCs w:val="24"/>
          <w:lang w:val="sq-AL"/>
          <w14:ligatures w14:val="standardContextual"/>
        </w:rPr>
        <w:t xml:space="preserve">2017, dosja e çështjes u transferua pranë Gjykatës së Lartë pas një rekursi bërë nga kompania kërkuese. Më 11 </w:t>
      </w:r>
      <w:r w:rsidR="00265B6D" w:rsidRPr="008419ED">
        <w:rPr>
          <w:rFonts w:ascii="Garamond" w:eastAsiaTheme="minorHAnsi" w:hAnsi="Garamond"/>
          <w:color w:val="000000"/>
          <w:sz w:val="24"/>
          <w:szCs w:val="24"/>
          <w:lang w:val="sq-AL"/>
          <w14:ligatures w14:val="standardContextual"/>
        </w:rPr>
        <w:t xml:space="preserve">shtator </w:t>
      </w:r>
      <w:r w:rsidRPr="008419ED">
        <w:rPr>
          <w:rFonts w:ascii="Garamond" w:eastAsiaTheme="minorHAnsi" w:hAnsi="Garamond"/>
          <w:color w:val="000000"/>
          <w:sz w:val="24"/>
          <w:szCs w:val="24"/>
          <w:lang w:val="sq-AL"/>
          <w14:ligatures w14:val="standardContextual"/>
        </w:rPr>
        <w:t xml:space="preserve">2024, Gjykata e Lartë e shpalli ankesën të papranueshme me anë të një vendimi </w:t>
      </w:r>
      <w:r w:rsidRPr="008419ED">
        <w:rPr>
          <w:rFonts w:ascii="Garamond" w:eastAsiaTheme="minorHAnsi" w:hAnsi="Garamond"/>
          <w:i/>
          <w:iCs/>
          <w:color w:val="000000"/>
          <w:sz w:val="24"/>
          <w:szCs w:val="24"/>
          <w:lang w:val="sq-AL"/>
          <w14:ligatures w14:val="standardContextual"/>
        </w:rPr>
        <w:t>de plano</w:t>
      </w:r>
      <w:r w:rsidRPr="008419ED">
        <w:rPr>
          <w:rFonts w:ascii="Garamond" w:eastAsiaTheme="minorHAnsi" w:hAnsi="Garamond"/>
          <w:color w:val="000000"/>
          <w:sz w:val="24"/>
          <w:szCs w:val="24"/>
          <w:lang w:val="sq-AL"/>
          <w14:ligatures w14:val="standardContextual"/>
        </w:rPr>
        <w:t>.</w:t>
      </w:r>
    </w:p>
    <w:p w14:paraId="5A66CECF" w14:textId="1ADBE59B"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8419ED">
        <w:rPr>
          <w:rFonts w:ascii="Garamond" w:eastAsiaTheme="minorHAnsi" w:hAnsi="Garamond"/>
          <w:b/>
          <w:bCs/>
          <w:color w:val="000000"/>
          <w:sz w:val="24"/>
          <w:szCs w:val="24"/>
          <w:lang w:val="sq-AL"/>
          <w14:ligatures w14:val="standardContextual"/>
        </w:rPr>
        <w:lastRenderedPageBreak/>
        <w:t xml:space="preserve">B. Ankesa në mbështetje të </w:t>
      </w:r>
      <w:r w:rsidR="00265B6D" w:rsidRPr="008419ED">
        <w:rPr>
          <w:rFonts w:ascii="Garamond" w:eastAsiaTheme="minorHAnsi" w:hAnsi="Garamond"/>
          <w:b/>
          <w:bCs/>
          <w:color w:val="000000"/>
          <w:sz w:val="24"/>
          <w:szCs w:val="24"/>
          <w:lang w:val="sq-AL"/>
          <w14:ligatures w14:val="standardContextual"/>
        </w:rPr>
        <w:t xml:space="preserve">nenit </w:t>
      </w:r>
      <w:r w:rsidRPr="008419ED">
        <w:rPr>
          <w:rFonts w:ascii="Garamond" w:eastAsiaTheme="minorHAnsi" w:hAnsi="Garamond"/>
          <w:b/>
          <w:bCs/>
          <w:color w:val="000000"/>
          <w:sz w:val="24"/>
          <w:szCs w:val="24"/>
          <w:lang w:val="sq-AL"/>
          <w14:ligatures w14:val="standardContextual"/>
        </w:rPr>
        <w:t>399/1 të KPC</w:t>
      </w:r>
      <w:r w:rsidR="00265B6D">
        <w:rPr>
          <w:rFonts w:ascii="Garamond" w:eastAsiaTheme="minorHAnsi" w:hAnsi="Garamond"/>
          <w:b/>
          <w:bCs/>
          <w:color w:val="000000"/>
          <w:sz w:val="24"/>
          <w:szCs w:val="24"/>
          <w:lang w:val="sq-AL"/>
          <w14:ligatures w14:val="standardContextual"/>
        </w:rPr>
        <w:t>-së</w:t>
      </w:r>
      <w:r w:rsidRPr="008419ED">
        <w:rPr>
          <w:rFonts w:ascii="Garamond" w:eastAsiaTheme="minorHAnsi" w:hAnsi="Garamond"/>
          <w:b/>
          <w:bCs/>
          <w:color w:val="000000"/>
          <w:sz w:val="24"/>
          <w:szCs w:val="24"/>
          <w:lang w:val="sq-AL"/>
          <w14:ligatures w14:val="standardContextual"/>
        </w:rPr>
        <w:t xml:space="preserve"> për kohëzgjatjen e procedurave</w:t>
      </w:r>
    </w:p>
    <w:p w14:paraId="11A0BE64" w14:textId="1FE1135A"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8419ED">
        <w:rPr>
          <w:rFonts w:ascii="Garamond" w:eastAsiaTheme="minorHAnsi" w:hAnsi="Garamond"/>
          <w:i/>
          <w:iCs/>
          <w:color w:val="000000"/>
          <w:sz w:val="24"/>
          <w:szCs w:val="24"/>
          <w:lang w:val="sq-AL"/>
          <w14:ligatures w14:val="standardContextual"/>
        </w:rPr>
        <w:t>1. Gjykata e Lartë</w:t>
      </w:r>
    </w:p>
    <w:p w14:paraId="583ED405" w14:textId="7BB943DD"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32. Më 30 </w:t>
      </w:r>
      <w:r w:rsidR="000249C3" w:rsidRPr="008419ED">
        <w:rPr>
          <w:rFonts w:ascii="Garamond" w:eastAsiaTheme="minorHAnsi" w:hAnsi="Garamond"/>
          <w:color w:val="000000"/>
          <w:sz w:val="24"/>
          <w:szCs w:val="24"/>
          <w:lang w:val="sq-AL"/>
          <w14:ligatures w14:val="standardContextual"/>
        </w:rPr>
        <w:t xml:space="preserve">dhjetor </w:t>
      </w:r>
      <w:r w:rsidRPr="008419ED">
        <w:rPr>
          <w:rFonts w:ascii="Garamond" w:eastAsiaTheme="minorHAnsi" w:hAnsi="Garamond"/>
          <w:color w:val="000000"/>
          <w:sz w:val="24"/>
          <w:szCs w:val="24"/>
          <w:lang w:val="sq-AL"/>
          <w14:ligatures w14:val="standardContextual"/>
        </w:rPr>
        <w:t xml:space="preserve">2020, teksa procedurat kryesore në lidhje me pretendimin për dëmshpërblim ishin pezull pranë Gjykatës së Lartë (shih paragrafin 31 më sipër), kompania kërkuese paraqiti një ankesë pranë Gjykatës së Lartë në mbështetje të </w:t>
      </w:r>
      <w:r w:rsidR="000249C3" w:rsidRPr="008419ED">
        <w:rPr>
          <w:rFonts w:ascii="Garamond" w:eastAsiaTheme="minorHAnsi" w:hAnsi="Garamond"/>
          <w:color w:val="000000"/>
          <w:sz w:val="24"/>
          <w:szCs w:val="24"/>
          <w:lang w:val="sq-AL"/>
          <w14:ligatures w14:val="standardContextual"/>
        </w:rPr>
        <w:t xml:space="preserve">nenit </w:t>
      </w:r>
      <w:r w:rsidRPr="008419ED">
        <w:rPr>
          <w:rFonts w:ascii="Garamond" w:eastAsiaTheme="minorHAnsi" w:hAnsi="Garamond"/>
          <w:color w:val="000000"/>
          <w:sz w:val="24"/>
          <w:szCs w:val="24"/>
          <w:lang w:val="sq-AL"/>
          <w14:ligatures w14:val="standardContextual"/>
        </w:rPr>
        <w:t>399/1 të KPC</w:t>
      </w:r>
      <w:r w:rsidR="000249C3">
        <w:rPr>
          <w:rFonts w:ascii="Garamond" w:eastAsiaTheme="minorHAnsi" w:hAnsi="Garamond"/>
          <w:color w:val="000000"/>
          <w:sz w:val="24"/>
          <w:szCs w:val="24"/>
          <w:lang w:val="sq-AL"/>
          <w14:ligatures w14:val="standardContextual"/>
        </w:rPr>
        <w:t>-së</w:t>
      </w:r>
      <w:r w:rsidRPr="008419ED">
        <w:rPr>
          <w:rFonts w:ascii="Garamond" w:eastAsiaTheme="minorHAnsi" w:hAnsi="Garamond"/>
          <w:color w:val="000000"/>
          <w:sz w:val="24"/>
          <w:szCs w:val="24"/>
          <w:lang w:val="sq-AL"/>
          <w14:ligatures w14:val="standardContextual"/>
        </w:rPr>
        <w:t xml:space="preserve">, ku i kërkonte gjykatës të konstatonte se ishte shkelur kërkesa për “afat të arsyeshëm” dhe të përshpejtonte procedurat. </w:t>
      </w:r>
    </w:p>
    <w:p w14:paraId="4E7F26DB" w14:textId="1F5A4833"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8419ED">
        <w:rPr>
          <w:rFonts w:ascii="Garamond" w:eastAsiaTheme="minorHAnsi" w:hAnsi="Garamond"/>
          <w:i/>
          <w:iCs/>
          <w:color w:val="000000"/>
          <w:sz w:val="24"/>
          <w:szCs w:val="24"/>
          <w:lang w:val="sq-AL"/>
          <w14:ligatures w14:val="standardContextual"/>
        </w:rPr>
        <w:t>2. Gjykata Kushtetuese</w:t>
      </w:r>
    </w:p>
    <w:p w14:paraId="1B432363" w14:textId="461A53AD"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33. Në mungesë të një vendimi për ankesën e saj të datës 30 </w:t>
      </w:r>
      <w:r w:rsidR="000249C3" w:rsidRPr="008419ED">
        <w:rPr>
          <w:rFonts w:ascii="Garamond" w:eastAsiaTheme="minorHAnsi" w:hAnsi="Garamond"/>
          <w:color w:val="000000"/>
          <w:sz w:val="24"/>
          <w:szCs w:val="24"/>
          <w:lang w:val="sq-AL"/>
          <w14:ligatures w14:val="standardContextual"/>
        </w:rPr>
        <w:t xml:space="preserve">dhjetor </w:t>
      </w:r>
      <w:r w:rsidRPr="008419ED">
        <w:rPr>
          <w:rFonts w:ascii="Garamond" w:eastAsiaTheme="minorHAnsi" w:hAnsi="Garamond"/>
          <w:color w:val="000000"/>
          <w:sz w:val="24"/>
          <w:szCs w:val="24"/>
          <w:lang w:val="sq-AL"/>
          <w14:ligatures w14:val="standardContextual"/>
        </w:rPr>
        <w:t xml:space="preserve">2020, më 21 </w:t>
      </w:r>
      <w:r w:rsidR="000249C3" w:rsidRPr="008419ED">
        <w:rPr>
          <w:rFonts w:ascii="Garamond" w:eastAsiaTheme="minorHAnsi" w:hAnsi="Garamond"/>
          <w:color w:val="000000"/>
          <w:sz w:val="24"/>
          <w:szCs w:val="24"/>
          <w:lang w:val="sq-AL"/>
          <w14:ligatures w14:val="standardContextual"/>
        </w:rPr>
        <w:t xml:space="preserve">prill </w:t>
      </w:r>
      <w:r w:rsidRPr="008419ED">
        <w:rPr>
          <w:rFonts w:ascii="Garamond" w:eastAsiaTheme="minorHAnsi" w:hAnsi="Garamond"/>
          <w:color w:val="000000"/>
          <w:sz w:val="24"/>
          <w:szCs w:val="24"/>
          <w:lang w:val="sq-AL"/>
          <w14:ligatures w14:val="standardContextual"/>
        </w:rPr>
        <w:t xml:space="preserve">2021, kompania kërkuese apeloi pranë Gjykatës Kushtetuese. </w:t>
      </w:r>
    </w:p>
    <w:p w14:paraId="79B14CBA" w14:textId="0402B914"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34. Më 1 </w:t>
      </w:r>
      <w:r w:rsidR="000249C3" w:rsidRPr="008419ED">
        <w:rPr>
          <w:rFonts w:ascii="Garamond" w:eastAsiaTheme="minorHAnsi" w:hAnsi="Garamond"/>
          <w:color w:val="000000"/>
          <w:sz w:val="24"/>
          <w:szCs w:val="24"/>
          <w:lang w:val="sq-AL"/>
          <w14:ligatures w14:val="standardContextual"/>
        </w:rPr>
        <w:t xml:space="preserve">nëntor </w:t>
      </w:r>
      <w:r w:rsidRPr="008419ED">
        <w:rPr>
          <w:rFonts w:ascii="Garamond" w:eastAsiaTheme="minorHAnsi" w:hAnsi="Garamond"/>
          <w:color w:val="000000"/>
          <w:sz w:val="24"/>
          <w:szCs w:val="24"/>
          <w:lang w:val="sq-AL"/>
          <w14:ligatures w14:val="standardContextual"/>
        </w:rPr>
        <w:t>2021, Gjykata Kushtetuese miratoi vendimin nr. 33 (“vendimi 33/2021”), duke e rrëzuar apelimin për të njëjtat arsye si edhe në kërkesën e parë (shih paragrafët 11</w:t>
      </w:r>
      <w:r w:rsidR="003F010F">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18 më sipër). </w:t>
      </w:r>
    </w:p>
    <w:p w14:paraId="2CFE68D1" w14:textId="6C50CE9A"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III. KËRKESA E TRETË: LLAGAMI KUNDËR SHQIPËRISË (</w:t>
      </w:r>
      <w:r w:rsidR="00AC3C9E">
        <w:rPr>
          <w:rFonts w:ascii="Garamond" w:eastAsiaTheme="minorHAnsi" w:hAnsi="Garamond"/>
          <w:color w:val="000000"/>
          <w:sz w:val="24"/>
          <w:szCs w:val="24"/>
          <w:lang w:val="sq-AL"/>
          <w14:ligatures w14:val="standardContextual"/>
        </w:rPr>
        <w:t>n</w:t>
      </w:r>
      <w:r w:rsidRPr="008419ED">
        <w:rPr>
          <w:rFonts w:ascii="Garamond" w:eastAsiaTheme="minorHAnsi" w:hAnsi="Garamond"/>
          <w:color w:val="000000"/>
          <w:sz w:val="24"/>
          <w:szCs w:val="24"/>
          <w:lang w:val="sq-AL"/>
          <w14:ligatures w14:val="standardContextual"/>
        </w:rPr>
        <w:t>r. 6142/22)</w:t>
      </w:r>
    </w:p>
    <w:p w14:paraId="452E2E40" w14:textId="242322A2"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8419ED">
        <w:rPr>
          <w:rFonts w:ascii="Garamond" w:eastAsiaTheme="minorHAnsi" w:hAnsi="Garamond"/>
          <w:b/>
          <w:bCs/>
          <w:color w:val="000000"/>
          <w:sz w:val="24"/>
          <w:szCs w:val="24"/>
          <w:lang w:val="sq-AL"/>
          <w14:ligatures w14:val="standardContextual"/>
        </w:rPr>
        <w:t xml:space="preserve">A. Procedurat në lidhje me shkarkimin e kërkuesit </w:t>
      </w:r>
    </w:p>
    <w:p w14:paraId="7FBFEB59" w14:textId="796E45ED"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35. Më 6 </w:t>
      </w:r>
      <w:r w:rsidR="000249C3" w:rsidRPr="008419ED">
        <w:rPr>
          <w:rFonts w:ascii="Garamond" w:eastAsiaTheme="minorHAnsi" w:hAnsi="Garamond"/>
          <w:color w:val="000000"/>
          <w:sz w:val="24"/>
          <w:szCs w:val="24"/>
          <w:lang w:val="sq-AL"/>
          <w14:ligatures w14:val="standardContextual"/>
        </w:rPr>
        <w:t xml:space="preserve">mars </w:t>
      </w:r>
      <w:r w:rsidRPr="008419ED">
        <w:rPr>
          <w:rFonts w:ascii="Garamond" w:eastAsiaTheme="minorHAnsi" w:hAnsi="Garamond"/>
          <w:color w:val="000000"/>
          <w:sz w:val="24"/>
          <w:szCs w:val="24"/>
          <w:lang w:val="sq-AL"/>
          <w14:ligatures w14:val="standardContextual"/>
        </w:rPr>
        <w:t xml:space="preserve">2014, kërkuesi bëri një padi pranë Gjykatës Administrative të Shkallës së Parë Tiranë ndaj një autoriteti </w:t>
      </w:r>
      <w:r w:rsidR="00432486">
        <w:rPr>
          <w:rFonts w:ascii="Garamond" w:eastAsiaTheme="minorHAnsi" w:hAnsi="Garamond"/>
          <w:color w:val="000000"/>
          <w:sz w:val="24"/>
          <w:szCs w:val="24"/>
          <w:lang w:val="sq-AL"/>
          <w14:ligatures w14:val="standardContextual"/>
        </w:rPr>
        <w:t>s</w:t>
      </w:r>
      <w:r w:rsidRPr="008419ED">
        <w:rPr>
          <w:rFonts w:ascii="Garamond" w:eastAsiaTheme="minorHAnsi" w:hAnsi="Garamond"/>
          <w:color w:val="000000"/>
          <w:sz w:val="24"/>
          <w:szCs w:val="24"/>
          <w:lang w:val="sq-AL"/>
          <w14:ligatures w14:val="standardContextual"/>
        </w:rPr>
        <w:t>htetëror, duke kërkuar kompensim për shkarkimin nga detyra të pretenduar si të paligjshëm.</w:t>
      </w:r>
    </w:p>
    <w:p w14:paraId="00B4A2E2" w14:textId="0B0D826B"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36. Më 20 </w:t>
      </w:r>
      <w:r w:rsidR="000249C3" w:rsidRPr="008419ED">
        <w:rPr>
          <w:rFonts w:ascii="Garamond" w:eastAsiaTheme="minorHAnsi" w:hAnsi="Garamond"/>
          <w:color w:val="000000"/>
          <w:sz w:val="24"/>
          <w:szCs w:val="24"/>
          <w:lang w:val="sq-AL"/>
          <w14:ligatures w14:val="standardContextual"/>
        </w:rPr>
        <w:t xml:space="preserve">maj </w:t>
      </w:r>
      <w:r w:rsidRPr="008419ED">
        <w:rPr>
          <w:rFonts w:ascii="Garamond" w:eastAsiaTheme="minorHAnsi" w:hAnsi="Garamond"/>
          <w:color w:val="000000"/>
          <w:sz w:val="24"/>
          <w:szCs w:val="24"/>
          <w:lang w:val="sq-AL"/>
          <w14:ligatures w14:val="standardContextual"/>
        </w:rPr>
        <w:t xml:space="preserve">2014, ajo gjykatë e pranoi padinë dhe i akordoi dëmshpërblim kërkuesit. </w:t>
      </w:r>
    </w:p>
    <w:p w14:paraId="2CD95ACB" w14:textId="47BD1E11"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37. Më 7 </w:t>
      </w:r>
      <w:r w:rsidR="000249C3" w:rsidRPr="008419ED">
        <w:rPr>
          <w:rFonts w:ascii="Garamond" w:eastAsiaTheme="minorHAnsi" w:hAnsi="Garamond"/>
          <w:color w:val="000000"/>
          <w:sz w:val="24"/>
          <w:szCs w:val="24"/>
          <w:lang w:val="sq-AL"/>
          <w14:ligatures w14:val="standardContextual"/>
        </w:rPr>
        <w:t xml:space="preserve">prill </w:t>
      </w:r>
      <w:r w:rsidRPr="008419ED">
        <w:rPr>
          <w:rFonts w:ascii="Garamond" w:eastAsiaTheme="minorHAnsi" w:hAnsi="Garamond"/>
          <w:color w:val="000000"/>
          <w:sz w:val="24"/>
          <w:szCs w:val="24"/>
          <w:lang w:val="sq-AL"/>
          <w14:ligatures w14:val="standardContextual"/>
        </w:rPr>
        <w:t xml:space="preserve">2016, Gjykata Administrative e Apelit Tiranë e ndryshoi vendimin më të ulët, duke e reduktuar dëmshpërblimin që i ishte dhënë kërkuesit. </w:t>
      </w:r>
    </w:p>
    <w:p w14:paraId="297CFB69" w14:textId="4230404F"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38. Në një datë të papërcaktuar, kërkuesi paraqiti një rekurs pranë Gjykatës së Lartë, i cili më 25 </w:t>
      </w:r>
      <w:r w:rsidR="00944CA1">
        <w:rPr>
          <w:rFonts w:ascii="Garamond" w:eastAsiaTheme="minorHAnsi" w:hAnsi="Garamond"/>
          <w:color w:val="000000"/>
          <w:sz w:val="24"/>
          <w:szCs w:val="24"/>
          <w:lang w:val="sq-AL"/>
          <w14:ligatures w14:val="standardContextual"/>
        </w:rPr>
        <w:t>m</w:t>
      </w:r>
      <w:r w:rsidRPr="008419ED">
        <w:rPr>
          <w:rFonts w:ascii="Garamond" w:eastAsiaTheme="minorHAnsi" w:hAnsi="Garamond"/>
          <w:color w:val="000000"/>
          <w:sz w:val="24"/>
          <w:szCs w:val="24"/>
          <w:lang w:val="sq-AL"/>
          <w14:ligatures w14:val="standardContextual"/>
        </w:rPr>
        <w:t xml:space="preserve">aj 2023 e rrëzoi vendimin e apelit dhe la në fuqi vendimin e shkallës së parë. </w:t>
      </w:r>
    </w:p>
    <w:p w14:paraId="4C670438" w14:textId="4FF6540C"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8419ED">
        <w:rPr>
          <w:rFonts w:ascii="Garamond" w:eastAsiaTheme="minorHAnsi" w:hAnsi="Garamond"/>
          <w:b/>
          <w:bCs/>
          <w:color w:val="000000"/>
          <w:sz w:val="24"/>
          <w:szCs w:val="24"/>
          <w:lang w:val="sq-AL"/>
          <w14:ligatures w14:val="standardContextual"/>
        </w:rPr>
        <w:t xml:space="preserve">B. Ankesa sipas </w:t>
      </w:r>
      <w:r w:rsidR="000249C3" w:rsidRPr="008419ED">
        <w:rPr>
          <w:rFonts w:ascii="Garamond" w:eastAsiaTheme="minorHAnsi" w:hAnsi="Garamond"/>
          <w:b/>
          <w:bCs/>
          <w:color w:val="000000"/>
          <w:sz w:val="24"/>
          <w:szCs w:val="24"/>
          <w:lang w:val="sq-AL"/>
          <w14:ligatures w14:val="standardContextual"/>
        </w:rPr>
        <w:t xml:space="preserve">nenit </w:t>
      </w:r>
      <w:r w:rsidRPr="008419ED">
        <w:rPr>
          <w:rFonts w:ascii="Garamond" w:eastAsiaTheme="minorHAnsi" w:hAnsi="Garamond"/>
          <w:b/>
          <w:bCs/>
          <w:color w:val="000000"/>
          <w:sz w:val="24"/>
          <w:szCs w:val="24"/>
          <w:lang w:val="sq-AL"/>
          <w14:ligatures w14:val="standardContextual"/>
        </w:rPr>
        <w:t>399/1 të KPC</w:t>
      </w:r>
      <w:r w:rsidR="000249C3">
        <w:rPr>
          <w:rFonts w:ascii="Garamond" w:eastAsiaTheme="minorHAnsi" w:hAnsi="Garamond"/>
          <w:b/>
          <w:bCs/>
          <w:color w:val="000000"/>
          <w:sz w:val="24"/>
          <w:szCs w:val="24"/>
          <w:lang w:val="sq-AL"/>
          <w14:ligatures w14:val="standardContextual"/>
        </w:rPr>
        <w:t>-së</w:t>
      </w:r>
      <w:r w:rsidRPr="008419ED">
        <w:rPr>
          <w:rFonts w:ascii="Garamond" w:eastAsiaTheme="minorHAnsi" w:hAnsi="Garamond"/>
          <w:b/>
          <w:bCs/>
          <w:color w:val="000000"/>
          <w:sz w:val="24"/>
          <w:szCs w:val="24"/>
          <w:lang w:val="sq-AL"/>
          <w14:ligatures w14:val="standardContextual"/>
        </w:rPr>
        <w:t xml:space="preserve"> për kohëzgjatjen e procedurave</w:t>
      </w:r>
    </w:p>
    <w:p w14:paraId="2103592B" w14:textId="6CEBBF14"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39. Më 21 </w:t>
      </w:r>
      <w:r w:rsidR="00432486" w:rsidRPr="008419ED">
        <w:rPr>
          <w:rFonts w:ascii="Garamond" w:eastAsiaTheme="minorHAnsi" w:hAnsi="Garamond"/>
          <w:color w:val="000000"/>
          <w:sz w:val="24"/>
          <w:szCs w:val="24"/>
          <w:lang w:val="sq-AL"/>
          <w14:ligatures w14:val="standardContextual"/>
        </w:rPr>
        <w:t xml:space="preserve">qershor </w:t>
      </w:r>
      <w:r w:rsidRPr="008419ED">
        <w:rPr>
          <w:rFonts w:ascii="Garamond" w:eastAsiaTheme="minorHAnsi" w:hAnsi="Garamond"/>
          <w:color w:val="000000"/>
          <w:sz w:val="24"/>
          <w:szCs w:val="24"/>
          <w:lang w:val="sq-AL"/>
          <w14:ligatures w14:val="standardContextual"/>
        </w:rPr>
        <w:t xml:space="preserve">2021, teksa procedurat për shkarkim të paligjshëm ishin pezull pranë Gjykatës së Lartë (shih paragrafin 38 më sipër), kërkuesi u ankua në mbështetje të </w:t>
      </w:r>
      <w:r w:rsidR="00432486" w:rsidRPr="008419ED">
        <w:rPr>
          <w:rFonts w:ascii="Garamond" w:eastAsiaTheme="minorHAnsi" w:hAnsi="Garamond"/>
          <w:color w:val="000000"/>
          <w:sz w:val="24"/>
          <w:szCs w:val="24"/>
          <w:lang w:val="sq-AL"/>
          <w14:ligatures w14:val="standardContextual"/>
        </w:rPr>
        <w:t xml:space="preserve">nenit </w:t>
      </w:r>
      <w:r w:rsidRPr="008419ED">
        <w:rPr>
          <w:rFonts w:ascii="Garamond" w:eastAsiaTheme="minorHAnsi" w:hAnsi="Garamond"/>
          <w:color w:val="000000"/>
          <w:sz w:val="24"/>
          <w:szCs w:val="24"/>
          <w:lang w:val="sq-AL"/>
          <w14:ligatures w14:val="standardContextual"/>
        </w:rPr>
        <w:t>399/1 të KPC</w:t>
      </w:r>
      <w:r w:rsidR="00DD78C2">
        <w:rPr>
          <w:rFonts w:ascii="Garamond" w:eastAsiaTheme="minorHAnsi" w:hAnsi="Garamond"/>
          <w:color w:val="000000"/>
          <w:sz w:val="24"/>
          <w:szCs w:val="24"/>
          <w:lang w:val="sq-AL"/>
          <w14:ligatures w14:val="standardContextual"/>
        </w:rPr>
        <w:t>-së</w:t>
      </w:r>
      <w:r w:rsidRPr="008419ED">
        <w:rPr>
          <w:rFonts w:ascii="Garamond" w:eastAsiaTheme="minorHAnsi" w:hAnsi="Garamond"/>
          <w:color w:val="000000"/>
          <w:sz w:val="24"/>
          <w:szCs w:val="24"/>
          <w:lang w:val="sq-AL"/>
          <w14:ligatures w14:val="standardContextual"/>
        </w:rPr>
        <w:t xml:space="preserve"> pranë Gjykatës së Lartë për kohëzgjatjen e procedurave.</w:t>
      </w:r>
    </w:p>
    <w:p w14:paraId="1880954C" w14:textId="3A5E9C37"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40. Më 16 </w:t>
      </w:r>
      <w:r w:rsidR="00432486" w:rsidRPr="008419ED">
        <w:rPr>
          <w:rFonts w:ascii="Garamond" w:eastAsiaTheme="minorHAnsi" w:hAnsi="Garamond"/>
          <w:color w:val="000000"/>
          <w:sz w:val="24"/>
          <w:szCs w:val="24"/>
          <w:lang w:val="sq-AL"/>
          <w14:ligatures w14:val="standardContextual"/>
        </w:rPr>
        <w:t xml:space="preserve">shtator </w:t>
      </w:r>
      <w:r w:rsidRPr="008419ED">
        <w:rPr>
          <w:rFonts w:ascii="Garamond" w:eastAsiaTheme="minorHAnsi" w:hAnsi="Garamond"/>
          <w:color w:val="000000"/>
          <w:sz w:val="24"/>
          <w:szCs w:val="24"/>
          <w:lang w:val="sq-AL"/>
          <w14:ligatures w14:val="standardContextual"/>
        </w:rPr>
        <w:t xml:space="preserve">2021, Gjykata e Lartë konstatoi se nuk ishte shkelur e drejta e kërkuesit për gjykim të drejtë brenda një afati të arsyeshëm. Ajo ia atribuoi kohëzgjatjen në procedurat për shkarkimin e paligjshëm reformës në sistemin e drejtësisë (shih, për kontekst, </w:t>
      </w:r>
      <w:r w:rsidRPr="008419ED">
        <w:rPr>
          <w:rFonts w:ascii="Garamond" w:eastAsiaTheme="minorHAnsi" w:hAnsi="Garamond"/>
          <w:i/>
          <w:iCs/>
          <w:color w:val="000000"/>
          <w:sz w:val="24"/>
          <w:szCs w:val="24"/>
          <w:lang w:val="sq-AL"/>
          <w14:ligatures w14:val="standardContextual"/>
        </w:rPr>
        <w:t>Bara dhe Kola</w:t>
      </w:r>
      <w:r w:rsidRPr="008419ED">
        <w:rPr>
          <w:rFonts w:ascii="Garamond" w:eastAsiaTheme="minorHAnsi" w:hAnsi="Garamond"/>
          <w:color w:val="000000"/>
          <w:sz w:val="24"/>
          <w:szCs w:val="24"/>
          <w:lang w:val="sq-AL"/>
          <w14:ligatures w14:val="standardContextual"/>
        </w:rPr>
        <w:t>, cituar më sipër,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24</w:t>
      </w:r>
      <w:r w:rsidR="00171F3B">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29), dhe deklaroi se këto kohëzgjatje ishin “objektivisht të pamundura” për t’u shmangur dhe proporcionale me përfitimet e reformës. </w:t>
      </w:r>
    </w:p>
    <w:p w14:paraId="605805D0" w14:textId="6A54229D"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IV. KËRKESA E KATËRT: GAZIDEDJA KUNDËR SHQIPËRISË (</w:t>
      </w:r>
      <w:r w:rsidR="00432486">
        <w:rPr>
          <w:rFonts w:ascii="Garamond" w:eastAsiaTheme="minorHAnsi" w:hAnsi="Garamond"/>
          <w:color w:val="000000"/>
          <w:sz w:val="24"/>
          <w:szCs w:val="24"/>
          <w:lang w:val="sq-AL"/>
          <w14:ligatures w14:val="standardContextual"/>
        </w:rPr>
        <w:t>n</w:t>
      </w:r>
      <w:r w:rsidRPr="008419ED">
        <w:rPr>
          <w:rFonts w:ascii="Garamond" w:eastAsiaTheme="minorHAnsi" w:hAnsi="Garamond"/>
          <w:color w:val="000000"/>
          <w:sz w:val="24"/>
          <w:szCs w:val="24"/>
          <w:lang w:val="sq-AL"/>
          <w14:ligatures w14:val="standardContextual"/>
        </w:rPr>
        <w:t>r. 27370/22)</w:t>
      </w:r>
    </w:p>
    <w:p w14:paraId="60096F0D" w14:textId="56BC2827"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8419ED">
        <w:rPr>
          <w:rFonts w:ascii="Garamond" w:eastAsiaTheme="minorHAnsi" w:hAnsi="Garamond"/>
          <w:b/>
          <w:bCs/>
          <w:color w:val="000000"/>
          <w:sz w:val="24"/>
          <w:szCs w:val="24"/>
          <w:lang w:val="sq-AL"/>
          <w14:ligatures w14:val="standardContextual"/>
        </w:rPr>
        <w:t>A. Procedurat kryesore në lidhje me pensionin e kërkuesit</w:t>
      </w:r>
    </w:p>
    <w:p w14:paraId="54FCBCC1" w14:textId="11CF38AE"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8419ED">
        <w:rPr>
          <w:rFonts w:ascii="Garamond" w:eastAsiaTheme="minorHAnsi" w:hAnsi="Garamond"/>
          <w:i/>
          <w:iCs/>
          <w:color w:val="000000"/>
          <w:sz w:val="24"/>
          <w:szCs w:val="24"/>
          <w:lang w:val="sq-AL"/>
          <w14:ligatures w14:val="standardContextual"/>
        </w:rPr>
        <w:t>1. Faza administrative</w:t>
      </w:r>
    </w:p>
    <w:p w14:paraId="43477EC2" w14:textId="78E2E0A9"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41. Në vitin 2001, kërkuesi filloi të merrte pensionin e minatorit. </w:t>
      </w:r>
    </w:p>
    <w:p w14:paraId="28D6BB9C" w14:textId="1B7F62DE"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42. Më 19 </w:t>
      </w:r>
      <w:r w:rsidR="005F43E1" w:rsidRPr="008419ED">
        <w:rPr>
          <w:rFonts w:ascii="Garamond" w:eastAsiaTheme="minorHAnsi" w:hAnsi="Garamond"/>
          <w:color w:val="000000"/>
          <w:sz w:val="24"/>
          <w:szCs w:val="24"/>
          <w:lang w:val="sq-AL"/>
          <w14:ligatures w14:val="standardContextual"/>
        </w:rPr>
        <w:t xml:space="preserve">mars </w:t>
      </w:r>
      <w:r w:rsidRPr="008419ED">
        <w:rPr>
          <w:rFonts w:ascii="Garamond" w:eastAsiaTheme="minorHAnsi" w:hAnsi="Garamond"/>
          <w:color w:val="000000"/>
          <w:sz w:val="24"/>
          <w:szCs w:val="24"/>
          <w:lang w:val="sq-AL"/>
          <w14:ligatures w14:val="standardContextual"/>
        </w:rPr>
        <w:t xml:space="preserve">2015, ai paraqiti një kërkesë pranë Drejtorisë së Sigurimeve Shoqërore (“DSSH”) ku theksonte se përmbushte kushtet për të marrë një pension pleqërie, përveç pensionit të minatorit. </w:t>
      </w:r>
    </w:p>
    <w:p w14:paraId="50E80F0F" w14:textId="02B166EC"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43. Më 15 </w:t>
      </w:r>
      <w:r w:rsidR="005F43E1" w:rsidRPr="008419ED">
        <w:rPr>
          <w:rFonts w:ascii="Garamond" w:eastAsiaTheme="minorHAnsi" w:hAnsi="Garamond"/>
          <w:color w:val="000000"/>
          <w:sz w:val="24"/>
          <w:szCs w:val="24"/>
          <w:lang w:val="sq-AL"/>
          <w14:ligatures w14:val="standardContextual"/>
        </w:rPr>
        <w:t xml:space="preserve">janar </w:t>
      </w:r>
      <w:r w:rsidRPr="008419ED">
        <w:rPr>
          <w:rFonts w:ascii="Garamond" w:eastAsiaTheme="minorHAnsi" w:hAnsi="Garamond"/>
          <w:color w:val="000000"/>
          <w:sz w:val="24"/>
          <w:szCs w:val="24"/>
          <w:lang w:val="sq-AL"/>
          <w14:ligatures w14:val="standardContextual"/>
        </w:rPr>
        <w:t>2016, DSSH</w:t>
      </w:r>
      <w:r w:rsidR="00AC3C9E">
        <w:rPr>
          <w:rFonts w:ascii="Garamond" w:eastAsiaTheme="minorHAnsi" w:hAnsi="Garamond"/>
          <w:color w:val="000000"/>
          <w:sz w:val="24"/>
          <w:szCs w:val="24"/>
          <w:lang w:val="sq-AL"/>
          <w14:ligatures w14:val="standardContextual"/>
        </w:rPr>
        <w:t>-ja</w:t>
      </w:r>
      <w:r w:rsidRPr="008419ED">
        <w:rPr>
          <w:rFonts w:ascii="Garamond" w:eastAsiaTheme="minorHAnsi" w:hAnsi="Garamond"/>
          <w:color w:val="000000"/>
          <w:sz w:val="24"/>
          <w:szCs w:val="24"/>
          <w:lang w:val="sq-AL"/>
          <w14:ligatures w14:val="standardContextual"/>
        </w:rPr>
        <w:t xml:space="preserve"> e informoi se, pas shqyrtimit të të dhënave përkatëse, ai kishte punuar si minator  për dhjetë </w:t>
      </w:r>
      <w:r w:rsidR="008E3CDE">
        <w:rPr>
          <w:rFonts w:ascii="Garamond" w:eastAsiaTheme="minorHAnsi" w:hAnsi="Garamond"/>
          <w:color w:val="000000"/>
          <w:sz w:val="24"/>
          <w:szCs w:val="24"/>
          <w:lang w:val="sq-AL"/>
          <w14:ligatures w14:val="standardContextual"/>
        </w:rPr>
        <w:t>vjet</w:t>
      </w:r>
      <w:r w:rsidRPr="008419ED">
        <w:rPr>
          <w:rFonts w:ascii="Garamond" w:eastAsiaTheme="minorHAnsi" w:hAnsi="Garamond"/>
          <w:color w:val="000000"/>
          <w:sz w:val="24"/>
          <w:szCs w:val="24"/>
          <w:lang w:val="sq-AL"/>
          <w14:ligatures w14:val="standardContextual"/>
        </w:rPr>
        <w:t xml:space="preserve"> e gjysmë – dhe jo njëmbëdhjetë siç kërkohej nga ligji. </w:t>
      </w:r>
    </w:p>
    <w:p w14:paraId="7196A5E9" w14:textId="4F7899F1"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44. Për këtë arsye, kërkesa e tij për pension pleqërie u rrëzua. Për të njëjtën arsye, DSSH</w:t>
      </w:r>
      <w:r w:rsidR="00AC3C9E">
        <w:rPr>
          <w:rFonts w:ascii="Garamond" w:eastAsiaTheme="minorHAnsi" w:hAnsi="Garamond"/>
          <w:color w:val="000000"/>
          <w:sz w:val="24"/>
          <w:szCs w:val="24"/>
          <w:lang w:val="sq-AL"/>
          <w14:ligatures w14:val="standardContextual"/>
        </w:rPr>
        <w:t>-ja</w:t>
      </w:r>
      <w:r w:rsidRPr="008419ED">
        <w:rPr>
          <w:rFonts w:ascii="Garamond" w:eastAsiaTheme="minorHAnsi" w:hAnsi="Garamond"/>
          <w:color w:val="000000"/>
          <w:sz w:val="24"/>
          <w:szCs w:val="24"/>
          <w:lang w:val="sq-AL"/>
          <w14:ligatures w14:val="standardContextual"/>
        </w:rPr>
        <w:t xml:space="preserve">, në mënyrë prapavepruese e ndërpreu të drejtën e tij për të marrë pensionin e minatorit, dhe i kërkoi që të rikthente shumat e marra që prej vitit 2001. </w:t>
      </w:r>
    </w:p>
    <w:p w14:paraId="19E2CB96" w14:textId="2402F7B2"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8419ED">
        <w:rPr>
          <w:rFonts w:ascii="Garamond" w:eastAsiaTheme="minorHAnsi" w:hAnsi="Garamond"/>
          <w:i/>
          <w:iCs/>
          <w:color w:val="000000"/>
          <w:sz w:val="24"/>
          <w:szCs w:val="24"/>
          <w:lang w:val="sq-AL"/>
          <w14:ligatures w14:val="standardContextual"/>
        </w:rPr>
        <w:t>2. Faza gjyqësore</w:t>
      </w:r>
    </w:p>
    <w:p w14:paraId="67CE554E" w14:textId="526E8FEF"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45. Më 26 </w:t>
      </w:r>
      <w:r w:rsidR="005F43E1" w:rsidRPr="008419ED">
        <w:rPr>
          <w:rFonts w:ascii="Garamond" w:eastAsiaTheme="minorHAnsi" w:hAnsi="Garamond"/>
          <w:color w:val="000000"/>
          <w:sz w:val="24"/>
          <w:szCs w:val="24"/>
          <w:lang w:val="sq-AL"/>
          <w14:ligatures w14:val="standardContextual"/>
        </w:rPr>
        <w:t xml:space="preserve">maj </w:t>
      </w:r>
      <w:r w:rsidRPr="008419ED">
        <w:rPr>
          <w:rFonts w:ascii="Garamond" w:eastAsiaTheme="minorHAnsi" w:hAnsi="Garamond"/>
          <w:color w:val="000000"/>
          <w:sz w:val="24"/>
          <w:szCs w:val="24"/>
          <w:lang w:val="sq-AL"/>
          <w14:ligatures w14:val="standardContextual"/>
        </w:rPr>
        <w:t>2016, kërkuesi e kundërshtoi vendimin e DSSH</w:t>
      </w:r>
      <w:r w:rsidR="005F43E1">
        <w:rPr>
          <w:rFonts w:ascii="Garamond" w:eastAsiaTheme="minorHAnsi" w:hAnsi="Garamond"/>
          <w:color w:val="000000"/>
          <w:sz w:val="24"/>
          <w:szCs w:val="24"/>
          <w:lang w:val="sq-AL"/>
          <w14:ligatures w14:val="standardContextual"/>
        </w:rPr>
        <w:t>-së</w:t>
      </w:r>
      <w:r w:rsidRPr="008419ED">
        <w:rPr>
          <w:rFonts w:ascii="Garamond" w:eastAsiaTheme="minorHAnsi" w:hAnsi="Garamond"/>
          <w:color w:val="000000"/>
          <w:sz w:val="24"/>
          <w:szCs w:val="24"/>
          <w:lang w:val="sq-AL"/>
          <w14:ligatures w14:val="standardContextual"/>
        </w:rPr>
        <w:t xml:space="preserve"> pranë Gjykatës Administrative të Shkallës së Parë Tiranë.</w:t>
      </w:r>
    </w:p>
    <w:p w14:paraId="71AB8F83" w14:textId="263BCD7A"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46. Më 25 </w:t>
      </w:r>
      <w:r w:rsidR="005F43E1" w:rsidRPr="008419ED">
        <w:rPr>
          <w:rFonts w:ascii="Garamond" w:eastAsiaTheme="minorHAnsi" w:hAnsi="Garamond"/>
          <w:color w:val="000000"/>
          <w:sz w:val="24"/>
          <w:szCs w:val="24"/>
          <w:lang w:val="sq-AL"/>
          <w14:ligatures w14:val="standardContextual"/>
        </w:rPr>
        <w:t xml:space="preserve">tetor </w:t>
      </w:r>
      <w:r w:rsidRPr="008419ED">
        <w:rPr>
          <w:rFonts w:ascii="Garamond" w:eastAsiaTheme="minorHAnsi" w:hAnsi="Garamond"/>
          <w:color w:val="000000"/>
          <w:sz w:val="24"/>
          <w:szCs w:val="24"/>
          <w:lang w:val="sq-AL"/>
          <w14:ligatures w14:val="standardContextual"/>
        </w:rPr>
        <w:t xml:space="preserve">2016, gjykata vendosi në favor të kërkuesit. </w:t>
      </w:r>
    </w:p>
    <w:p w14:paraId="5DAD904C" w14:textId="3ED380BA"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47. Më 9 </w:t>
      </w:r>
      <w:r w:rsidR="005F43E1" w:rsidRPr="008419ED">
        <w:rPr>
          <w:rFonts w:ascii="Garamond" w:eastAsiaTheme="minorHAnsi" w:hAnsi="Garamond"/>
          <w:color w:val="000000"/>
          <w:sz w:val="24"/>
          <w:szCs w:val="24"/>
          <w:lang w:val="sq-AL"/>
          <w14:ligatures w14:val="standardContextual"/>
        </w:rPr>
        <w:t xml:space="preserve">nëntor </w:t>
      </w:r>
      <w:r w:rsidRPr="008419ED">
        <w:rPr>
          <w:rFonts w:ascii="Garamond" w:eastAsiaTheme="minorHAnsi" w:hAnsi="Garamond"/>
          <w:color w:val="000000"/>
          <w:sz w:val="24"/>
          <w:szCs w:val="24"/>
          <w:lang w:val="sq-AL"/>
          <w14:ligatures w14:val="standardContextual"/>
        </w:rPr>
        <w:t>2017, Gjykata Administrative e Apelit Tiranë, në vendimin e marrë për një apelim të bërë nga DSSH</w:t>
      </w:r>
      <w:r w:rsidR="00753882">
        <w:rPr>
          <w:rFonts w:ascii="Garamond" w:eastAsiaTheme="minorHAnsi" w:hAnsi="Garamond"/>
          <w:color w:val="000000"/>
          <w:sz w:val="24"/>
          <w:szCs w:val="24"/>
          <w:lang w:val="sq-AL"/>
          <w14:ligatures w14:val="standardContextual"/>
        </w:rPr>
        <w:t>-ja</w:t>
      </w:r>
      <w:r w:rsidRPr="008419ED">
        <w:rPr>
          <w:rFonts w:ascii="Garamond" w:eastAsiaTheme="minorHAnsi" w:hAnsi="Garamond"/>
          <w:color w:val="000000"/>
          <w:sz w:val="24"/>
          <w:szCs w:val="24"/>
          <w:lang w:val="sq-AL"/>
          <w14:ligatures w14:val="standardContextual"/>
        </w:rPr>
        <w:t xml:space="preserve">, e shpalli pretendimin e kërkuesit pjesërisht të mbështetur në fakte. </w:t>
      </w:r>
    </w:p>
    <w:p w14:paraId="66858940" w14:textId="3F2B4984"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48. Në lidhje me kohëzgjatjen e periudhës gjatë së cilës kërkuesi kishte punuar si minator, Gjykata Administrative e Apelit konstatoi se të dhënat ishin kontradiktore. Mbështetur në rrethana, ajo gjykoi se çështja nuk ishte një “mosmarrëveshje administrative” dhe e këshilloi kërkuesin të bënte një padi civile pranë gjykatave civile për të sqaruar këtë fakt. </w:t>
      </w:r>
    </w:p>
    <w:p w14:paraId="2BEF4DB1" w14:textId="2A0B6C06"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lastRenderedPageBreak/>
        <w:t>49. Për sa i përket detyrimit të kërkuesit për të shlyer plotësisht pensionin e minatorit të marrë që prej vitit 2001, Gjykata Administrative e Apelit konstatoi se DSSH</w:t>
      </w:r>
      <w:r w:rsidR="00753882">
        <w:rPr>
          <w:rFonts w:ascii="Garamond" w:eastAsiaTheme="minorHAnsi" w:hAnsi="Garamond"/>
          <w:color w:val="000000"/>
          <w:sz w:val="24"/>
          <w:szCs w:val="24"/>
          <w:lang w:val="sq-AL"/>
          <w14:ligatures w14:val="standardContextual"/>
        </w:rPr>
        <w:t>-ja</w:t>
      </w:r>
      <w:r w:rsidRPr="008419ED">
        <w:rPr>
          <w:rFonts w:ascii="Garamond" w:eastAsiaTheme="minorHAnsi" w:hAnsi="Garamond"/>
          <w:color w:val="000000"/>
          <w:sz w:val="24"/>
          <w:szCs w:val="24"/>
          <w:lang w:val="sq-AL"/>
          <w14:ligatures w14:val="standardContextual"/>
        </w:rPr>
        <w:t xml:space="preserve"> kishte të drejtën të merrte vetëm tre </w:t>
      </w:r>
      <w:r w:rsidR="00661964">
        <w:rPr>
          <w:rFonts w:ascii="Garamond" w:eastAsiaTheme="minorHAnsi" w:hAnsi="Garamond"/>
          <w:color w:val="000000"/>
          <w:sz w:val="24"/>
          <w:szCs w:val="24"/>
          <w:lang w:val="sq-AL"/>
          <w14:ligatures w14:val="standardContextual"/>
        </w:rPr>
        <w:t>vjet</w:t>
      </w:r>
      <w:r w:rsidRPr="008419ED">
        <w:rPr>
          <w:rFonts w:ascii="Garamond" w:eastAsiaTheme="minorHAnsi" w:hAnsi="Garamond"/>
          <w:color w:val="000000"/>
          <w:sz w:val="24"/>
          <w:szCs w:val="24"/>
          <w:lang w:val="sq-AL"/>
          <w14:ligatures w14:val="standardContextual"/>
        </w:rPr>
        <w:t xml:space="preserve"> për përfitime të parregullta, pjesa tjetër ishte në parashkrim. </w:t>
      </w:r>
    </w:p>
    <w:p w14:paraId="1684594B" w14:textId="01553A25"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50. Më 26 </w:t>
      </w:r>
      <w:r w:rsidR="00753882" w:rsidRPr="008419ED">
        <w:rPr>
          <w:rFonts w:ascii="Garamond" w:eastAsiaTheme="minorHAnsi" w:hAnsi="Garamond"/>
          <w:color w:val="000000"/>
          <w:sz w:val="24"/>
          <w:szCs w:val="24"/>
          <w:lang w:val="sq-AL"/>
          <w14:ligatures w14:val="standardContextual"/>
        </w:rPr>
        <w:t xml:space="preserve">dhjetor </w:t>
      </w:r>
      <w:r w:rsidRPr="008419ED">
        <w:rPr>
          <w:rFonts w:ascii="Garamond" w:eastAsiaTheme="minorHAnsi" w:hAnsi="Garamond"/>
          <w:color w:val="000000"/>
          <w:sz w:val="24"/>
          <w:szCs w:val="24"/>
          <w:lang w:val="sq-AL"/>
          <w14:ligatures w14:val="standardContextual"/>
        </w:rPr>
        <w:t xml:space="preserve">2017, kërkuesi paraqiti një rekurs pranë Gjykatës së Lartë. </w:t>
      </w:r>
    </w:p>
    <w:p w14:paraId="6E624B7D" w14:textId="019E994B"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51. Më 17 </w:t>
      </w:r>
      <w:r w:rsidR="00753882" w:rsidRPr="008419ED">
        <w:rPr>
          <w:rFonts w:ascii="Garamond" w:eastAsiaTheme="minorHAnsi" w:hAnsi="Garamond"/>
          <w:color w:val="000000"/>
          <w:sz w:val="24"/>
          <w:szCs w:val="24"/>
          <w:lang w:val="sq-AL"/>
          <w14:ligatures w14:val="standardContextual"/>
        </w:rPr>
        <w:t xml:space="preserve">janar </w:t>
      </w:r>
      <w:r w:rsidRPr="008419ED">
        <w:rPr>
          <w:rFonts w:ascii="Garamond" w:eastAsiaTheme="minorHAnsi" w:hAnsi="Garamond"/>
          <w:color w:val="000000"/>
          <w:sz w:val="24"/>
          <w:szCs w:val="24"/>
          <w:lang w:val="sq-AL"/>
          <w14:ligatures w14:val="standardContextual"/>
        </w:rPr>
        <w:t xml:space="preserve">2022, pas urdhrit të Gjykatës Kushtetuese për të përshpejtuar procedurat (shih paragrafin 59 në vijim), Gjykata e Lartë e prishi vendimin e apelit dhe e riktheu çështjen pranë Gjykatës Administrative të Apelit Tiranë. </w:t>
      </w:r>
    </w:p>
    <w:p w14:paraId="4BF6F1EC" w14:textId="20BC4249"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52. Specifikisht, Gjykata e Lartë konstatoi se nuk ishte e qartë se për sa kohë kërkuesi kishte qenë minator dhe se Gjykata Administrative e Apelit Tiranë  duhet të kishte marrë një vendim për këtë fakt, në vend që ta këshillonte kërkuesin të niste prej fillimit procedurat pranë gjykatave civile. </w:t>
      </w:r>
    </w:p>
    <w:p w14:paraId="5BABB9C8" w14:textId="67286768"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53. Për sa i përket shlyerjes së pjesës së pensionit të padrejtë të minatorit, ajo konstatoi se afatet e kërkesës vareshin nga fakti nëse kërkuesi kishte qenë në mirëbesim ose keqbesim në vitin 2001 kur ai kishte marrë përfitimet e para. Mbështetur në rrethana, Gjykata e Lartë urdhëroi gjykatën e apelit t’i mbante në konsideratë këto fakte dhe të rigjykonte çështjen. </w:t>
      </w:r>
    </w:p>
    <w:p w14:paraId="66031FB2" w14:textId="6630DCFA"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54. Sipas parashtrimeve të Qeverisë së datës 12 </w:t>
      </w:r>
      <w:r w:rsidR="00753882">
        <w:rPr>
          <w:rFonts w:ascii="Garamond" w:eastAsiaTheme="minorHAnsi" w:hAnsi="Garamond"/>
          <w:color w:val="000000"/>
          <w:sz w:val="24"/>
          <w:szCs w:val="24"/>
          <w:lang w:val="sq-AL"/>
          <w14:ligatures w14:val="standardContextual"/>
        </w:rPr>
        <w:t>s</w:t>
      </w:r>
      <w:r w:rsidRPr="008419ED">
        <w:rPr>
          <w:rFonts w:ascii="Garamond" w:eastAsiaTheme="minorHAnsi" w:hAnsi="Garamond"/>
          <w:color w:val="000000"/>
          <w:sz w:val="24"/>
          <w:szCs w:val="24"/>
          <w:lang w:val="sq-AL"/>
          <w14:ligatures w14:val="standardContextual"/>
        </w:rPr>
        <w:t>hkurt 2025, procedurat janë ende pezull pranë Gjykatës Administrative të Apelit Tiranë.</w:t>
      </w:r>
    </w:p>
    <w:p w14:paraId="6056CD45" w14:textId="652962A6"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8419ED">
        <w:rPr>
          <w:rFonts w:ascii="Garamond" w:eastAsiaTheme="minorHAnsi" w:hAnsi="Garamond"/>
          <w:b/>
          <w:bCs/>
          <w:color w:val="000000"/>
          <w:sz w:val="24"/>
          <w:szCs w:val="24"/>
          <w:lang w:val="sq-AL"/>
          <w14:ligatures w14:val="standardContextual"/>
        </w:rPr>
        <w:t>B. Ankesa në mbështetje të nenit 399/1 të KPC</w:t>
      </w:r>
      <w:r w:rsidR="00017DEB">
        <w:rPr>
          <w:rFonts w:ascii="Garamond" w:eastAsiaTheme="minorHAnsi" w:hAnsi="Garamond"/>
          <w:b/>
          <w:bCs/>
          <w:color w:val="000000"/>
          <w:sz w:val="24"/>
          <w:szCs w:val="24"/>
          <w:lang w:val="sq-AL"/>
          <w14:ligatures w14:val="standardContextual"/>
        </w:rPr>
        <w:t>-së</w:t>
      </w:r>
      <w:r w:rsidRPr="008419ED">
        <w:rPr>
          <w:rFonts w:ascii="Garamond" w:eastAsiaTheme="minorHAnsi" w:hAnsi="Garamond"/>
          <w:b/>
          <w:bCs/>
          <w:color w:val="000000"/>
          <w:sz w:val="24"/>
          <w:szCs w:val="24"/>
          <w:lang w:val="sq-AL"/>
          <w14:ligatures w14:val="standardContextual"/>
        </w:rPr>
        <w:t xml:space="preserve"> për kohëzgjatjen e procedurave</w:t>
      </w:r>
    </w:p>
    <w:p w14:paraId="15214292" w14:textId="25B53539"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8419ED">
        <w:rPr>
          <w:rFonts w:ascii="Garamond" w:eastAsiaTheme="minorHAnsi" w:hAnsi="Garamond"/>
          <w:i/>
          <w:iCs/>
          <w:color w:val="000000"/>
          <w:sz w:val="24"/>
          <w:szCs w:val="24"/>
          <w:lang w:val="sq-AL"/>
          <w14:ligatures w14:val="standardContextual"/>
        </w:rPr>
        <w:t>1. Faza e parë: konstatimi i një shkelje dhe përshpejtimi i procedurave</w:t>
      </w:r>
    </w:p>
    <w:p w14:paraId="7C652547" w14:textId="7B9A621F"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8419ED">
        <w:rPr>
          <w:rFonts w:ascii="Garamond" w:eastAsiaTheme="minorHAnsi" w:hAnsi="Garamond"/>
          <w:b/>
          <w:bCs/>
          <w:color w:val="000000"/>
          <w:sz w:val="24"/>
          <w:szCs w:val="24"/>
          <w:lang w:val="sq-AL"/>
          <w14:ligatures w14:val="standardContextual"/>
        </w:rPr>
        <w:t>a) Gjykata e Lartë</w:t>
      </w:r>
    </w:p>
    <w:p w14:paraId="643B3479" w14:textId="459B068F"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55. Më 18 </w:t>
      </w:r>
      <w:r w:rsidR="00BA5A4E">
        <w:rPr>
          <w:rFonts w:ascii="Garamond" w:eastAsiaTheme="minorHAnsi" w:hAnsi="Garamond"/>
          <w:color w:val="000000"/>
          <w:sz w:val="24"/>
          <w:szCs w:val="24"/>
          <w:lang w:val="sq-AL"/>
          <w14:ligatures w14:val="standardContextual"/>
        </w:rPr>
        <w:t>s</w:t>
      </w:r>
      <w:r w:rsidRPr="008419ED">
        <w:rPr>
          <w:rFonts w:ascii="Garamond" w:eastAsiaTheme="minorHAnsi" w:hAnsi="Garamond"/>
          <w:color w:val="000000"/>
          <w:sz w:val="24"/>
          <w:szCs w:val="24"/>
          <w:lang w:val="sq-AL"/>
          <w14:ligatures w14:val="standardContextual"/>
        </w:rPr>
        <w:t xml:space="preserve">htator 2020, teksa procedurat për pensionin ishin pezull pranë Gjykatës së Lartë (shih paragrafin 50 më sipër), kërkuesi paraqiti një ankesë pranë Gjykatës së Lartë në mbështetje të </w:t>
      </w:r>
      <w:r w:rsidR="00753882">
        <w:rPr>
          <w:rFonts w:ascii="Garamond" w:eastAsiaTheme="minorHAnsi" w:hAnsi="Garamond"/>
          <w:color w:val="000000"/>
          <w:sz w:val="24"/>
          <w:szCs w:val="24"/>
          <w:lang w:val="sq-AL"/>
          <w14:ligatures w14:val="standardContextual"/>
        </w:rPr>
        <w:t>n</w:t>
      </w:r>
      <w:r w:rsidRPr="008419ED">
        <w:rPr>
          <w:rFonts w:ascii="Garamond" w:eastAsiaTheme="minorHAnsi" w:hAnsi="Garamond"/>
          <w:color w:val="000000"/>
          <w:sz w:val="24"/>
          <w:szCs w:val="24"/>
          <w:lang w:val="sq-AL"/>
          <w14:ligatures w14:val="standardContextual"/>
        </w:rPr>
        <w:t>enit 399/1 të KPC</w:t>
      </w:r>
      <w:r w:rsidR="00BA5A4E">
        <w:rPr>
          <w:rFonts w:ascii="Garamond" w:eastAsiaTheme="minorHAnsi" w:hAnsi="Garamond"/>
          <w:color w:val="000000"/>
          <w:sz w:val="24"/>
          <w:szCs w:val="24"/>
          <w:lang w:val="sq-AL"/>
          <w14:ligatures w14:val="standardContextual"/>
        </w:rPr>
        <w:t>-së</w:t>
      </w:r>
      <w:r w:rsidRPr="008419ED">
        <w:rPr>
          <w:rFonts w:ascii="Garamond" w:eastAsiaTheme="minorHAnsi" w:hAnsi="Garamond"/>
          <w:color w:val="000000"/>
          <w:sz w:val="24"/>
          <w:szCs w:val="24"/>
          <w:lang w:val="sq-AL"/>
          <w14:ligatures w14:val="standardContextual"/>
        </w:rPr>
        <w:t xml:space="preserve">, në lidhje me kohëzgjatjen e procedurave. </w:t>
      </w:r>
    </w:p>
    <w:p w14:paraId="4543279D" w14:textId="6CB33067"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8419ED">
        <w:rPr>
          <w:rFonts w:ascii="Garamond" w:eastAsiaTheme="minorHAnsi" w:hAnsi="Garamond"/>
          <w:b/>
          <w:bCs/>
          <w:color w:val="000000"/>
          <w:sz w:val="24"/>
          <w:szCs w:val="24"/>
          <w:lang w:val="sq-AL"/>
          <w14:ligatures w14:val="standardContextual"/>
        </w:rPr>
        <w:t>b) Gjykata Kushtetuese</w:t>
      </w:r>
    </w:p>
    <w:p w14:paraId="6CBC7B73" w14:textId="2DDA6901"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56. Më 26 </w:t>
      </w:r>
      <w:r w:rsidR="00753882">
        <w:rPr>
          <w:rFonts w:ascii="Garamond" w:eastAsiaTheme="minorHAnsi" w:hAnsi="Garamond"/>
          <w:color w:val="000000"/>
          <w:sz w:val="24"/>
          <w:szCs w:val="24"/>
          <w:lang w:val="sq-AL"/>
          <w14:ligatures w14:val="standardContextual"/>
        </w:rPr>
        <w:t>p</w:t>
      </w:r>
      <w:r w:rsidRPr="008419ED">
        <w:rPr>
          <w:rFonts w:ascii="Garamond" w:eastAsiaTheme="minorHAnsi" w:hAnsi="Garamond"/>
          <w:color w:val="000000"/>
          <w:sz w:val="24"/>
          <w:szCs w:val="24"/>
          <w:lang w:val="sq-AL"/>
          <w14:ligatures w14:val="standardContextual"/>
        </w:rPr>
        <w:t xml:space="preserve">rill 2021,  duke u mbështetur në faktin se Gjykata e Lartë nuk mori një vendim në kohën e duhur për ankesën e tij, kërkuesi u ankua pranë Gjykatës Kushtetuese. </w:t>
      </w:r>
    </w:p>
    <w:p w14:paraId="15D8D82D" w14:textId="7EF33631"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57. Më 1 </w:t>
      </w:r>
      <w:r w:rsidR="00753882">
        <w:rPr>
          <w:rFonts w:ascii="Garamond" w:eastAsiaTheme="minorHAnsi" w:hAnsi="Garamond"/>
          <w:color w:val="000000"/>
          <w:sz w:val="24"/>
          <w:szCs w:val="24"/>
          <w:lang w:val="sq-AL"/>
          <w14:ligatures w14:val="standardContextual"/>
        </w:rPr>
        <w:t>n</w:t>
      </w:r>
      <w:r w:rsidRPr="008419ED">
        <w:rPr>
          <w:rFonts w:ascii="Garamond" w:eastAsiaTheme="minorHAnsi" w:hAnsi="Garamond"/>
          <w:color w:val="000000"/>
          <w:sz w:val="24"/>
          <w:szCs w:val="24"/>
          <w:lang w:val="sq-AL"/>
          <w14:ligatures w14:val="standardContextual"/>
        </w:rPr>
        <w:t>ëntor 2021, Gjykata Kushtetuese mori një vendim pjesërisht në favor të kërkuesit m</w:t>
      </w:r>
      <w:r w:rsidR="007C3AA8">
        <w:rPr>
          <w:rFonts w:ascii="Garamond" w:eastAsiaTheme="minorHAnsi" w:hAnsi="Garamond"/>
          <w:color w:val="000000"/>
          <w:sz w:val="24"/>
          <w:szCs w:val="24"/>
          <w:lang w:val="sq-AL"/>
          <w14:ligatures w14:val="standardContextual"/>
        </w:rPr>
        <w:t>e</w:t>
      </w:r>
      <w:r w:rsidRPr="008419ED">
        <w:rPr>
          <w:rFonts w:ascii="Garamond" w:eastAsiaTheme="minorHAnsi" w:hAnsi="Garamond"/>
          <w:color w:val="000000"/>
          <w:sz w:val="24"/>
          <w:szCs w:val="24"/>
          <w:lang w:val="sq-AL"/>
          <w14:ligatures w14:val="standardContextual"/>
        </w:rPr>
        <w:t xml:space="preserve"> anë të vendimit nr. 35 (“</w:t>
      </w:r>
      <w:r w:rsidR="00753882">
        <w:rPr>
          <w:rFonts w:ascii="Garamond" w:eastAsiaTheme="minorHAnsi" w:hAnsi="Garamond"/>
          <w:color w:val="000000"/>
          <w:sz w:val="24"/>
          <w:szCs w:val="24"/>
          <w:lang w:val="sq-AL"/>
          <w14:ligatures w14:val="standardContextual"/>
        </w:rPr>
        <w:t>v</w:t>
      </w:r>
      <w:r w:rsidRPr="008419ED">
        <w:rPr>
          <w:rFonts w:ascii="Garamond" w:eastAsiaTheme="minorHAnsi" w:hAnsi="Garamond"/>
          <w:color w:val="000000"/>
          <w:sz w:val="24"/>
          <w:szCs w:val="24"/>
          <w:lang w:val="sq-AL"/>
          <w14:ligatures w14:val="standardContextual"/>
        </w:rPr>
        <w:t xml:space="preserve">endimi 35/2021”), duke gjykuar se ishte shkelur e drejta e tij për gjykim brenda afatit të arsyeshëm. </w:t>
      </w:r>
    </w:p>
    <w:p w14:paraId="3AE9F151" w14:textId="21D6CB4A"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58. Në lidhje me shterimin e mjeteve, Gjykata Kushtetuese konstatoi se vonesa e Gjykatës së Lartë në shqyrtimin e ankesës së kërkuesit në mbështetje të nenit 399/1 të KPC</w:t>
      </w:r>
      <w:r w:rsidR="00753882">
        <w:rPr>
          <w:rFonts w:ascii="Garamond" w:eastAsiaTheme="minorHAnsi" w:hAnsi="Garamond"/>
          <w:color w:val="000000"/>
          <w:sz w:val="24"/>
          <w:szCs w:val="24"/>
          <w:lang w:val="sq-AL"/>
          <w14:ligatures w14:val="standardContextual"/>
        </w:rPr>
        <w:t>-së</w:t>
      </w:r>
      <w:r w:rsidRPr="008419ED">
        <w:rPr>
          <w:rFonts w:ascii="Garamond" w:eastAsiaTheme="minorHAnsi" w:hAnsi="Garamond"/>
          <w:color w:val="000000"/>
          <w:sz w:val="24"/>
          <w:szCs w:val="24"/>
          <w:lang w:val="sq-AL"/>
          <w14:ligatures w14:val="standardContextual"/>
        </w:rPr>
        <w:t xml:space="preserve"> e kishte bërë atë mjet joefektiv në çështjen konkrete dhe se nuk kishte asnjë përfitim nëse pritej më gjatë për një vendim nga Gjykata e Lartë. </w:t>
      </w:r>
    </w:p>
    <w:p w14:paraId="3BDB8864" w14:textId="02138D29"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59. Për sa i përket meritave të ankesës për kohëzgjatjen e procedurave, Gjykata Kushtetuese ishte e mendimit se çështja kryesore pranë Gjykatës së Lartë nuk ishte komplekse dhe se vonesat nuk ishin shkaktuar nga kërkuesi. Mbështetur në rrethanat, ajo gjykoi se procedurat kryesore kishin shkaktuar shkelje të kërkesës për “afat të arsyeshëm”. Për këtë arsye, ajo urdhëronte Gjykatën e Lartë të shqyrtonte rekursin e kërkuesit brenda gjashtë muajve. </w:t>
      </w:r>
    </w:p>
    <w:p w14:paraId="700C479B" w14:textId="7F25EA50"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60. Në lidhje me pretendimet e kërkuesit për dëmshpërblim, gjykata konstatoi se ajo nuk kishte juridiksion për të akorduar një kompensim të tillë. </w:t>
      </w:r>
    </w:p>
    <w:p w14:paraId="591439DC" w14:textId="12259B1B"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8419ED">
        <w:rPr>
          <w:rFonts w:ascii="Garamond" w:eastAsiaTheme="minorHAnsi" w:hAnsi="Garamond"/>
          <w:i/>
          <w:iCs/>
          <w:color w:val="000000"/>
          <w:sz w:val="24"/>
          <w:szCs w:val="24"/>
          <w:lang w:val="sq-AL"/>
          <w14:ligatures w14:val="standardContextual"/>
        </w:rPr>
        <w:t>2. Faza e dytë: përcaktimi i dëmshpërblimit</w:t>
      </w:r>
    </w:p>
    <w:p w14:paraId="2D605D4C" w14:textId="010CA76F"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61. Më 22 </w:t>
      </w:r>
      <w:r w:rsidR="00776F2C" w:rsidRPr="008419ED">
        <w:rPr>
          <w:rFonts w:ascii="Garamond" w:eastAsiaTheme="minorHAnsi" w:hAnsi="Garamond"/>
          <w:color w:val="000000"/>
          <w:sz w:val="24"/>
          <w:szCs w:val="24"/>
          <w:lang w:val="sq-AL"/>
          <w14:ligatures w14:val="standardContextual"/>
        </w:rPr>
        <w:t xml:space="preserve">prill </w:t>
      </w:r>
      <w:r w:rsidRPr="008419ED">
        <w:rPr>
          <w:rFonts w:ascii="Garamond" w:eastAsiaTheme="minorHAnsi" w:hAnsi="Garamond"/>
          <w:color w:val="000000"/>
          <w:sz w:val="24"/>
          <w:szCs w:val="24"/>
          <w:lang w:val="sq-AL"/>
          <w14:ligatures w14:val="standardContextual"/>
        </w:rPr>
        <w:t xml:space="preserve">2022, kërkuesi nisi një proces në Gjykatën e Rrethit Tiranë ndaj Ministrisë së Drejtësisë dhe Ministrisë së Financave, ku kërkonte dëmshpërblim për vonesën në procedurat kryesore. Ai u mbështet në konstatimin e Gjykatës Kushtetuese për një shkelje të kërkesës për “afatin e arsyeshëm”. </w:t>
      </w:r>
    </w:p>
    <w:p w14:paraId="64E80519" w14:textId="0B332BA9"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62. Më 14 </w:t>
      </w:r>
      <w:r w:rsidR="00776F2C" w:rsidRPr="008419ED">
        <w:rPr>
          <w:rFonts w:ascii="Garamond" w:eastAsiaTheme="minorHAnsi" w:hAnsi="Garamond"/>
          <w:color w:val="000000"/>
          <w:sz w:val="24"/>
          <w:szCs w:val="24"/>
          <w:lang w:val="sq-AL"/>
          <w14:ligatures w14:val="standardContextual"/>
        </w:rPr>
        <w:t xml:space="preserve">prill </w:t>
      </w:r>
      <w:r w:rsidRPr="008419ED">
        <w:rPr>
          <w:rFonts w:ascii="Garamond" w:eastAsiaTheme="minorHAnsi" w:hAnsi="Garamond"/>
          <w:color w:val="000000"/>
          <w:sz w:val="24"/>
          <w:szCs w:val="24"/>
          <w:lang w:val="sq-AL"/>
          <w14:ligatures w14:val="standardContextual"/>
        </w:rPr>
        <w:t xml:space="preserve">2024, Gjykata e Rrethit Tiranë dha një vendim verbal me anë të të cilit i akordonte kërkuesit 369,406 </w:t>
      </w:r>
      <w:r w:rsidR="00944CA1" w:rsidRPr="008419ED">
        <w:rPr>
          <w:rFonts w:ascii="Garamond" w:eastAsiaTheme="minorHAnsi" w:hAnsi="Garamond"/>
          <w:color w:val="000000"/>
          <w:sz w:val="24"/>
          <w:szCs w:val="24"/>
          <w:lang w:val="sq-AL"/>
          <w14:ligatures w14:val="standardContextual"/>
        </w:rPr>
        <w:t xml:space="preserve">lekë </w:t>
      </w:r>
      <w:r w:rsidRPr="008419ED">
        <w:rPr>
          <w:rFonts w:ascii="Garamond" w:eastAsiaTheme="minorHAnsi" w:hAnsi="Garamond"/>
          <w:color w:val="000000"/>
          <w:sz w:val="24"/>
          <w:szCs w:val="24"/>
          <w:lang w:val="sq-AL"/>
          <w14:ligatures w14:val="standardContextual"/>
        </w:rPr>
        <w:t xml:space="preserve">(ALL) (afërsisht 3,600 euro (EUR)) për dëmin dhe 40,000 ALL (afërsisht 400 EUR) për kostot dhe shpenzimet. Gjithashtu gjykata urdhëroi ekzekutimin paraprak të vendimit të saj. </w:t>
      </w:r>
    </w:p>
    <w:p w14:paraId="34187DC7" w14:textId="18B0809D"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63. Vendimi i datës 14 </w:t>
      </w:r>
      <w:r w:rsidR="00944CA1" w:rsidRPr="008419ED">
        <w:rPr>
          <w:rFonts w:ascii="Garamond" w:eastAsiaTheme="minorHAnsi" w:hAnsi="Garamond"/>
          <w:color w:val="000000"/>
          <w:sz w:val="24"/>
          <w:szCs w:val="24"/>
          <w:lang w:val="sq-AL"/>
          <w14:ligatures w14:val="standardContextual"/>
        </w:rPr>
        <w:t xml:space="preserve">prill </w:t>
      </w:r>
      <w:r w:rsidR="00776F2C" w:rsidRPr="008419ED">
        <w:rPr>
          <w:rFonts w:ascii="Garamond" w:eastAsiaTheme="minorHAnsi" w:hAnsi="Garamond"/>
          <w:color w:val="000000"/>
          <w:sz w:val="24"/>
          <w:szCs w:val="24"/>
          <w:lang w:val="sq-AL"/>
          <w14:ligatures w14:val="standardContextual"/>
        </w:rPr>
        <w:t xml:space="preserve">2024 </w:t>
      </w:r>
      <w:r w:rsidRPr="008419ED">
        <w:rPr>
          <w:rFonts w:ascii="Garamond" w:eastAsiaTheme="minorHAnsi" w:hAnsi="Garamond"/>
          <w:color w:val="000000"/>
          <w:sz w:val="24"/>
          <w:szCs w:val="24"/>
          <w:lang w:val="sq-AL"/>
          <w14:ligatures w14:val="standardContextual"/>
        </w:rPr>
        <w:t xml:space="preserve">u lëshua me shkrim në një datë të papërcaktuar në fillim të muajit </w:t>
      </w:r>
      <w:r w:rsidR="00776F2C" w:rsidRPr="008419ED">
        <w:rPr>
          <w:rFonts w:ascii="Garamond" w:eastAsiaTheme="minorHAnsi" w:hAnsi="Garamond"/>
          <w:color w:val="000000"/>
          <w:sz w:val="24"/>
          <w:szCs w:val="24"/>
          <w:lang w:val="sq-AL"/>
          <w14:ligatures w14:val="standardContextual"/>
        </w:rPr>
        <w:t xml:space="preserve">tetor </w:t>
      </w:r>
      <w:r w:rsidRPr="008419ED">
        <w:rPr>
          <w:rFonts w:ascii="Garamond" w:eastAsiaTheme="minorHAnsi" w:hAnsi="Garamond"/>
          <w:color w:val="000000"/>
          <w:sz w:val="24"/>
          <w:szCs w:val="24"/>
          <w:lang w:val="sq-AL"/>
          <w14:ligatures w14:val="standardContextual"/>
        </w:rPr>
        <w:t xml:space="preserve">2024. Menjëherë më pas, të paditurit bënë apelime të zakonshme me anë të të cilëve kundërshtonin meritat e vendimit, dhe apelime të posaçme me anë të të cilëve kundërshtonin </w:t>
      </w:r>
      <w:r w:rsidRPr="008419ED">
        <w:rPr>
          <w:rFonts w:ascii="Garamond" w:eastAsiaTheme="minorHAnsi" w:hAnsi="Garamond"/>
          <w:color w:val="000000"/>
          <w:sz w:val="24"/>
          <w:szCs w:val="24"/>
          <w:lang w:val="sq-AL"/>
          <w14:ligatures w14:val="standardContextual"/>
        </w:rPr>
        <w:lastRenderedPageBreak/>
        <w:t xml:space="preserve">klauzolën për ekzekutimin paraprak. Në thelb, ata argumentuan se nuk kishte shkaqe për akordimin e kompensimit për ankuesin, dhe se vendimi më i ulët nuk ishte arsyetuar mjaftueshëm. </w:t>
      </w:r>
    </w:p>
    <w:p w14:paraId="2A9E1223" w14:textId="6DE051FF"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64. Më 15 </w:t>
      </w:r>
      <w:r w:rsidR="00776F2C" w:rsidRPr="008419ED">
        <w:rPr>
          <w:rFonts w:ascii="Garamond" w:eastAsiaTheme="minorHAnsi" w:hAnsi="Garamond"/>
          <w:color w:val="000000"/>
          <w:sz w:val="24"/>
          <w:szCs w:val="24"/>
          <w:lang w:val="sq-AL"/>
          <w14:ligatures w14:val="standardContextual"/>
        </w:rPr>
        <w:t xml:space="preserve">shkurt </w:t>
      </w:r>
      <w:r w:rsidRPr="008419ED">
        <w:rPr>
          <w:rFonts w:ascii="Garamond" w:eastAsiaTheme="minorHAnsi" w:hAnsi="Garamond"/>
          <w:color w:val="000000"/>
          <w:sz w:val="24"/>
          <w:szCs w:val="24"/>
          <w:lang w:val="sq-AL"/>
          <w14:ligatures w14:val="standardContextual"/>
        </w:rPr>
        <w:t xml:space="preserve">2025, kërkuesi konfirmoi se vendimi i Gjykatës së Rrethit nuk ishte ekzekutuar dhe se çështja ishte pezull pranë Gjykatës së Apelit. </w:t>
      </w:r>
    </w:p>
    <w:p w14:paraId="34EAB2F2" w14:textId="77777777"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KUADRI DHE PRAKTIKA LIGJORE PËRKATËSE</w:t>
      </w:r>
    </w:p>
    <w:p w14:paraId="620296B2" w14:textId="6874130A"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I. LIGJI VENDAS DHE MATERIALE TË TJERË</w:t>
      </w:r>
    </w:p>
    <w:p w14:paraId="1DDAB264" w14:textId="76C5C4CF"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8419ED">
        <w:rPr>
          <w:rFonts w:ascii="Garamond" w:eastAsiaTheme="minorHAnsi" w:hAnsi="Garamond"/>
          <w:b/>
          <w:bCs/>
          <w:color w:val="000000"/>
          <w:sz w:val="24"/>
          <w:szCs w:val="24"/>
          <w:lang w:val="sq-AL"/>
          <w14:ligatures w14:val="standardContextual"/>
        </w:rPr>
        <w:t>A. Kodi i Procedurës Civile, i ndryshuar në vitin 2017</w:t>
      </w:r>
    </w:p>
    <w:p w14:paraId="4598D6E5" w14:textId="429E25A1"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65. Më 30 </w:t>
      </w:r>
      <w:r w:rsidR="00776F2C" w:rsidRPr="008419ED">
        <w:rPr>
          <w:rFonts w:ascii="Garamond" w:eastAsiaTheme="minorHAnsi" w:hAnsi="Garamond"/>
          <w:color w:val="000000"/>
          <w:sz w:val="24"/>
          <w:szCs w:val="24"/>
          <w:lang w:val="sq-AL"/>
          <w14:ligatures w14:val="standardContextual"/>
        </w:rPr>
        <w:t xml:space="preserve">mars </w:t>
      </w:r>
      <w:r w:rsidRPr="008419ED">
        <w:rPr>
          <w:rFonts w:ascii="Garamond" w:eastAsiaTheme="minorHAnsi" w:hAnsi="Garamond"/>
          <w:color w:val="000000"/>
          <w:sz w:val="24"/>
          <w:szCs w:val="24"/>
          <w:lang w:val="sq-AL"/>
          <w14:ligatures w14:val="standardContextual"/>
        </w:rPr>
        <w:t xml:space="preserve">2017,  Parlamenti miratoi </w:t>
      </w:r>
      <w:r w:rsidR="00776F2C" w:rsidRPr="008419ED">
        <w:rPr>
          <w:rFonts w:ascii="Garamond" w:eastAsiaTheme="minorHAnsi" w:hAnsi="Garamond"/>
          <w:color w:val="000000"/>
          <w:sz w:val="24"/>
          <w:szCs w:val="24"/>
          <w:lang w:val="sq-AL"/>
          <w14:ligatures w14:val="standardContextual"/>
        </w:rPr>
        <w:t xml:space="preserve">ligjin </w:t>
      </w:r>
      <w:r w:rsidRPr="008419ED">
        <w:rPr>
          <w:rFonts w:ascii="Garamond" w:eastAsiaTheme="minorHAnsi" w:hAnsi="Garamond"/>
          <w:color w:val="000000"/>
          <w:sz w:val="24"/>
          <w:szCs w:val="24"/>
          <w:lang w:val="sq-AL"/>
          <w14:ligatures w14:val="standardContextual"/>
        </w:rPr>
        <w:t>nr. 38/2017 (“</w:t>
      </w:r>
      <w:r w:rsidR="00776F2C" w:rsidRPr="008419ED">
        <w:rPr>
          <w:rFonts w:ascii="Garamond" w:eastAsiaTheme="minorHAnsi" w:hAnsi="Garamond"/>
          <w:color w:val="000000"/>
          <w:sz w:val="24"/>
          <w:szCs w:val="24"/>
          <w:lang w:val="sq-AL"/>
          <w14:ligatures w14:val="standardContextual"/>
        </w:rPr>
        <w:t xml:space="preserve">ligji </w:t>
      </w:r>
      <w:r w:rsidRPr="008419ED">
        <w:rPr>
          <w:rFonts w:ascii="Garamond" w:eastAsiaTheme="minorHAnsi" w:hAnsi="Garamond"/>
          <w:color w:val="000000"/>
          <w:sz w:val="24"/>
          <w:szCs w:val="24"/>
          <w:lang w:val="sq-AL"/>
          <w14:ligatures w14:val="standardContextual"/>
        </w:rPr>
        <w:t xml:space="preserve">2017”), që hyri në fuqi më 5 </w:t>
      </w:r>
      <w:r w:rsidR="00776F2C" w:rsidRPr="008419ED">
        <w:rPr>
          <w:rFonts w:ascii="Garamond" w:eastAsiaTheme="minorHAnsi" w:hAnsi="Garamond"/>
          <w:color w:val="000000"/>
          <w:sz w:val="24"/>
          <w:szCs w:val="24"/>
          <w:lang w:val="sq-AL"/>
          <w14:ligatures w14:val="standardContextual"/>
        </w:rPr>
        <w:t xml:space="preserve">nëntor </w:t>
      </w:r>
      <w:r w:rsidRPr="008419ED">
        <w:rPr>
          <w:rFonts w:ascii="Garamond" w:eastAsiaTheme="minorHAnsi" w:hAnsi="Garamond"/>
          <w:color w:val="000000"/>
          <w:sz w:val="24"/>
          <w:szCs w:val="24"/>
          <w:lang w:val="sq-AL"/>
          <w14:ligatures w14:val="standardContextual"/>
        </w:rPr>
        <w:t xml:space="preserve">2017. Ligji 2017 përfshinte një mjet të ri të kodifikuar në </w:t>
      </w:r>
      <w:r w:rsidR="00776F2C" w:rsidRPr="008419ED">
        <w:rPr>
          <w:rFonts w:ascii="Garamond" w:eastAsiaTheme="minorHAnsi" w:hAnsi="Garamond"/>
          <w:color w:val="000000"/>
          <w:sz w:val="24"/>
          <w:szCs w:val="24"/>
          <w:lang w:val="sq-AL"/>
          <w14:ligatures w14:val="standardContextual"/>
        </w:rPr>
        <w:t xml:space="preserve">nenet </w:t>
      </w:r>
      <w:r w:rsidRPr="008419ED">
        <w:rPr>
          <w:rFonts w:ascii="Garamond" w:eastAsiaTheme="minorHAnsi" w:hAnsi="Garamond"/>
          <w:color w:val="000000"/>
          <w:sz w:val="24"/>
          <w:szCs w:val="24"/>
          <w:lang w:val="sq-AL"/>
          <w14:ligatures w14:val="standardContextual"/>
        </w:rPr>
        <w:t>399/1 e në vijim të KPC</w:t>
      </w:r>
      <w:r w:rsidR="008E491E">
        <w:rPr>
          <w:rFonts w:ascii="Garamond" w:eastAsiaTheme="minorHAnsi" w:hAnsi="Garamond"/>
          <w:color w:val="000000"/>
          <w:sz w:val="24"/>
          <w:szCs w:val="24"/>
          <w:lang w:val="sq-AL"/>
          <w14:ligatures w14:val="standardContextual"/>
        </w:rPr>
        <w:t>-së</w:t>
      </w:r>
      <w:r w:rsidRPr="008419ED">
        <w:rPr>
          <w:rFonts w:ascii="Garamond" w:eastAsiaTheme="minorHAnsi" w:hAnsi="Garamond"/>
          <w:color w:val="000000"/>
          <w:sz w:val="24"/>
          <w:szCs w:val="24"/>
          <w:lang w:val="sq-AL"/>
          <w14:ligatures w14:val="standardContextual"/>
        </w:rPr>
        <w:t xml:space="preserve">, për ankesat në lidhje me kohëzgjatjen e paarsyeshme të procedurave. </w:t>
      </w:r>
    </w:p>
    <w:p w14:paraId="1378E344" w14:textId="6D14B65D"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66. Nenet 399/1 e në vijim të KPC</w:t>
      </w:r>
      <w:r w:rsidR="00776F2C">
        <w:rPr>
          <w:rFonts w:ascii="Garamond" w:eastAsiaTheme="minorHAnsi" w:hAnsi="Garamond"/>
          <w:color w:val="000000"/>
          <w:sz w:val="24"/>
          <w:szCs w:val="24"/>
          <w:lang w:val="sq-AL"/>
          <w14:ligatures w14:val="standardContextual"/>
        </w:rPr>
        <w:t>-së</w:t>
      </w:r>
      <w:r w:rsidRPr="008419ED">
        <w:rPr>
          <w:rFonts w:ascii="Garamond" w:eastAsiaTheme="minorHAnsi" w:hAnsi="Garamond"/>
          <w:color w:val="000000"/>
          <w:sz w:val="24"/>
          <w:szCs w:val="24"/>
          <w:lang w:val="sq-AL"/>
          <w14:ligatures w14:val="standardContextual"/>
        </w:rPr>
        <w:t xml:space="preserve">, për sa kanë lidhje me çështjen, përmenden në </w:t>
      </w:r>
      <w:r w:rsidRPr="008419ED">
        <w:rPr>
          <w:rFonts w:ascii="Garamond" w:eastAsiaTheme="minorHAnsi" w:hAnsi="Garamond"/>
          <w:i/>
          <w:iCs/>
          <w:color w:val="000000"/>
          <w:sz w:val="24"/>
          <w:szCs w:val="24"/>
          <w:lang w:val="sq-AL"/>
          <w14:ligatures w14:val="standardContextual"/>
        </w:rPr>
        <w:t xml:space="preserve">Bara dhe Kola </w:t>
      </w:r>
      <w:r w:rsidRPr="008419ED">
        <w:rPr>
          <w:rFonts w:ascii="Garamond" w:eastAsiaTheme="minorHAnsi" w:hAnsi="Garamond"/>
          <w:color w:val="000000"/>
          <w:sz w:val="24"/>
          <w:szCs w:val="24"/>
          <w:lang w:val="sq-AL"/>
          <w14:ligatures w14:val="standardContextual"/>
        </w:rPr>
        <w:t xml:space="preserve">(cituar më sipër,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37). Specifikisht, pjesët përkatëse të nenit 399/7 të KPC</w:t>
      </w:r>
      <w:r w:rsidR="00776F2C">
        <w:rPr>
          <w:rFonts w:ascii="Garamond" w:eastAsiaTheme="minorHAnsi" w:hAnsi="Garamond"/>
          <w:color w:val="000000"/>
          <w:sz w:val="24"/>
          <w:szCs w:val="24"/>
          <w:lang w:val="sq-AL"/>
          <w14:ligatures w14:val="standardContextual"/>
        </w:rPr>
        <w:t>-së</w:t>
      </w:r>
      <w:r w:rsidRPr="008419ED">
        <w:rPr>
          <w:rFonts w:ascii="Garamond" w:eastAsiaTheme="minorHAnsi" w:hAnsi="Garamond"/>
          <w:color w:val="000000"/>
          <w:sz w:val="24"/>
          <w:szCs w:val="24"/>
          <w:lang w:val="sq-AL"/>
          <w14:ligatures w14:val="standardContextual"/>
        </w:rPr>
        <w:t xml:space="preserve"> parashikojnë: </w:t>
      </w:r>
    </w:p>
    <w:p w14:paraId="11D9B397" w14:textId="77777777" w:rsidR="00776F2C" w:rsidRDefault="00776F2C" w:rsidP="008419ED">
      <w:pPr>
        <w:tabs>
          <w:tab w:val="left" w:pos="560"/>
          <w:tab w:val="left" w:pos="1120"/>
        </w:tabs>
        <w:autoSpaceDE w:val="0"/>
        <w:autoSpaceDN w:val="0"/>
        <w:adjustRightInd w:val="0"/>
        <w:spacing w:after="0" w:line="240" w:lineRule="auto"/>
        <w:ind w:firstLine="284"/>
        <w:jc w:val="center"/>
        <w:rPr>
          <w:rFonts w:ascii="Garamond" w:eastAsiaTheme="minorHAnsi" w:hAnsi="Garamond"/>
          <w:b/>
          <w:bCs/>
          <w:color w:val="000000"/>
          <w:sz w:val="24"/>
          <w:szCs w:val="24"/>
          <w:lang w:val="sq-AL"/>
          <w14:ligatures w14:val="standardContextual"/>
        </w:rPr>
      </w:pPr>
    </w:p>
    <w:p w14:paraId="1FB3538A" w14:textId="67CB6046" w:rsidR="008419ED" w:rsidRDefault="008419ED" w:rsidP="008419ED">
      <w:pPr>
        <w:tabs>
          <w:tab w:val="left" w:pos="560"/>
          <w:tab w:val="left" w:pos="1120"/>
        </w:tabs>
        <w:autoSpaceDE w:val="0"/>
        <w:autoSpaceDN w:val="0"/>
        <w:adjustRightInd w:val="0"/>
        <w:spacing w:after="0" w:line="240" w:lineRule="auto"/>
        <w:ind w:firstLine="284"/>
        <w:jc w:val="center"/>
        <w:rPr>
          <w:rFonts w:ascii="Garamond" w:eastAsiaTheme="minorHAnsi" w:hAnsi="Garamond"/>
          <w:b/>
          <w:bCs/>
          <w:color w:val="000000"/>
          <w:sz w:val="24"/>
          <w:szCs w:val="24"/>
          <w:lang w:val="sq-AL"/>
          <w14:ligatures w14:val="standardContextual"/>
        </w:rPr>
      </w:pPr>
      <w:r w:rsidRPr="008419ED">
        <w:rPr>
          <w:rFonts w:ascii="Garamond" w:eastAsiaTheme="minorHAnsi" w:hAnsi="Garamond"/>
          <w:b/>
          <w:bCs/>
          <w:color w:val="000000"/>
          <w:sz w:val="24"/>
          <w:szCs w:val="24"/>
          <w:lang w:val="sq-AL"/>
          <w14:ligatures w14:val="standardContextual"/>
        </w:rPr>
        <w:t>Neni 399/7</w:t>
      </w:r>
    </w:p>
    <w:p w14:paraId="00395505" w14:textId="77777777" w:rsidR="00776F2C" w:rsidRPr="008419ED" w:rsidRDefault="00776F2C" w:rsidP="008419ED">
      <w:pPr>
        <w:tabs>
          <w:tab w:val="left" w:pos="560"/>
          <w:tab w:val="left" w:pos="1120"/>
        </w:tabs>
        <w:autoSpaceDE w:val="0"/>
        <w:autoSpaceDN w:val="0"/>
        <w:adjustRightInd w:val="0"/>
        <w:spacing w:after="0" w:line="240" w:lineRule="auto"/>
        <w:ind w:firstLine="284"/>
        <w:jc w:val="center"/>
        <w:rPr>
          <w:rFonts w:ascii="Garamond" w:eastAsiaTheme="minorHAnsi" w:hAnsi="Garamond"/>
          <w:b/>
          <w:bCs/>
          <w:color w:val="000000"/>
          <w:sz w:val="24"/>
          <w:szCs w:val="24"/>
          <w:lang w:val="sq-AL"/>
          <w14:ligatures w14:val="standardContextual"/>
        </w:rPr>
      </w:pPr>
    </w:p>
    <w:p w14:paraId="3D989293" w14:textId="77777777" w:rsidR="008419ED" w:rsidRPr="008419ED" w:rsidRDefault="008419ED" w:rsidP="008419E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“1. Gjykimi  i  kërkesëpadisë,  sipas  nenit  399/6, pika  3,  bëhet  sipas  rregullave  të  zakonshme  të gjykimit  brenda  një  afati  3  mujor  nga  depozitimi  i kërkesëpadisë.</w:t>
      </w:r>
    </w:p>
    <w:p w14:paraId="213BE925" w14:textId="5767BC03" w:rsidR="008419ED" w:rsidRPr="008419ED" w:rsidRDefault="008419ED" w:rsidP="008419E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2. Gjykimi i kërkesës, sipas nenit 399/6, pika 1, bëhet në dhomë këshillimi dhe gjykata që shqyrton çështjen</w:t>
      </w:r>
      <w:r w:rsidR="00FF0BBE">
        <w:rPr>
          <w:rFonts w:ascii="Garamond" w:eastAsiaTheme="minorHAnsi" w:hAnsi="Garamond"/>
          <w:color w:val="000000"/>
          <w:sz w:val="24"/>
          <w:szCs w:val="24"/>
          <w:lang w:val="sq-AL"/>
          <w14:ligatures w14:val="standardContextual"/>
        </w:rPr>
        <w:t xml:space="preserve"> </w:t>
      </w:r>
      <w:r w:rsidRPr="008419ED">
        <w:rPr>
          <w:rFonts w:ascii="Garamond" w:eastAsiaTheme="minorHAnsi" w:hAnsi="Garamond"/>
          <w:color w:val="000000"/>
          <w:sz w:val="24"/>
          <w:szCs w:val="24"/>
          <w:lang w:val="sq-AL"/>
          <w14:ligatures w14:val="standardContextual"/>
        </w:rPr>
        <w:t>merr</w:t>
      </w:r>
      <w:r w:rsidR="00FF0BBE">
        <w:rPr>
          <w:rFonts w:ascii="Garamond" w:eastAsiaTheme="minorHAnsi" w:hAnsi="Garamond"/>
          <w:color w:val="000000"/>
          <w:sz w:val="24"/>
          <w:szCs w:val="24"/>
          <w:lang w:val="sq-AL"/>
          <w14:ligatures w14:val="standardContextual"/>
        </w:rPr>
        <w:t xml:space="preserve"> </w:t>
      </w:r>
      <w:r w:rsidRPr="008419ED">
        <w:rPr>
          <w:rFonts w:ascii="Garamond" w:eastAsiaTheme="minorHAnsi" w:hAnsi="Garamond"/>
          <w:color w:val="000000"/>
          <w:sz w:val="24"/>
          <w:szCs w:val="24"/>
          <w:lang w:val="sq-AL"/>
          <w14:ligatures w14:val="standardContextual"/>
        </w:rPr>
        <w:t>vendim</w:t>
      </w:r>
      <w:r w:rsidR="00FF0BBE">
        <w:rPr>
          <w:rFonts w:ascii="Garamond" w:eastAsiaTheme="minorHAnsi" w:hAnsi="Garamond"/>
          <w:color w:val="000000"/>
          <w:sz w:val="24"/>
          <w:szCs w:val="24"/>
          <w:lang w:val="sq-AL"/>
          <w14:ligatures w14:val="standardContextual"/>
        </w:rPr>
        <w:t xml:space="preserve"> </w:t>
      </w:r>
      <w:r w:rsidRPr="008419ED">
        <w:rPr>
          <w:rFonts w:ascii="Garamond" w:eastAsiaTheme="minorHAnsi" w:hAnsi="Garamond"/>
          <w:color w:val="000000"/>
          <w:sz w:val="24"/>
          <w:szCs w:val="24"/>
          <w:lang w:val="sq-AL"/>
          <w14:ligatures w14:val="standardContextual"/>
        </w:rPr>
        <w:t>brenda</w:t>
      </w:r>
      <w:r w:rsidR="00FF0BBE">
        <w:rPr>
          <w:rFonts w:ascii="Garamond" w:eastAsiaTheme="minorHAnsi" w:hAnsi="Garamond"/>
          <w:color w:val="000000"/>
          <w:sz w:val="24"/>
          <w:szCs w:val="24"/>
          <w:lang w:val="sq-AL"/>
          <w14:ligatures w14:val="standardContextual"/>
        </w:rPr>
        <w:t xml:space="preserve"> </w:t>
      </w:r>
      <w:r w:rsidRPr="008419ED">
        <w:rPr>
          <w:rFonts w:ascii="Garamond" w:eastAsiaTheme="minorHAnsi" w:hAnsi="Garamond"/>
          <w:color w:val="000000"/>
          <w:sz w:val="24"/>
          <w:szCs w:val="24"/>
          <w:lang w:val="sq-AL"/>
          <w14:ligatures w14:val="standardContextual"/>
        </w:rPr>
        <w:t>45</w:t>
      </w:r>
      <w:r w:rsidR="00FF0BBE">
        <w:rPr>
          <w:rFonts w:ascii="Garamond" w:eastAsiaTheme="minorHAnsi" w:hAnsi="Garamond"/>
          <w:color w:val="000000"/>
          <w:sz w:val="24"/>
          <w:szCs w:val="24"/>
          <w:lang w:val="sq-AL"/>
          <w14:ligatures w14:val="standardContextual"/>
        </w:rPr>
        <w:t xml:space="preserve"> </w:t>
      </w:r>
      <w:r w:rsidRPr="008419ED">
        <w:rPr>
          <w:rFonts w:ascii="Garamond" w:eastAsiaTheme="minorHAnsi" w:hAnsi="Garamond"/>
          <w:color w:val="000000"/>
          <w:sz w:val="24"/>
          <w:szCs w:val="24"/>
          <w:lang w:val="sq-AL"/>
          <w14:ligatures w14:val="standardContextual"/>
        </w:rPr>
        <w:t>ditëve,</w:t>
      </w:r>
      <w:r w:rsidR="00FF0BBE">
        <w:rPr>
          <w:rFonts w:ascii="Garamond" w:eastAsiaTheme="minorHAnsi" w:hAnsi="Garamond"/>
          <w:color w:val="000000"/>
          <w:sz w:val="24"/>
          <w:szCs w:val="24"/>
          <w:lang w:val="sq-AL"/>
          <w14:ligatures w14:val="standardContextual"/>
        </w:rPr>
        <w:t xml:space="preserve"> </w:t>
      </w:r>
      <w:r w:rsidRPr="008419ED">
        <w:rPr>
          <w:rFonts w:ascii="Garamond" w:eastAsiaTheme="minorHAnsi" w:hAnsi="Garamond"/>
          <w:color w:val="000000"/>
          <w:sz w:val="24"/>
          <w:szCs w:val="24"/>
          <w:lang w:val="sq-AL"/>
          <w14:ligatures w14:val="standardContextual"/>
        </w:rPr>
        <w:t>nga paraqitja e kërkesës. Brenda 15 ditëve nga paraqitja e kësaj kërkese,  organi që retendohet se ka  kryer shkeljen,  i dërgon kopje të dosjes dh  mendimin me shkrim, gjykatës që shqyrton kërkesën.”</w:t>
      </w:r>
    </w:p>
    <w:p w14:paraId="541B719D" w14:textId="5315F2FF"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67.</w:t>
      </w:r>
      <w:r w:rsidRPr="00FF0BBE">
        <w:rPr>
          <w:rFonts w:ascii="Garamond" w:eastAsiaTheme="minorHAnsi" w:hAnsi="Garamond"/>
          <w:color w:val="000000"/>
          <w:sz w:val="24"/>
          <w:szCs w:val="24"/>
          <w:lang w:val="sq-AL"/>
          <w14:ligatures w14:val="standardContextual"/>
        </w:rPr>
        <w:t xml:space="preserve"> </w:t>
      </w:r>
      <w:r w:rsidRPr="008419ED">
        <w:rPr>
          <w:rFonts w:ascii="Garamond" w:eastAsiaTheme="minorHAnsi" w:hAnsi="Garamond"/>
          <w:color w:val="000000"/>
          <w:sz w:val="24"/>
          <w:szCs w:val="24"/>
          <w:lang w:val="sq-AL"/>
          <w14:ligatures w14:val="standardContextual"/>
        </w:rPr>
        <w:t xml:space="preserve">Neni 109(4) (dispozitat tranzitore) të </w:t>
      </w:r>
      <w:r w:rsidR="00CC33C1">
        <w:rPr>
          <w:rFonts w:ascii="Garamond" w:eastAsiaTheme="minorHAnsi" w:hAnsi="Garamond"/>
          <w:color w:val="000000"/>
          <w:sz w:val="24"/>
          <w:szCs w:val="24"/>
          <w:lang w:val="sq-AL"/>
          <w14:ligatures w14:val="standardContextual"/>
        </w:rPr>
        <w:t>l</w:t>
      </w:r>
      <w:r w:rsidRPr="008419ED">
        <w:rPr>
          <w:rFonts w:ascii="Garamond" w:eastAsiaTheme="minorHAnsi" w:hAnsi="Garamond"/>
          <w:color w:val="000000"/>
          <w:sz w:val="24"/>
          <w:szCs w:val="24"/>
          <w:lang w:val="sq-AL"/>
          <w14:ligatures w14:val="standardContextual"/>
        </w:rPr>
        <w:t xml:space="preserve">igjit 2017 parashikon: </w:t>
      </w:r>
    </w:p>
    <w:p w14:paraId="3BE27E22" w14:textId="1D379D2D" w:rsidR="008419ED" w:rsidRPr="008419ED" w:rsidRDefault="008419ED" w:rsidP="008419E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“Për procedurat që janë duke u gjykuar në datën e hyrjes në fuqi të neneve 399/1–399/12, afatet kohore sipas nenit 399/2 shtyhen:</w:t>
      </w:r>
    </w:p>
    <w:p w14:paraId="7B0DBFFB" w14:textId="441CD26B" w:rsidR="008419ED" w:rsidRPr="008419ED" w:rsidRDefault="008419ED" w:rsidP="008419E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a)  në gjykimet administrative në shkallë të parë dhe në apel, 6 muaj;</w:t>
      </w:r>
    </w:p>
    <w:p w14:paraId="598AF406" w14:textId="26073008" w:rsidR="008419ED" w:rsidRPr="008419ED" w:rsidRDefault="008419ED" w:rsidP="008419E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b) në të gjith</w:t>
      </w:r>
      <w:r w:rsidR="002F152F">
        <w:rPr>
          <w:rFonts w:ascii="Garamond" w:eastAsiaTheme="minorHAnsi" w:hAnsi="Garamond"/>
          <w:color w:val="000000"/>
          <w:sz w:val="24"/>
          <w:szCs w:val="24"/>
          <w:lang w:val="sq-AL"/>
          <w14:ligatures w14:val="standardContextual"/>
        </w:rPr>
        <w:t>a</w:t>
      </w:r>
      <w:r w:rsidRPr="008419ED">
        <w:rPr>
          <w:rFonts w:ascii="Garamond" w:eastAsiaTheme="minorHAnsi" w:hAnsi="Garamond"/>
          <w:color w:val="000000"/>
          <w:sz w:val="24"/>
          <w:szCs w:val="24"/>
          <w:lang w:val="sq-AL"/>
          <w14:ligatures w14:val="standardContextual"/>
        </w:rPr>
        <w:t xml:space="preserve"> shkallët e gjykimit civil, një vit e 6 muaj.”</w:t>
      </w:r>
    </w:p>
    <w:p w14:paraId="68C17162" w14:textId="04D764C5"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68.</w:t>
      </w:r>
      <w:r w:rsidRPr="00FF0BBE">
        <w:rPr>
          <w:rFonts w:ascii="Garamond" w:eastAsiaTheme="minorHAnsi" w:hAnsi="Garamond"/>
          <w:color w:val="000000"/>
          <w:sz w:val="24"/>
          <w:szCs w:val="24"/>
          <w:lang w:val="sq-AL"/>
          <w14:ligatures w14:val="standardContextual"/>
        </w:rPr>
        <w:t xml:space="preserve"> </w:t>
      </w:r>
      <w:r w:rsidRPr="008419ED">
        <w:rPr>
          <w:rFonts w:ascii="Garamond" w:eastAsiaTheme="minorHAnsi" w:hAnsi="Garamond"/>
          <w:color w:val="000000"/>
          <w:sz w:val="24"/>
          <w:szCs w:val="24"/>
          <w:lang w:val="sq-AL"/>
          <w14:ligatures w14:val="standardContextual"/>
        </w:rPr>
        <w:t>Neni 472</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1 i KPC</w:t>
      </w:r>
      <w:r w:rsidR="00CC33C1">
        <w:rPr>
          <w:rFonts w:ascii="Garamond" w:eastAsiaTheme="minorHAnsi" w:hAnsi="Garamond"/>
          <w:color w:val="000000"/>
          <w:sz w:val="24"/>
          <w:szCs w:val="24"/>
          <w:lang w:val="sq-AL"/>
          <w14:ligatures w14:val="standardContextual"/>
        </w:rPr>
        <w:t>-së</w:t>
      </w:r>
      <w:r w:rsidRPr="008419ED">
        <w:rPr>
          <w:rFonts w:ascii="Garamond" w:eastAsiaTheme="minorHAnsi" w:hAnsi="Garamond"/>
          <w:color w:val="000000"/>
          <w:sz w:val="24"/>
          <w:szCs w:val="24"/>
          <w:lang w:val="sq-AL"/>
          <w14:ligatures w14:val="standardContextual"/>
        </w:rPr>
        <w:t xml:space="preserve"> parashikon se ankimimet me rekurs në Gjykatën e Lartë (rekurs – ndryshe referuar edhe si “ankimime për pika të ligjit”) mund të paraqiten për shkaqet e mëposhtme: </w:t>
      </w:r>
    </w:p>
    <w:p w14:paraId="6EC5450A" w14:textId="107FDEA9" w:rsidR="008419ED" w:rsidRPr="008419ED" w:rsidRDefault="008419ED" w:rsidP="008419E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“...a) për zbatim të gabuar të ligjit material ose procedural,</w:t>
      </w:r>
      <w:r w:rsidR="00FF0BBE">
        <w:rPr>
          <w:rFonts w:ascii="Garamond" w:eastAsiaTheme="minorHAnsi" w:hAnsi="Garamond"/>
          <w:color w:val="000000"/>
          <w:sz w:val="24"/>
          <w:szCs w:val="24"/>
          <w:lang w:val="sq-AL"/>
          <w14:ligatures w14:val="standardContextual"/>
        </w:rPr>
        <w:t xml:space="preserve"> </w:t>
      </w:r>
      <w:r w:rsidRPr="008419ED">
        <w:rPr>
          <w:rFonts w:ascii="Garamond" w:eastAsiaTheme="minorHAnsi" w:hAnsi="Garamond"/>
          <w:color w:val="000000"/>
          <w:sz w:val="24"/>
          <w:szCs w:val="24"/>
          <w:lang w:val="sq-AL"/>
          <w14:ligatures w14:val="standardContextual"/>
        </w:rPr>
        <w:t xml:space="preserve"> të një rëndësie</w:t>
      </w:r>
      <w:r w:rsidR="00FF0BBE">
        <w:rPr>
          <w:rFonts w:ascii="Garamond" w:eastAsiaTheme="minorHAnsi" w:hAnsi="Garamond"/>
          <w:color w:val="000000"/>
          <w:sz w:val="24"/>
          <w:szCs w:val="24"/>
          <w:lang w:val="sq-AL"/>
          <w14:ligatures w14:val="standardContextual"/>
        </w:rPr>
        <w:t xml:space="preserve"> </w:t>
      </w:r>
      <w:r w:rsidRPr="008419ED">
        <w:rPr>
          <w:rFonts w:ascii="Garamond" w:eastAsiaTheme="minorHAnsi" w:hAnsi="Garamond"/>
          <w:color w:val="000000"/>
          <w:sz w:val="24"/>
          <w:szCs w:val="24"/>
          <w:lang w:val="sq-AL"/>
          <w14:ligatures w14:val="standardContextual"/>
        </w:rPr>
        <w:t>themelore</w:t>
      </w:r>
      <w:r w:rsidR="00FF0BBE">
        <w:rPr>
          <w:rFonts w:ascii="Garamond" w:eastAsiaTheme="minorHAnsi" w:hAnsi="Garamond"/>
          <w:color w:val="000000"/>
          <w:sz w:val="24"/>
          <w:szCs w:val="24"/>
          <w:lang w:val="sq-AL"/>
          <w14:ligatures w14:val="standardContextual"/>
        </w:rPr>
        <w:t xml:space="preserve"> </w:t>
      </w:r>
      <w:r w:rsidRPr="008419ED">
        <w:rPr>
          <w:rFonts w:ascii="Garamond" w:eastAsiaTheme="minorHAnsi" w:hAnsi="Garamond"/>
          <w:color w:val="000000"/>
          <w:sz w:val="24"/>
          <w:szCs w:val="24"/>
          <w:lang w:val="sq-AL"/>
          <w14:ligatures w14:val="standardContextual"/>
        </w:rPr>
        <w:t>për njehsimin,  sigurinë dhe/ose zhvillimin e praktikës gjyqësore;</w:t>
      </w:r>
    </w:p>
    <w:p w14:paraId="20F693D6" w14:textId="1B87437B" w:rsidR="008419ED" w:rsidRPr="008419ED" w:rsidRDefault="008419ED" w:rsidP="008419E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b) kur vendimi i ankimuar është i ndryshëm nga praktika gjyqësore e Kolegjit civil ose praktika e njehsuar e Kolegjeve të Bashkuara të Gjykatës  së Lartë; </w:t>
      </w:r>
    </w:p>
    <w:p w14:paraId="2E922E51" w14:textId="33A851F5" w:rsidR="008419ED" w:rsidRPr="008419ED" w:rsidRDefault="008419ED" w:rsidP="008419ED">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c)  ka  </w:t>
      </w:r>
      <w:r w:rsidR="0054164C">
        <w:rPr>
          <w:rFonts w:ascii="Garamond" w:eastAsiaTheme="minorHAnsi" w:hAnsi="Garamond"/>
          <w:color w:val="000000"/>
          <w:sz w:val="24"/>
          <w:szCs w:val="24"/>
          <w:lang w:val="sq-AL"/>
          <w14:ligatures w14:val="standardContextual"/>
        </w:rPr>
        <w:t>s</w:t>
      </w:r>
      <w:r w:rsidRPr="008419ED">
        <w:rPr>
          <w:rFonts w:ascii="Garamond" w:eastAsiaTheme="minorHAnsi" w:hAnsi="Garamond"/>
          <w:color w:val="000000"/>
          <w:sz w:val="24"/>
          <w:szCs w:val="24"/>
          <w:lang w:val="sq-AL"/>
          <w14:ligatures w14:val="standardContextual"/>
        </w:rPr>
        <w:t>hkelje të rënda të normave procedurale, me</w:t>
      </w:r>
      <w:r w:rsidR="00FF0BBE">
        <w:rPr>
          <w:rFonts w:ascii="Garamond" w:eastAsiaTheme="minorHAnsi" w:hAnsi="Garamond"/>
          <w:color w:val="000000"/>
          <w:sz w:val="24"/>
          <w:szCs w:val="24"/>
          <w:lang w:val="sq-AL"/>
          <w14:ligatures w14:val="standardContextual"/>
        </w:rPr>
        <w:t xml:space="preserve"> </w:t>
      </w:r>
      <w:r w:rsidRPr="008419ED">
        <w:rPr>
          <w:rFonts w:ascii="Garamond" w:eastAsiaTheme="minorHAnsi" w:hAnsi="Garamond"/>
          <w:color w:val="000000"/>
          <w:sz w:val="24"/>
          <w:szCs w:val="24"/>
          <w:lang w:val="sq-AL"/>
          <w14:ligatures w14:val="standardContextual"/>
        </w:rPr>
        <w:t>pasojë</w:t>
      </w:r>
      <w:r w:rsidR="00FF0BBE">
        <w:rPr>
          <w:rFonts w:ascii="Garamond" w:eastAsiaTheme="minorHAnsi" w:hAnsi="Garamond"/>
          <w:color w:val="000000"/>
          <w:sz w:val="24"/>
          <w:szCs w:val="24"/>
          <w:lang w:val="sq-AL"/>
          <w14:ligatures w14:val="standardContextual"/>
        </w:rPr>
        <w:t xml:space="preserve"> </w:t>
      </w:r>
      <w:r w:rsidRPr="008419ED">
        <w:rPr>
          <w:rFonts w:ascii="Garamond" w:eastAsiaTheme="minorHAnsi" w:hAnsi="Garamond"/>
          <w:color w:val="000000"/>
          <w:sz w:val="24"/>
          <w:szCs w:val="24"/>
          <w:lang w:val="sq-AL"/>
          <w14:ligatures w14:val="standardContextual"/>
        </w:rPr>
        <w:t>pavlefshmërinë</w:t>
      </w:r>
      <w:r w:rsidR="00FF0BBE">
        <w:rPr>
          <w:rFonts w:ascii="Garamond" w:eastAsiaTheme="minorHAnsi" w:hAnsi="Garamond"/>
          <w:color w:val="000000"/>
          <w:sz w:val="24"/>
          <w:szCs w:val="24"/>
          <w:lang w:val="sq-AL"/>
          <w14:ligatures w14:val="standardContextual"/>
        </w:rPr>
        <w:t xml:space="preserve"> </w:t>
      </w:r>
      <w:r w:rsidRPr="008419ED">
        <w:rPr>
          <w:rFonts w:ascii="Garamond" w:eastAsiaTheme="minorHAnsi" w:hAnsi="Garamond"/>
          <w:color w:val="000000"/>
          <w:sz w:val="24"/>
          <w:szCs w:val="24"/>
          <w:lang w:val="sq-AL"/>
          <w14:ligatures w14:val="standardContextual"/>
        </w:rPr>
        <w:t>e</w:t>
      </w:r>
      <w:r w:rsidR="00FF0BBE">
        <w:rPr>
          <w:rFonts w:ascii="Garamond" w:eastAsiaTheme="minorHAnsi" w:hAnsi="Garamond"/>
          <w:color w:val="000000"/>
          <w:sz w:val="24"/>
          <w:szCs w:val="24"/>
          <w:lang w:val="sq-AL"/>
          <w14:ligatures w14:val="standardContextual"/>
        </w:rPr>
        <w:t xml:space="preserve"> </w:t>
      </w:r>
      <w:r w:rsidRPr="008419ED">
        <w:rPr>
          <w:rFonts w:ascii="Garamond" w:eastAsiaTheme="minorHAnsi" w:hAnsi="Garamond"/>
          <w:color w:val="000000"/>
          <w:sz w:val="24"/>
          <w:szCs w:val="24"/>
          <w:lang w:val="sq-AL"/>
          <w14:ligatures w14:val="standardContextual"/>
        </w:rPr>
        <w:t>vendimit</w:t>
      </w:r>
      <w:r w:rsidR="00FF0BBE">
        <w:rPr>
          <w:rFonts w:ascii="Garamond" w:eastAsiaTheme="minorHAnsi" w:hAnsi="Garamond"/>
          <w:color w:val="000000"/>
          <w:sz w:val="24"/>
          <w:szCs w:val="24"/>
          <w:lang w:val="sq-AL"/>
          <w14:ligatures w14:val="standardContextual"/>
        </w:rPr>
        <w:t xml:space="preserve"> </w:t>
      </w:r>
      <w:r w:rsidRPr="008419ED">
        <w:rPr>
          <w:rFonts w:ascii="Garamond" w:eastAsiaTheme="minorHAnsi" w:hAnsi="Garamond"/>
          <w:color w:val="000000"/>
          <w:sz w:val="24"/>
          <w:szCs w:val="24"/>
          <w:lang w:val="sq-AL"/>
          <w14:ligatures w14:val="standardContextual"/>
        </w:rPr>
        <w:t>ose</w:t>
      </w:r>
      <w:r w:rsidR="00FF0BBE">
        <w:rPr>
          <w:rFonts w:ascii="Garamond" w:eastAsiaTheme="minorHAnsi" w:hAnsi="Garamond"/>
          <w:color w:val="000000"/>
          <w:sz w:val="24"/>
          <w:szCs w:val="24"/>
          <w:lang w:val="sq-AL"/>
          <w14:ligatures w14:val="standardContextual"/>
        </w:rPr>
        <w:t xml:space="preserve"> </w:t>
      </w:r>
      <w:r w:rsidRPr="008419ED">
        <w:rPr>
          <w:rFonts w:ascii="Garamond" w:eastAsiaTheme="minorHAnsi" w:hAnsi="Garamond"/>
          <w:color w:val="000000"/>
          <w:sz w:val="24"/>
          <w:szCs w:val="24"/>
          <w:lang w:val="sq-AL"/>
          <w14:ligatures w14:val="standardContextual"/>
        </w:rPr>
        <w:t>të procedurës së gjykimit,  sipas nenit 467 të këtij Kodi…”</w:t>
      </w:r>
      <w:r w:rsidR="0054164C">
        <w:rPr>
          <w:rFonts w:ascii="Garamond" w:eastAsiaTheme="minorHAnsi" w:hAnsi="Garamond"/>
          <w:color w:val="000000"/>
          <w:sz w:val="24"/>
          <w:szCs w:val="24"/>
          <w:lang w:val="sq-AL"/>
          <w14:ligatures w14:val="standardContextual"/>
        </w:rPr>
        <w:t>.</w:t>
      </w:r>
    </w:p>
    <w:p w14:paraId="76BA31C7" w14:textId="7805B1C4"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8419ED">
        <w:rPr>
          <w:rFonts w:ascii="Garamond" w:eastAsiaTheme="minorHAnsi" w:hAnsi="Garamond"/>
          <w:b/>
          <w:bCs/>
          <w:color w:val="000000"/>
          <w:sz w:val="24"/>
          <w:szCs w:val="24"/>
          <w:lang w:val="sq-AL"/>
          <w14:ligatures w14:val="standardContextual"/>
        </w:rPr>
        <w:t xml:space="preserve">B. Ligji i </w:t>
      </w:r>
      <w:r w:rsidR="008E491E" w:rsidRPr="008419ED">
        <w:rPr>
          <w:rFonts w:ascii="Garamond" w:eastAsiaTheme="minorHAnsi" w:hAnsi="Garamond"/>
          <w:b/>
          <w:bCs/>
          <w:color w:val="000000"/>
          <w:sz w:val="24"/>
          <w:szCs w:val="24"/>
          <w:lang w:val="sq-AL"/>
          <w14:ligatures w14:val="standardContextual"/>
        </w:rPr>
        <w:t xml:space="preserve">gjykatave administrative </w:t>
      </w:r>
    </w:p>
    <w:p w14:paraId="120C7EC0" w14:textId="4424537E"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69. Sipas </w:t>
      </w:r>
      <w:r w:rsidR="0054164C" w:rsidRPr="008419ED">
        <w:rPr>
          <w:rFonts w:ascii="Garamond" w:eastAsiaTheme="minorHAnsi" w:hAnsi="Garamond"/>
          <w:color w:val="000000"/>
          <w:sz w:val="24"/>
          <w:szCs w:val="24"/>
          <w:lang w:val="sq-AL"/>
          <w14:ligatures w14:val="standardContextual"/>
        </w:rPr>
        <w:t xml:space="preserve">nenit 60 të ligjit </w:t>
      </w:r>
      <w:r w:rsidRPr="008419ED">
        <w:rPr>
          <w:rFonts w:ascii="Garamond" w:eastAsiaTheme="minorHAnsi" w:hAnsi="Garamond"/>
          <w:color w:val="000000"/>
          <w:sz w:val="24"/>
          <w:szCs w:val="24"/>
          <w:lang w:val="sq-AL"/>
          <w14:ligatures w14:val="standardContextual"/>
        </w:rPr>
        <w:t xml:space="preserve">nr. 49/2012 për gjykatat administrative dhe gjykimin e mosmarrëveshjeve administrative, ndryshuar (“Ligji i </w:t>
      </w:r>
      <w:r w:rsidR="008E491E" w:rsidRPr="008419ED">
        <w:rPr>
          <w:rFonts w:ascii="Garamond" w:eastAsiaTheme="minorHAnsi" w:hAnsi="Garamond"/>
          <w:color w:val="000000"/>
          <w:sz w:val="24"/>
          <w:szCs w:val="24"/>
          <w:lang w:val="sq-AL"/>
          <w14:ligatures w14:val="standardContextual"/>
        </w:rPr>
        <w:t>gjykatave administrative</w:t>
      </w:r>
      <w:r w:rsidRPr="008419ED">
        <w:rPr>
          <w:rFonts w:ascii="Garamond" w:eastAsiaTheme="minorHAnsi" w:hAnsi="Garamond"/>
          <w:color w:val="000000"/>
          <w:sz w:val="24"/>
          <w:szCs w:val="24"/>
          <w:lang w:val="sq-AL"/>
          <w14:ligatures w14:val="standardContextual"/>
        </w:rPr>
        <w:t xml:space="preserve">”), Gjykata e Lartë duhet të shqyrtojë ankimimet me rekurs brenda nëntëdhjetë ditëve të marrjes së ankimimit. </w:t>
      </w:r>
    </w:p>
    <w:p w14:paraId="0B63DE0B" w14:textId="6B3ED4AD"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8419ED">
        <w:rPr>
          <w:rFonts w:ascii="Garamond" w:eastAsiaTheme="minorHAnsi" w:hAnsi="Garamond"/>
          <w:b/>
          <w:bCs/>
          <w:color w:val="000000"/>
          <w:sz w:val="24"/>
          <w:szCs w:val="24"/>
          <w:lang w:val="sq-AL"/>
          <w14:ligatures w14:val="standardContextual"/>
        </w:rPr>
        <w:t>C. Ligji i Gjykatës Kushtetuese</w:t>
      </w:r>
    </w:p>
    <w:p w14:paraId="5EE8F5FB" w14:textId="47DE310E"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70. Sipas nenit 81(1) të </w:t>
      </w:r>
      <w:r w:rsidR="0054164C">
        <w:rPr>
          <w:rFonts w:ascii="Garamond" w:eastAsiaTheme="minorHAnsi" w:hAnsi="Garamond"/>
          <w:color w:val="000000"/>
          <w:sz w:val="24"/>
          <w:szCs w:val="24"/>
          <w:lang w:val="sq-AL"/>
          <w14:ligatures w14:val="standardContextual"/>
        </w:rPr>
        <w:t>l</w:t>
      </w:r>
      <w:r w:rsidRPr="008419ED">
        <w:rPr>
          <w:rFonts w:ascii="Garamond" w:eastAsiaTheme="minorHAnsi" w:hAnsi="Garamond"/>
          <w:color w:val="000000"/>
          <w:sz w:val="24"/>
          <w:szCs w:val="24"/>
          <w:lang w:val="sq-AL"/>
          <w14:ligatures w14:val="standardContextual"/>
        </w:rPr>
        <w:t xml:space="preserve">igjit nr. 8577 të datës 10 </w:t>
      </w:r>
      <w:r w:rsidR="008E491E">
        <w:rPr>
          <w:rFonts w:ascii="Garamond" w:eastAsiaTheme="minorHAnsi" w:hAnsi="Garamond"/>
          <w:color w:val="000000"/>
          <w:sz w:val="24"/>
          <w:szCs w:val="24"/>
          <w:lang w:val="sq-AL"/>
          <w14:ligatures w14:val="standardContextual"/>
        </w:rPr>
        <w:t>s</w:t>
      </w:r>
      <w:r w:rsidRPr="008419ED">
        <w:rPr>
          <w:rFonts w:ascii="Garamond" w:eastAsiaTheme="minorHAnsi" w:hAnsi="Garamond"/>
          <w:color w:val="000000"/>
          <w:sz w:val="24"/>
          <w:szCs w:val="24"/>
          <w:lang w:val="sq-AL"/>
          <w14:ligatures w14:val="standardContextual"/>
        </w:rPr>
        <w:t>hkurt 2000, i ndryshuar (“</w:t>
      </w:r>
      <w:r w:rsidR="008E491E">
        <w:rPr>
          <w:rFonts w:ascii="Garamond" w:eastAsiaTheme="minorHAnsi" w:hAnsi="Garamond"/>
          <w:color w:val="000000"/>
          <w:sz w:val="24"/>
          <w:szCs w:val="24"/>
          <w:lang w:val="sq-AL"/>
          <w14:ligatures w14:val="standardContextual"/>
        </w:rPr>
        <w:t>l</w:t>
      </w:r>
      <w:r w:rsidRPr="008419ED">
        <w:rPr>
          <w:rFonts w:ascii="Garamond" w:eastAsiaTheme="minorHAnsi" w:hAnsi="Garamond"/>
          <w:color w:val="000000"/>
          <w:sz w:val="24"/>
          <w:szCs w:val="24"/>
          <w:lang w:val="sq-AL"/>
          <w14:ligatures w14:val="standardContextual"/>
        </w:rPr>
        <w:t xml:space="preserve">igji i Gjykatës Kushtetuese”) vendimet e Gjykatës Kushtetuese janë detyruese dhe të zbatueshme. Në lidhje me procedurën e ekzekutimit, neni 81(3) i këtij </w:t>
      </w:r>
      <w:r w:rsidR="0054164C">
        <w:rPr>
          <w:rFonts w:ascii="Garamond" w:eastAsiaTheme="minorHAnsi" w:hAnsi="Garamond"/>
          <w:color w:val="000000"/>
          <w:sz w:val="24"/>
          <w:szCs w:val="24"/>
          <w:lang w:val="sq-AL"/>
          <w14:ligatures w14:val="standardContextual"/>
        </w:rPr>
        <w:t>l</w:t>
      </w:r>
      <w:r w:rsidRPr="008419ED">
        <w:rPr>
          <w:rFonts w:ascii="Garamond" w:eastAsiaTheme="minorHAnsi" w:hAnsi="Garamond"/>
          <w:color w:val="000000"/>
          <w:sz w:val="24"/>
          <w:szCs w:val="24"/>
          <w:lang w:val="sq-AL"/>
          <w14:ligatures w14:val="standardContextual"/>
        </w:rPr>
        <w:t xml:space="preserve">igji parashikon se Gjykata Kushtetuese mund të vendosë afate për organin përgjegjës për ekzekutimin ose ndryshe mund të përcaktojë metodat dhe procedurat e ekzekutimit. </w:t>
      </w:r>
    </w:p>
    <w:p w14:paraId="496E51FA" w14:textId="6811D20B"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8419ED">
        <w:rPr>
          <w:rFonts w:ascii="Garamond" w:eastAsiaTheme="minorHAnsi" w:hAnsi="Garamond"/>
          <w:b/>
          <w:bCs/>
          <w:color w:val="000000"/>
          <w:sz w:val="24"/>
          <w:szCs w:val="24"/>
          <w:lang w:val="sq-AL"/>
          <w14:ligatures w14:val="standardContextual"/>
        </w:rPr>
        <w:t xml:space="preserve">D. Strategjia për reduktimin e </w:t>
      </w:r>
      <w:r w:rsidRPr="0054164C">
        <w:rPr>
          <w:rFonts w:ascii="Garamond" w:eastAsiaTheme="minorHAnsi" w:hAnsi="Garamond"/>
          <w:b/>
          <w:bCs/>
          <w:i/>
          <w:color w:val="000000"/>
          <w:sz w:val="24"/>
          <w:szCs w:val="24"/>
          <w:lang w:val="sq-AL"/>
          <w14:ligatures w14:val="standardContextual"/>
        </w:rPr>
        <w:t>backlog</w:t>
      </w:r>
      <w:r w:rsidRPr="008419ED">
        <w:rPr>
          <w:rFonts w:ascii="Garamond" w:eastAsiaTheme="minorHAnsi" w:hAnsi="Garamond"/>
          <w:b/>
          <w:bCs/>
          <w:color w:val="000000"/>
          <w:sz w:val="24"/>
          <w:szCs w:val="24"/>
          <w:lang w:val="sq-AL"/>
          <w14:ligatures w14:val="standardContextual"/>
        </w:rPr>
        <w:t>-ut (çështjet e prapambetura)</w:t>
      </w:r>
    </w:p>
    <w:p w14:paraId="7DB7A28E" w14:textId="2AF8F340"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71. Më 9 </w:t>
      </w:r>
      <w:r w:rsidR="0054164C">
        <w:rPr>
          <w:rFonts w:ascii="Garamond" w:eastAsiaTheme="minorHAnsi" w:hAnsi="Garamond"/>
          <w:color w:val="000000"/>
          <w:sz w:val="24"/>
          <w:szCs w:val="24"/>
          <w:lang w:val="sq-AL"/>
          <w14:ligatures w14:val="standardContextual"/>
        </w:rPr>
        <w:t>m</w:t>
      </w:r>
      <w:r w:rsidRPr="008419ED">
        <w:rPr>
          <w:rFonts w:ascii="Garamond" w:eastAsiaTheme="minorHAnsi" w:hAnsi="Garamond"/>
          <w:color w:val="000000"/>
          <w:sz w:val="24"/>
          <w:szCs w:val="24"/>
          <w:lang w:val="sq-AL"/>
          <w14:ligatures w14:val="standardContextual"/>
        </w:rPr>
        <w:t xml:space="preserve">aj 2024, Këshilli i Lartë Gjyqësor (“KLGJ”), organi përgjegjës për menaxhimin e gjyqësorit, miratoi një strategji për reduktimin e </w:t>
      </w:r>
      <w:r w:rsidRPr="008E491E">
        <w:rPr>
          <w:rFonts w:ascii="Garamond" w:eastAsiaTheme="minorHAnsi" w:hAnsi="Garamond"/>
          <w:i/>
          <w:color w:val="000000"/>
          <w:sz w:val="24"/>
          <w:szCs w:val="24"/>
          <w:lang w:val="sq-AL"/>
          <w14:ligatures w14:val="standardContextual"/>
        </w:rPr>
        <w:t>backlog</w:t>
      </w:r>
      <w:r w:rsidRPr="008419ED">
        <w:rPr>
          <w:rFonts w:ascii="Garamond" w:eastAsiaTheme="minorHAnsi" w:hAnsi="Garamond"/>
          <w:color w:val="000000"/>
          <w:sz w:val="24"/>
          <w:szCs w:val="24"/>
          <w:lang w:val="sq-AL"/>
          <w14:ligatures w14:val="standardContextual"/>
        </w:rPr>
        <w:t>-ut.</w:t>
      </w:r>
    </w:p>
    <w:p w14:paraId="2FA6DA19" w14:textId="282E2F70"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8419ED">
        <w:rPr>
          <w:rFonts w:ascii="Garamond" w:eastAsiaTheme="minorHAnsi" w:hAnsi="Garamond"/>
          <w:i/>
          <w:iCs/>
          <w:color w:val="000000"/>
          <w:sz w:val="24"/>
          <w:szCs w:val="24"/>
          <w:lang w:val="sq-AL"/>
          <w14:ligatures w14:val="standardContextual"/>
        </w:rPr>
        <w:t>1. Situata e çështjeve të prapambetura (backlog) në gjykatat vendase</w:t>
      </w:r>
    </w:p>
    <w:p w14:paraId="24BABCEB" w14:textId="0C3B1A85"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72. Sipas një prezantimi për shifrat e </w:t>
      </w:r>
      <w:r w:rsidRPr="0054164C">
        <w:rPr>
          <w:rFonts w:ascii="Garamond" w:eastAsiaTheme="minorHAnsi" w:hAnsi="Garamond"/>
          <w:i/>
          <w:color w:val="000000"/>
          <w:sz w:val="24"/>
          <w:szCs w:val="24"/>
          <w:lang w:val="sq-AL"/>
          <w14:ligatures w14:val="standardContextual"/>
        </w:rPr>
        <w:t>backlog</w:t>
      </w:r>
      <w:r w:rsidRPr="008419ED">
        <w:rPr>
          <w:rFonts w:ascii="Garamond" w:eastAsiaTheme="minorHAnsi" w:hAnsi="Garamond"/>
          <w:color w:val="000000"/>
          <w:sz w:val="24"/>
          <w:szCs w:val="24"/>
          <w:lang w:val="sq-AL"/>
          <w14:ligatures w14:val="standardContextual"/>
        </w:rPr>
        <w:t xml:space="preserve">-ut për gjykata të ndryshme, të përfshirë në strategjinë e KLGJ-së, Gjykata e Apelit me juridiksion të përgjithshëm dhe Gjykata Administrative e Apelit kanë </w:t>
      </w:r>
      <w:r w:rsidRPr="0054164C">
        <w:rPr>
          <w:rFonts w:ascii="Garamond" w:eastAsiaTheme="minorHAnsi" w:hAnsi="Garamond"/>
          <w:i/>
          <w:color w:val="000000"/>
          <w:sz w:val="24"/>
          <w:szCs w:val="24"/>
          <w:lang w:val="sq-AL"/>
          <w14:ligatures w14:val="standardContextual"/>
        </w:rPr>
        <w:t>backlog</w:t>
      </w:r>
      <w:r w:rsidRPr="008419ED">
        <w:rPr>
          <w:rFonts w:ascii="Garamond" w:eastAsiaTheme="minorHAnsi" w:hAnsi="Garamond"/>
          <w:color w:val="000000"/>
          <w:sz w:val="24"/>
          <w:szCs w:val="24"/>
          <w:lang w:val="sq-AL"/>
          <w14:ligatures w14:val="standardContextual"/>
        </w:rPr>
        <w:t xml:space="preserve">-un më shqetësues. Specifikisht, </w:t>
      </w:r>
      <w:r w:rsidRPr="0054164C">
        <w:rPr>
          <w:rFonts w:ascii="Garamond" w:eastAsiaTheme="minorHAnsi" w:hAnsi="Garamond"/>
          <w:i/>
          <w:color w:val="000000"/>
          <w:sz w:val="24"/>
          <w:szCs w:val="24"/>
          <w:lang w:val="sq-AL"/>
          <w14:ligatures w14:val="standardContextual"/>
        </w:rPr>
        <w:t>backlog</w:t>
      </w:r>
      <w:r w:rsidRPr="008419ED">
        <w:rPr>
          <w:rFonts w:ascii="Garamond" w:eastAsiaTheme="minorHAnsi" w:hAnsi="Garamond"/>
          <w:color w:val="000000"/>
          <w:sz w:val="24"/>
          <w:szCs w:val="24"/>
          <w:lang w:val="sq-AL"/>
          <w14:ligatures w14:val="standardContextual"/>
        </w:rPr>
        <w:t xml:space="preserve">-u i Gjykatës Administrative të Apelit u rrit me më shumë se 23,000 çështje në vitin 2023. </w:t>
      </w:r>
    </w:p>
    <w:p w14:paraId="12E2B02B" w14:textId="730BE751"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8419ED">
        <w:rPr>
          <w:rFonts w:ascii="Garamond" w:eastAsiaTheme="minorHAnsi" w:hAnsi="Garamond"/>
          <w:i/>
          <w:iCs/>
          <w:color w:val="000000"/>
          <w:sz w:val="24"/>
          <w:szCs w:val="24"/>
          <w:lang w:val="sq-AL"/>
          <w14:ligatures w14:val="standardContextual"/>
        </w:rPr>
        <w:t xml:space="preserve">2. Masat e parashikuara për reduktimin e backlog-ut </w:t>
      </w:r>
    </w:p>
    <w:p w14:paraId="474CDED1" w14:textId="48418D54"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73. Masat e shumta të parashikuara nga KLGJ</w:t>
      </w:r>
      <w:r w:rsidR="008E491E">
        <w:rPr>
          <w:rFonts w:ascii="Garamond" w:eastAsiaTheme="minorHAnsi" w:hAnsi="Garamond"/>
          <w:color w:val="000000"/>
          <w:sz w:val="24"/>
          <w:szCs w:val="24"/>
          <w:lang w:val="sq-AL"/>
          <w14:ligatures w14:val="standardContextual"/>
        </w:rPr>
        <w:t>-ja</w:t>
      </w:r>
      <w:r w:rsidRPr="008419ED">
        <w:rPr>
          <w:rFonts w:ascii="Garamond" w:eastAsiaTheme="minorHAnsi" w:hAnsi="Garamond"/>
          <w:color w:val="000000"/>
          <w:sz w:val="24"/>
          <w:szCs w:val="24"/>
          <w:lang w:val="sq-AL"/>
          <w14:ligatures w14:val="standardContextual"/>
        </w:rPr>
        <w:t xml:space="preserve"> për adresimin e situatës përfshijnë krijimin e një inventari për të gjitha çështjet e mbetura pezull; analizimin e natyrës së atyre çështjeve dhe arsyet për vonesën; ngritjen e ekipeve për reduktimin e </w:t>
      </w:r>
      <w:r w:rsidRPr="0054164C">
        <w:rPr>
          <w:rFonts w:ascii="Garamond" w:eastAsiaTheme="minorHAnsi" w:hAnsi="Garamond"/>
          <w:i/>
          <w:color w:val="000000"/>
          <w:sz w:val="24"/>
          <w:szCs w:val="24"/>
          <w:lang w:val="sq-AL"/>
          <w14:ligatures w14:val="standardContextual"/>
        </w:rPr>
        <w:t>backlog</w:t>
      </w:r>
      <w:r w:rsidRPr="008419ED">
        <w:rPr>
          <w:rFonts w:ascii="Garamond" w:eastAsiaTheme="minorHAnsi" w:hAnsi="Garamond"/>
          <w:color w:val="000000"/>
          <w:sz w:val="24"/>
          <w:szCs w:val="24"/>
          <w:lang w:val="sq-AL"/>
          <w14:ligatures w14:val="standardContextual"/>
        </w:rPr>
        <w:t xml:space="preserve">-ut; </w:t>
      </w:r>
      <w:r w:rsidRPr="006F29A7">
        <w:rPr>
          <w:rFonts w:ascii="Garamond" w:eastAsiaTheme="minorHAnsi" w:hAnsi="Garamond"/>
          <w:color w:val="000000"/>
          <w:sz w:val="24"/>
          <w:szCs w:val="24"/>
          <w:lang w:val="sq-AL"/>
          <w14:ligatures w14:val="standardContextual"/>
        </w:rPr>
        <w:t>përmirësimin filtrimin e çështjeve;</w:t>
      </w:r>
      <w:r w:rsidRPr="008419ED">
        <w:rPr>
          <w:rFonts w:ascii="Garamond" w:eastAsiaTheme="minorHAnsi" w:hAnsi="Garamond"/>
          <w:color w:val="000000"/>
          <w:sz w:val="24"/>
          <w:szCs w:val="24"/>
          <w:lang w:val="sq-AL"/>
          <w14:ligatures w14:val="standardContextual"/>
        </w:rPr>
        <w:t xml:space="preserve"> miratimin e planeve individuale nga gjykatat për adresimin e </w:t>
      </w:r>
      <w:r w:rsidRPr="0054164C">
        <w:rPr>
          <w:rFonts w:ascii="Garamond" w:eastAsiaTheme="minorHAnsi" w:hAnsi="Garamond"/>
          <w:i/>
          <w:color w:val="000000"/>
          <w:sz w:val="24"/>
          <w:szCs w:val="24"/>
          <w:lang w:val="sq-AL"/>
          <w14:ligatures w14:val="standardContextual"/>
        </w:rPr>
        <w:t>backlog</w:t>
      </w:r>
      <w:r w:rsidRPr="008419ED">
        <w:rPr>
          <w:rFonts w:ascii="Garamond" w:eastAsiaTheme="minorHAnsi" w:hAnsi="Garamond"/>
          <w:color w:val="000000"/>
          <w:sz w:val="24"/>
          <w:szCs w:val="24"/>
          <w:lang w:val="sq-AL"/>
          <w14:ligatures w14:val="standardContextual"/>
        </w:rPr>
        <w:t xml:space="preserve">-ut; plotësimin e vakancave në gjyqësor; transferimin dhe rritjen në detyrë të gjyqtarëve; rritjen e numrit të gjyqtarëve; rritjen e numrit të ndihmësve në gjyqësor; caktimin e detyrave të thjeshta nëpunësve të gjykatave dhe jogjyqtarëve; rritjen e përdorimit të mjeteve elektronike në procedura; përdorimin e modeleve; caktimin e çështjeve të thjeshta një gjyqtari të vetëm; kufizimin e të drejtës për apelim në disa çështje civile dhe administrative; dhe përcaktimin e objektivave sasior për përpunimin e çështjeve për gjyqtarët dhe monitorimin e përmbushjes së tyre. </w:t>
      </w:r>
    </w:p>
    <w:p w14:paraId="64E9889B" w14:textId="2BAFFDAC"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8419ED">
        <w:rPr>
          <w:rFonts w:ascii="Garamond" w:eastAsiaTheme="minorHAnsi" w:hAnsi="Garamond"/>
          <w:b/>
          <w:bCs/>
          <w:color w:val="000000"/>
          <w:sz w:val="24"/>
          <w:szCs w:val="24"/>
          <w:lang w:val="sq-AL"/>
          <w14:ligatures w14:val="standardContextual"/>
        </w:rPr>
        <w:t xml:space="preserve">E. </w:t>
      </w:r>
      <w:r w:rsidRPr="0054164C">
        <w:rPr>
          <w:rFonts w:ascii="Garamond" w:eastAsiaTheme="minorHAnsi" w:hAnsi="Garamond"/>
          <w:b/>
          <w:bCs/>
          <w:i/>
          <w:color w:val="000000"/>
          <w:sz w:val="24"/>
          <w:szCs w:val="24"/>
          <w:lang w:val="sq-AL"/>
          <w14:ligatures w14:val="standardContextual"/>
        </w:rPr>
        <w:t>Backlog</w:t>
      </w:r>
      <w:r w:rsidRPr="008419ED">
        <w:rPr>
          <w:rFonts w:ascii="Garamond" w:eastAsiaTheme="minorHAnsi" w:hAnsi="Garamond"/>
          <w:b/>
          <w:bCs/>
          <w:color w:val="000000"/>
          <w:sz w:val="24"/>
          <w:szCs w:val="24"/>
          <w:lang w:val="sq-AL"/>
          <w14:ligatures w14:val="standardContextual"/>
        </w:rPr>
        <w:t>-u i Gjykatës së Lartë</w:t>
      </w:r>
    </w:p>
    <w:p w14:paraId="741F5377" w14:textId="1965C3DD"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74. Sipas informacionit të publikuar nga Gjykata e Lartë, më 30 </w:t>
      </w:r>
      <w:r w:rsidR="0054164C">
        <w:rPr>
          <w:rFonts w:ascii="Garamond" w:eastAsiaTheme="minorHAnsi" w:hAnsi="Garamond"/>
          <w:color w:val="000000"/>
          <w:sz w:val="24"/>
          <w:szCs w:val="24"/>
          <w:lang w:val="sq-AL"/>
          <w14:ligatures w14:val="standardContextual"/>
        </w:rPr>
        <w:t>d</w:t>
      </w:r>
      <w:r w:rsidRPr="008419ED">
        <w:rPr>
          <w:rFonts w:ascii="Garamond" w:eastAsiaTheme="minorHAnsi" w:hAnsi="Garamond"/>
          <w:color w:val="000000"/>
          <w:sz w:val="24"/>
          <w:szCs w:val="24"/>
          <w:lang w:val="sq-AL"/>
          <w14:ligatures w14:val="standardContextual"/>
        </w:rPr>
        <w:t xml:space="preserve">hjetor 2024, kjo gjykatë kishte 18,665 çështje të prapambetura. </w:t>
      </w:r>
    </w:p>
    <w:p w14:paraId="43A8763E" w14:textId="545ABE12"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8419ED">
        <w:rPr>
          <w:rFonts w:ascii="Garamond" w:eastAsiaTheme="minorHAnsi" w:hAnsi="Garamond"/>
          <w:b/>
          <w:bCs/>
          <w:color w:val="000000"/>
          <w:sz w:val="24"/>
          <w:szCs w:val="24"/>
          <w:lang w:val="sq-AL"/>
          <w14:ligatures w14:val="standardContextual"/>
        </w:rPr>
        <w:t>F. Praktika gjyqësore e Gjykatës Kushtetuese</w:t>
      </w:r>
    </w:p>
    <w:p w14:paraId="43EBFAF1" w14:textId="15D7B93E"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75. Më 26 </w:t>
      </w:r>
      <w:r w:rsidR="0054164C">
        <w:rPr>
          <w:rFonts w:ascii="Garamond" w:eastAsiaTheme="minorHAnsi" w:hAnsi="Garamond"/>
          <w:color w:val="000000"/>
          <w:sz w:val="24"/>
          <w:szCs w:val="24"/>
          <w:lang w:val="sq-AL"/>
          <w14:ligatures w14:val="standardContextual"/>
        </w:rPr>
        <w:t>s</w:t>
      </w:r>
      <w:r w:rsidRPr="008419ED">
        <w:rPr>
          <w:rFonts w:ascii="Garamond" w:eastAsiaTheme="minorHAnsi" w:hAnsi="Garamond"/>
          <w:color w:val="000000"/>
          <w:sz w:val="24"/>
          <w:szCs w:val="24"/>
          <w:lang w:val="sq-AL"/>
          <w14:ligatures w14:val="standardContextual"/>
        </w:rPr>
        <w:t xml:space="preserve">htator 2023, Gjykata Kushtetuese shqyrtoi një ankesë për kohëzgjatjen e procedurave civile. Paditësi tashmë kishte një gjetje fillestare për shkelje në mbështetje të </w:t>
      </w:r>
      <w:r w:rsidR="0054164C" w:rsidRPr="008419ED">
        <w:rPr>
          <w:rFonts w:ascii="Garamond" w:eastAsiaTheme="minorHAnsi" w:hAnsi="Garamond"/>
          <w:color w:val="000000"/>
          <w:sz w:val="24"/>
          <w:szCs w:val="24"/>
          <w:lang w:val="sq-AL"/>
          <w14:ligatures w14:val="standardContextual"/>
        </w:rPr>
        <w:t xml:space="preserve">nenit </w:t>
      </w:r>
      <w:r w:rsidRPr="008419ED">
        <w:rPr>
          <w:rFonts w:ascii="Garamond" w:eastAsiaTheme="minorHAnsi" w:hAnsi="Garamond"/>
          <w:color w:val="000000"/>
          <w:sz w:val="24"/>
          <w:szCs w:val="24"/>
          <w:lang w:val="sq-AL"/>
          <w14:ligatures w14:val="standardContextual"/>
        </w:rPr>
        <w:t>399/1 e në vijim të KPC</w:t>
      </w:r>
      <w:r w:rsidR="0054164C">
        <w:rPr>
          <w:rFonts w:ascii="Garamond" w:eastAsiaTheme="minorHAnsi" w:hAnsi="Garamond"/>
          <w:color w:val="000000"/>
          <w:sz w:val="24"/>
          <w:szCs w:val="24"/>
          <w:lang w:val="sq-AL"/>
          <w14:ligatures w14:val="standardContextual"/>
        </w:rPr>
        <w:t>-së</w:t>
      </w:r>
      <w:r w:rsidRPr="008419ED">
        <w:rPr>
          <w:rFonts w:ascii="Garamond" w:eastAsiaTheme="minorHAnsi" w:hAnsi="Garamond"/>
          <w:color w:val="000000"/>
          <w:sz w:val="24"/>
          <w:szCs w:val="24"/>
          <w:lang w:val="sq-AL"/>
          <w14:ligatures w14:val="standardContextual"/>
        </w:rPr>
        <w:t xml:space="preserve"> për kohëzgjatjen e paarsyeshme të procedurave, dhe i ishte akorduar kompensim nga gjykata e shkallës së parë. Megjithatë, autoritetet e kishin apeluar këtë vendim dhe çështja ishte pezull në gjykatat e apelit për kohëzgjatjen e tepërt. Në vendimin nr. 44/2023, Gjykata Kushtetuese ra dakord me paditësin se procedurat e kompensimit, në mbështetje të </w:t>
      </w:r>
      <w:r w:rsidR="0054164C" w:rsidRPr="008419ED">
        <w:rPr>
          <w:rFonts w:ascii="Garamond" w:eastAsiaTheme="minorHAnsi" w:hAnsi="Garamond"/>
          <w:color w:val="000000"/>
          <w:sz w:val="24"/>
          <w:szCs w:val="24"/>
          <w:lang w:val="sq-AL"/>
          <w14:ligatures w14:val="standardContextual"/>
        </w:rPr>
        <w:t xml:space="preserve">nenit </w:t>
      </w:r>
      <w:r w:rsidRPr="008419ED">
        <w:rPr>
          <w:rFonts w:ascii="Garamond" w:eastAsiaTheme="minorHAnsi" w:hAnsi="Garamond"/>
          <w:color w:val="000000"/>
          <w:sz w:val="24"/>
          <w:szCs w:val="24"/>
          <w:lang w:val="sq-AL"/>
          <w14:ligatures w14:val="standardContextual"/>
        </w:rPr>
        <w:t xml:space="preserve">399/1 e në vijim, duhet të kishin qenë më të shpejta. Fakti se nuk kishin qenë të tilla, i kishte bërë ato joefektive në adresimin e shkeljes fillestare të së drejtës së paditësit për t’u dëgjuar brenda një afati të arsyeshëm. Aktualisht çështja është pezull pranë Gjykatës (kërkesa nr. 16770/24). </w:t>
      </w:r>
    </w:p>
    <w:p w14:paraId="4F06B875" w14:textId="6F6F0D08"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76. Më 20 </w:t>
      </w:r>
      <w:r w:rsidR="0066393B" w:rsidRPr="008419ED">
        <w:rPr>
          <w:rFonts w:ascii="Garamond" w:eastAsiaTheme="minorHAnsi" w:hAnsi="Garamond"/>
          <w:color w:val="000000"/>
          <w:sz w:val="24"/>
          <w:szCs w:val="24"/>
          <w:lang w:val="sq-AL"/>
          <w14:ligatures w14:val="standardContextual"/>
        </w:rPr>
        <w:t xml:space="preserve">nëntor </w:t>
      </w:r>
      <w:r w:rsidRPr="008419ED">
        <w:rPr>
          <w:rFonts w:ascii="Garamond" w:eastAsiaTheme="minorHAnsi" w:hAnsi="Garamond"/>
          <w:color w:val="000000"/>
          <w:sz w:val="24"/>
          <w:szCs w:val="24"/>
          <w:lang w:val="sq-AL"/>
          <w14:ligatures w14:val="standardContextual"/>
        </w:rPr>
        <w:t xml:space="preserve">2023, Gjykata Kushtetuese shqyrtoi një ankesë për kohëzgjatjen e procedurave civile. Më herët, ankesa ishte paraqitur në Gjykatën e Lartë, e cila e kishte rrëzuar me arsyetimin se, midis të tjerash, mjeti përshpejtues, mbështetur në </w:t>
      </w:r>
      <w:r w:rsidR="0066393B" w:rsidRPr="008419ED">
        <w:rPr>
          <w:rFonts w:ascii="Garamond" w:eastAsiaTheme="minorHAnsi" w:hAnsi="Garamond"/>
          <w:color w:val="000000"/>
          <w:sz w:val="24"/>
          <w:szCs w:val="24"/>
          <w:lang w:val="sq-AL"/>
          <w14:ligatures w14:val="standardContextual"/>
        </w:rPr>
        <w:t xml:space="preserve">nenet </w:t>
      </w:r>
      <w:r w:rsidRPr="008419ED">
        <w:rPr>
          <w:rFonts w:ascii="Garamond" w:eastAsiaTheme="minorHAnsi" w:hAnsi="Garamond"/>
          <w:color w:val="000000"/>
          <w:sz w:val="24"/>
          <w:szCs w:val="24"/>
          <w:lang w:val="sq-AL"/>
          <w14:ligatures w14:val="standardContextual"/>
        </w:rPr>
        <w:t>399/1 e në vijim të KPC</w:t>
      </w:r>
      <w:r w:rsidR="0066393B">
        <w:rPr>
          <w:rFonts w:ascii="Garamond" w:eastAsiaTheme="minorHAnsi" w:hAnsi="Garamond"/>
          <w:color w:val="000000"/>
          <w:sz w:val="24"/>
          <w:szCs w:val="24"/>
          <w:lang w:val="sq-AL"/>
          <w14:ligatures w14:val="standardContextual"/>
        </w:rPr>
        <w:t>-së</w:t>
      </w:r>
      <w:r w:rsidRPr="008419ED">
        <w:rPr>
          <w:rFonts w:ascii="Garamond" w:eastAsiaTheme="minorHAnsi" w:hAnsi="Garamond"/>
          <w:color w:val="000000"/>
          <w:sz w:val="24"/>
          <w:szCs w:val="24"/>
          <w:lang w:val="sq-AL"/>
          <w14:ligatures w14:val="standardContextual"/>
        </w:rPr>
        <w:t xml:space="preserve"> ishte krijuar për të vepruar në momente të zakonshme dhe ishte i papërshtatshëm për momentet e jashtëzakonshme nëpër të cilat po kalonte sistemi gjyqësor shqiptar. Në vendimin nr. 61/2023, Gjykata Kushtetuese pranoi sfidat e jashtëzakonshme me të cilat po përballej gjyqësori vendas, por ndryshe nga Gjykata e Lartë, ajo arriti në përfundimin se ishte shkelur e drejta e paditësit për t’u dëgjuar brenda një afati të arsyeshëm. Në vijim, Gjykata Kushtetuese theksoi se përfshirja e të gjith</w:t>
      </w:r>
      <w:r w:rsidR="003277F2">
        <w:rPr>
          <w:rFonts w:ascii="Garamond" w:eastAsiaTheme="minorHAnsi" w:hAnsi="Garamond"/>
          <w:color w:val="000000"/>
          <w:sz w:val="24"/>
          <w:szCs w:val="24"/>
          <w:lang w:val="sq-AL"/>
          <w14:ligatures w14:val="standardContextual"/>
        </w:rPr>
        <w:t>a</w:t>
      </w:r>
      <w:r w:rsidRPr="008419ED">
        <w:rPr>
          <w:rFonts w:ascii="Garamond" w:eastAsiaTheme="minorHAnsi" w:hAnsi="Garamond"/>
          <w:color w:val="000000"/>
          <w:sz w:val="24"/>
          <w:szCs w:val="24"/>
          <w:lang w:val="sq-AL"/>
          <w14:ligatures w14:val="standardContextual"/>
        </w:rPr>
        <w:t xml:space="preserve"> palëve të interesuara, veçanërisht e legjislativit, ishte bërë një domosdoshmëri duke pasur parasysh se masat ekzistuese juridike dhe institucionale nuk adresonin në mënyrën e duhur situatën e vonesave të shpeshta në procedurat gjyqësore. </w:t>
      </w:r>
    </w:p>
    <w:p w14:paraId="404A051A" w14:textId="0B0247EA"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II. MATERIALET NDËRKOMBËTARE</w:t>
      </w:r>
    </w:p>
    <w:p w14:paraId="4467D3F2" w14:textId="4AE8C19D"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8419ED">
        <w:rPr>
          <w:rFonts w:ascii="Garamond" w:eastAsiaTheme="minorHAnsi" w:hAnsi="Garamond"/>
          <w:b/>
          <w:bCs/>
          <w:color w:val="000000"/>
          <w:sz w:val="24"/>
          <w:szCs w:val="24"/>
          <w:lang w:val="sq-AL"/>
          <w14:ligatures w14:val="standardContextual"/>
        </w:rPr>
        <w:t>A. Materialet e Komitetit të Ministrave të Këshillit të E</w:t>
      </w:r>
      <w:r w:rsidR="00891B06">
        <w:rPr>
          <w:rFonts w:ascii="Garamond" w:eastAsiaTheme="minorHAnsi" w:hAnsi="Garamond"/>
          <w:b/>
          <w:bCs/>
          <w:color w:val="000000"/>
          <w:sz w:val="24"/>
          <w:szCs w:val="24"/>
          <w:lang w:val="sq-AL"/>
          <w14:ligatures w14:val="standardContextual"/>
        </w:rPr>
        <w:t>v</w:t>
      </w:r>
      <w:r w:rsidRPr="008419ED">
        <w:rPr>
          <w:rFonts w:ascii="Garamond" w:eastAsiaTheme="minorHAnsi" w:hAnsi="Garamond"/>
          <w:b/>
          <w:bCs/>
          <w:color w:val="000000"/>
          <w:sz w:val="24"/>
          <w:szCs w:val="24"/>
          <w:lang w:val="sq-AL"/>
          <w14:ligatures w14:val="standardContextual"/>
        </w:rPr>
        <w:t>ropës</w:t>
      </w:r>
    </w:p>
    <w:p w14:paraId="0FC32FFA" w14:textId="53F4A2CE"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77. Në mbledhjen e tij të 1514-t, mbajtur nga data 3 deri më 5 </w:t>
      </w:r>
      <w:r w:rsidR="00891B06">
        <w:rPr>
          <w:rFonts w:ascii="Garamond" w:eastAsiaTheme="minorHAnsi" w:hAnsi="Garamond"/>
          <w:color w:val="000000"/>
          <w:sz w:val="24"/>
          <w:szCs w:val="24"/>
          <w:lang w:val="sq-AL"/>
          <w14:ligatures w14:val="standardContextual"/>
        </w:rPr>
        <w:t>d</w:t>
      </w:r>
      <w:r w:rsidRPr="008419ED">
        <w:rPr>
          <w:rFonts w:ascii="Garamond" w:eastAsiaTheme="minorHAnsi" w:hAnsi="Garamond"/>
          <w:color w:val="000000"/>
          <w:sz w:val="24"/>
          <w:szCs w:val="24"/>
          <w:lang w:val="sq-AL"/>
          <w14:ligatures w14:val="standardContextual"/>
        </w:rPr>
        <w:t>hjetor 2024, Komiteti i Ministrave i Këshillit të E</w:t>
      </w:r>
      <w:r w:rsidR="00891B06">
        <w:rPr>
          <w:rFonts w:ascii="Garamond" w:eastAsiaTheme="minorHAnsi" w:hAnsi="Garamond"/>
          <w:color w:val="000000"/>
          <w:sz w:val="24"/>
          <w:szCs w:val="24"/>
          <w:lang w:val="sq-AL"/>
          <w14:ligatures w14:val="standardContextual"/>
        </w:rPr>
        <w:t>v</w:t>
      </w:r>
      <w:r w:rsidRPr="008419ED">
        <w:rPr>
          <w:rFonts w:ascii="Garamond" w:eastAsiaTheme="minorHAnsi" w:hAnsi="Garamond"/>
          <w:color w:val="000000"/>
          <w:sz w:val="24"/>
          <w:szCs w:val="24"/>
          <w:lang w:val="sq-AL"/>
          <w14:ligatures w14:val="standardContextual"/>
        </w:rPr>
        <w:t xml:space="preserve">ropës shqyrtoi statusin e ekzekutimit të vendimit në grupin e çështjeve në </w:t>
      </w:r>
      <w:r w:rsidRPr="008419ED">
        <w:rPr>
          <w:rFonts w:ascii="Garamond" w:eastAsiaTheme="minorHAnsi" w:hAnsi="Garamond"/>
          <w:i/>
          <w:iCs/>
          <w:color w:val="000000"/>
          <w:sz w:val="24"/>
          <w:szCs w:val="24"/>
          <w:lang w:val="sq-AL"/>
          <w14:ligatures w14:val="standardContextual"/>
        </w:rPr>
        <w:t xml:space="preserve">Luli dhe të </w:t>
      </w:r>
      <w:r w:rsidR="00891B06" w:rsidRPr="008419ED">
        <w:rPr>
          <w:rFonts w:ascii="Garamond" w:eastAsiaTheme="minorHAnsi" w:hAnsi="Garamond"/>
          <w:i/>
          <w:iCs/>
          <w:color w:val="000000"/>
          <w:sz w:val="24"/>
          <w:szCs w:val="24"/>
          <w:lang w:val="sq-AL"/>
          <w14:ligatures w14:val="standardContextual"/>
        </w:rPr>
        <w:t xml:space="preserve">tjerë </w:t>
      </w:r>
      <w:r w:rsidRPr="008419ED">
        <w:rPr>
          <w:rFonts w:ascii="Garamond" w:eastAsiaTheme="minorHAnsi" w:hAnsi="Garamond"/>
          <w:i/>
          <w:iCs/>
          <w:color w:val="000000"/>
          <w:sz w:val="24"/>
          <w:szCs w:val="24"/>
          <w:lang w:val="sq-AL"/>
          <w14:ligatures w14:val="standardContextual"/>
        </w:rPr>
        <w:t xml:space="preserve">kundër Shqipërisë </w:t>
      </w:r>
      <w:r w:rsidRPr="008419ED">
        <w:rPr>
          <w:rFonts w:ascii="Garamond" w:eastAsiaTheme="minorHAnsi" w:hAnsi="Garamond"/>
          <w:color w:val="000000"/>
          <w:sz w:val="24"/>
          <w:szCs w:val="24"/>
          <w:lang w:val="sq-AL"/>
          <w14:ligatures w14:val="standardContextual"/>
        </w:rPr>
        <w:t xml:space="preserve">(nr. 64480/09 dhe 5 të tjerë, 1 </w:t>
      </w:r>
      <w:r w:rsidR="00891B06" w:rsidRPr="008419ED">
        <w:rPr>
          <w:rFonts w:ascii="Garamond" w:eastAsiaTheme="minorHAnsi" w:hAnsi="Garamond"/>
          <w:color w:val="000000"/>
          <w:sz w:val="24"/>
          <w:szCs w:val="24"/>
          <w:lang w:val="sq-AL"/>
          <w14:ligatures w14:val="standardContextual"/>
        </w:rPr>
        <w:t xml:space="preserve">prill </w:t>
      </w:r>
      <w:r w:rsidRPr="008419ED">
        <w:rPr>
          <w:rFonts w:ascii="Garamond" w:eastAsiaTheme="minorHAnsi" w:hAnsi="Garamond"/>
          <w:color w:val="000000"/>
          <w:sz w:val="24"/>
          <w:szCs w:val="24"/>
          <w:lang w:val="sq-AL"/>
          <w14:ligatures w14:val="standardContextual"/>
        </w:rPr>
        <w:t xml:space="preserve">2014), dhe miratoi </w:t>
      </w:r>
      <w:r w:rsidR="008E491E">
        <w:rPr>
          <w:rFonts w:ascii="Garamond" w:eastAsiaTheme="minorHAnsi" w:hAnsi="Garamond"/>
          <w:color w:val="000000"/>
          <w:sz w:val="24"/>
          <w:szCs w:val="24"/>
          <w:lang w:val="sq-AL"/>
          <w14:ligatures w14:val="standardContextual"/>
        </w:rPr>
        <w:t>v</w:t>
      </w:r>
      <w:r w:rsidRPr="008419ED">
        <w:rPr>
          <w:rFonts w:ascii="Garamond" w:eastAsiaTheme="minorHAnsi" w:hAnsi="Garamond"/>
          <w:color w:val="000000"/>
          <w:sz w:val="24"/>
          <w:szCs w:val="24"/>
          <w:lang w:val="sq-AL"/>
          <w14:ligatures w14:val="standardContextual"/>
        </w:rPr>
        <w:t xml:space="preserve">endimin CM/Del/Dec(2024)1514/H46-1. Grupi i çështjeve në fjalë kishte të bënte me rastet kur Gjykata kishte konstatuar shkelje të Konventës për kohëzgjatjen e paarsyeshme të procedurave dhe mungesën e një mjeti efektiv. </w:t>
      </w:r>
    </w:p>
    <w:p w14:paraId="4E144FE1" w14:textId="25D24922"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78. Në lidhje me mbledhjen e sipërpërmendur, Sekretariati i Komitetit të Ministrave përgatiti shënimet (CM/Notes/1514/H46-1) ku përmblidhte dhe analizonte informacionin që i ishte dorëzuar nga autoritetet shqiptare. </w:t>
      </w:r>
    </w:p>
    <w:p w14:paraId="7C493E34" w14:textId="7ED99A45"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79. Pjesa përkatëse e atyre shënimeve, ku përmblidhet konteksti i shqyrtimit të Komitetit dhe informacionet e ofruara nga autoritetet, përmban (shënimet fundore janë hequr): </w:t>
      </w:r>
    </w:p>
    <w:p w14:paraId="74078071" w14:textId="77777777" w:rsidR="008419ED" w:rsidRPr="00891B06"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891B06">
        <w:rPr>
          <w:rFonts w:ascii="Garamond" w:eastAsiaTheme="minorHAnsi" w:hAnsi="Garamond"/>
          <w:color w:val="000000"/>
          <w:sz w:val="24"/>
          <w:szCs w:val="24"/>
          <w:lang w:val="sq-AL"/>
          <w14:ligatures w14:val="standardContextual"/>
        </w:rPr>
        <w:t>“</w:t>
      </w:r>
      <w:r w:rsidRPr="00891B06">
        <w:rPr>
          <w:rFonts w:ascii="Garamond" w:eastAsiaTheme="minorHAnsi" w:hAnsi="Garamond"/>
          <w:i/>
          <w:iCs/>
          <w:color w:val="000000"/>
          <w:sz w:val="24"/>
          <w:szCs w:val="24"/>
          <w:lang w:val="sq-AL"/>
          <w14:ligatures w14:val="standardContextual"/>
        </w:rPr>
        <w:t>Masat e përgjithshme:</w:t>
      </w:r>
    </w:p>
    <w:p w14:paraId="0A1BBF0E" w14:textId="0D2A8349"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i/>
          <w:iCs/>
          <w:color w:val="000000"/>
          <w:sz w:val="24"/>
          <w:szCs w:val="24"/>
          <w:lang w:val="sq-AL"/>
          <w14:ligatures w14:val="standardContextual"/>
        </w:rPr>
        <w:t>A) Shqyrtimi i mëparshëm nga Komiteti i Ministrave</w:t>
      </w:r>
    </w:p>
    <w:p w14:paraId="105404F1" w14:textId="21601A46"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Në </w:t>
      </w:r>
      <w:r w:rsidR="00891B06" w:rsidRPr="008419ED">
        <w:rPr>
          <w:rFonts w:ascii="Garamond" w:eastAsiaTheme="minorHAnsi" w:hAnsi="Garamond"/>
          <w:color w:val="000000"/>
          <w:sz w:val="24"/>
          <w:szCs w:val="24"/>
          <w:lang w:val="sq-AL"/>
          <w14:ligatures w14:val="standardContextual"/>
        </w:rPr>
        <w:t xml:space="preserve">dhjetor </w:t>
      </w:r>
      <w:r w:rsidRPr="008419ED">
        <w:rPr>
          <w:rFonts w:ascii="Garamond" w:eastAsiaTheme="minorHAnsi" w:hAnsi="Garamond"/>
          <w:color w:val="000000"/>
          <w:sz w:val="24"/>
          <w:szCs w:val="24"/>
          <w:lang w:val="sq-AL"/>
          <w14:ligatures w14:val="standardContextual"/>
        </w:rPr>
        <w:t xml:space="preserve">2022, Komiteti bëri thirrje për garanci që të respektohej afati i shtyrë për </w:t>
      </w:r>
      <w:r w:rsidR="00891B06" w:rsidRPr="008419ED">
        <w:rPr>
          <w:rFonts w:ascii="Garamond" w:eastAsiaTheme="minorHAnsi" w:hAnsi="Garamond"/>
          <w:color w:val="000000"/>
          <w:sz w:val="24"/>
          <w:szCs w:val="24"/>
          <w:lang w:val="sq-AL"/>
          <w14:ligatures w14:val="standardContextual"/>
        </w:rPr>
        <w:t>vetting</w:t>
      </w:r>
      <w:r w:rsidRPr="008419ED">
        <w:rPr>
          <w:rFonts w:ascii="Garamond" w:eastAsiaTheme="minorHAnsi" w:hAnsi="Garamond"/>
          <w:color w:val="000000"/>
          <w:sz w:val="24"/>
          <w:szCs w:val="24"/>
          <w:lang w:val="sq-AL"/>
          <w14:ligatures w14:val="standardContextual"/>
        </w:rPr>
        <w:t xml:space="preserve">-un e gjyqtarëve (deri në fund të vitit 2024)  dhe ndërkohë të sigurohej funksionimi i gjyqësorit, sipas rekomandimit të Komisionit të Venecias. Ai mirëpriti progresin e vazhdueshëm që ishte arritur në plotësimin e vakancave në gjyqësor të shkaktuara si rezultat i </w:t>
      </w:r>
      <w:r w:rsidR="00891B06" w:rsidRPr="008419ED">
        <w:rPr>
          <w:rFonts w:ascii="Garamond" w:eastAsiaTheme="minorHAnsi" w:hAnsi="Garamond"/>
          <w:color w:val="000000"/>
          <w:sz w:val="24"/>
          <w:szCs w:val="24"/>
          <w:lang w:val="sq-AL"/>
          <w14:ligatures w14:val="standardContextual"/>
        </w:rPr>
        <w:t>vetting</w:t>
      </w:r>
      <w:r w:rsidRPr="008419ED">
        <w:rPr>
          <w:rFonts w:ascii="Garamond" w:eastAsiaTheme="minorHAnsi" w:hAnsi="Garamond"/>
          <w:color w:val="000000"/>
          <w:sz w:val="24"/>
          <w:szCs w:val="24"/>
          <w:lang w:val="sq-AL"/>
          <w14:ligatures w14:val="standardContextual"/>
        </w:rPr>
        <w:t xml:space="preserve">-ut të gjyqtarëve, gjë që ka bërë të mundur që Gjykata Kushtetuese dhe Gjykata e Lartë të bëhen funksionale; gjithashtu ai mirëpriti masat e marra për reduktimin e </w:t>
      </w:r>
      <w:r w:rsidR="00891B06" w:rsidRPr="008419ED">
        <w:rPr>
          <w:rFonts w:ascii="Garamond" w:eastAsiaTheme="minorHAnsi" w:hAnsi="Garamond"/>
          <w:color w:val="000000"/>
          <w:sz w:val="24"/>
          <w:szCs w:val="24"/>
          <w:lang w:val="sq-AL"/>
          <w14:ligatures w14:val="standardContextual"/>
        </w:rPr>
        <w:t>backlog</w:t>
      </w:r>
      <w:r w:rsidRPr="008419ED">
        <w:rPr>
          <w:rFonts w:ascii="Garamond" w:eastAsiaTheme="minorHAnsi" w:hAnsi="Garamond"/>
          <w:color w:val="000000"/>
          <w:sz w:val="24"/>
          <w:szCs w:val="24"/>
          <w:lang w:val="sq-AL"/>
          <w14:ligatures w14:val="standardContextual"/>
        </w:rPr>
        <w:t xml:space="preserve">-ut të çështjeve në Gjykatën e Lartë dhe ritmin e mirë në zgjidhjen e çështjeve në Gjykatën Kushtetuese. Ai i kërkoi autoriteteve, </w:t>
      </w:r>
      <w:r w:rsidRPr="008419ED">
        <w:rPr>
          <w:rFonts w:ascii="Garamond" w:eastAsiaTheme="minorHAnsi" w:hAnsi="Garamond"/>
          <w:i/>
          <w:iCs/>
          <w:color w:val="000000"/>
          <w:sz w:val="24"/>
          <w:szCs w:val="24"/>
          <w:lang w:val="sq-AL"/>
          <w14:ligatures w14:val="standardContextual"/>
        </w:rPr>
        <w:t xml:space="preserve">inter alia, </w:t>
      </w:r>
      <w:r w:rsidRPr="008419ED">
        <w:rPr>
          <w:rFonts w:ascii="Garamond" w:eastAsiaTheme="minorHAnsi" w:hAnsi="Garamond"/>
          <w:color w:val="000000"/>
          <w:sz w:val="24"/>
          <w:szCs w:val="24"/>
          <w:lang w:val="sq-AL"/>
          <w14:ligatures w14:val="standardContextual"/>
        </w:rPr>
        <w:t xml:space="preserve">që të përshpejtonin emërimin e gjyqtarëve dhe të reduktonin </w:t>
      </w:r>
      <w:r w:rsidR="00891B06" w:rsidRPr="008419ED">
        <w:rPr>
          <w:rFonts w:ascii="Garamond" w:eastAsiaTheme="minorHAnsi" w:hAnsi="Garamond"/>
          <w:color w:val="000000"/>
          <w:sz w:val="24"/>
          <w:szCs w:val="24"/>
          <w:lang w:val="sq-AL"/>
          <w14:ligatures w14:val="standardContextual"/>
        </w:rPr>
        <w:t>backlog</w:t>
      </w:r>
      <w:r w:rsidRPr="008419ED">
        <w:rPr>
          <w:rFonts w:ascii="Garamond" w:eastAsiaTheme="minorHAnsi" w:hAnsi="Garamond"/>
          <w:color w:val="000000"/>
          <w:sz w:val="24"/>
          <w:szCs w:val="24"/>
          <w:lang w:val="sq-AL"/>
          <w14:ligatures w14:val="standardContextual"/>
        </w:rPr>
        <w:t xml:space="preserve">-un e çështjeve në gjykatat më të prekura (veçanërisht gjykatat e shkallës së dytë), dhe të vlerësonin nevojën për masa specifike shtesë për reduktimin e </w:t>
      </w:r>
      <w:r w:rsidRPr="00891B06">
        <w:rPr>
          <w:rFonts w:ascii="Garamond" w:eastAsiaTheme="minorHAnsi" w:hAnsi="Garamond"/>
          <w:i/>
          <w:color w:val="000000"/>
          <w:sz w:val="24"/>
          <w:szCs w:val="24"/>
          <w:lang w:val="sq-AL"/>
          <w14:ligatures w14:val="standardContextual"/>
        </w:rPr>
        <w:t>backlog</w:t>
      </w:r>
      <w:r w:rsidRPr="008419ED">
        <w:rPr>
          <w:rFonts w:ascii="Garamond" w:eastAsiaTheme="minorHAnsi" w:hAnsi="Garamond"/>
          <w:color w:val="000000"/>
          <w:sz w:val="24"/>
          <w:szCs w:val="24"/>
          <w:lang w:val="sq-AL"/>
          <w14:ligatures w14:val="standardContextual"/>
        </w:rPr>
        <w:t>-ut. Komiteti mirëpriti faktin se mjeti i përgjithshëm përshpejtues dhe kompensues ishte konsideruar së fundmi nga Gjykata E</w:t>
      </w:r>
      <w:r w:rsidR="00891B06">
        <w:rPr>
          <w:rFonts w:ascii="Garamond" w:eastAsiaTheme="minorHAnsi" w:hAnsi="Garamond"/>
          <w:color w:val="000000"/>
          <w:sz w:val="24"/>
          <w:szCs w:val="24"/>
          <w:lang w:val="sq-AL"/>
          <w14:ligatures w14:val="standardContextual"/>
        </w:rPr>
        <w:t>v</w:t>
      </w:r>
      <w:r w:rsidRPr="008419ED">
        <w:rPr>
          <w:rFonts w:ascii="Garamond" w:eastAsiaTheme="minorHAnsi" w:hAnsi="Garamond"/>
          <w:color w:val="000000"/>
          <w:sz w:val="24"/>
          <w:szCs w:val="24"/>
          <w:lang w:val="sq-AL"/>
          <w14:ligatures w14:val="standardContextual"/>
        </w:rPr>
        <w:t xml:space="preserve">ropiane si efektiv në parim, por theksoi se mbetet për t’u parë nëse mjeti është efektiv edhe në praktikë. </w:t>
      </w:r>
    </w:p>
    <w:p w14:paraId="024E51FE" w14:textId="77777777"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i/>
          <w:iCs/>
          <w:color w:val="000000"/>
          <w:sz w:val="24"/>
          <w:szCs w:val="24"/>
          <w:lang w:val="sq-AL"/>
          <w14:ligatures w14:val="standardContextual"/>
        </w:rPr>
        <w:t xml:space="preserve">Së fundmi, ai kërkonte që të sqaroheshin arsyet për kundërshtimin e kërkesave për konstatimin se kërkesa për afat të arsyeshëm ishte shkelur dhe për përshpejtimin e procedurave, si edhe për një përmbledhje të detajuar statistikore mbi përdorimin dhe shqyrtimin e mjeteve </w:t>
      </w:r>
      <w:r w:rsidRPr="008419ED">
        <w:rPr>
          <w:rFonts w:ascii="Garamond" w:eastAsiaTheme="minorHAnsi" w:hAnsi="Garamond"/>
          <w:color w:val="000000"/>
          <w:sz w:val="24"/>
          <w:szCs w:val="24"/>
          <w:lang w:val="sq-AL"/>
          <w14:ligatures w14:val="standardContextual"/>
        </w:rPr>
        <w:t>[me theks të shtuar].</w:t>
      </w:r>
    </w:p>
    <w:p w14:paraId="11AC38D8" w14:textId="77777777"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8419ED">
        <w:rPr>
          <w:rFonts w:ascii="Garamond" w:eastAsiaTheme="minorHAnsi" w:hAnsi="Garamond"/>
          <w:i/>
          <w:iCs/>
          <w:color w:val="000000"/>
          <w:sz w:val="24"/>
          <w:szCs w:val="24"/>
          <w:lang w:val="sq-AL"/>
          <w14:ligatures w14:val="standardContextual"/>
        </w:rPr>
        <w:t>...</w:t>
      </w:r>
    </w:p>
    <w:p w14:paraId="170D7976" w14:textId="08F30BAD"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 </w:t>
      </w:r>
      <w:r w:rsidRPr="008419ED">
        <w:rPr>
          <w:rFonts w:ascii="Garamond" w:eastAsiaTheme="minorHAnsi" w:hAnsi="Garamond"/>
          <w:color w:val="000000"/>
          <w:sz w:val="24"/>
          <w:szCs w:val="24"/>
          <w:u w:val="single"/>
          <w:lang w:val="sq-AL"/>
          <w14:ligatures w14:val="standardContextual"/>
        </w:rPr>
        <w:t xml:space="preserve">Funksionimi i Gjykatës së Lartë: </w:t>
      </w:r>
      <w:r w:rsidRPr="008419ED">
        <w:rPr>
          <w:rFonts w:ascii="Garamond" w:eastAsiaTheme="minorHAnsi" w:hAnsi="Garamond"/>
          <w:color w:val="000000"/>
          <w:sz w:val="24"/>
          <w:szCs w:val="24"/>
          <w:lang w:val="sq-AL"/>
          <w14:ligatures w14:val="standardContextual"/>
        </w:rPr>
        <w:t xml:space="preserve">Autoritetet raportuan një rënie prej 18% në çështjet e prapambetura (26,058 në </w:t>
      </w:r>
      <w:r w:rsidR="004812D8">
        <w:rPr>
          <w:rFonts w:ascii="Garamond" w:eastAsiaTheme="minorHAnsi" w:hAnsi="Garamond"/>
          <w:color w:val="000000"/>
          <w:sz w:val="24"/>
          <w:szCs w:val="24"/>
          <w:lang w:val="sq-AL"/>
          <w14:ligatures w14:val="standardContextual"/>
        </w:rPr>
        <w:t>j</w:t>
      </w:r>
      <w:r w:rsidRPr="008419ED">
        <w:rPr>
          <w:rFonts w:ascii="Garamond" w:eastAsiaTheme="minorHAnsi" w:hAnsi="Garamond"/>
          <w:color w:val="000000"/>
          <w:sz w:val="24"/>
          <w:szCs w:val="24"/>
          <w:lang w:val="sq-AL"/>
          <w14:ligatures w14:val="standardContextual"/>
        </w:rPr>
        <w:t xml:space="preserve">anar 2024; 31,827 në vitin 2023 dhe 30,998 në vitin 2022). GJL [Gjykata e Lartë] aktualisht po shqyrton apelimet nga viti 201 deri </w:t>
      </w:r>
      <w:r w:rsidR="004812D8">
        <w:rPr>
          <w:rFonts w:ascii="Garamond" w:eastAsiaTheme="minorHAnsi" w:hAnsi="Garamond"/>
          <w:color w:val="000000"/>
          <w:sz w:val="24"/>
          <w:szCs w:val="24"/>
          <w:lang w:val="sq-AL"/>
          <w14:ligatures w14:val="standardContextual"/>
        </w:rPr>
        <w:t>m</w:t>
      </w:r>
      <w:r w:rsidRPr="008419ED">
        <w:rPr>
          <w:rFonts w:ascii="Garamond" w:eastAsiaTheme="minorHAnsi" w:hAnsi="Garamond"/>
          <w:color w:val="000000"/>
          <w:sz w:val="24"/>
          <w:szCs w:val="24"/>
          <w:lang w:val="sq-AL"/>
          <w14:ligatures w14:val="standardContextual"/>
        </w:rPr>
        <w:t>ë 2018, por kategoritë me prioritet shqyrtohen më shpejt. Në vitin 2023, çdo gjyqtar i GJL</w:t>
      </w:r>
      <w:r w:rsidR="004812D8">
        <w:rPr>
          <w:rFonts w:ascii="Garamond" w:eastAsiaTheme="minorHAnsi" w:hAnsi="Garamond"/>
          <w:color w:val="000000"/>
          <w:sz w:val="24"/>
          <w:szCs w:val="24"/>
          <w:lang w:val="sq-AL"/>
          <w14:ligatures w14:val="standardContextual"/>
        </w:rPr>
        <w:t>-së</w:t>
      </w:r>
      <w:r w:rsidRPr="008419ED">
        <w:rPr>
          <w:rFonts w:ascii="Garamond" w:eastAsiaTheme="minorHAnsi" w:hAnsi="Garamond"/>
          <w:color w:val="000000"/>
          <w:sz w:val="24"/>
          <w:szCs w:val="24"/>
          <w:lang w:val="sq-AL"/>
          <w14:ligatures w14:val="standardContextual"/>
        </w:rPr>
        <w:t xml:space="preserve"> kishte një ngarkesë përafërsisht me 2084 çështje; GJL</w:t>
      </w:r>
      <w:r w:rsidR="004812D8">
        <w:rPr>
          <w:rFonts w:ascii="Garamond" w:eastAsiaTheme="minorHAnsi" w:hAnsi="Garamond"/>
          <w:color w:val="000000"/>
          <w:sz w:val="24"/>
          <w:szCs w:val="24"/>
          <w:lang w:val="sq-AL"/>
          <w14:ligatures w14:val="standardContextual"/>
        </w:rPr>
        <w:t>-ja</w:t>
      </w:r>
      <w:r w:rsidRPr="008419ED">
        <w:rPr>
          <w:rFonts w:ascii="Garamond" w:eastAsiaTheme="minorHAnsi" w:hAnsi="Garamond"/>
          <w:color w:val="000000"/>
          <w:sz w:val="24"/>
          <w:szCs w:val="24"/>
          <w:lang w:val="sq-AL"/>
          <w14:ligatures w14:val="standardContextual"/>
        </w:rPr>
        <w:t xml:space="preserve"> shqyrtonte mesatarisht 250 çështje në vit për gjyqtar. KLGJ raporton se në vitin 2023 norma e evadimit për çështjet civile ishte 362.53% (282% në vitin 2022); për çështjet penale ishte 265.17% (193% në vitin 2022) dhe për çështjet administrative ishte 535% (613% në vitin 2022). Ata raportonin se në vitin 2022, koha e evadimit ishte 2851.2 ditë për çështje civile, 902.5 ditë për çështjet penale dhe 1584.1 ditë për çështjet administrative.”</w:t>
      </w:r>
    </w:p>
    <w:p w14:paraId="4A847D8C" w14:textId="3300092E"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80.</w:t>
      </w:r>
      <w:r w:rsidR="00FF0BBE">
        <w:rPr>
          <w:rFonts w:ascii="Garamond" w:eastAsiaTheme="minorHAnsi" w:hAnsi="Garamond"/>
          <w:color w:val="000000"/>
          <w:sz w:val="24"/>
          <w:szCs w:val="24"/>
          <w:lang w:val="sq-AL"/>
          <w14:ligatures w14:val="standardContextual"/>
        </w:rPr>
        <w:t xml:space="preserve"> </w:t>
      </w:r>
      <w:r w:rsidRPr="008419ED">
        <w:rPr>
          <w:rFonts w:ascii="Garamond" w:eastAsiaTheme="minorHAnsi" w:hAnsi="Garamond"/>
          <w:color w:val="000000"/>
          <w:sz w:val="24"/>
          <w:szCs w:val="24"/>
          <w:lang w:val="sq-AL"/>
          <w14:ligatures w14:val="standardContextual"/>
        </w:rPr>
        <w:t xml:space="preserve"> Në lidhje me situatën e Gjykatës Administrative të Apelit, shënimi parashikon:</w:t>
      </w:r>
    </w:p>
    <w:p w14:paraId="0FBD5EC6" w14:textId="4B2B89BF"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“Sipas të dhënave të ofruara nga autoritetet, numri i çështjeve të prapambetura në Gjykatën Administrative të Apelit Tiranë u rrit në 23,056 çështje në vitin 2023 (2,810 në vitin 2020; 15,157 në vitin 2021; 21,166 në vitin 2022). Në vitin 2022, norma e evadimit ishte 24.4%. Të dhënat e KLGJ</w:t>
      </w:r>
      <w:r w:rsidR="004812D8">
        <w:rPr>
          <w:rFonts w:ascii="Garamond" w:eastAsiaTheme="minorHAnsi" w:hAnsi="Garamond"/>
          <w:color w:val="000000"/>
          <w:sz w:val="24"/>
          <w:szCs w:val="24"/>
          <w:lang w:val="sq-AL"/>
          <w14:ligatures w14:val="standardContextual"/>
        </w:rPr>
        <w:t>-së</w:t>
      </w:r>
      <w:r w:rsidRPr="008419ED">
        <w:rPr>
          <w:rFonts w:ascii="Garamond" w:eastAsiaTheme="minorHAnsi" w:hAnsi="Garamond"/>
          <w:color w:val="000000"/>
          <w:sz w:val="24"/>
          <w:szCs w:val="24"/>
          <w:lang w:val="sq-AL"/>
          <w14:ligatures w14:val="standardContextual"/>
        </w:rPr>
        <w:t xml:space="preserve"> çojnë në përfundimin se norma e evadimit në vitin 2023 ishte 43%. Gjithashtu, në vitin 2023, kohëzgjatja mesatare e procedurave ishte 5,326.20 ditë (14.6 </w:t>
      </w:r>
      <w:r w:rsidR="008E3CDE">
        <w:rPr>
          <w:rFonts w:ascii="Garamond" w:eastAsiaTheme="minorHAnsi" w:hAnsi="Garamond"/>
          <w:color w:val="000000"/>
          <w:sz w:val="24"/>
          <w:szCs w:val="24"/>
          <w:lang w:val="sq-AL"/>
          <w14:ligatures w14:val="standardContextual"/>
        </w:rPr>
        <w:t>vjet</w:t>
      </w:r>
      <w:r w:rsidRPr="008419ED">
        <w:rPr>
          <w:rFonts w:ascii="Garamond" w:eastAsiaTheme="minorHAnsi" w:hAnsi="Garamond"/>
          <w:color w:val="000000"/>
          <w:sz w:val="24"/>
          <w:szCs w:val="24"/>
          <w:lang w:val="sq-AL"/>
          <w14:ligatures w14:val="standardContextual"/>
        </w:rPr>
        <w:t xml:space="preserve">) (8,650 ditë ose 23.6 </w:t>
      </w:r>
      <w:r w:rsidR="008E3CDE">
        <w:rPr>
          <w:rFonts w:ascii="Garamond" w:eastAsiaTheme="minorHAnsi" w:hAnsi="Garamond"/>
          <w:color w:val="000000"/>
          <w:sz w:val="24"/>
          <w:szCs w:val="24"/>
          <w:lang w:val="sq-AL"/>
          <w14:ligatures w14:val="standardContextual"/>
        </w:rPr>
        <w:t>vjet</w:t>
      </w:r>
      <w:r w:rsidRPr="008419ED">
        <w:rPr>
          <w:rFonts w:ascii="Garamond" w:eastAsiaTheme="minorHAnsi" w:hAnsi="Garamond"/>
          <w:color w:val="000000"/>
          <w:sz w:val="24"/>
          <w:szCs w:val="24"/>
          <w:lang w:val="sq-AL"/>
          <w14:ligatures w14:val="standardContextual"/>
        </w:rPr>
        <w:t xml:space="preserve"> në vitin 2022). Tetë nga 13 gjyqtarë ishin në detyrë; dhe 49,5% e stafit në gjykata.”</w:t>
      </w:r>
    </w:p>
    <w:p w14:paraId="10A6ED56" w14:textId="66A9C6C8"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81. Në lidhje me mjetin 2017, shënimi përmban (shënimet fundore janë hequr): </w:t>
      </w:r>
    </w:p>
    <w:p w14:paraId="61510811" w14:textId="3024027B"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“Që prej muajit </w:t>
      </w:r>
      <w:r w:rsidR="007C6B14">
        <w:rPr>
          <w:rFonts w:ascii="Garamond" w:eastAsiaTheme="minorHAnsi" w:hAnsi="Garamond"/>
          <w:color w:val="000000"/>
          <w:sz w:val="24"/>
          <w:szCs w:val="24"/>
          <w:lang w:val="sq-AL"/>
          <w14:ligatures w14:val="standardContextual"/>
        </w:rPr>
        <w:t>n</w:t>
      </w:r>
      <w:r w:rsidRPr="008419ED">
        <w:rPr>
          <w:rFonts w:ascii="Garamond" w:eastAsiaTheme="minorHAnsi" w:hAnsi="Garamond"/>
          <w:color w:val="000000"/>
          <w:sz w:val="24"/>
          <w:szCs w:val="24"/>
          <w:lang w:val="sq-AL"/>
          <w14:ligatures w14:val="standardContextual"/>
        </w:rPr>
        <w:t>ëntor 2017, në Shqipëri ka funksionuar një mjet i ri përshpejtues dhe kompensues për kohëzgjatjen e tepërt të procedurave gjyqësore. Faza e parë e mjetit është një kërkesë për të gjetur shkeljen e kërkesës për afat të arsyeshëm (nga vetëm një nivel juridiksioni); nëse gjykata kompetente e bën një konstatim të tillë, ajo mund të urdhërojë përshpejtimin e procedurave. Kërkesa është shqyrtuar nga gjykata e cila është superiore ndaj gjykatës që është përgjegjëse për kohëzgjatjen ose nga një formacion tjetër i GJL</w:t>
      </w:r>
      <w:r w:rsidR="007C6B14">
        <w:rPr>
          <w:rFonts w:ascii="Garamond" w:eastAsiaTheme="minorHAnsi" w:hAnsi="Garamond"/>
          <w:color w:val="000000"/>
          <w:sz w:val="24"/>
          <w:szCs w:val="24"/>
          <w:lang w:val="sq-AL"/>
          <w14:ligatures w14:val="standardContextual"/>
        </w:rPr>
        <w:t>-së</w:t>
      </w:r>
      <w:r w:rsidRPr="008419ED">
        <w:rPr>
          <w:rFonts w:ascii="Garamond" w:eastAsiaTheme="minorHAnsi" w:hAnsi="Garamond"/>
          <w:color w:val="000000"/>
          <w:sz w:val="24"/>
          <w:szCs w:val="24"/>
          <w:lang w:val="sq-AL"/>
          <w14:ligatures w14:val="standardContextual"/>
        </w:rPr>
        <w:t xml:space="preserve">. Faza e dytë e mjetit lejon që të kërkohet kompensim për shkeljen tashmë të konstatuar të kërkesës për afat të arsyeshëm; pretendimi për kompensim duhet të dorëzohet në një gjykatë të shkallës së parë, e cila e shqyrton brenda tre muajve. </w:t>
      </w:r>
    </w:p>
    <w:p w14:paraId="70950FFA" w14:textId="4C1E098E"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Në vendimin e saj të vitit 2022 </w:t>
      </w:r>
      <w:r w:rsidRPr="008419ED">
        <w:rPr>
          <w:rFonts w:ascii="Garamond" w:eastAsiaTheme="minorHAnsi" w:hAnsi="Garamond"/>
          <w:i/>
          <w:iCs/>
          <w:color w:val="000000"/>
          <w:sz w:val="24"/>
          <w:szCs w:val="24"/>
          <w:lang w:val="sq-AL"/>
          <w14:ligatures w14:val="standardContextual"/>
        </w:rPr>
        <w:t>Bara dhe Kola</w:t>
      </w:r>
      <w:r w:rsidRPr="008419ED">
        <w:rPr>
          <w:rFonts w:ascii="Garamond" w:eastAsiaTheme="minorHAnsi" w:hAnsi="Garamond"/>
          <w:color w:val="000000"/>
          <w:sz w:val="24"/>
          <w:szCs w:val="24"/>
          <w:lang w:val="sq-AL"/>
          <w14:ligatures w14:val="standardContextual"/>
        </w:rPr>
        <w:t>, Gjykata E</w:t>
      </w:r>
      <w:r w:rsidR="004F1D73">
        <w:rPr>
          <w:rFonts w:ascii="Garamond" w:eastAsiaTheme="minorHAnsi" w:hAnsi="Garamond"/>
          <w:color w:val="000000"/>
          <w:sz w:val="24"/>
          <w:szCs w:val="24"/>
          <w:lang w:val="sq-AL"/>
          <w14:ligatures w14:val="standardContextual"/>
        </w:rPr>
        <w:t>v</w:t>
      </w:r>
      <w:r w:rsidRPr="008419ED">
        <w:rPr>
          <w:rFonts w:ascii="Garamond" w:eastAsiaTheme="minorHAnsi" w:hAnsi="Garamond"/>
          <w:color w:val="000000"/>
          <w:sz w:val="24"/>
          <w:szCs w:val="24"/>
          <w:lang w:val="sq-AL"/>
          <w14:ligatures w14:val="standardContextual"/>
        </w:rPr>
        <w:t xml:space="preserve">ropiane konstaton se mjeti ishte efektiv në parim, por ishte joefektiv ne rrethanat e çështjes pasi procedurat e tejzgjatura pranë GJL nuk ishin përshpejtuar dhe kërkesa për përshpejtimin e tyre kishte mbetur pa përgjigje për më shumë se tre </w:t>
      </w:r>
      <w:r w:rsidR="00661964">
        <w:rPr>
          <w:rFonts w:ascii="Garamond" w:eastAsiaTheme="minorHAnsi" w:hAnsi="Garamond"/>
          <w:color w:val="000000"/>
          <w:sz w:val="24"/>
          <w:szCs w:val="24"/>
          <w:lang w:val="sq-AL"/>
          <w14:ligatures w14:val="standardContextual"/>
        </w:rPr>
        <w:t>vjet</w:t>
      </w:r>
      <w:r w:rsidRPr="008419ED">
        <w:rPr>
          <w:rFonts w:ascii="Garamond" w:eastAsiaTheme="minorHAnsi" w:hAnsi="Garamond"/>
          <w:color w:val="000000"/>
          <w:sz w:val="24"/>
          <w:szCs w:val="24"/>
          <w:lang w:val="sq-AL"/>
          <w14:ligatures w14:val="standardContextual"/>
        </w:rPr>
        <w:t xml:space="preserve">. </w:t>
      </w:r>
    </w:p>
    <w:p w14:paraId="1D25AE8C" w14:textId="4CDBF536"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Autoritetet parashtruan se për periudhën </w:t>
      </w:r>
      <w:r w:rsidR="004F1D73" w:rsidRPr="008419ED">
        <w:rPr>
          <w:rFonts w:ascii="Garamond" w:eastAsiaTheme="minorHAnsi" w:hAnsi="Garamond"/>
          <w:color w:val="000000"/>
          <w:sz w:val="24"/>
          <w:szCs w:val="24"/>
          <w:lang w:val="sq-AL"/>
          <w14:ligatures w14:val="standardContextual"/>
        </w:rPr>
        <w:t xml:space="preserve">janar </w:t>
      </w:r>
      <w:r w:rsidRPr="008419ED">
        <w:rPr>
          <w:rFonts w:ascii="Garamond" w:eastAsiaTheme="minorHAnsi" w:hAnsi="Garamond"/>
          <w:color w:val="000000"/>
          <w:sz w:val="24"/>
          <w:szCs w:val="24"/>
          <w:lang w:val="sq-AL"/>
          <w14:ligatures w14:val="standardContextual"/>
        </w:rPr>
        <w:t>2022–</w:t>
      </w:r>
      <w:r w:rsidR="004F1D73" w:rsidRPr="008419ED">
        <w:rPr>
          <w:rFonts w:ascii="Garamond" w:eastAsiaTheme="minorHAnsi" w:hAnsi="Garamond"/>
          <w:color w:val="000000"/>
          <w:sz w:val="24"/>
          <w:szCs w:val="24"/>
          <w:lang w:val="sq-AL"/>
          <w14:ligatures w14:val="standardContextual"/>
        </w:rPr>
        <w:t xml:space="preserve">nëntor </w:t>
      </w:r>
      <w:r w:rsidRPr="008419ED">
        <w:rPr>
          <w:rFonts w:ascii="Garamond" w:eastAsiaTheme="minorHAnsi" w:hAnsi="Garamond"/>
          <w:color w:val="000000"/>
          <w:sz w:val="24"/>
          <w:szCs w:val="24"/>
          <w:lang w:val="sq-AL"/>
          <w14:ligatures w14:val="standardContextual"/>
        </w:rPr>
        <w:t xml:space="preserve">2023, pranë GJL ishin dorëzuar 127 kërkesa në total për shkeljen e kërkesës për afat të arsyeshëm (76 në vitin 2022; 51 në vitin 2023), nga të cilat 95 u shqyrtuan dhe </w:t>
      </w:r>
      <w:r w:rsidRPr="008419ED">
        <w:rPr>
          <w:rFonts w:ascii="Garamond" w:eastAsiaTheme="minorHAnsi" w:hAnsi="Garamond"/>
          <w:i/>
          <w:iCs/>
          <w:color w:val="000000"/>
          <w:sz w:val="24"/>
          <w:szCs w:val="24"/>
          <w:lang w:val="sq-AL"/>
          <w14:ligatures w14:val="standardContextual"/>
        </w:rPr>
        <w:t>katër u paraqitën në gjykatë</w:t>
      </w:r>
      <w:r w:rsidRPr="008419ED">
        <w:rPr>
          <w:rFonts w:ascii="Garamond" w:eastAsiaTheme="minorHAnsi" w:hAnsi="Garamond"/>
          <w:color w:val="000000"/>
          <w:sz w:val="24"/>
          <w:szCs w:val="24"/>
          <w:lang w:val="sq-AL"/>
          <w14:ligatures w14:val="standardContextual"/>
        </w:rPr>
        <w:t xml:space="preserve"> [theksimi është shtuar].”</w:t>
      </w:r>
    </w:p>
    <w:p w14:paraId="00547975" w14:textId="0300E68B"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82. Në analizën e informacionit të mësipërm, Sekretariati theksonte: </w:t>
      </w:r>
    </w:p>
    <w:p w14:paraId="5616DBB2" w14:textId="184FD53D"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“Është gjithashtu inkurajuese që Gjykata e Lartë ka pasur norma të larta evadimi për vitin 2022 dhe 2023, që nënkupton se </w:t>
      </w:r>
      <w:r w:rsidRPr="004F1D73">
        <w:rPr>
          <w:rFonts w:ascii="Garamond" w:eastAsiaTheme="minorHAnsi" w:hAnsi="Garamond"/>
          <w:i/>
          <w:color w:val="000000"/>
          <w:sz w:val="24"/>
          <w:szCs w:val="24"/>
          <w:lang w:val="sq-AL"/>
          <w14:ligatures w14:val="standardContextual"/>
        </w:rPr>
        <w:t>backlog</w:t>
      </w:r>
      <w:r w:rsidRPr="008419ED">
        <w:rPr>
          <w:rFonts w:ascii="Garamond" w:eastAsiaTheme="minorHAnsi" w:hAnsi="Garamond"/>
          <w:color w:val="000000"/>
          <w:sz w:val="24"/>
          <w:szCs w:val="24"/>
          <w:lang w:val="sq-AL"/>
          <w14:ligatures w14:val="standardContextual"/>
        </w:rPr>
        <w:t>-u i saj më i madh tashmë ka filluar të zvogëlohet, dhe se ajo ka një politikë për shqyrtimin e çështjeve prioritare më me shpejtësi dhe ka drejtuar praktika të caktuara. Megjithatë, është shqetësues fakti se kohëzgjatja mesatare e procedurave mbetet shumë e lartë dhe se kjo gjykatë aktualisht po shqyrton çështjet e periudhës 2016</w:t>
      </w:r>
      <w:r w:rsidR="004F1D73">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2018, gjë që demonstron nevojën për përpjekje të vazhdueshme për të përshpejtuar pastrimin e </w:t>
      </w:r>
      <w:r w:rsidRPr="004F1D73">
        <w:rPr>
          <w:rFonts w:ascii="Garamond" w:eastAsiaTheme="minorHAnsi" w:hAnsi="Garamond"/>
          <w:i/>
          <w:color w:val="000000"/>
          <w:sz w:val="24"/>
          <w:szCs w:val="24"/>
          <w:lang w:val="sq-AL"/>
          <w14:ligatures w14:val="standardContextual"/>
        </w:rPr>
        <w:t>backlog</w:t>
      </w:r>
      <w:r w:rsidRPr="008419ED">
        <w:rPr>
          <w:rFonts w:ascii="Garamond" w:eastAsiaTheme="minorHAnsi" w:hAnsi="Garamond"/>
          <w:color w:val="000000"/>
          <w:sz w:val="24"/>
          <w:szCs w:val="24"/>
          <w:lang w:val="sq-AL"/>
          <w14:ligatures w14:val="standardContextual"/>
        </w:rPr>
        <w:t>-ut të saj.</w:t>
      </w:r>
    </w:p>
    <w:p w14:paraId="34D55275" w14:textId="77777777"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w:t>
      </w:r>
    </w:p>
    <w:p w14:paraId="1BB7802C" w14:textId="71D265B2"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Në lidhje me emërimet në gjyqësor, është inkurajues fakti se Gjykata Kushtetuese dhe GJL</w:t>
      </w:r>
      <w:r w:rsidR="009806BA">
        <w:rPr>
          <w:rFonts w:ascii="Garamond" w:eastAsiaTheme="minorHAnsi" w:hAnsi="Garamond"/>
          <w:color w:val="000000"/>
          <w:sz w:val="24"/>
          <w:szCs w:val="24"/>
          <w:lang w:val="sq-AL"/>
          <w14:ligatures w14:val="standardContextual"/>
        </w:rPr>
        <w:t>-ja</w:t>
      </w:r>
      <w:r w:rsidRPr="008419ED">
        <w:rPr>
          <w:rFonts w:ascii="Garamond" w:eastAsiaTheme="minorHAnsi" w:hAnsi="Garamond"/>
          <w:color w:val="000000"/>
          <w:sz w:val="24"/>
          <w:szCs w:val="24"/>
          <w:lang w:val="sq-AL"/>
          <w14:ligatures w14:val="standardContextual"/>
        </w:rPr>
        <w:t xml:space="preserve"> aktualisht funksionojnë me përbërje të plotë, se autoritetet po përparojnë me emërimet dhe kanë plane të kenë trupa të plota gjyqtarësh për disa nga gjykata më të ngarkuara. Megjithatë, plotësimi i vetëm 60% i pozicioneve të gjyqtarëve në gjykata dhe mbetja vakante e shumë pozicioneve për punonjësit e administratës gjyqësore janë fakte shqetësues, aq më tepër që projeksionet e KLGJ-së tregojnë se nivelet me staf të plotë nuk do të arrihen përpara vitit 2028 ose më vonë. </w:t>
      </w:r>
    </w:p>
    <w:p w14:paraId="0EB3130E" w14:textId="2F944418"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Për këtë arsye duhet të ftohen autoritetet që të angazhojnë të gjitha mjetet e nevojshme për përshpejtimin e emërimeve në gjyqësor, duke përfshirë përdorimin e fondeve buxhetore shtesë. Gjithashtu rezulton me rëndësi që të sqarohet nëse është paraparë që të merren masa për garantimin e pranimeve të mjaftueshme në Shkollën Kombëtare të Magjistraturës, ose masa tranzitore (p</w:t>
      </w:r>
      <w:r w:rsidR="009806BA">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sh.: mbështetje e rritur nga punonjësit e administratës gjyqësore), si edhe për shpërndarjen e duhur të emërimeve në gjyqësor, të ngarkesës së punës dhe mbështetjen nga stafi i administratës gjyqësore për gjykatat më të ngarkuara. </w:t>
      </w:r>
    </w:p>
    <w:p w14:paraId="0E9F2AA9" w14:textId="6AA5BBA9"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Edhe pse shumë sfida janë ende të pranishme, janë zbatuar masa të rëndësishme dhe shpesh komplekse (p</w:t>
      </w:r>
      <w:r w:rsidR="009806BA">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sh.: reforma e hartës gjyqësore dhe emërimi i këshilltarëve ligjorë), disa prej të cilave vijojnë ende (një strategji për reduktimin e </w:t>
      </w:r>
      <w:r w:rsidRPr="009806BA">
        <w:rPr>
          <w:rFonts w:ascii="Garamond" w:eastAsiaTheme="minorHAnsi" w:hAnsi="Garamond"/>
          <w:i/>
          <w:color w:val="000000"/>
          <w:sz w:val="24"/>
          <w:szCs w:val="24"/>
          <w:lang w:val="sq-AL"/>
          <w14:ligatures w14:val="standardContextual"/>
        </w:rPr>
        <w:t>backlog</w:t>
      </w:r>
      <w:r w:rsidRPr="008419ED">
        <w:rPr>
          <w:rFonts w:ascii="Garamond" w:eastAsiaTheme="minorHAnsi" w:hAnsi="Garamond"/>
          <w:color w:val="000000"/>
          <w:sz w:val="24"/>
          <w:szCs w:val="24"/>
          <w:lang w:val="sq-AL"/>
          <w14:ligatures w14:val="standardContextual"/>
        </w:rPr>
        <w:t>-ut, puna për sistemet e menaxhimit të çështjeve, puna për përmirësimin e praktikave etj.), që mund të përmirësojnë efikasitetin e gjykatave teksa është ende pezull plotësimi i tyre i plotë me gjyqtarë. Për të mundësuar një vlerësim të detajuar, autoritetet mund të inkurajohen të ofrojnë informacione të detajuara për këto zhvillime dhe ndikimin e tyre. Gjithashtu, ato mund të inkurajohen të ofrojnë një analizë të detajuar për zbatimin dhe ndikimin e ndryshimeve legjislative të miratuara më herët me synimin për të reduktuar dërgimin e çështjeve në rastin e çështjeve civile dhe penale.”</w:t>
      </w:r>
    </w:p>
    <w:p w14:paraId="702CE10F" w14:textId="0FD2E44C"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83. Së fundmi, për sa i përket ankesave (gjithashtu referuar si “kërkesa për të gjetur një shkelje”) për kohëzgjatjen e procedurave, Sekretariati theksoi: </w:t>
      </w:r>
    </w:p>
    <w:p w14:paraId="4746A5B5" w14:textId="731D2513"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“Numri i përgjithshëm i kërkesave të dorëzuara, dhe më e rëndësishme, e kërkesave të gjykuara duket të jetë mjaft i vogël për në periudhë dyvjeçare, duke mbajtur në konsideratë kohëzgjatjen mesatare shumë të lartë të kohëzgjatjes së procedurave pranë GJL</w:t>
      </w:r>
      <w:r w:rsidR="009806BA">
        <w:rPr>
          <w:rFonts w:ascii="Garamond" w:eastAsiaTheme="minorHAnsi" w:hAnsi="Garamond"/>
          <w:color w:val="000000"/>
          <w:sz w:val="24"/>
          <w:szCs w:val="24"/>
          <w:lang w:val="sq-AL"/>
          <w14:ligatures w14:val="standardContextual"/>
        </w:rPr>
        <w:t>-së</w:t>
      </w:r>
      <w:r w:rsidRPr="008419ED">
        <w:rPr>
          <w:rFonts w:ascii="Garamond" w:eastAsiaTheme="minorHAnsi" w:hAnsi="Garamond"/>
          <w:color w:val="000000"/>
          <w:sz w:val="24"/>
          <w:szCs w:val="24"/>
          <w:lang w:val="sq-AL"/>
          <w14:ligatures w14:val="standardContextual"/>
        </w:rPr>
        <w:t xml:space="preserve"> dhe gjykatave të tjera. Informacioni për shkaqet për rrëzimin e kërkesave është po ashtu jo i plotë në disa aspekte dhe është e paqartë nëse disa kërkesa mbetën pa një përgjigje.”</w:t>
      </w:r>
    </w:p>
    <w:p w14:paraId="224EEABA" w14:textId="4453D7EF"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84. Pasi shqyrtoi informacionin e mësipërm, Komiteti i Ministrave, në pjesën operative të Vendimit të tyre (shoh paragrafin 77 më sipër): </w:t>
      </w:r>
    </w:p>
    <w:p w14:paraId="4A9199C9" w14:textId="77777777"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“4. mirëpriti informacionin që tregonte se procedurat pranë Gjykatës Kushtetuese rezultojnë të jenë përmbyllur brenda një afati të arsyeshëm dhe se </w:t>
      </w:r>
      <w:r w:rsidRPr="006D2517">
        <w:rPr>
          <w:rFonts w:ascii="Garamond" w:eastAsiaTheme="minorHAnsi" w:hAnsi="Garamond"/>
          <w:i/>
          <w:color w:val="000000"/>
          <w:sz w:val="24"/>
          <w:szCs w:val="24"/>
          <w:lang w:val="sq-AL"/>
          <w14:ligatures w14:val="standardContextual"/>
        </w:rPr>
        <w:t>backlog</w:t>
      </w:r>
      <w:r w:rsidRPr="008419ED">
        <w:rPr>
          <w:rFonts w:ascii="Garamond" w:eastAsiaTheme="minorHAnsi" w:hAnsi="Garamond"/>
          <w:color w:val="000000"/>
          <w:sz w:val="24"/>
          <w:szCs w:val="24"/>
          <w:lang w:val="sq-AL"/>
          <w14:ligatures w14:val="standardContextual"/>
        </w:rPr>
        <w:t xml:space="preserve">-u i madh i çështjeve të prapambetura pranë Gjykatës së Lartë filloi të binte; theksoi sidoqoftë me shqetësim </w:t>
      </w:r>
      <w:r w:rsidRPr="006D2517">
        <w:rPr>
          <w:rFonts w:ascii="Garamond" w:eastAsiaTheme="minorHAnsi" w:hAnsi="Garamond"/>
          <w:i/>
          <w:color w:val="000000"/>
          <w:sz w:val="24"/>
          <w:szCs w:val="24"/>
          <w:lang w:val="sq-AL"/>
          <w14:ligatures w14:val="standardContextual"/>
        </w:rPr>
        <w:t>backlog</w:t>
      </w:r>
      <w:r w:rsidRPr="008419ED">
        <w:rPr>
          <w:rFonts w:ascii="Garamond" w:eastAsiaTheme="minorHAnsi" w:hAnsi="Garamond"/>
          <w:color w:val="000000"/>
          <w:sz w:val="24"/>
          <w:szCs w:val="24"/>
          <w:lang w:val="sq-AL"/>
          <w14:ligatures w14:val="standardContextual"/>
        </w:rPr>
        <w:t xml:space="preserve">-un në rritje dhe kohëzgjatjen mesatare të lartë të procedurave për shumicën e gjykatave të shkallës së dytë dhe sfidat që ndikojnë ende në punën e disa prej gjykatave të shkallës së parë në lidhje me raportin e lartë të vakancave për gjyqtarët dhe pjesën tjetër të stafit; </w:t>
      </w:r>
    </w:p>
    <w:p w14:paraId="0C2ABF3C" w14:textId="799DD570"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5.</w:t>
      </w:r>
      <w:r w:rsidR="006D2517">
        <w:rPr>
          <w:rFonts w:ascii="Garamond" w:eastAsiaTheme="minorHAnsi" w:hAnsi="Garamond"/>
          <w:color w:val="000000"/>
          <w:sz w:val="24"/>
          <w:szCs w:val="24"/>
          <w:lang w:val="sq-AL"/>
          <w14:ligatures w14:val="standardContextual"/>
        </w:rPr>
        <w:t xml:space="preserve"> </w:t>
      </w:r>
      <w:r w:rsidRPr="008419ED">
        <w:rPr>
          <w:rFonts w:ascii="Garamond" w:eastAsiaTheme="minorHAnsi" w:hAnsi="Garamond"/>
          <w:color w:val="000000"/>
          <w:sz w:val="24"/>
          <w:szCs w:val="24"/>
          <w:lang w:val="sq-AL"/>
          <w14:ligatures w14:val="standardContextual"/>
        </w:rPr>
        <w:t xml:space="preserve">mirëpriti, në këtë kontekst, </w:t>
      </w:r>
      <w:r w:rsidRPr="006D2517">
        <w:rPr>
          <w:rFonts w:ascii="Garamond" w:eastAsiaTheme="minorHAnsi" w:hAnsi="Garamond"/>
          <w:i/>
          <w:color w:val="000000"/>
          <w:sz w:val="24"/>
          <w:szCs w:val="24"/>
          <w:lang w:val="sq-AL"/>
          <w14:ligatures w14:val="standardContextual"/>
        </w:rPr>
        <w:t>vetting-</w:t>
      </w:r>
      <w:r w:rsidRPr="008419ED">
        <w:rPr>
          <w:rFonts w:ascii="Garamond" w:eastAsiaTheme="minorHAnsi" w:hAnsi="Garamond"/>
          <w:color w:val="000000"/>
          <w:sz w:val="24"/>
          <w:szCs w:val="24"/>
          <w:lang w:val="sq-AL"/>
          <w14:ligatures w14:val="standardContextual"/>
        </w:rPr>
        <w:t xml:space="preserve">un në shkallën e parë që ishte pothuajse i përfunduar; i bëri thirrje autoriteteve që të siguronin përfundimin e procedurave në apel për çështjet e </w:t>
      </w:r>
      <w:r w:rsidRPr="006D2517">
        <w:rPr>
          <w:rFonts w:ascii="Garamond" w:eastAsiaTheme="minorHAnsi" w:hAnsi="Garamond"/>
          <w:i/>
          <w:color w:val="000000"/>
          <w:sz w:val="24"/>
          <w:szCs w:val="24"/>
          <w:lang w:val="sq-AL"/>
          <w14:ligatures w14:val="standardContextual"/>
        </w:rPr>
        <w:t>vetting</w:t>
      </w:r>
      <w:r w:rsidRPr="008419ED">
        <w:rPr>
          <w:rFonts w:ascii="Garamond" w:eastAsiaTheme="minorHAnsi" w:hAnsi="Garamond"/>
          <w:color w:val="000000"/>
          <w:sz w:val="24"/>
          <w:szCs w:val="24"/>
          <w:lang w:val="sq-AL"/>
          <w14:ligatures w14:val="standardContextual"/>
        </w:rPr>
        <w:t xml:space="preserve">-ut pranë afatit kushtetues në </w:t>
      </w:r>
      <w:r w:rsidR="006D2517">
        <w:rPr>
          <w:rFonts w:ascii="Garamond" w:eastAsiaTheme="minorHAnsi" w:hAnsi="Garamond"/>
          <w:color w:val="000000"/>
          <w:sz w:val="24"/>
          <w:szCs w:val="24"/>
          <w:lang w:val="sq-AL"/>
          <w14:ligatures w14:val="standardContextual"/>
        </w:rPr>
        <w:t>q</w:t>
      </w:r>
      <w:r w:rsidRPr="008419ED">
        <w:rPr>
          <w:rFonts w:ascii="Garamond" w:eastAsiaTheme="minorHAnsi" w:hAnsi="Garamond"/>
          <w:color w:val="000000"/>
          <w:sz w:val="24"/>
          <w:szCs w:val="24"/>
          <w:lang w:val="sq-AL"/>
          <w14:ligatures w14:val="standardContextual"/>
        </w:rPr>
        <w:t xml:space="preserve">ershor 2026; </w:t>
      </w:r>
    </w:p>
    <w:p w14:paraId="48F1062B" w14:textId="77777777"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6. në vijim mirëpriti faktin se Gjykata Kushtetuese dhe Gjykata e Lartë funksionojnë në përbërje të plotë dhe vërejti me interes progresin e bërë në mbushjen e vakancave në gjyqësor; ftoi autoritetet që të angazhonin të gjitha mjetet për të përshpejtuar emërimet në gjyqësor, duke përfshirë fondet shtesë buxhetore dhe për të sqaruar nëse janë të nevojshëm hapa shtesë për të garantuar pranimet e mjaftueshme në Shkollën Kombëtare të Magjistraturës, ose çdo masë tranzitore; i ftoi që të siguronin shpërndarjen e duhur të emërimeve në gjyqësor, ngarkesën e punës dhe mbështetjen nga stafi i administratës gjyqësore për gjykatat më të ngarkuara; </w:t>
      </w:r>
    </w:p>
    <w:p w14:paraId="0058A540" w14:textId="77777777"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7. theksoi me interes masat e rëndësishme dhe komplekse të zbatuara (të tilla si reforma e hartës gjyqësore) ose që ishin ende në vijim (të tilla si strategjia për reduktimin e </w:t>
      </w:r>
      <w:r w:rsidRPr="006D2517">
        <w:rPr>
          <w:rFonts w:ascii="Garamond" w:eastAsiaTheme="minorHAnsi" w:hAnsi="Garamond"/>
          <w:i/>
          <w:color w:val="000000"/>
          <w:sz w:val="24"/>
          <w:szCs w:val="24"/>
          <w:lang w:val="sq-AL"/>
          <w14:ligatures w14:val="standardContextual"/>
        </w:rPr>
        <w:t>backlog</w:t>
      </w:r>
      <w:r w:rsidRPr="008419ED">
        <w:rPr>
          <w:rFonts w:ascii="Garamond" w:eastAsiaTheme="minorHAnsi" w:hAnsi="Garamond"/>
          <w:color w:val="000000"/>
          <w:sz w:val="24"/>
          <w:szCs w:val="24"/>
          <w:lang w:val="sq-AL"/>
          <w14:ligatures w14:val="standardContextual"/>
        </w:rPr>
        <w:t xml:space="preserve">-ut dhe punën për sistemet e menaxhimit të çështjeve), që mund të përmirësojnë efikasitetin e gjykatave që janë ende në pritje të plotësohen me gjyqtarë; </w:t>
      </w:r>
    </w:p>
    <w:p w14:paraId="10834475" w14:textId="77777777"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w:t>
      </w:r>
    </w:p>
    <w:p w14:paraId="10BDE4A2" w14:textId="2BF0B714"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9. ftoi autoritetet që të ofronin informacion për të gjitha aspektet e mësipërme deri më 31 </w:t>
      </w:r>
      <w:r w:rsidR="00DF5E98">
        <w:rPr>
          <w:rFonts w:ascii="Garamond" w:eastAsiaTheme="minorHAnsi" w:hAnsi="Garamond"/>
          <w:color w:val="000000"/>
          <w:sz w:val="24"/>
          <w:szCs w:val="24"/>
          <w:lang w:val="sq-AL"/>
          <w14:ligatures w14:val="standardContextual"/>
        </w:rPr>
        <w:t>g</w:t>
      </w:r>
      <w:r w:rsidRPr="008419ED">
        <w:rPr>
          <w:rFonts w:ascii="Garamond" w:eastAsiaTheme="minorHAnsi" w:hAnsi="Garamond"/>
          <w:color w:val="000000"/>
          <w:sz w:val="24"/>
          <w:szCs w:val="24"/>
          <w:lang w:val="sq-AL"/>
          <w14:ligatures w14:val="standardContextual"/>
        </w:rPr>
        <w:t>usht 2025, duke përfshirë informacionet e duhura statistikore dhe informacionet e detajuara për funksionimin e mjeteve vendase, teksa shqyrtonin pyetjet dhe aspektet e identifikuara në analizën e Sekretariatit.”</w:t>
      </w:r>
    </w:p>
    <w:p w14:paraId="6566D153" w14:textId="74AAB98C"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8419ED">
        <w:rPr>
          <w:rFonts w:ascii="Garamond" w:eastAsiaTheme="minorHAnsi" w:hAnsi="Garamond"/>
          <w:b/>
          <w:bCs/>
          <w:color w:val="000000"/>
          <w:sz w:val="24"/>
          <w:szCs w:val="24"/>
          <w:lang w:val="sq-AL"/>
          <w14:ligatures w14:val="standardContextual"/>
        </w:rPr>
        <w:t>B. Raporti i Komisionit E</w:t>
      </w:r>
      <w:r w:rsidR="00DF5E98">
        <w:rPr>
          <w:rFonts w:ascii="Garamond" w:eastAsiaTheme="minorHAnsi" w:hAnsi="Garamond"/>
          <w:b/>
          <w:bCs/>
          <w:color w:val="000000"/>
          <w:sz w:val="24"/>
          <w:szCs w:val="24"/>
          <w:lang w:val="sq-AL"/>
          <w14:ligatures w14:val="standardContextual"/>
        </w:rPr>
        <w:t>v</w:t>
      </w:r>
      <w:r w:rsidRPr="008419ED">
        <w:rPr>
          <w:rFonts w:ascii="Garamond" w:eastAsiaTheme="minorHAnsi" w:hAnsi="Garamond"/>
          <w:b/>
          <w:bCs/>
          <w:color w:val="000000"/>
          <w:sz w:val="24"/>
          <w:szCs w:val="24"/>
          <w:lang w:val="sq-AL"/>
          <w14:ligatures w14:val="standardContextual"/>
        </w:rPr>
        <w:t>ropian për Shqipërinë</w:t>
      </w:r>
    </w:p>
    <w:p w14:paraId="2E58853C" w14:textId="0A7C7D7A"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85. Dokumenti i Punës i Stafit të Komisionit i datës 30 </w:t>
      </w:r>
      <w:r w:rsidR="00DF5E98">
        <w:rPr>
          <w:rFonts w:ascii="Garamond" w:eastAsiaTheme="minorHAnsi" w:hAnsi="Garamond"/>
          <w:color w:val="000000"/>
          <w:sz w:val="24"/>
          <w:szCs w:val="24"/>
          <w:lang w:val="sq-AL"/>
          <w14:ligatures w14:val="standardContextual"/>
        </w:rPr>
        <w:t>t</w:t>
      </w:r>
      <w:r w:rsidRPr="008419ED">
        <w:rPr>
          <w:rFonts w:ascii="Garamond" w:eastAsiaTheme="minorHAnsi" w:hAnsi="Garamond"/>
          <w:color w:val="000000"/>
          <w:sz w:val="24"/>
          <w:szCs w:val="24"/>
          <w:lang w:val="sq-AL"/>
          <w14:ligatures w14:val="standardContextual"/>
        </w:rPr>
        <w:t xml:space="preserve">etor 2024, me titullin “Raporti 2024 për Shqipërinë” (SWD(2024) 690 përfundimtar), për sa ka të bëjë e çështjen, përmban: </w:t>
      </w:r>
    </w:p>
    <w:p w14:paraId="2431FA9E" w14:textId="7535EA2D"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“Efikasiteti i sistemit të drejtësisë duhet të përmirësohet. Efikasiteti vijonte të ndikohej negativisht nga sfidat duke përfshirë kohëzgjatjen e shtuar të procedurave dhe një </w:t>
      </w:r>
      <w:r w:rsidRPr="00DF5E98">
        <w:rPr>
          <w:rFonts w:ascii="Garamond" w:eastAsiaTheme="minorHAnsi" w:hAnsi="Garamond"/>
          <w:i/>
          <w:color w:val="000000"/>
          <w:sz w:val="24"/>
          <w:szCs w:val="24"/>
          <w:lang w:val="sq-AL"/>
          <w14:ligatures w14:val="standardContextual"/>
        </w:rPr>
        <w:t>backlog</w:t>
      </w:r>
      <w:r w:rsidRPr="008419ED">
        <w:rPr>
          <w:rFonts w:ascii="Garamond" w:eastAsiaTheme="minorHAnsi" w:hAnsi="Garamond"/>
          <w:color w:val="000000"/>
          <w:sz w:val="24"/>
          <w:szCs w:val="24"/>
          <w:lang w:val="sq-AL"/>
          <w14:ligatures w14:val="standardContextual"/>
        </w:rPr>
        <w:t xml:space="preserve"> të lartë të çështjeve, qartazi në Gjykatën e Apelit dhe në Gjykatën Administrative të Apelit. Pranimi i përvitshëm i magjistratëve në Shkollën e Magjistraturës është ende i pamjaftueshëm. Kodet e procedurës pengohen nga formalitetet dhe nuk ofrojnë mjetet e duhura për të adresuar </w:t>
      </w:r>
      <w:r w:rsidRPr="00DF5E98">
        <w:rPr>
          <w:rFonts w:ascii="Garamond" w:eastAsiaTheme="minorHAnsi" w:hAnsi="Garamond"/>
          <w:i/>
          <w:color w:val="000000"/>
          <w:sz w:val="24"/>
          <w:szCs w:val="24"/>
          <w:lang w:val="sq-AL"/>
          <w14:ligatures w14:val="standardContextual"/>
        </w:rPr>
        <w:t>backlog</w:t>
      </w:r>
      <w:r w:rsidRPr="008419ED">
        <w:rPr>
          <w:rFonts w:ascii="Garamond" w:eastAsiaTheme="minorHAnsi" w:hAnsi="Garamond"/>
          <w:color w:val="000000"/>
          <w:sz w:val="24"/>
          <w:szCs w:val="24"/>
          <w:lang w:val="sq-AL"/>
          <w14:ligatures w14:val="standardContextual"/>
        </w:rPr>
        <w:t>-un e lartë. Po kalohen vonesa serioze me afatet juridike për publikimin e vendimeve të arsyetuara nga gjykatat. Në periudhën raportuese, KLGJ-ja ngriti një grup pune për efikasitetin, i cili ka përgatitur një projektdokument strategjik dhe propozime legjislative. Këto propozime synojnë të përmirësojnë efikasitetin dhe po shqyrtohen edhe nga Parlamenti. Megjithatë, mbetet ende për t’u siguruar konsistenca e këtyre iniciativave juridike me parimet e përgjithshme të reformës në drejtësi dhe standardet e</w:t>
      </w:r>
      <w:r w:rsidR="00DF5E98">
        <w:rPr>
          <w:rFonts w:ascii="Garamond" w:eastAsiaTheme="minorHAnsi" w:hAnsi="Garamond"/>
          <w:color w:val="000000"/>
          <w:sz w:val="24"/>
          <w:szCs w:val="24"/>
          <w:lang w:val="sq-AL"/>
          <w14:ligatures w14:val="standardContextual"/>
        </w:rPr>
        <w:t>v</w:t>
      </w:r>
      <w:r w:rsidRPr="008419ED">
        <w:rPr>
          <w:rFonts w:ascii="Garamond" w:eastAsiaTheme="minorHAnsi" w:hAnsi="Garamond"/>
          <w:color w:val="000000"/>
          <w:sz w:val="24"/>
          <w:szCs w:val="24"/>
          <w:lang w:val="sq-AL"/>
          <w14:ligatures w14:val="standardContextual"/>
        </w:rPr>
        <w:t>ropiane.”</w:t>
      </w:r>
    </w:p>
    <w:p w14:paraId="39F50DAE" w14:textId="77777777"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LIGJI</w:t>
      </w:r>
    </w:p>
    <w:p w14:paraId="5AA6BD54" w14:textId="006F1660"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I. BASHKIMI I KËRKESAVE</w:t>
      </w:r>
    </w:p>
    <w:p w14:paraId="072B9E8A" w14:textId="3ECB0570"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86. Duke pasur në konsideratë lëndën e ngjashme të kërkesave, Gjykata e  gjykon me vend që t’i shqyrtojë ato së bashku në një vendim të vetëm. </w:t>
      </w:r>
    </w:p>
    <w:p w14:paraId="2230761B" w14:textId="295DA280"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II. PRETENDIMI PËR SHKELJEN E NENIT 6</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1 TË KONVENTËS</w:t>
      </w:r>
    </w:p>
    <w:p w14:paraId="15898D01" w14:textId="082FDCF3"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87. Kërkuesit u ankuan në mbështetje të </w:t>
      </w:r>
      <w:r w:rsidR="00DF5E98">
        <w:rPr>
          <w:rFonts w:ascii="Garamond" w:eastAsiaTheme="minorHAnsi" w:hAnsi="Garamond"/>
          <w:color w:val="000000"/>
          <w:sz w:val="24"/>
          <w:szCs w:val="24"/>
          <w:lang w:val="sq-AL"/>
          <w14:ligatures w14:val="standardContextual"/>
        </w:rPr>
        <w:t>n</w:t>
      </w:r>
      <w:r w:rsidRPr="008419ED">
        <w:rPr>
          <w:rFonts w:ascii="Garamond" w:eastAsiaTheme="minorHAnsi" w:hAnsi="Garamond"/>
          <w:color w:val="000000"/>
          <w:sz w:val="24"/>
          <w:szCs w:val="24"/>
          <w:lang w:val="sq-AL"/>
          <w14:ligatures w14:val="standardContextual"/>
        </w:rPr>
        <w:t>enit 6</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1 të Konventës për kohëzgjatjen e procedurave. Pjesa përkatëse e atij </w:t>
      </w:r>
      <w:r w:rsidR="00DF5E98">
        <w:rPr>
          <w:rFonts w:ascii="Garamond" w:eastAsiaTheme="minorHAnsi" w:hAnsi="Garamond"/>
          <w:color w:val="000000"/>
          <w:sz w:val="24"/>
          <w:szCs w:val="24"/>
          <w:lang w:val="sq-AL"/>
          <w14:ligatures w14:val="standardContextual"/>
        </w:rPr>
        <w:t>n</w:t>
      </w:r>
      <w:r w:rsidRPr="008419ED">
        <w:rPr>
          <w:rFonts w:ascii="Garamond" w:eastAsiaTheme="minorHAnsi" w:hAnsi="Garamond"/>
          <w:color w:val="000000"/>
          <w:sz w:val="24"/>
          <w:szCs w:val="24"/>
          <w:lang w:val="sq-AL"/>
          <w14:ligatures w14:val="standardContextual"/>
        </w:rPr>
        <w:t xml:space="preserve">eni parashikon: </w:t>
      </w:r>
    </w:p>
    <w:p w14:paraId="02FAF331" w14:textId="77777777"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“Çdo person ka të drejtë që çështja e tij të dëgjohet drejtësisht, publikisht dhe brenda një afati të arsyeshëm nga një gjykatë e pavarur dhe e paanshme...”</w:t>
      </w:r>
    </w:p>
    <w:p w14:paraId="53F884E6" w14:textId="43BC07A8"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8419ED">
        <w:rPr>
          <w:rFonts w:ascii="Garamond" w:eastAsiaTheme="minorHAnsi" w:hAnsi="Garamond"/>
          <w:b/>
          <w:bCs/>
          <w:color w:val="000000"/>
          <w:sz w:val="24"/>
          <w:szCs w:val="24"/>
          <w:lang w:val="sq-AL"/>
          <w14:ligatures w14:val="standardContextual"/>
        </w:rPr>
        <w:t xml:space="preserve">A. Pranueshmëria </w:t>
      </w:r>
    </w:p>
    <w:p w14:paraId="657B7EA3" w14:textId="53F43D99"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8419ED">
        <w:rPr>
          <w:rFonts w:ascii="Garamond" w:eastAsiaTheme="minorHAnsi" w:hAnsi="Garamond"/>
          <w:i/>
          <w:iCs/>
          <w:color w:val="000000"/>
          <w:sz w:val="24"/>
          <w:szCs w:val="24"/>
          <w:lang w:val="sq-AL"/>
          <w14:ligatures w14:val="standardContextual"/>
        </w:rPr>
        <w:t>1. Parashtrimet e palëve</w:t>
      </w:r>
    </w:p>
    <w:p w14:paraId="5E6FD6C1" w14:textId="0CC82F8B"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8419ED">
        <w:rPr>
          <w:rFonts w:ascii="Garamond" w:eastAsiaTheme="minorHAnsi" w:hAnsi="Garamond"/>
          <w:b/>
          <w:bCs/>
          <w:color w:val="000000"/>
          <w:sz w:val="24"/>
          <w:szCs w:val="24"/>
          <w:lang w:val="sq-AL"/>
          <w14:ligatures w14:val="standardContextual"/>
        </w:rPr>
        <w:t>a) Kërkesa e parë dhe e dytë (nr. 39860/19 dhe 38996/20)</w:t>
      </w:r>
    </w:p>
    <w:p w14:paraId="0CF03EBF" w14:textId="2FB684DD"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88. Qeveria debatoi mbi faktin se kompania kërkuese i kishte paraqitur kërkesat në Gjykatë përpara se gjykatat vendase të kishin marrë një vendim për kohëzgjatjen e procedurave. </w:t>
      </w:r>
    </w:p>
    <w:p w14:paraId="77A3EC0B" w14:textId="2626AA93"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89. Kompania kërkuese e kundërshtoi këtë </w:t>
      </w:r>
      <w:r w:rsidR="00DF5E98" w:rsidRPr="008419ED">
        <w:rPr>
          <w:rFonts w:ascii="Garamond" w:eastAsiaTheme="minorHAnsi" w:hAnsi="Garamond"/>
          <w:color w:val="000000"/>
          <w:sz w:val="24"/>
          <w:szCs w:val="24"/>
          <w:lang w:val="sq-AL"/>
          <w14:ligatures w14:val="standardContextual"/>
        </w:rPr>
        <w:t>aspekt</w:t>
      </w:r>
      <w:r w:rsidRPr="008419ED">
        <w:rPr>
          <w:rFonts w:ascii="Garamond" w:eastAsiaTheme="minorHAnsi" w:hAnsi="Garamond"/>
          <w:color w:val="000000"/>
          <w:sz w:val="24"/>
          <w:szCs w:val="24"/>
          <w:lang w:val="sq-AL"/>
          <w14:ligatures w14:val="standardContextual"/>
        </w:rPr>
        <w:t xml:space="preserve">. </w:t>
      </w:r>
    </w:p>
    <w:p w14:paraId="20E1DF8E" w14:textId="76D48F48"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8419ED">
        <w:rPr>
          <w:rFonts w:ascii="Garamond" w:eastAsiaTheme="minorHAnsi" w:hAnsi="Garamond"/>
          <w:b/>
          <w:bCs/>
          <w:color w:val="000000"/>
          <w:sz w:val="24"/>
          <w:szCs w:val="24"/>
          <w:lang w:val="sq-AL"/>
          <w14:ligatures w14:val="standardContextual"/>
        </w:rPr>
        <w:t>b) Kërkesa e tretë (nr. 6142/22)</w:t>
      </w:r>
    </w:p>
    <w:p w14:paraId="78DD785D" w14:textId="6086849C"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90. Qeveria parashtroi se kërkuesi nuk kishte bërë apelim kushtetues ndaj vendimit të Gjykatës së Lartë (shih paragrafin 40 më sipër) dhe për këtë arsye nuk kishte shfrytëzuar mjetet vendase. </w:t>
      </w:r>
    </w:p>
    <w:p w14:paraId="635F8E0E" w14:textId="718914A0"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91. Kërkuesi nuk u përgjigj. </w:t>
      </w:r>
    </w:p>
    <w:p w14:paraId="2E469CAA" w14:textId="5389A84E"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8419ED">
        <w:rPr>
          <w:rFonts w:ascii="Garamond" w:eastAsiaTheme="minorHAnsi" w:hAnsi="Garamond"/>
          <w:b/>
          <w:bCs/>
          <w:color w:val="000000"/>
          <w:sz w:val="24"/>
          <w:szCs w:val="24"/>
          <w:lang w:val="sq-AL"/>
          <w14:ligatures w14:val="standardContextual"/>
        </w:rPr>
        <w:t>c) Kërkesa e katërt (nr. 27370/22)</w:t>
      </w:r>
    </w:p>
    <w:p w14:paraId="000D4424" w14:textId="5C02E8A6"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92. Qeveria parashtroi se kërkuesi nuk kishte statusin e viktimës sipas </w:t>
      </w:r>
      <w:r w:rsidR="008E491E" w:rsidRPr="008419ED">
        <w:rPr>
          <w:rFonts w:ascii="Garamond" w:eastAsiaTheme="minorHAnsi" w:hAnsi="Garamond"/>
          <w:color w:val="000000"/>
          <w:sz w:val="24"/>
          <w:szCs w:val="24"/>
          <w:lang w:val="sq-AL"/>
          <w14:ligatures w14:val="standardContextual"/>
        </w:rPr>
        <w:t xml:space="preserve">nenit </w:t>
      </w:r>
      <w:r w:rsidRPr="008419ED">
        <w:rPr>
          <w:rFonts w:ascii="Garamond" w:eastAsiaTheme="minorHAnsi" w:hAnsi="Garamond"/>
          <w:color w:val="000000"/>
          <w:sz w:val="24"/>
          <w:szCs w:val="24"/>
          <w:lang w:val="sq-AL"/>
          <w14:ligatures w14:val="standardContextual"/>
        </w:rPr>
        <w:t xml:space="preserve">34 të Konventës, pasi gjykatat vendase e kishin pranuar shkeljen, i kishin përshpejtuar procedurat dhe i kishin akorduar dëmshpërblimin. Në të njëjtën kohë, Qeveria argumentonte se ankesa ishte e parakohshme pasi procedurat vendase për kompensimin e kërkuesit ishin ende në vijim (shih paragrafin 64 më sipër). </w:t>
      </w:r>
    </w:p>
    <w:p w14:paraId="17FBD1A7" w14:textId="6C5C56DA"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93. Kërkuesi i kundërshtoi ato argumente. Ai nënvizoi se procedurat kryesore, që kishin filluar në vitin 2016, nuk ishin përshpejtuar, pasi ato ishin ende pezull pranë Gjykatës Administrative të Apelit Tiranë dhe kohëzgjatja e tyre e përgjithshme po hynte në vitin e nëntë (shih paragrafët 45 dhe 51 më sipër). </w:t>
      </w:r>
    </w:p>
    <w:p w14:paraId="32A6AC77" w14:textId="248B6362"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94. Për sa i përket procedurave të kompensimit, ai nënvizoi se më 22 </w:t>
      </w:r>
      <w:r w:rsidR="00DF5E98" w:rsidRPr="008419ED">
        <w:rPr>
          <w:rFonts w:ascii="Garamond" w:eastAsiaTheme="minorHAnsi" w:hAnsi="Garamond"/>
          <w:color w:val="000000"/>
          <w:sz w:val="24"/>
          <w:szCs w:val="24"/>
          <w:lang w:val="sq-AL"/>
          <w14:ligatures w14:val="standardContextual"/>
        </w:rPr>
        <w:t xml:space="preserve">prill </w:t>
      </w:r>
      <w:r w:rsidRPr="008419ED">
        <w:rPr>
          <w:rFonts w:ascii="Garamond" w:eastAsiaTheme="minorHAnsi" w:hAnsi="Garamond"/>
          <w:color w:val="000000"/>
          <w:sz w:val="24"/>
          <w:szCs w:val="24"/>
          <w:lang w:val="sq-AL"/>
          <w14:ligatures w14:val="standardContextual"/>
        </w:rPr>
        <w:t xml:space="preserve">2022, ai kishte bërë një padi për t’u dëmshpërblyer për vonesat që kishte kaluar dhe se sipas </w:t>
      </w:r>
      <w:r w:rsidR="00DF5E98" w:rsidRPr="008419ED">
        <w:rPr>
          <w:rFonts w:ascii="Garamond" w:eastAsiaTheme="minorHAnsi" w:hAnsi="Garamond"/>
          <w:color w:val="000000"/>
          <w:sz w:val="24"/>
          <w:szCs w:val="24"/>
          <w:lang w:val="sq-AL"/>
          <w14:ligatures w14:val="standardContextual"/>
        </w:rPr>
        <w:t xml:space="preserve">nenit </w:t>
      </w:r>
      <w:r w:rsidRPr="008419ED">
        <w:rPr>
          <w:rFonts w:ascii="Garamond" w:eastAsiaTheme="minorHAnsi" w:hAnsi="Garamond"/>
          <w:color w:val="000000"/>
          <w:sz w:val="24"/>
          <w:szCs w:val="24"/>
          <w:lang w:val="sq-AL"/>
          <w14:ligatures w14:val="standardContextual"/>
        </w:rPr>
        <w:t xml:space="preserve">399/7, Gjykatës së Rrethit i kërkohej të merrte një vendim për atë padi brenda tre muajve (shih paragrafët 61 dhe 66 më sipër). Sidoqoftë, Gjykata e Rrethit Tiranë nuk kishte respektuar afatin (shih paragrafin 63 më sipër) dhe pothuajse tre </w:t>
      </w:r>
      <w:r w:rsidR="00661964">
        <w:rPr>
          <w:rFonts w:ascii="Garamond" w:eastAsiaTheme="minorHAnsi" w:hAnsi="Garamond"/>
          <w:color w:val="000000"/>
          <w:sz w:val="24"/>
          <w:szCs w:val="24"/>
          <w:lang w:val="sq-AL"/>
          <w14:ligatures w14:val="standardContextual"/>
        </w:rPr>
        <w:t>vjet</w:t>
      </w:r>
      <w:r w:rsidRPr="008419ED">
        <w:rPr>
          <w:rFonts w:ascii="Garamond" w:eastAsiaTheme="minorHAnsi" w:hAnsi="Garamond"/>
          <w:color w:val="000000"/>
          <w:sz w:val="24"/>
          <w:szCs w:val="24"/>
          <w:lang w:val="sq-AL"/>
          <w14:ligatures w14:val="standardContextual"/>
        </w:rPr>
        <w:t xml:space="preserve"> pas fillimit të saj, çështja ishte ende pezull pranë Gjykatës së Apelit Tiranë (shih paragrafin 64 më sipër). </w:t>
      </w:r>
    </w:p>
    <w:p w14:paraId="29425893" w14:textId="7D33F131"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8419ED">
        <w:rPr>
          <w:rFonts w:ascii="Garamond" w:eastAsiaTheme="minorHAnsi" w:hAnsi="Garamond"/>
          <w:i/>
          <w:iCs/>
          <w:color w:val="000000"/>
          <w:sz w:val="24"/>
          <w:szCs w:val="24"/>
          <w:lang w:val="sq-AL"/>
          <w14:ligatures w14:val="standardContextual"/>
        </w:rPr>
        <w:t>2. Vlerësimi i Gjykatës</w:t>
      </w:r>
    </w:p>
    <w:p w14:paraId="2AE0E096" w14:textId="31A3AABE"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8419ED">
        <w:rPr>
          <w:rFonts w:ascii="Garamond" w:eastAsiaTheme="minorHAnsi" w:hAnsi="Garamond"/>
          <w:b/>
          <w:bCs/>
          <w:color w:val="000000"/>
          <w:sz w:val="24"/>
          <w:szCs w:val="24"/>
          <w:lang w:val="sq-AL"/>
          <w14:ligatures w14:val="standardContextual"/>
        </w:rPr>
        <w:t>a) Parimet e zbatueshme</w:t>
      </w:r>
    </w:p>
    <w:p w14:paraId="0409818E" w14:textId="2054549E"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95. Gjykata thekson se detyrimi për të shfrytëzuar mjetet vendase kërkon që një kërkues të shfrytëzojë mjetet që janë të disponueshme dhe të mjaftueshme për ankesat e tij ose saj. Ekzistenca e këtyre mjeteve duhet të jetë mjaftueshëm e sigurt jo vetëm në teori, por edhe në praktikë, dhe nëse një gjë e tillë nuk ndodh, ato nuk do të ishin të aksesueshme dhe efektive (shih </w:t>
      </w:r>
      <w:r w:rsidRPr="008419ED">
        <w:rPr>
          <w:rFonts w:ascii="Garamond" w:eastAsiaTheme="minorHAnsi" w:hAnsi="Garamond"/>
          <w:i/>
          <w:iCs/>
          <w:color w:val="000000"/>
          <w:sz w:val="24"/>
          <w:szCs w:val="24"/>
          <w:lang w:val="sq-AL"/>
          <w14:ligatures w14:val="standardContextual"/>
        </w:rPr>
        <w:t xml:space="preserve">Vučković dhe të </w:t>
      </w:r>
      <w:r w:rsidR="00DF5E98">
        <w:rPr>
          <w:rFonts w:ascii="Garamond" w:eastAsiaTheme="minorHAnsi" w:hAnsi="Garamond"/>
          <w:i/>
          <w:iCs/>
          <w:color w:val="000000"/>
          <w:sz w:val="24"/>
          <w:szCs w:val="24"/>
          <w:lang w:val="sq-AL"/>
          <w14:ligatures w14:val="standardContextual"/>
        </w:rPr>
        <w:t>t</w:t>
      </w:r>
      <w:r w:rsidRPr="008419ED">
        <w:rPr>
          <w:rFonts w:ascii="Garamond" w:eastAsiaTheme="minorHAnsi" w:hAnsi="Garamond"/>
          <w:i/>
          <w:iCs/>
          <w:color w:val="000000"/>
          <w:sz w:val="24"/>
          <w:szCs w:val="24"/>
          <w:lang w:val="sq-AL"/>
          <w14:ligatures w14:val="standardContextual"/>
        </w:rPr>
        <w:t xml:space="preserve">jerë kundër Serbisë (kundërshtimi paraprak) </w:t>
      </w:r>
      <w:r w:rsidRPr="008419ED">
        <w:rPr>
          <w:rFonts w:ascii="Garamond" w:eastAsiaTheme="minorHAnsi" w:hAnsi="Garamond"/>
          <w:color w:val="000000"/>
          <w:sz w:val="24"/>
          <w:szCs w:val="24"/>
          <w:lang w:val="sq-AL"/>
          <w14:ligatures w14:val="standardContextual"/>
        </w:rPr>
        <w:t xml:space="preserve">[DHM], nr. 17153/11 dhe 29 dhe të tjerë,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71, 25 </w:t>
      </w:r>
      <w:r w:rsidR="001C01E3">
        <w:rPr>
          <w:rFonts w:ascii="Garamond" w:eastAsiaTheme="minorHAnsi" w:hAnsi="Garamond"/>
          <w:color w:val="000000"/>
          <w:sz w:val="24"/>
          <w:szCs w:val="24"/>
          <w:lang w:val="sq-AL"/>
          <w14:ligatures w14:val="standardContextual"/>
        </w:rPr>
        <w:t>m</w:t>
      </w:r>
      <w:r w:rsidRPr="008419ED">
        <w:rPr>
          <w:rFonts w:ascii="Garamond" w:eastAsiaTheme="minorHAnsi" w:hAnsi="Garamond"/>
          <w:color w:val="000000"/>
          <w:sz w:val="24"/>
          <w:szCs w:val="24"/>
          <w:lang w:val="sq-AL"/>
          <w14:ligatures w14:val="standardContextual"/>
        </w:rPr>
        <w:t xml:space="preserve">ars 2014). Për të qenë efektiv, një mjet duhet të ofrojë mundësinë për të korrigjuar drejtpërdrejtë çështjet e kontestuara dhe duhet të ofrojë perspektiva të arsyeshme për sukses (shih </w:t>
      </w:r>
      <w:r w:rsidRPr="008419ED">
        <w:rPr>
          <w:rFonts w:ascii="Garamond" w:eastAsiaTheme="minorHAnsi" w:hAnsi="Garamond"/>
          <w:i/>
          <w:iCs/>
          <w:color w:val="000000"/>
          <w:sz w:val="24"/>
          <w:szCs w:val="24"/>
          <w:lang w:val="sq-AL"/>
          <w14:ligatures w14:val="standardContextual"/>
        </w:rPr>
        <w:t xml:space="preserve">Balogh kundër Hungarisë, </w:t>
      </w:r>
      <w:r w:rsidRPr="008419ED">
        <w:rPr>
          <w:rFonts w:ascii="Garamond" w:eastAsiaTheme="minorHAnsi" w:hAnsi="Garamond"/>
          <w:color w:val="000000"/>
          <w:sz w:val="24"/>
          <w:szCs w:val="24"/>
          <w:lang w:val="sq-AL"/>
          <w14:ligatures w14:val="standardContextual"/>
        </w:rPr>
        <w:t xml:space="preserve">nr. 47940/99,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30, 20 </w:t>
      </w:r>
      <w:r w:rsidR="00DF5E98">
        <w:rPr>
          <w:rFonts w:ascii="Garamond" w:eastAsiaTheme="minorHAnsi" w:hAnsi="Garamond"/>
          <w:color w:val="000000"/>
          <w:sz w:val="24"/>
          <w:szCs w:val="24"/>
          <w:lang w:val="sq-AL"/>
          <w14:ligatures w14:val="standardContextual"/>
        </w:rPr>
        <w:t>k</w:t>
      </w:r>
      <w:r w:rsidRPr="008419ED">
        <w:rPr>
          <w:rFonts w:ascii="Garamond" w:eastAsiaTheme="minorHAnsi" w:hAnsi="Garamond"/>
          <w:color w:val="000000"/>
          <w:sz w:val="24"/>
          <w:szCs w:val="24"/>
          <w:lang w:val="sq-AL"/>
          <w14:ligatures w14:val="standardContextual"/>
        </w:rPr>
        <w:t xml:space="preserve">orrik 2004; </w:t>
      </w:r>
      <w:r w:rsidRPr="008419ED">
        <w:rPr>
          <w:rFonts w:ascii="Garamond" w:eastAsiaTheme="minorHAnsi" w:hAnsi="Garamond"/>
          <w:i/>
          <w:iCs/>
          <w:color w:val="000000"/>
          <w:sz w:val="24"/>
          <w:szCs w:val="24"/>
          <w:lang w:val="sq-AL"/>
          <w14:ligatures w14:val="standardContextual"/>
        </w:rPr>
        <w:t xml:space="preserve">Sejdovic kundër Italisë </w:t>
      </w:r>
      <w:r w:rsidRPr="008419ED">
        <w:rPr>
          <w:rFonts w:ascii="Garamond" w:eastAsiaTheme="minorHAnsi" w:hAnsi="Garamond"/>
          <w:color w:val="000000"/>
          <w:sz w:val="24"/>
          <w:szCs w:val="24"/>
          <w:lang w:val="sq-AL"/>
          <w14:ligatures w14:val="standardContextual"/>
        </w:rPr>
        <w:t xml:space="preserve">[DHM], nr. 56581/00,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46, GJEDNJ 2006-II; </w:t>
      </w:r>
      <w:r w:rsidRPr="008419ED">
        <w:rPr>
          <w:rFonts w:ascii="Garamond" w:eastAsiaTheme="minorHAnsi" w:hAnsi="Garamond"/>
          <w:i/>
          <w:iCs/>
          <w:color w:val="000000"/>
          <w:sz w:val="24"/>
          <w:szCs w:val="24"/>
          <w:lang w:val="sq-AL"/>
          <w14:ligatures w14:val="standardContextual"/>
        </w:rPr>
        <w:t xml:space="preserve">Vučković dhe të </w:t>
      </w:r>
      <w:r w:rsidR="00DF5E98">
        <w:rPr>
          <w:rFonts w:ascii="Garamond" w:eastAsiaTheme="minorHAnsi" w:hAnsi="Garamond"/>
          <w:i/>
          <w:iCs/>
          <w:color w:val="000000"/>
          <w:sz w:val="24"/>
          <w:szCs w:val="24"/>
          <w:lang w:val="sq-AL"/>
          <w14:ligatures w14:val="standardContextual"/>
        </w:rPr>
        <w:t>t</w:t>
      </w:r>
      <w:r w:rsidRPr="008419ED">
        <w:rPr>
          <w:rFonts w:ascii="Garamond" w:eastAsiaTheme="minorHAnsi" w:hAnsi="Garamond"/>
          <w:i/>
          <w:iCs/>
          <w:color w:val="000000"/>
          <w:sz w:val="24"/>
          <w:szCs w:val="24"/>
          <w:lang w:val="sq-AL"/>
          <w14:ligatures w14:val="standardContextual"/>
        </w:rPr>
        <w:t xml:space="preserve">jerë, </w:t>
      </w:r>
      <w:r w:rsidRPr="008419ED">
        <w:rPr>
          <w:rFonts w:ascii="Garamond" w:eastAsiaTheme="minorHAnsi" w:hAnsi="Garamond"/>
          <w:color w:val="000000"/>
          <w:sz w:val="24"/>
          <w:szCs w:val="24"/>
          <w:lang w:val="sq-AL"/>
          <w14:ligatures w14:val="standardContextual"/>
        </w:rPr>
        <w:t xml:space="preserve">cituar më sipër,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74; dhe </w:t>
      </w:r>
      <w:r w:rsidRPr="008419ED">
        <w:rPr>
          <w:rFonts w:ascii="Garamond" w:eastAsiaTheme="minorHAnsi" w:hAnsi="Garamond"/>
          <w:i/>
          <w:iCs/>
          <w:color w:val="000000"/>
          <w:sz w:val="24"/>
          <w:szCs w:val="24"/>
          <w:lang w:val="sq-AL"/>
          <w14:ligatures w14:val="standardContextual"/>
        </w:rPr>
        <w:t>Gherghina kundër Rumanisë</w:t>
      </w:r>
      <w:r w:rsidRPr="008419ED">
        <w:rPr>
          <w:rFonts w:ascii="Garamond" w:eastAsiaTheme="minorHAnsi" w:hAnsi="Garamond"/>
          <w:color w:val="000000"/>
          <w:sz w:val="24"/>
          <w:szCs w:val="24"/>
          <w:lang w:val="sq-AL"/>
          <w14:ligatures w14:val="standardContextual"/>
        </w:rPr>
        <w:t xml:space="preserve"> (vendim) [DHM], nr. 42219/07,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85, 9 </w:t>
      </w:r>
      <w:r w:rsidR="00740332">
        <w:rPr>
          <w:rFonts w:ascii="Garamond" w:eastAsiaTheme="minorHAnsi" w:hAnsi="Garamond"/>
          <w:color w:val="000000"/>
          <w:sz w:val="24"/>
          <w:szCs w:val="24"/>
          <w:lang w:val="sq-AL"/>
          <w14:ligatures w14:val="standardContextual"/>
        </w:rPr>
        <w:t>k</w:t>
      </w:r>
      <w:r w:rsidRPr="008419ED">
        <w:rPr>
          <w:rFonts w:ascii="Garamond" w:eastAsiaTheme="minorHAnsi" w:hAnsi="Garamond"/>
          <w:color w:val="000000"/>
          <w:sz w:val="24"/>
          <w:szCs w:val="24"/>
          <w:lang w:val="sq-AL"/>
          <w14:ligatures w14:val="standardContextual"/>
        </w:rPr>
        <w:t xml:space="preserve">orrik 2015). </w:t>
      </w:r>
    </w:p>
    <w:p w14:paraId="7BBBE94B" w14:textId="0B6064F2"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96. Gjithashtu, sipas interpretimit të </w:t>
      </w:r>
      <w:r w:rsidR="00DF5E98">
        <w:rPr>
          <w:rFonts w:ascii="Garamond" w:eastAsiaTheme="minorHAnsi" w:hAnsi="Garamond"/>
          <w:color w:val="000000"/>
          <w:sz w:val="24"/>
          <w:szCs w:val="24"/>
          <w:lang w:val="sq-AL"/>
          <w14:ligatures w14:val="standardContextual"/>
        </w:rPr>
        <w:t>n</w:t>
      </w:r>
      <w:r w:rsidRPr="008419ED">
        <w:rPr>
          <w:rFonts w:ascii="Garamond" w:eastAsiaTheme="minorHAnsi" w:hAnsi="Garamond"/>
          <w:color w:val="000000"/>
          <w:sz w:val="24"/>
          <w:szCs w:val="24"/>
          <w:lang w:val="sq-AL"/>
          <w14:ligatures w14:val="standardContextual"/>
        </w:rPr>
        <w:t xml:space="preserve">enit 34 të Konventës, statusi i kërkuesit si “viktimë” varet nga fakti nëse autoritetet vendase kanë pranuar, shprehimisht ose në thelb, pretendimin për shkelje të Konventës, dhe nëse është e nevojshme, kanë ofruar korrigjimin e duhur dhe të mjaftueshëm në lidhje me të. Vetëm në rastin kur përmbushen këto dy kushte, natyra ndihmëse e mekanizmit mbrojtës të Konventës përjashton shqyrtimin e kërkesës nga Gjykata (shih </w:t>
      </w:r>
      <w:r w:rsidRPr="008419ED">
        <w:rPr>
          <w:rFonts w:ascii="Garamond" w:eastAsiaTheme="minorHAnsi" w:hAnsi="Garamond"/>
          <w:i/>
          <w:iCs/>
          <w:color w:val="000000"/>
          <w:sz w:val="24"/>
          <w:szCs w:val="24"/>
          <w:lang w:val="sq-AL"/>
          <w14:ligatures w14:val="standardContextual"/>
        </w:rPr>
        <w:t xml:space="preserve"> Cocchiarella kundër Italisë</w:t>
      </w:r>
      <w:r w:rsidRPr="008419ED">
        <w:rPr>
          <w:rFonts w:ascii="Garamond" w:eastAsiaTheme="minorHAnsi" w:hAnsi="Garamond"/>
          <w:color w:val="000000"/>
          <w:sz w:val="24"/>
          <w:szCs w:val="24"/>
          <w:lang w:val="sq-AL"/>
          <w14:ligatures w14:val="standardContextual"/>
        </w:rPr>
        <w:t xml:space="preserve"> [DHM], nr. 64886/01,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71-72, GJEDNJ 2006-V; </w:t>
      </w:r>
      <w:r w:rsidRPr="008419ED">
        <w:rPr>
          <w:rFonts w:ascii="Garamond" w:eastAsiaTheme="minorHAnsi" w:hAnsi="Garamond"/>
          <w:i/>
          <w:iCs/>
          <w:color w:val="000000"/>
          <w:sz w:val="24"/>
          <w:szCs w:val="24"/>
          <w:lang w:val="sq-AL"/>
          <w14:ligatures w14:val="standardContextual"/>
        </w:rPr>
        <w:t xml:space="preserve">Cataldo kundër Italisë </w:t>
      </w:r>
      <w:r w:rsidRPr="008419ED">
        <w:rPr>
          <w:rFonts w:ascii="Garamond" w:eastAsiaTheme="minorHAnsi" w:hAnsi="Garamond"/>
          <w:color w:val="000000"/>
          <w:sz w:val="24"/>
          <w:szCs w:val="24"/>
          <w:lang w:val="sq-AL"/>
          <w14:ligatures w14:val="standardContextual"/>
        </w:rPr>
        <w:t xml:space="preserve">(vendim), nr. 45656/99, GJEDNJ 2004-VI; dhe </w:t>
      </w:r>
      <w:r w:rsidRPr="008419ED">
        <w:rPr>
          <w:rFonts w:ascii="Garamond" w:eastAsiaTheme="minorHAnsi" w:hAnsi="Garamond"/>
          <w:i/>
          <w:iCs/>
          <w:color w:val="000000"/>
          <w:sz w:val="24"/>
          <w:szCs w:val="24"/>
          <w:lang w:val="sq-AL"/>
          <w14:ligatures w14:val="standardContextual"/>
        </w:rPr>
        <w:t xml:space="preserve">Vidaković kundër Serbisë </w:t>
      </w:r>
      <w:r w:rsidRPr="008419ED">
        <w:rPr>
          <w:rFonts w:ascii="Garamond" w:eastAsiaTheme="minorHAnsi" w:hAnsi="Garamond"/>
          <w:color w:val="000000"/>
          <w:sz w:val="24"/>
          <w:szCs w:val="24"/>
          <w:lang w:val="sq-AL"/>
          <w14:ligatures w14:val="standardContextual"/>
        </w:rPr>
        <w:t xml:space="preserve">(vendim), nr. 16231/07,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26, 24 </w:t>
      </w:r>
      <w:r w:rsidR="00DF5E98">
        <w:rPr>
          <w:rFonts w:ascii="Garamond" w:eastAsiaTheme="minorHAnsi" w:hAnsi="Garamond"/>
          <w:color w:val="000000"/>
          <w:sz w:val="24"/>
          <w:szCs w:val="24"/>
          <w:lang w:val="sq-AL"/>
          <w14:ligatures w14:val="standardContextual"/>
        </w:rPr>
        <w:t>m</w:t>
      </w:r>
      <w:r w:rsidRPr="008419ED">
        <w:rPr>
          <w:rFonts w:ascii="Garamond" w:eastAsiaTheme="minorHAnsi" w:hAnsi="Garamond"/>
          <w:color w:val="000000"/>
          <w:sz w:val="24"/>
          <w:szCs w:val="24"/>
          <w:lang w:val="sq-AL"/>
          <w14:ligatures w14:val="standardContextual"/>
        </w:rPr>
        <w:t xml:space="preserve">aj 2011). </w:t>
      </w:r>
    </w:p>
    <w:p w14:paraId="72F1D1BD" w14:textId="768D1FF1"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97. Në lidhje me korrigjimin e duhur dhe të mjaftueshëm, mjetet e disponueshme për një kërkues në legjislacionin vendas për ngritjen e një ankese për kohëzgjatjen e procedurave janë “efektive” sipas interpretimit të nenit 13 të Konventës, nëse ato parandalojnë shkeljen e pretenduar ose vijimësinë e saj, ose ofrojnë korrigjimin e duhur për cilëndo shkelje që a ndodhur tashmë. Neni 13 ofron një alternativë: një mjet është “efektiv” nëse mund të përdoret ose për të përshpejtuar një vendim nga gjykatat që trajtojnë çështjen, ose për t’i ofruar palës ndërgjyqëse korrigjimin e duhur për vonesat që tashmë kanë ndodhur (shih </w:t>
      </w:r>
      <w:r w:rsidRPr="008419ED">
        <w:rPr>
          <w:rFonts w:ascii="Garamond" w:eastAsiaTheme="minorHAnsi" w:hAnsi="Garamond"/>
          <w:i/>
          <w:iCs/>
          <w:color w:val="000000"/>
          <w:sz w:val="24"/>
          <w:szCs w:val="24"/>
          <w:lang w:val="sq-AL"/>
          <w14:ligatures w14:val="standardContextual"/>
        </w:rPr>
        <w:t>Krasuski kundër Polonisë</w:t>
      </w:r>
      <w:r w:rsidRPr="008419ED">
        <w:rPr>
          <w:rFonts w:ascii="Garamond" w:eastAsiaTheme="minorHAnsi" w:hAnsi="Garamond"/>
          <w:color w:val="000000"/>
          <w:sz w:val="24"/>
          <w:szCs w:val="24"/>
          <w:lang w:val="sq-AL"/>
          <w14:ligatures w14:val="standardContextual"/>
        </w:rPr>
        <w:t xml:space="preserve">, nr. 614444/00,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66, GJEDNJ 2005-V (ekstrakte)).</w:t>
      </w:r>
    </w:p>
    <w:p w14:paraId="4D6502A0" w14:textId="62781765"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b/>
          <w:bCs/>
          <w:color w:val="000000"/>
          <w:sz w:val="24"/>
          <w:szCs w:val="24"/>
          <w:lang w:val="sq-AL"/>
          <w14:ligatures w14:val="standardContextual"/>
        </w:rPr>
        <w:t>b) Zbatimi i parimeve në çështjen konkrete</w:t>
      </w:r>
      <w:r w:rsidRPr="008419ED">
        <w:rPr>
          <w:rFonts w:ascii="Garamond" w:eastAsiaTheme="minorHAnsi" w:hAnsi="Garamond"/>
          <w:color w:val="000000"/>
          <w:sz w:val="24"/>
          <w:szCs w:val="24"/>
          <w:lang w:val="sq-AL"/>
          <w14:ligatures w14:val="standardContextual"/>
        </w:rPr>
        <w:t xml:space="preserve">  </w:t>
      </w:r>
    </w:p>
    <w:p w14:paraId="41F54230" w14:textId="34266B8A"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8419ED">
        <w:rPr>
          <w:rFonts w:ascii="Garamond" w:eastAsiaTheme="minorHAnsi" w:hAnsi="Garamond"/>
          <w:i/>
          <w:iCs/>
          <w:color w:val="000000"/>
          <w:sz w:val="24"/>
          <w:szCs w:val="24"/>
          <w:lang w:val="sq-AL"/>
          <w14:ligatures w14:val="standardContextual"/>
        </w:rPr>
        <w:t>i) Kërkesa e parë dhe e dytë (nr. 39860/19 dhe 38996/20)</w:t>
      </w:r>
    </w:p>
    <w:p w14:paraId="06BC0A68" w14:textId="2BB1A56B"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98. Gjykata vlerëson se pretendimi i Qeverisë për mosshterim (shih paragrafin 88 më sipër) ka humbur relevancën e tij, sepse në çdo rast, Gjykata pranon se faza e fundit e mjeteve vendase mund të arrihet pasi të jetë paraqitur kërkesa, por përpara se të jetë përcaktuar pranueshmëria e saj (shih </w:t>
      </w:r>
      <w:r w:rsidRPr="008419ED">
        <w:rPr>
          <w:rFonts w:ascii="Garamond" w:eastAsiaTheme="minorHAnsi" w:hAnsi="Garamond"/>
          <w:i/>
          <w:iCs/>
          <w:color w:val="000000"/>
          <w:sz w:val="24"/>
          <w:szCs w:val="24"/>
          <w:lang w:val="sq-AL"/>
          <w14:ligatures w14:val="standardContextual"/>
        </w:rPr>
        <w:t xml:space="preserve">Molla Sali kundër Greqisë </w:t>
      </w:r>
      <w:r w:rsidRPr="008419ED">
        <w:rPr>
          <w:rFonts w:ascii="Garamond" w:eastAsiaTheme="minorHAnsi" w:hAnsi="Garamond"/>
          <w:color w:val="000000"/>
          <w:sz w:val="24"/>
          <w:szCs w:val="24"/>
          <w:lang w:val="sq-AL"/>
          <w14:ligatures w14:val="standardContextual"/>
        </w:rPr>
        <w:t xml:space="preserve">[DHM], nr. 20452/14,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90, 19 </w:t>
      </w:r>
      <w:r w:rsidR="00DF5E98" w:rsidRPr="008419ED">
        <w:rPr>
          <w:rFonts w:ascii="Garamond" w:eastAsiaTheme="minorHAnsi" w:hAnsi="Garamond"/>
          <w:color w:val="000000"/>
          <w:sz w:val="24"/>
          <w:szCs w:val="24"/>
          <w:lang w:val="sq-AL"/>
          <w14:ligatures w14:val="standardContextual"/>
        </w:rPr>
        <w:t xml:space="preserve">dhjetor </w:t>
      </w:r>
      <w:r w:rsidRPr="008419ED">
        <w:rPr>
          <w:rFonts w:ascii="Garamond" w:eastAsiaTheme="minorHAnsi" w:hAnsi="Garamond"/>
          <w:color w:val="000000"/>
          <w:sz w:val="24"/>
          <w:szCs w:val="24"/>
          <w:lang w:val="sq-AL"/>
          <w14:ligatures w14:val="standardContextual"/>
        </w:rPr>
        <w:t xml:space="preserve">2018). </w:t>
      </w:r>
    </w:p>
    <w:p w14:paraId="3861A9DC" w14:textId="40F84B8C"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8419ED">
        <w:rPr>
          <w:rFonts w:ascii="Garamond" w:eastAsiaTheme="minorHAnsi" w:hAnsi="Garamond"/>
          <w:i/>
          <w:iCs/>
          <w:color w:val="000000"/>
          <w:sz w:val="24"/>
          <w:szCs w:val="24"/>
          <w:lang w:val="sq-AL"/>
          <w14:ligatures w14:val="standardContextual"/>
        </w:rPr>
        <w:t>ii) Kërkesa e tretë (nr. 6142/22)</w:t>
      </w:r>
    </w:p>
    <w:p w14:paraId="3B08C261" w14:textId="563AA5EE"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99. Gjykata thekson se në </w:t>
      </w:r>
      <w:r w:rsidR="00DF5E98" w:rsidRPr="008419ED">
        <w:rPr>
          <w:rFonts w:ascii="Garamond" w:eastAsiaTheme="minorHAnsi" w:hAnsi="Garamond"/>
          <w:color w:val="000000"/>
          <w:sz w:val="24"/>
          <w:szCs w:val="24"/>
          <w:lang w:val="sq-AL"/>
          <w14:ligatures w14:val="standardContextual"/>
        </w:rPr>
        <w:t xml:space="preserve">vendimin </w:t>
      </w:r>
      <w:r w:rsidRPr="008419ED">
        <w:rPr>
          <w:rFonts w:ascii="Garamond" w:eastAsiaTheme="minorHAnsi" w:hAnsi="Garamond"/>
          <w:color w:val="000000"/>
          <w:sz w:val="24"/>
          <w:szCs w:val="24"/>
          <w:lang w:val="sq-AL"/>
          <w14:ligatures w14:val="standardContextual"/>
        </w:rPr>
        <w:t xml:space="preserve">35/2021 (ku përfshihet kërkuesi i katërt), Gjykata Kushtetuese konstatoi një shkelje të kërkesës për “afat të arsyeshëm”, urdhëroi që të përshpejtoheshin procedurat kryesore dhe ofroi bazën ligjore për palën e dëmtuar në mënyrë që kjo e fundit të kërkonte dëmshpërblim (shih paragrafët 57, 59 dhe 61 më sipër). Gjykata nuk mund të spekulojë për faktin se çfarë do të kishte vendosur Gjykata Kushtetuese, nëse kërkuesi në fjalë do të kishte apeluar për kohëzgjatjen e procedurave. Gjithashtu, ajo nuk mund të hamendësojë për zhvillimet që do të kishin pasuar atë vendim (nëse procedurat kryesore do të ishin përshpejtuar dhe/ose nëse kërkuesi do të kishte marrë kompensimin menjëherë). </w:t>
      </w:r>
    </w:p>
    <w:p w14:paraId="5A15C8D8" w14:textId="027E69ED"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100. Sipas Vendimit 35/2021 dhe sipas pushtetit të Gjykatës Kushtetuese në mënyrë që të lëshohen udhëzime detyruese për gjykatat më të ulëta (shih paragrafin 70 më sipër), Gjykata vlerëson se një rekurs do të kishte mundur të ishte një mjet efektiv në lidhje me ankesat e kërkuesit për kohëzgjatjen e procedurave, dhe se duke qenë se kërkuesi nuk e dorëzoi një rekurs të tillë, kundërshtimi i Qeverisë duhet të mbahet në fuqi. </w:t>
      </w:r>
    </w:p>
    <w:p w14:paraId="10C6FCDC" w14:textId="2BA2B60E"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101. Sipas rrethanave, ankesa e kërkuesit bërë në mbështetje të </w:t>
      </w:r>
      <w:r w:rsidR="005D3E7D" w:rsidRPr="008419ED">
        <w:rPr>
          <w:rFonts w:ascii="Garamond" w:eastAsiaTheme="minorHAnsi" w:hAnsi="Garamond"/>
          <w:color w:val="000000"/>
          <w:sz w:val="24"/>
          <w:szCs w:val="24"/>
          <w:lang w:val="sq-AL"/>
          <w14:ligatures w14:val="standardContextual"/>
        </w:rPr>
        <w:t xml:space="preserve">nenit </w:t>
      </w:r>
      <w:r w:rsidRPr="008419ED">
        <w:rPr>
          <w:rFonts w:ascii="Garamond" w:eastAsiaTheme="minorHAnsi" w:hAnsi="Garamond"/>
          <w:color w:val="000000"/>
          <w:sz w:val="24"/>
          <w:szCs w:val="24"/>
          <w:lang w:val="sq-AL"/>
          <w14:ligatures w14:val="standardContextual"/>
        </w:rPr>
        <w:t>6</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1 për kohëzgjatjen e procedurave duhet të rrëzohet për mosshterim të mjeteve vendase, sipas </w:t>
      </w:r>
      <w:r w:rsidR="005D3E7D" w:rsidRPr="008419ED">
        <w:rPr>
          <w:rFonts w:ascii="Garamond" w:eastAsiaTheme="minorHAnsi" w:hAnsi="Garamond"/>
          <w:color w:val="000000"/>
          <w:sz w:val="24"/>
          <w:szCs w:val="24"/>
          <w:lang w:val="sq-AL"/>
          <w14:ligatures w14:val="standardContextual"/>
        </w:rPr>
        <w:t xml:space="preserve">nenit </w:t>
      </w:r>
      <w:r w:rsidRPr="008419ED">
        <w:rPr>
          <w:rFonts w:ascii="Garamond" w:eastAsiaTheme="minorHAnsi" w:hAnsi="Garamond"/>
          <w:color w:val="000000"/>
          <w:sz w:val="24"/>
          <w:szCs w:val="24"/>
          <w:lang w:val="sq-AL"/>
          <w14:ligatures w14:val="standardContextual"/>
        </w:rPr>
        <w:t>35§</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1 dhe 4 të Konventës. </w:t>
      </w:r>
    </w:p>
    <w:p w14:paraId="5A51963E" w14:textId="3FB0C656"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i/>
          <w:iCs/>
          <w:color w:val="000000"/>
          <w:sz w:val="24"/>
          <w:szCs w:val="24"/>
          <w:lang w:val="sq-AL"/>
          <w14:ligatures w14:val="standardContextual"/>
        </w:rPr>
        <w:t>iii) Kërkesa e katërt (nr. 27379/22)</w:t>
      </w:r>
    </w:p>
    <w:p w14:paraId="4DB1BFC8" w14:textId="081F2FD1"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102. Gjykata vlerëson se kundërshtimet e Qeverisë në lidhje me mungesën e statusit të viktimës për kërkuesin dhe mosshterimi i mjeteve vendase janë kaq të lidhura ngushtë në substancën e ankesës së kërkuesit saqë ato duhet të bashkohen n</w:t>
      </w:r>
      <w:r w:rsidR="0032100B" w:rsidRPr="008419ED">
        <w:rPr>
          <w:rFonts w:ascii="Garamond" w:eastAsiaTheme="minorHAnsi" w:hAnsi="Garamond"/>
          <w:color w:val="000000"/>
          <w:sz w:val="24"/>
          <w:szCs w:val="24"/>
          <w:lang w:val="sq-AL"/>
          <w14:ligatures w14:val="standardContextual"/>
        </w:rPr>
        <w:t>ë</w:t>
      </w:r>
      <w:r w:rsidRPr="008419ED">
        <w:rPr>
          <w:rFonts w:ascii="Garamond" w:eastAsiaTheme="minorHAnsi" w:hAnsi="Garamond"/>
          <w:color w:val="000000"/>
          <w:sz w:val="24"/>
          <w:szCs w:val="24"/>
          <w:lang w:val="sq-AL"/>
          <w14:ligatures w14:val="standardContextual"/>
        </w:rPr>
        <w:t xml:space="preserve"> merita (shih, për një qasje të ngjashme, </w:t>
      </w:r>
      <w:r w:rsidRPr="008419ED">
        <w:rPr>
          <w:rFonts w:ascii="Garamond" w:eastAsiaTheme="minorHAnsi" w:hAnsi="Garamond"/>
          <w:i/>
          <w:iCs/>
          <w:color w:val="000000"/>
          <w:sz w:val="24"/>
          <w:szCs w:val="24"/>
          <w:lang w:val="sq-AL"/>
          <w14:ligatures w14:val="standardContextual"/>
        </w:rPr>
        <w:t>Altius Insurance LTD kundër Qipros</w:t>
      </w:r>
      <w:r w:rsidRPr="008419ED">
        <w:rPr>
          <w:rFonts w:ascii="Garamond" w:eastAsiaTheme="minorHAnsi" w:hAnsi="Garamond"/>
          <w:color w:val="000000"/>
          <w:sz w:val="24"/>
          <w:szCs w:val="24"/>
          <w:lang w:val="sq-AL"/>
          <w14:ligatures w14:val="standardContextual"/>
        </w:rPr>
        <w:t xml:space="preserve">, nr. 41151/20,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67, 24 </w:t>
      </w:r>
      <w:r w:rsidR="005D3E7D">
        <w:rPr>
          <w:rFonts w:ascii="Garamond" w:eastAsiaTheme="minorHAnsi" w:hAnsi="Garamond"/>
          <w:color w:val="000000"/>
          <w:sz w:val="24"/>
          <w:szCs w:val="24"/>
          <w:lang w:val="sq-AL"/>
          <w14:ligatures w14:val="standardContextual"/>
        </w:rPr>
        <w:t>t</w:t>
      </w:r>
      <w:r w:rsidRPr="008419ED">
        <w:rPr>
          <w:rFonts w:ascii="Garamond" w:eastAsiaTheme="minorHAnsi" w:hAnsi="Garamond"/>
          <w:color w:val="000000"/>
          <w:sz w:val="24"/>
          <w:szCs w:val="24"/>
          <w:lang w:val="sq-AL"/>
          <w14:ligatures w14:val="standardContextual"/>
        </w:rPr>
        <w:t xml:space="preserve">etor 2023). </w:t>
      </w:r>
    </w:p>
    <w:p w14:paraId="3717357F" w14:textId="01E27E40"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103. Në vijim</w:t>
      </w:r>
      <w:r w:rsidR="009555C4">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 Gjykata thekson se ankesa nuk është qartazi e pambështetur në fakte, dhe për këtë arsye duhet të shpallet e pranueshme.  </w:t>
      </w:r>
    </w:p>
    <w:p w14:paraId="1E4D5097" w14:textId="092A4237"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8419ED">
        <w:rPr>
          <w:rFonts w:ascii="Garamond" w:eastAsiaTheme="minorHAnsi" w:hAnsi="Garamond"/>
          <w:b/>
          <w:bCs/>
          <w:color w:val="000000"/>
          <w:sz w:val="24"/>
          <w:szCs w:val="24"/>
          <w:lang w:val="sq-AL"/>
          <w14:ligatures w14:val="standardContextual"/>
        </w:rPr>
        <w:t xml:space="preserve">B. Meritat </w:t>
      </w:r>
    </w:p>
    <w:p w14:paraId="482D1462" w14:textId="2EDDEAE5"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8419ED">
        <w:rPr>
          <w:rFonts w:ascii="Garamond" w:eastAsiaTheme="minorHAnsi" w:hAnsi="Garamond"/>
          <w:i/>
          <w:iCs/>
          <w:color w:val="000000"/>
          <w:sz w:val="24"/>
          <w:szCs w:val="24"/>
          <w:lang w:val="sq-AL"/>
          <w14:ligatures w14:val="standardContextual"/>
        </w:rPr>
        <w:t>1. Kërkesa e parë: ARB SHPK kundër Shqipërisë (nr. 39860/19)</w:t>
      </w:r>
    </w:p>
    <w:p w14:paraId="678971A5" w14:textId="633FB544"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8419ED">
        <w:rPr>
          <w:rFonts w:ascii="Garamond" w:eastAsiaTheme="minorHAnsi" w:hAnsi="Garamond"/>
          <w:b/>
          <w:bCs/>
          <w:color w:val="000000"/>
          <w:sz w:val="24"/>
          <w:szCs w:val="24"/>
          <w:lang w:val="sq-AL"/>
          <w14:ligatures w14:val="standardContextual"/>
        </w:rPr>
        <w:t>a) Parashtrimet e palëve</w:t>
      </w:r>
    </w:p>
    <w:p w14:paraId="22ED914C" w14:textId="699E0E23"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104. Kompania kërkuese u ankua se kohëzgjatja e procedurave që lidhej me përcaktimin e kërkesës së saj për dëmshpërblim ndaj një banke lokale ishte e paarsyeshme.</w:t>
      </w:r>
    </w:p>
    <w:p w14:paraId="0EEBDBB1" w14:textId="328B0E8A"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105. Ajo kritikoi veçanërisht vendimin e Gjykatës Kushtetuese se moszgjidhja e çështjes nuk e ekspozonte kompaninë kërkuese kundrejt një rreziku serioz (shih paragrafin 15 më sipër). Sipas kompanisë kërkuese, punonjësit e saj kishin shpenzuar mjaft kohë dhe burime për procedurën përmbarimore në fjalë, dhe kishin të drejtën të merrnin një përgjigje nga gjykatat vendase për pretendimin e tyre se i padituri kishte penguar procesin. </w:t>
      </w:r>
    </w:p>
    <w:p w14:paraId="0957C8EE" w14:textId="39DA378B"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106. Gjithashtu, kompania kërkuese argumentoi se procedurat ishin komplekse. Ajo theksoi se edhe pse gjykatat e shkallës së parë dhe të apelit  nuk e kishin trajtuar çështjen menjëherë, ato kishin dhënë një vendim afërsisht brenda një viti (shih paragrafin 6 më sipër). Kompania kërkuese theksoi se Gjykata Kushtetuese nuk kishte ofruar asnjë shpjegim se çfarë e kishte bërë atë ta konsideronte çështjen si komplekse. </w:t>
      </w:r>
    </w:p>
    <w:p w14:paraId="07C40BB6" w14:textId="2BFF39C0"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107. Për sa i përket </w:t>
      </w:r>
      <w:r w:rsidRPr="005D3E7D">
        <w:rPr>
          <w:rFonts w:ascii="Garamond" w:eastAsiaTheme="minorHAnsi" w:hAnsi="Garamond"/>
          <w:i/>
          <w:color w:val="000000"/>
          <w:sz w:val="24"/>
          <w:szCs w:val="24"/>
          <w:lang w:val="sq-AL"/>
          <w14:ligatures w14:val="standardContextual"/>
        </w:rPr>
        <w:t>backlog</w:t>
      </w:r>
      <w:r w:rsidRPr="008419ED">
        <w:rPr>
          <w:rFonts w:ascii="Garamond" w:eastAsiaTheme="minorHAnsi" w:hAnsi="Garamond"/>
          <w:color w:val="000000"/>
          <w:sz w:val="24"/>
          <w:szCs w:val="24"/>
          <w:lang w:val="sq-AL"/>
          <w14:ligatures w14:val="standardContextual"/>
        </w:rPr>
        <w:t>-ut të Gjykatës së Lartë, kompania kërkuese u shpreh se reforma e drejtësisë në vitin 2016, duke përfshirë legjislacionin për mënyrën se si gjyqtarët do të shkarkoheshin nga detyra dhe do të zëvendësoheshin, ishin hartuar, miratuar dhe zbatuar nga vet</w:t>
      </w:r>
      <w:r w:rsidR="00583F1F">
        <w:rPr>
          <w:rFonts w:ascii="Garamond" w:eastAsiaTheme="minorHAnsi" w:hAnsi="Garamond"/>
          <w:color w:val="000000"/>
          <w:sz w:val="24"/>
          <w:szCs w:val="24"/>
          <w:lang w:val="sq-AL"/>
          <w14:ligatures w14:val="standardContextual"/>
        </w:rPr>
        <w:t>ë</w:t>
      </w:r>
      <w:r w:rsidRPr="008419ED">
        <w:rPr>
          <w:rFonts w:ascii="Garamond" w:eastAsiaTheme="minorHAnsi" w:hAnsi="Garamond"/>
          <w:color w:val="000000"/>
          <w:sz w:val="24"/>
          <w:szCs w:val="24"/>
          <w:lang w:val="sq-AL"/>
          <w14:ligatures w14:val="standardContextual"/>
        </w:rPr>
        <w:t xml:space="preserve"> autoritetet vendase. Për këtë arsye, ato nuk mund t’i referoheshin reformës si një situatë jashtë kontrollit të tyre, dhe të justifikonin në këtë mënyrë vonesat në procedurat gjyqësore. Duke iu referuar çështjes </w:t>
      </w:r>
      <w:r w:rsidRPr="008419ED">
        <w:rPr>
          <w:rFonts w:ascii="Garamond" w:eastAsiaTheme="minorHAnsi" w:hAnsi="Garamond"/>
          <w:i/>
          <w:iCs/>
          <w:color w:val="000000"/>
          <w:sz w:val="24"/>
          <w:szCs w:val="24"/>
          <w:lang w:val="sq-AL"/>
          <w14:ligatures w14:val="standardContextual"/>
        </w:rPr>
        <w:t xml:space="preserve">Fisanotti kundër Italisë </w:t>
      </w:r>
      <w:r w:rsidRPr="008419ED">
        <w:rPr>
          <w:rFonts w:ascii="Garamond" w:eastAsiaTheme="minorHAnsi" w:hAnsi="Garamond"/>
          <w:color w:val="000000"/>
          <w:sz w:val="24"/>
          <w:szCs w:val="24"/>
          <w:lang w:val="sq-AL"/>
          <w14:ligatures w14:val="standardContextual"/>
        </w:rPr>
        <w:t xml:space="preserve">(23 </w:t>
      </w:r>
      <w:r w:rsidR="005D3E7D">
        <w:rPr>
          <w:rFonts w:ascii="Garamond" w:eastAsiaTheme="minorHAnsi" w:hAnsi="Garamond"/>
          <w:color w:val="000000"/>
          <w:sz w:val="24"/>
          <w:szCs w:val="24"/>
          <w:lang w:val="sq-AL"/>
          <w14:ligatures w14:val="standardContextual"/>
        </w:rPr>
        <w:t>p</w:t>
      </w:r>
      <w:r w:rsidRPr="008419ED">
        <w:rPr>
          <w:rFonts w:ascii="Garamond" w:eastAsiaTheme="minorHAnsi" w:hAnsi="Garamond"/>
          <w:color w:val="000000"/>
          <w:sz w:val="24"/>
          <w:szCs w:val="24"/>
          <w:lang w:val="sq-AL"/>
          <w14:ligatures w14:val="standardContextual"/>
        </w:rPr>
        <w:t xml:space="preserve">rill 1998,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22, </w:t>
      </w:r>
      <w:r w:rsidRPr="008419ED">
        <w:rPr>
          <w:rFonts w:ascii="Garamond" w:eastAsiaTheme="minorHAnsi" w:hAnsi="Garamond"/>
          <w:i/>
          <w:iCs/>
          <w:color w:val="000000"/>
          <w:sz w:val="24"/>
          <w:szCs w:val="24"/>
          <w:lang w:val="sq-AL"/>
          <w14:ligatures w14:val="standardContextual"/>
        </w:rPr>
        <w:t xml:space="preserve">Raportet e </w:t>
      </w:r>
      <w:r w:rsidR="005D3E7D" w:rsidRPr="008419ED">
        <w:rPr>
          <w:rFonts w:ascii="Garamond" w:eastAsiaTheme="minorHAnsi" w:hAnsi="Garamond"/>
          <w:i/>
          <w:iCs/>
          <w:color w:val="000000"/>
          <w:sz w:val="24"/>
          <w:szCs w:val="24"/>
          <w:lang w:val="sq-AL"/>
          <w14:ligatures w14:val="standardContextual"/>
        </w:rPr>
        <w:t>gjykimeve dhe vendimeve</w:t>
      </w:r>
      <w:r w:rsidR="005D3E7D" w:rsidRPr="008419ED">
        <w:rPr>
          <w:rFonts w:ascii="Garamond" w:eastAsiaTheme="minorHAnsi" w:hAnsi="Garamond"/>
          <w:color w:val="000000"/>
          <w:sz w:val="24"/>
          <w:szCs w:val="24"/>
          <w:lang w:val="sq-AL"/>
          <w14:ligatures w14:val="standardContextual"/>
        </w:rPr>
        <w:t xml:space="preserve"> </w:t>
      </w:r>
      <w:r w:rsidRPr="008419ED">
        <w:rPr>
          <w:rFonts w:ascii="Garamond" w:eastAsiaTheme="minorHAnsi" w:hAnsi="Garamond"/>
          <w:color w:val="000000"/>
          <w:sz w:val="24"/>
          <w:szCs w:val="24"/>
          <w:lang w:val="sq-AL"/>
          <w14:ligatures w14:val="standardContextual"/>
        </w:rPr>
        <w:t xml:space="preserve">1998-II), kompania kërkuese arriti në përfundimin se nuk mund të përballonte barrën e zgjedhjeve të autoriteteve në miratimin dhe zbatimin e reformave. </w:t>
      </w:r>
    </w:p>
    <w:p w14:paraId="0701EFE8" w14:textId="6F1187F7"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108. Qeveria e kundërshtoi atë argument dhe në thelb pranoi </w:t>
      </w:r>
      <w:r w:rsidR="00D2142A">
        <w:rPr>
          <w:rFonts w:ascii="Garamond" w:eastAsiaTheme="minorHAnsi" w:hAnsi="Garamond"/>
          <w:color w:val="000000"/>
          <w:sz w:val="24"/>
          <w:szCs w:val="24"/>
          <w:lang w:val="sq-AL"/>
          <w14:ligatures w14:val="standardContextual"/>
        </w:rPr>
        <w:t>v</w:t>
      </w:r>
      <w:r w:rsidRPr="008419ED">
        <w:rPr>
          <w:rFonts w:ascii="Garamond" w:eastAsiaTheme="minorHAnsi" w:hAnsi="Garamond"/>
          <w:color w:val="000000"/>
          <w:sz w:val="24"/>
          <w:szCs w:val="24"/>
          <w:lang w:val="sq-AL"/>
          <w14:ligatures w14:val="standardContextual"/>
        </w:rPr>
        <w:t xml:space="preserve">endimin e Gjykatës Kushtetuese 34/2021. </w:t>
      </w:r>
    </w:p>
    <w:p w14:paraId="4468F8E7" w14:textId="10572506"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b/>
          <w:bCs/>
          <w:color w:val="000000"/>
          <w:sz w:val="24"/>
          <w:szCs w:val="24"/>
          <w:lang w:val="sq-AL"/>
          <w14:ligatures w14:val="standardContextual"/>
        </w:rPr>
        <w:t xml:space="preserve">b) Vlerësimi i Gjykatës </w:t>
      </w:r>
    </w:p>
    <w:p w14:paraId="4216B3DC" w14:textId="7A3421BB"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8419ED">
        <w:rPr>
          <w:rFonts w:ascii="Garamond" w:eastAsiaTheme="minorHAnsi" w:hAnsi="Garamond"/>
          <w:i/>
          <w:iCs/>
          <w:color w:val="000000"/>
          <w:sz w:val="24"/>
          <w:szCs w:val="24"/>
          <w:lang w:val="sq-AL"/>
          <w14:ligatures w14:val="standardContextual"/>
        </w:rPr>
        <w:t xml:space="preserve">i) Parimet e zbatueshme </w:t>
      </w:r>
    </w:p>
    <w:p w14:paraId="79DD0D5F" w14:textId="4FC17D26"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109. Gjykata thekson se arsyetimi i kohëzgjatjes se procedurave përcaktohet mbështetur në rrethanat e çështjes dhe referuar kritereve të përcaktuara në praktikën gjyqësore të Gjykatës, veçanërisht kompleksitetit të çështjes, sjelljes së kërkuesit dhe të autoriteteve përkatëse, dhe se çfarë ishte në rrezik për kërkuesin në fjalë (shih, midis shumë autoriteteve të tjerë, </w:t>
      </w:r>
      <w:r w:rsidRPr="008419ED">
        <w:rPr>
          <w:rFonts w:ascii="Garamond" w:eastAsiaTheme="minorHAnsi" w:hAnsi="Garamond"/>
          <w:i/>
          <w:iCs/>
          <w:color w:val="000000"/>
          <w:sz w:val="24"/>
          <w:szCs w:val="24"/>
          <w:lang w:val="sq-AL"/>
          <w14:ligatures w14:val="standardContextual"/>
        </w:rPr>
        <w:t>Comingersoll S.A. kundër Portugalisë</w:t>
      </w:r>
      <w:r w:rsidRPr="008419ED">
        <w:rPr>
          <w:rFonts w:ascii="Garamond" w:eastAsiaTheme="minorHAnsi" w:hAnsi="Garamond"/>
          <w:color w:val="000000"/>
          <w:sz w:val="24"/>
          <w:szCs w:val="24"/>
          <w:lang w:val="sq-AL"/>
          <w14:ligatures w14:val="standardContextual"/>
        </w:rPr>
        <w:t xml:space="preserve"> [DHM], nr. 35382/97,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19, GJEDNJ 2000-IV). </w:t>
      </w:r>
    </w:p>
    <w:p w14:paraId="3056F651" w14:textId="7F97A5FF"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110. Në lidhje me kriterin e përmendur në fund, Gjykata konstaton se për sa i përket asaj që rrezikon kërkuesi, mosmarrëveshje të caktuara kërkojnë kujdes të veçantë nga autoritetet vendase. Të tilla mosmarrëveshje përfshijnë mosmarrëveshjet e pensionit (shih </w:t>
      </w:r>
      <w:r w:rsidRPr="008419ED">
        <w:rPr>
          <w:rFonts w:ascii="Garamond" w:eastAsiaTheme="minorHAnsi" w:hAnsi="Garamond"/>
          <w:i/>
          <w:iCs/>
          <w:color w:val="000000"/>
          <w:sz w:val="24"/>
          <w:szCs w:val="24"/>
          <w:lang w:val="sq-AL"/>
          <w14:ligatures w14:val="standardContextual"/>
        </w:rPr>
        <w:t>Bieliński kundër Polonisë</w:t>
      </w:r>
      <w:r w:rsidRPr="008419ED">
        <w:rPr>
          <w:rFonts w:ascii="Garamond" w:eastAsiaTheme="minorHAnsi" w:hAnsi="Garamond"/>
          <w:color w:val="000000"/>
          <w:sz w:val="24"/>
          <w:szCs w:val="24"/>
          <w:lang w:val="sq-AL"/>
          <w14:ligatures w14:val="standardContextual"/>
        </w:rPr>
        <w:t xml:space="preserve">, nr. 48762/19,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48, 21 </w:t>
      </w:r>
      <w:r w:rsidR="00D2142A">
        <w:rPr>
          <w:rFonts w:ascii="Garamond" w:eastAsiaTheme="minorHAnsi" w:hAnsi="Garamond"/>
          <w:color w:val="000000"/>
          <w:sz w:val="24"/>
          <w:szCs w:val="24"/>
          <w:lang w:val="sq-AL"/>
          <w14:ligatures w14:val="standardContextual"/>
        </w:rPr>
        <w:t>k</w:t>
      </w:r>
      <w:r w:rsidRPr="008419ED">
        <w:rPr>
          <w:rFonts w:ascii="Garamond" w:eastAsiaTheme="minorHAnsi" w:hAnsi="Garamond"/>
          <w:color w:val="000000"/>
          <w:sz w:val="24"/>
          <w:szCs w:val="24"/>
          <w:lang w:val="sq-AL"/>
          <w14:ligatures w14:val="standardContextual"/>
        </w:rPr>
        <w:t xml:space="preserve">orrik 2022), çështjet në lidhje me statusin dhe kapacitetin civil (shih </w:t>
      </w:r>
      <w:r w:rsidRPr="008419ED">
        <w:rPr>
          <w:rFonts w:ascii="Garamond" w:eastAsiaTheme="minorHAnsi" w:hAnsi="Garamond"/>
          <w:i/>
          <w:iCs/>
          <w:color w:val="000000"/>
          <w:sz w:val="24"/>
          <w:szCs w:val="24"/>
          <w:lang w:val="sq-AL"/>
          <w14:ligatures w14:val="standardContextual"/>
        </w:rPr>
        <w:t>Mikulić kundër Kroacisë</w:t>
      </w:r>
      <w:r w:rsidRPr="008419ED">
        <w:rPr>
          <w:rFonts w:ascii="Garamond" w:eastAsiaTheme="minorHAnsi" w:hAnsi="Garamond"/>
          <w:color w:val="000000"/>
          <w:sz w:val="24"/>
          <w:szCs w:val="24"/>
          <w:lang w:val="sq-AL"/>
          <w14:ligatures w14:val="standardContextual"/>
        </w:rPr>
        <w:t xml:space="preserve">, nr. 53176/99,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44, GJEDNJ 2002-I), çështjet për kujdestarinë e fëmijës (shih </w:t>
      </w:r>
      <w:r w:rsidRPr="008419ED">
        <w:rPr>
          <w:rFonts w:ascii="Garamond" w:eastAsiaTheme="minorHAnsi" w:hAnsi="Garamond"/>
          <w:i/>
          <w:iCs/>
          <w:color w:val="000000"/>
          <w:sz w:val="24"/>
          <w:szCs w:val="24"/>
          <w:lang w:val="sq-AL"/>
          <w14:ligatures w14:val="standardContextual"/>
        </w:rPr>
        <w:t>Hokkanen kundër Finlandës</w:t>
      </w:r>
      <w:r w:rsidRPr="008419ED">
        <w:rPr>
          <w:rFonts w:ascii="Garamond" w:eastAsiaTheme="minorHAnsi" w:hAnsi="Garamond"/>
          <w:color w:val="000000"/>
          <w:sz w:val="24"/>
          <w:szCs w:val="24"/>
          <w:lang w:val="sq-AL"/>
          <w14:ligatures w14:val="standardContextual"/>
        </w:rPr>
        <w:t xml:space="preserve">, 23 </w:t>
      </w:r>
      <w:r w:rsidR="00944CA1">
        <w:rPr>
          <w:rFonts w:ascii="Garamond" w:eastAsiaTheme="minorHAnsi" w:hAnsi="Garamond"/>
          <w:color w:val="000000"/>
          <w:sz w:val="24"/>
          <w:szCs w:val="24"/>
          <w:lang w:val="sq-AL"/>
          <w14:ligatures w14:val="standardContextual"/>
        </w:rPr>
        <w:t>s</w:t>
      </w:r>
      <w:r w:rsidRPr="008419ED">
        <w:rPr>
          <w:rFonts w:ascii="Garamond" w:eastAsiaTheme="minorHAnsi" w:hAnsi="Garamond"/>
          <w:color w:val="000000"/>
          <w:sz w:val="24"/>
          <w:szCs w:val="24"/>
          <w:lang w:val="sq-AL"/>
          <w14:ligatures w14:val="standardContextual"/>
        </w:rPr>
        <w:t xml:space="preserve">htator 1994,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72, </w:t>
      </w:r>
      <w:r w:rsidR="00D2142A">
        <w:rPr>
          <w:rFonts w:ascii="Garamond" w:eastAsiaTheme="minorHAnsi" w:hAnsi="Garamond"/>
          <w:color w:val="000000"/>
          <w:sz w:val="24"/>
          <w:szCs w:val="24"/>
          <w:lang w:val="sq-AL"/>
          <w14:ligatures w14:val="standardContextual"/>
        </w:rPr>
        <w:t>s</w:t>
      </w:r>
      <w:r w:rsidRPr="008419ED">
        <w:rPr>
          <w:rFonts w:ascii="Garamond" w:eastAsiaTheme="minorHAnsi" w:hAnsi="Garamond"/>
          <w:color w:val="000000"/>
          <w:sz w:val="24"/>
          <w:szCs w:val="24"/>
          <w:lang w:val="sq-AL"/>
          <w14:ligatures w14:val="standardContextual"/>
        </w:rPr>
        <w:t xml:space="preserve">eritë A nr. 299-A) dhe mosmarrëveshjet e punësimit (shih </w:t>
      </w:r>
      <w:r w:rsidRPr="008419ED">
        <w:rPr>
          <w:rFonts w:ascii="Garamond" w:eastAsiaTheme="minorHAnsi" w:hAnsi="Garamond"/>
          <w:i/>
          <w:iCs/>
          <w:color w:val="000000"/>
          <w:sz w:val="24"/>
          <w:szCs w:val="24"/>
          <w:lang w:val="sq-AL"/>
          <w14:ligatures w14:val="standardContextual"/>
        </w:rPr>
        <w:t xml:space="preserve">Frydlender kundër Francës </w:t>
      </w:r>
      <w:r w:rsidRPr="008419ED">
        <w:rPr>
          <w:rFonts w:ascii="Garamond" w:eastAsiaTheme="minorHAnsi" w:hAnsi="Garamond"/>
          <w:color w:val="000000"/>
          <w:sz w:val="24"/>
          <w:szCs w:val="24"/>
          <w:lang w:val="sq-AL"/>
          <w14:ligatures w14:val="standardContextual"/>
        </w:rPr>
        <w:t xml:space="preserve">[DHM], nr. 30979/96,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45, GJEDNJ 2000-VII). </w:t>
      </w:r>
    </w:p>
    <w:p w14:paraId="13343E32" w14:textId="734123C5"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111. Sidoqoftë, Gjykata ka konstatuar edhe shkelje të së drejtës për t’u dëgjuar brenda një afati të arsyeshëm në çështjet që nuk kërkojnë ndonjë prioritet të veçantë, si edhe mosmarrëveshjet që përfshijnë kryesisht interesat financiarë (shih, së fundmi, </w:t>
      </w:r>
      <w:r w:rsidRPr="008419ED">
        <w:rPr>
          <w:rFonts w:ascii="Garamond" w:eastAsiaTheme="minorHAnsi" w:hAnsi="Garamond"/>
          <w:i/>
          <w:iCs/>
          <w:color w:val="000000"/>
          <w:sz w:val="24"/>
          <w:szCs w:val="24"/>
          <w:lang w:val="sq-AL"/>
          <w14:ligatures w14:val="standardContextual"/>
        </w:rPr>
        <w:t xml:space="preserve">Altius Insurance LTD, </w:t>
      </w:r>
      <w:r w:rsidRPr="008419ED">
        <w:rPr>
          <w:rFonts w:ascii="Garamond" w:eastAsiaTheme="minorHAnsi" w:hAnsi="Garamond"/>
          <w:color w:val="000000"/>
          <w:sz w:val="24"/>
          <w:szCs w:val="24"/>
          <w:lang w:val="sq-AL"/>
          <w14:ligatures w14:val="standardContextual"/>
        </w:rPr>
        <w:t xml:space="preserve">cituar më sipër,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88, dhe </w:t>
      </w:r>
      <w:r w:rsidRPr="008419ED">
        <w:rPr>
          <w:rFonts w:ascii="Garamond" w:eastAsiaTheme="minorHAnsi" w:hAnsi="Garamond"/>
          <w:i/>
          <w:iCs/>
          <w:color w:val="000000"/>
          <w:sz w:val="24"/>
          <w:szCs w:val="24"/>
          <w:lang w:val="sq-AL"/>
          <w14:ligatures w14:val="standardContextual"/>
        </w:rPr>
        <w:t>Gherardi Martiri kundër San Marinos</w:t>
      </w:r>
      <w:r w:rsidRPr="008419ED">
        <w:rPr>
          <w:rFonts w:ascii="Garamond" w:eastAsiaTheme="minorHAnsi" w:hAnsi="Garamond"/>
          <w:color w:val="000000"/>
          <w:sz w:val="24"/>
          <w:szCs w:val="24"/>
          <w:lang w:val="sq-AL"/>
          <w14:ligatures w14:val="standardContextual"/>
        </w:rPr>
        <w:t xml:space="preserve">, nr. 35511/20,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129, 15 </w:t>
      </w:r>
      <w:r w:rsidR="00B92E2E">
        <w:rPr>
          <w:rFonts w:ascii="Garamond" w:eastAsiaTheme="minorHAnsi" w:hAnsi="Garamond"/>
          <w:color w:val="000000"/>
          <w:sz w:val="24"/>
          <w:szCs w:val="24"/>
          <w:lang w:val="sq-AL"/>
          <w14:ligatures w14:val="standardContextual"/>
        </w:rPr>
        <w:t>d</w:t>
      </w:r>
      <w:r w:rsidRPr="008419ED">
        <w:rPr>
          <w:rFonts w:ascii="Garamond" w:eastAsiaTheme="minorHAnsi" w:hAnsi="Garamond"/>
          <w:color w:val="000000"/>
          <w:sz w:val="24"/>
          <w:szCs w:val="24"/>
          <w:lang w:val="sq-AL"/>
          <w14:ligatures w14:val="standardContextual"/>
        </w:rPr>
        <w:t xml:space="preserve">hjetor 2022). </w:t>
      </w:r>
    </w:p>
    <w:p w14:paraId="5A54EBB0" w14:textId="762950C7"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i/>
          <w:iCs/>
          <w:color w:val="000000"/>
          <w:sz w:val="24"/>
          <w:szCs w:val="24"/>
          <w:lang w:val="sq-AL"/>
          <w14:ligatures w14:val="standardContextual"/>
        </w:rPr>
        <w:t>ii) Zbatimi i parimeve në çështjen konkrete</w:t>
      </w:r>
    </w:p>
    <w:p w14:paraId="3D84C20B" w14:textId="4BB03001"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112. Procedurat filluan më 27 </w:t>
      </w:r>
      <w:r w:rsidR="00D2142A">
        <w:rPr>
          <w:rFonts w:ascii="Garamond" w:eastAsiaTheme="minorHAnsi" w:hAnsi="Garamond"/>
          <w:color w:val="000000"/>
          <w:sz w:val="24"/>
          <w:szCs w:val="24"/>
          <w:lang w:val="sq-AL"/>
          <w14:ligatures w14:val="standardContextual"/>
        </w:rPr>
        <w:t>m</w:t>
      </w:r>
      <w:r w:rsidRPr="008419ED">
        <w:rPr>
          <w:rFonts w:ascii="Garamond" w:eastAsiaTheme="minorHAnsi" w:hAnsi="Garamond"/>
          <w:color w:val="000000"/>
          <w:sz w:val="24"/>
          <w:szCs w:val="24"/>
          <w:lang w:val="sq-AL"/>
          <w14:ligatures w14:val="standardContextual"/>
        </w:rPr>
        <w:t xml:space="preserve">aj 2014 (shih paragrafin 5 më sipër). </w:t>
      </w:r>
    </w:p>
    <w:p w14:paraId="2914FB43" w14:textId="68997E78"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113. Në lidhje me pikën fundore, Gjykata do të mbajë një qasje që më herët është përdorur në çështje të ngjashme ku gjykatat vendase nuk kanë konstatuar shkelje të kërkesës për “afat të arsyeshëm” (shih </w:t>
      </w:r>
      <w:r w:rsidRPr="008419ED">
        <w:rPr>
          <w:rFonts w:ascii="Garamond" w:eastAsiaTheme="minorHAnsi" w:hAnsi="Garamond"/>
          <w:i/>
          <w:iCs/>
          <w:color w:val="000000"/>
          <w:sz w:val="24"/>
          <w:szCs w:val="24"/>
          <w:lang w:val="sq-AL"/>
          <w14:ligatures w14:val="standardContextual"/>
        </w:rPr>
        <w:t>Kozlica kundër Kroacisë</w:t>
      </w:r>
      <w:r w:rsidRPr="008419ED">
        <w:rPr>
          <w:rFonts w:ascii="Garamond" w:eastAsiaTheme="minorHAnsi" w:hAnsi="Garamond"/>
          <w:color w:val="000000"/>
          <w:sz w:val="24"/>
          <w:szCs w:val="24"/>
          <w:lang w:val="sq-AL"/>
          <w14:ligatures w14:val="standardContextual"/>
        </w:rPr>
        <w:t xml:space="preserve">, nr. 29182/03, §23, 2 </w:t>
      </w:r>
      <w:r w:rsidR="00D2142A">
        <w:rPr>
          <w:rFonts w:ascii="Garamond" w:eastAsiaTheme="minorHAnsi" w:hAnsi="Garamond"/>
          <w:color w:val="000000"/>
          <w:sz w:val="24"/>
          <w:szCs w:val="24"/>
          <w:lang w:val="sq-AL"/>
          <w14:ligatures w14:val="standardContextual"/>
        </w:rPr>
        <w:t>n</w:t>
      </w:r>
      <w:r w:rsidRPr="008419ED">
        <w:rPr>
          <w:rFonts w:ascii="Garamond" w:eastAsiaTheme="minorHAnsi" w:hAnsi="Garamond"/>
          <w:color w:val="000000"/>
          <w:sz w:val="24"/>
          <w:szCs w:val="24"/>
          <w:lang w:val="sq-AL"/>
          <w14:ligatures w14:val="standardContextual"/>
        </w:rPr>
        <w:t xml:space="preserve">ëntor 2006 dhe çështjet e cituara në të). Më specifikisht, Gjykata Kushtetuese e rrëzoi rekursin e kompanisë kërkuese më 1 </w:t>
      </w:r>
      <w:r w:rsidR="00D2142A" w:rsidRPr="008419ED">
        <w:rPr>
          <w:rFonts w:ascii="Garamond" w:eastAsiaTheme="minorHAnsi" w:hAnsi="Garamond"/>
          <w:color w:val="000000"/>
          <w:sz w:val="24"/>
          <w:szCs w:val="24"/>
          <w:lang w:val="sq-AL"/>
          <w14:ligatures w14:val="standardContextual"/>
        </w:rPr>
        <w:t xml:space="preserve">nëntor </w:t>
      </w:r>
      <w:r w:rsidRPr="008419ED">
        <w:rPr>
          <w:rFonts w:ascii="Garamond" w:eastAsiaTheme="minorHAnsi" w:hAnsi="Garamond"/>
          <w:color w:val="000000"/>
          <w:sz w:val="24"/>
          <w:szCs w:val="24"/>
          <w:lang w:val="sq-AL"/>
          <w14:ligatures w14:val="standardContextual"/>
        </w:rPr>
        <w:t xml:space="preserve">2021, dhe më pas përsëri më 20 </w:t>
      </w:r>
      <w:r w:rsidR="00D2142A">
        <w:rPr>
          <w:rFonts w:ascii="Garamond" w:eastAsiaTheme="minorHAnsi" w:hAnsi="Garamond"/>
          <w:color w:val="000000"/>
          <w:sz w:val="24"/>
          <w:szCs w:val="24"/>
          <w:lang w:val="sq-AL"/>
          <w14:ligatures w14:val="standardContextual"/>
        </w:rPr>
        <w:t>m</w:t>
      </w:r>
      <w:r w:rsidRPr="008419ED">
        <w:rPr>
          <w:rFonts w:ascii="Garamond" w:eastAsiaTheme="minorHAnsi" w:hAnsi="Garamond"/>
          <w:color w:val="000000"/>
          <w:sz w:val="24"/>
          <w:szCs w:val="24"/>
          <w:lang w:val="sq-AL"/>
          <w14:ligatures w14:val="standardContextual"/>
        </w:rPr>
        <w:t xml:space="preserve">aj 2022 dhe 21 nëntor 2024 (shih paragrafët 10, 20 dhe 22 më sipër). Në këto rrethana, Gjykatës i kërkohet të verifikojë nëse gjetjet e Gjykatës Kushtetuese janë konsistente me parimet e Konventës, të interpretuara sipas praktikës gjyqësore të Gjykatës. Në këtë mënyrë, Gjykata duhet të shqyrtojë periudhën nga 27 </w:t>
      </w:r>
      <w:r w:rsidR="00944CA1" w:rsidRPr="008419ED">
        <w:rPr>
          <w:rFonts w:ascii="Garamond" w:eastAsiaTheme="minorHAnsi" w:hAnsi="Garamond"/>
          <w:color w:val="000000"/>
          <w:sz w:val="24"/>
          <w:szCs w:val="24"/>
          <w:lang w:val="sq-AL"/>
          <w14:ligatures w14:val="standardContextual"/>
        </w:rPr>
        <w:t xml:space="preserve">maji </w:t>
      </w:r>
      <w:r w:rsidRPr="008419ED">
        <w:rPr>
          <w:rFonts w:ascii="Garamond" w:eastAsiaTheme="minorHAnsi" w:hAnsi="Garamond"/>
          <w:color w:val="000000"/>
          <w:sz w:val="24"/>
          <w:szCs w:val="24"/>
          <w:lang w:val="sq-AL"/>
          <w14:ligatures w14:val="standardContextual"/>
        </w:rPr>
        <w:t xml:space="preserve">2024, kur filluan procedurat, deri më 21 </w:t>
      </w:r>
      <w:r w:rsidR="00B92E2E">
        <w:rPr>
          <w:rFonts w:ascii="Garamond" w:eastAsiaTheme="minorHAnsi" w:hAnsi="Garamond"/>
          <w:color w:val="000000"/>
          <w:sz w:val="24"/>
          <w:szCs w:val="24"/>
          <w:lang w:val="sq-AL"/>
          <w14:ligatures w14:val="standardContextual"/>
        </w:rPr>
        <w:t>n</w:t>
      </w:r>
      <w:r w:rsidRPr="008419ED">
        <w:rPr>
          <w:rFonts w:ascii="Garamond" w:eastAsiaTheme="minorHAnsi" w:hAnsi="Garamond"/>
          <w:color w:val="000000"/>
          <w:sz w:val="24"/>
          <w:szCs w:val="24"/>
          <w:lang w:val="sq-AL"/>
          <w14:ligatures w14:val="standardContextual"/>
        </w:rPr>
        <w:t xml:space="preserve">ëntor 2024, kur Gjykata Kushtetuese miratoi vendimin e saj të tretë. Gjithashtu, vendimi përfundimtar i Gjykatës së Lartë që rrëzonte apelimin e kompanisë kërkuese u miratua vetëm gjashtë ditë pas vendimit të tretë të Gjykatës Kushtetuese. Në këto rrethana, u kërkua një shqyrtim real i kohëzgjatjes totale deri më 27 </w:t>
      </w:r>
      <w:r w:rsidR="00D2142A" w:rsidRPr="008419ED">
        <w:rPr>
          <w:rFonts w:ascii="Garamond" w:eastAsiaTheme="minorHAnsi" w:hAnsi="Garamond"/>
          <w:color w:val="000000"/>
          <w:sz w:val="24"/>
          <w:szCs w:val="24"/>
          <w:lang w:val="sq-AL"/>
          <w14:ligatures w14:val="standardContextual"/>
        </w:rPr>
        <w:t xml:space="preserve">nëntor </w:t>
      </w:r>
      <w:r w:rsidRPr="008419ED">
        <w:rPr>
          <w:rFonts w:ascii="Garamond" w:eastAsiaTheme="minorHAnsi" w:hAnsi="Garamond"/>
          <w:color w:val="000000"/>
          <w:sz w:val="24"/>
          <w:szCs w:val="24"/>
          <w:lang w:val="sq-AL"/>
          <w14:ligatures w14:val="standardContextual"/>
        </w:rPr>
        <w:t xml:space="preserve">2024, kur përfunduan procedurat (shih paragrafin 7 më sipër). </w:t>
      </w:r>
    </w:p>
    <w:p w14:paraId="24F7F5F5" w14:textId="59776D3B"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114. Gjykata bie dakord me vlerësimin e Gjykatës Kushtetuese se çështja paraqiste </w:t>
      </w:r>
      <w:r w:rsidRPr="008419ED">
        <w:rPr>
          <w:rFonts w:ascii="Garamond" w:eastAsiaTheme="minorHAnsi" w:hAnsi="Garamond"/>
          <w:i/>
          <w:iCs/>
          <w:color w:val="000000"/>
          <w:sz w:val="24"/>
          <w:szCs w:val="24"/>
          <w:lang w:val="sq-AL"/>
          <w14:ligatures w14:val="standardContextual"/>
        </w:rPr>
        <w:t xml:space="preserve">prima facie </w:t>
      </w:r>
      <w:r w:rsidRPr="008419ED">
        <w:rPr>
          <w:rFonts w:ascii="Garamond" w:eastAsiaTheme="minorHAnsi" w:hAnsi="Garamond"/>
          <w:color w:val="000000"/>
          <w:sz w:val="24"/>
          <w:szCs w:val="24"/>
          <w:lang w:val="sq-AL"/>
          <w14:ligatures w14:val="standardContextual"/>
        </w:rPr>
        <w:t xml:space="preserve">një vonesë të tejzgjatur (shih paragrafin 13 më sipër), veçanërisht për sa i përket kohëzgjatjes në Gjykatën e Lartë, ku çështja mbeti e pashqyrtuar që prej datës 20 </w:t>
      </w:r>
      <w:r w:rsidR="00D2142A" w:rsidRPr="008419ED">
        <w:rPr>
          <w:rFonts w:ascii="Garamond" w:eastAsiaTheme="minorHAnsi" w:hAnsi="Garamond"/>
          <w:color w:val="000000"/>
          <w:sz w:val="24"/>
          <w:szCs w:val="24"/>
          <w:lang w:val="sq-AL"/>
          <w14:ligatures w14:val="standardContextual"/>
        </w:rPr>
        <w:t xml:space="preserve">maj </w:t>
      </w:r>
      <w:r w:rsidRPr="008419ED">
        <w:rPr>
          <w:rFonts w:ascii="Garamond" w:eastAsiaTheme="minorHAnsi" w:hAnsi="Garamond"/>
          <w:color w:val="000000"/>
          <w:sz w:val="24"/>
          <w:szCs w:val="24"/>
          <w:lang w:val="sq-AL"/>
          <w14:ligatures w14:val="standardContextual"/>
        </w:rPr>
        <w:t xml:space="preserve">2016 (shih paragrafin 7 më sipër). </w:t>
      </w:r>
    </w:p>
    <w:p w14:paraId="57A38FD2" w14:textId="38409C6C"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115. Megjithatë, Gjykata nuk është e bindur se i është treguar se procedurat ishin të ndonjë kompleksiteti të veçantë (shih paragrafin 16 më sipër). Çështja kryesore përpara gjykatës së shkallës së parë dhe të apelit ishte nëse kompania kërkuese kishte pësuar ndonjë dëm të paligjshëm nga masat e një banke lokale (shih paragrafët 5</w:t>
      </w:r>
      <w:r w:rsidR="00C63413">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6</w:t>
      </w:r>
      <w:r w:rsidR="00C63413">
        <w:rPr>
          <w:rFonts w:ascii="Garamond" w:eastAsiaTheme="minorHAnsi" w:hAnsi="Garamond"/>
          <w:color w:val="000000"/>
          <w:sz w:val="24"/>
          <w:szCs w:val="24"/>
          <w:lang w:val="sq-AL"/>
          <w14:ligatures w14:val="standardContextual"/>
        </w:rPr>
        <w:t xml:space="preserve"> </w:t>
      </w:r>
      <w:r w:rsidRPr="008419ED">
        <w:rPr>
          <w:rFonts w:ascii="Garamond" w:eastAsiaTheme="minorHAnsi" w:hAnsi="Garamond"/>
          <w:color w:val="000000"/>
          <w:sz w:val="24"/>
          <w:szCs w:val="24"/>
          <w:lang w:val="sq-AL"/>
          <w14:ligatures w14:val="standardContextual"/>
        </w:rPr>
        <w:t xml:space="preserve">më sipër). Faktet dhe argumentet që kanë lidhje me mosmarrëveshjen tashmë ishin diskutuar në dy nivele juridiksioni, dhe nuk ishte identifikuar asnjë problematikë juridike e re, apo ndonjë praktikë gjyqësore divergjente që do të kishin kërkuar një shqyrtim të gjerë nga Gjykata e Lartë (shih </w:t>
      </w:r>
      <w:r w:rsidR="00C63413">
        <w:rPr>
          <w:rFonts w:ascii="Garamond" w:eastAsiaTheme="minorHAnsi" w:hAnsi="Garamond"/>
          <w:color w:val="000000"/>
          <w:sz w:val="24"/>
          <w:szCs w:val="24"/>
          <w:lang w:val="sq-AL"/>
          <w14:ligatures w14:val="standardContextual"/>
        </w:rPr>
        <w:t>n</w:t>
      </w:r>
      <w:r w:rsidRPr="008419ED">
        <w:rPr>
          <w:rFonts w:ascii="Garamond" w:eastAsiaTheme="minorHAnsi" w:hAnsi="Garamond"/>
          <w:color w:val="000000"/>
          <w:sz w:val="24"/>
          <w:szCs w:val="24"/>
          <w:lang w:val="sq-AL"/>
          <w14:ligatures w14:val="standardContextual"/>
        </w:rPr>
        <w:t>enin 472</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1 i KPC</w:t>
      </w:r>
      <w:r w:rsidR="00C63413">
        <w:rPr>
          <w:rFonts w:ascii="Garamond" w:eastAsiaTheme="minorHAnsi" w:hAnsi="Garamond"/>
          <w:color w:val="000000"/>
          <w:sz w:val="24"/>
          <w:szCs w:val="24"/>
          <w:lang w:val="sq-AL"/>
          <w14:ligatures w14:val="standardContextual"/>
        </w:rPr>
        <w:t>-së</w:t>
      </w:r>
      <w:r w:rsidRPr="008419ED">
        <w:rPr>
          <w:rFonts w:ascii="Garamond" w:eastAsiaTheme="minorHAnsi" w:hAnsi="Garamond"/>
          <w:color w:val="000000"/>
          <w:sz w:val="24"/>
          <w:szCs w:val="24"/>
          <w:lang w:val="sq-AL"/>
          <w14:ligatures w14:val="standardContextual"/>
        </w:rPr>
        <w:t>, cituar në paragrafin 68 më sipër, për arsyet e limituara në të cilat mund të depozitohej një apelim në Gjykatën e Lartë). Vet</w:t>
      </w:r>
      <w:r w:rsidR="00AD7C3E">
        <w:rPr>
          <w:rFonts w:ascii="Garamond" w:eastAsiaTheme="minorHAnsi" w:hAnsi="Garamond"/>
          <w:color w:val="000000"/>
          <w:sz w:val="24"/>
          <w:szCs w:val="24"/>
          <w:lang w:val="sq-AL"/>
          <w14:ligatures w14:val="standardContextual"/>
        </w:rPr>
        <w:t>ë</w:t>
      </w:r>
      <w:r w:rsidRPr="008419ED">
        <w:rPr>
          <w:rFonts w:ascii="Garamond" w:eastAsiaTheme="minorHAnsi" w:hAnsi="Garamond"/>
          <w:color w:val="000000"/>
          <w:sz w:val="24"/>
          <w:szCs w:val="24"/>
          <w:lang w:val="sq-AL"/>
          <w14:ligatures w14:val="standardContextual"/>
        </w:rPr>
        <w:t xml:space="preserve"> Gjykata Kushtetuese arriti një përfundim të ngjashëm, edhe pse kjo ishte hera e tretë që ajo shqyrtonte ankesën e kompanisë kërkuese për kohëzgjatjen e procedurave (shih paragrafin 24 më sipër). Së fundmi, Gjykata e Lartë rrëzoi apelimin me anë të një vendimi </w:t>
      </w:r>
      <w:r w:rsidRPr="008419ED">
        <w:rPr>
          <w:rFonts w:ascii="Garamond" w:eastAsiaTheme="minorHAnsi" w:hAnsi="Garamond"/>
          <w:i/>
          <w:iCs/>
          <w:color w:val="000000"/>
          <w:sz w:val="24"/>
          <w:szCs w:val="24"/>
          <w:lang w:val="sq-AL"/>
          <w14:ligatures w14:val="standardContextual"/>
        </w:rPr>
        <w:t>de plano</w:t>
      </w:r>
      <w:r w:rsidRPr="008419ED">
        <w:rPr>
          <w:rFonts w:ascii="Garamond" w:eastAsiaTheme="minorHAnsi" w:hAnsi="Garamond"/>
          <w:color w:val="000000"/>
          <w:sz w:val="24"/>
          <w:szCs w:val="24"/>
          <w:lang w:val="sq-AL"/>
          <w14:ligatures w14:val="standardContextual"/>
        </w:rPr>
        <w:t xml:space="preserve">, duke konstatuar se nuk kishte arsye për një shqyrtim rekursi (shih paragrafin 7 më sipër). Në këtë mënyrë, Gjykata nuk mendon se kompleksiteti i çështjes luante një rol në vonesë. </w:t>
      </w:r>
    </w:p>
    <w:p w14:paraId="38D140A2" w14:textId="4775F286"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116. Në rrethanat e çështjes, rezulton se arsyeja kryesore për vonesën mbetet </w:t>
      </w:r>
      <w:r w:rsidRPr="00C63413">
        <w:rPr>
          <w:rFonts w:ascii="Garamond" w:eastAsiaTheme="minorHAnsi" w:hAnsi="Garamond"/>
          <w:i/>
          <w:color w:val="000000"/>
          <w:sz w:val="24"/>
          <w:szCs w:val="24"/>
          <w:lang w:val="sq-AL"/>
          <w14:ligatures w14:val="standardContextual"/>
        </w:rPr>
        <w:t>backlog</w:t>
      </w:r>
      <w:r w:rsidRPr="008419ED">
        <w:rPr>
          <w:rFonts w:ascii="Garamond" w:eastAsiaTheme="minorHAnsi" w:hAnsi="Garamond"/>
          <w:color w:val="000000"/>
          <w:sz w:val="24"/>
          <w:szCs w:val="24"/>
          <w:lang w:val="sq-AL"/>
          <w14:ligatures w14:val="standardContextual"/>
        </w:rPr>
        <w:t xml:space="preserve">-u i Gjykatës së Lartë. Nuk ka asnjë tregues se Gjykata e Lartë zhvilloi seanca dëgjimore apo ndërmori ndonjë procedurë tjetër formale për shqyrtimin e çështjes përpara datës së vendimit të saj. </w:t>
      </w:r>
    </w:p>
    <w:p w14:paraId="4EA95C6B" w14:textId="19061D17"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117. Gjithashtu Gjykata bie dakord me përfundimin e Gjykatës Kushtetuese se kompania kërkuese nuk ishte përgjegjëse për vonesën (shih paragrafin 14 më sipër). </w:t>
      </w:r>
    </w:p>
    <w:p w14:paraId="524B5F58" w14:textId="7DC910CB"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118. Për sa ka të bëjë me çfarë rrezikonte kompania kërkuese, Gjykata Kushtetuese vlerësoi në vendimin e saj të parë se mungesa e një vendimi përfundimtar për mosmarrëveshjen nuk e ekspozonte kompaninë kërkuese ndaj ndonjë rreziku të madh (shih paragrafin 15 më sipër); një linjë e ngjashme arsyetimi dominonte në vendimin e saj të tretë, për shkak të votave të barabarta. Gjykata bie dakord se procedurat konkrete nuk kishin nevojë për ndonjë prioritet të veçantë. Megjithatë, më 1 </w:t>
      </w:r>
      <w:r w:rsidR="008E3CDE" w:rsidRPr="008419ED">
        <w:rPr>
          <w:rFonts w:ascii="Garamond" w:eastAsiaTheme="minorHAnsi" w:hAnsi="Garamond"/>
          <w:color w:val="000000"/>
          <w:sz w:val="24"/>
          <w:szCs w:val="24"/>
          <w:lang w:val="sq-AL"/>
          <w14:ligatures w14:val="standardContextual"/>
        </w:rPr>
        <w:t xml:space="preserve">nëntor </w:t>
      </w:r>
      <w:r w:rsidRPr="008419ED">
        <w:rPr>
          <w:rFonts w:ascii="Garamond" w:eastAsiaTheme="minorHAnsi" w:hAnsi="Garamond"/>
          <w:color w:val="000000"/>
          <w:sz w:val="24"/>
          <w:szCs w:val="24"/>
          <w:lang w:val="sq-AL"/>
          <w14:ligatures w14:val="standardContextual"/>
        </w:rPr>
        <w:t xml:space="preserve">2021, kur Gjykata Kushtetuese gjykoi çështjen për herë të parë, çështja kishte qenë pezull për pesë </w:t>
      </w:r>
      <w:r w:rsidR="008E3CDE">
        <w:rPr>
          <w:rFonts w:ascii="Garamond" w:eastAsiaTheme="minorHAnsi" w:hAnsi="Garamond"/>
          <w:color w:val="000000"/>
          <w:sz w:val="24"/>
          <w:szCs w:val="24"/>
          <w:lang w:val="sq-AL"/>
          <w14:ligatures w14:val="standardContextual"/>
        </w:rPr>
        <w:t>vjet</w:t>
      </w:r>
      <w:r w:rsidRPr="008419ED">
        <w:rPr>
          <w:rFonts w:ascii="Garamond" w:eastAsiaTheme="minorHAnsi" w:hAnsi="Garamond"/>
          <w:color w:val="000000"/>
          <w:sz w:val="24"/>
          <w:szCs w:val="24"/>
          <w:lang w:val="sq-AL"/>
          <w14:ligatures w14:val="standardContextual"/>
        </w:rPr>
        <w:t xml:space="preserve"> dhe gjashtë muaj në një nivel juridiksioni, më konkretisht Gjykata e Lartë, por asnjë masë përgatitore nuk ishte marrë nga ajo gjykatë për gjykimin e çështjes. Një periudhë e tillë mosveprimi nuk mund të konsiderohet një afat i arsyeshëm në rrethanat konkrete (shih edhe </w:t>
      </w:r>
      <w:r w:rsidRPr="008419ED">
        <w:rPr>
          <w:rFonts w:ascii="Garamond" w:eastAsiaTheme="minorHAnsi" w:hAnsi="Garamond"/>
          <w:i/>
          <w:iCs/>
          <w:color w:val="000000"/>
          <w:sz w:val="24"/>
          <w:szCs w:val="24"/>
          <w:lang w:val="sq-AL"/>
          <w14:ligatures w14:val="standardContextual"/>
        </w:rPr>
        <w:t xml:space="preserve">Bara dhe Kola kundër </w:t>
      </w:r>
      <w:r w:rsidR="00C63413" w:rsidRPr="008419ED">
        <w:rPr>
          <w:rFonts w:ascii="Garamond" w:eastAsiaTheme="minorHAnsi" w:hAnsi="Garamond"/>
          <w:i/>
          <w:iCs/>
          <w:color w:val="000000"/>
          <w:sz w:val="24"/>
          <w:szCs w:val="24"/>
          <w:lang w:val="sq-AL"/>
          <w14:ligatures w14:val="standardContextual"/>
        </w:rPr>
        <w:t>Shqipërisë</w:t>
      </w:r>
      <w:r w:rsidRPr="008419ED">
        <w:rPr>
          <w:rFonts w:ascii="Garamond" w:eastAsiaTheme="minorHAnsi" w:hAnsi="Garamond"/>
          <w:color w:val="000000"/>
          <w:sz w:val="24"/>
          <w:szCs w:val="24"/>
          <w:lang w:val="sq-AL"/>
          <w14:ligatures w14:val="standardContextual"/>
        </w:rPr>
        <w:t xml:space="preserve">, cituar më sipër,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72 dhe </w:t>
      </w:r>
      <w:r w:rsidRPr="008419ED">
        <w:rPr>
          <w:rFonts w:ascii="Garamond" w:eastAsiaTheme="minorHAnsi" w:hAnsi="Garamond"/>
          <w:i/>
          <w:iCs/>
          <w:color w:val="000000"/>
          <w:sz w:val="24"/>
          <w:szCs w:val="24"/>
          <w:lang w:val="sq-AL"/>
          <w14:ligatures w14:val="standardContextual"/>
        </w:rPr>
        <w:t xml:space="preserve">Sürmeli kundër Gjermanisë </w:t>
      </w:r>
      <w:r w:rsidRPr="008419ED">
        <w:rPr>
          <w:rFonts w:ascii="Garamond" w:eastAsiaTheme="minorHAnsi" w:hAnsi="Garamond"/>
          <w:color w:val="000000"/>
          <w:sz w:val="24"/>
          <w:szCs w:val="24"/>
          <w:lang w:val="sq-AL"/>
          <w14:ligatures w14:val="standardContextual"/>
        </w:rPr>
        <w:t xml:space="preserve">[DHM], nr. 75529/01,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133, GJEDNJ 2006-VII). Në lidhje me këtë, Gjykata thekson se palët në mosmarrëveshjet civile që nuk kanë nevojë për ndonjë prioritet të veçantë sidoqoftë kanë të drejtë, sipas </w:t>
      </w:r>
      <w:r w:rsidR="00C63413" w:rsidRPr="008419ED">
        <w:rPr>
          <w:rFonts w:ascii="Garamond" w:eastAsiaTheme="minorHAnsi" w:hAnsi="Garamond"/>
          <w:color w:val="000000"/>
          <w:sz w:val="24"/>
          <w:szCs w:val="24"/>
          <w:lang w:val="sq-AL"/>
          <w14:ligatures w14:val="standardContextual"/>
        </w:rPr>
        <w:t xml:space="preserve">nenit </w:t>
      </w:r>
      <w:r w:rsidRPr="008419ED">
        <w:rPr>
          <w:rFonts w:ascii="Garamond" w:eastAsiaTheme="minorHAnsi" w:hAnsi="Garamond"/>
          <w:color w:val="000000"/>
          <w:sz w:val="24"/>
          <w:szCs w:val="24"/>
          <w:lang w:val="sq-AL"/>
          <w14:ligatures w14:val="standardContextual"/>
        </w:rPr>
        <w:t xml:space="preserve">6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1 të Konventës, të dëgjohen brenda një afati të arsyeshëm (shih paragrafin 111 më sipër). Në lidhje me këtë, atyre nuk iu kërkohet që të provojnë se për shkak të vonesave procedurale atyre iu është bërë ndonjë dëm i veçantë apo shtesë. </w:t>
      </w:r>
    </w:p>
    <w:p w14:paraId="30959114" w14:textId="2C694C34"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119. Një faktor tjetër i mbajtur në konsideratë nga Gjykata Kushtetuese në konstatimin se ishte shkelur kërkesa për “afat të arsyeshëm” ishte fakti se sistemi vendas i drejtësisë i ishte nënshtruar një reforme të rëndësishme që prej vitit 2016 (shih paragrafin 17 më sipër; shih gjithashtu për kontekst </w:t>
      </w:r>
      <w:r w:rsidRPr="008419ED">
        <w:rPr>
          <w:rFonts w:ascii="Garamond" w:eastAsiaTheme="minorHAnsi" w:hAnsi="Garamond"/>
          <w:i/>
          <w:iCs/>
          <w:color w:val="000000"/>
          <w:sz w:val="24"/>
          <w:szCs w:val="24"/>
          <w:lang w:val="sq-AL"/>
          <w14:ligatures w14:val="standardContextual"/>
        </w:rPr>
        <w:t xml:space="preserve">Bara dhe Kola, </w:t>
      </w:r>
      <w:r w:rsidRPr="008419ED">
        <w:rPr>
          <w:rFonts w:ascii="Garamond" w:eastAsiaTheme="minorHAnsi" w:hAnsi="Garamond"/>
          <w:color w:val="000000"/>
          <w:sz w:val="24"/>
          <w:szCs w:val="24"/>
          <w:lang w:val="sq-AL"/>
          <w14:ligatures w14:val="standardContextual"/>
        </w:rPr>
        <w:t>cituar më sipër,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24</w:t>
      </w:r>
      <w:r w:rsidR="00BE3882">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25), teksa e pranonte se një argument i tillë, në vetvete, nuk mund të ofronte mjaftueshëm justifikim për vonesat e tejzgjatura. </w:t>
      </w:r>
    </w:p>
    <w:p w14:paraId="74EB8B7F" w14:textId="54A08628"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120. Gjykata përsërit – siç e kishte përmendur tashmë në çështjen </w:t>
      </w:r>
      <w:r w:rsidRPr="008419ED">
        <w:rPr>
          <w:rFonts w:ascii="Garamond" w:eastAsiaTheme="minorHAnsi" w:hAnsi="Garamond"/>
          <w:i/>
          <w:iCs/>
          <w:color w:val="000000"/>
          <w:sz w:val="24"/>
          <w:szCs w:val="24"/>
          <w:lang w:val="sq-AL"/>
          <w14:ligatures w14:val="standardContextual"/>
        </w:rPr>
        <w:t xml:space="preserve">Bara dhe Kola </w:t>
      </w:r>
      <w:r w:rsidRPr="008419ED">
        <w:rPr>
          <w:rFonts w:ascii="Garamond" w:eastAsiaTheme="minorHAnsi" w:hAnsi="Garamond"/>
          <w:color w:val="000000"/>
          <w:sz w:val="24"/>
          <w:szCs w:val="24"/>
          <w:lang w:val="sq-AL"/>
          <w14:ligatures w14:val="standardContextual"/>
        </w:rPr>
        <w:t xml:space="preserve">(ibid.,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69), se vonesat në Gjykatën e Lartë ishin serioze edhe përpara reformës së vitit 2016. Gjithashtu, Shtetet kanë detyrimin e përgjithshëm që të organizojnë sistemet e tyre juridike – edhe kur miratojnë dhe zbatojnë reforma – për të garantuar respektimin e kërkesave të </w:t>
      </w:r>
      <w:r w:rsidR="003D5F64" w:rsidRPr="008419ED">
        <w:rPr>
          <w:rFonts w:ascii="Garamond" w:eastAsiaTheme="minorHAnsi" w:hAnsi="Garamond"/>
          <w:color w:val="000000"/>
          <w:sz w:val="24"/>
          <w:szCs w:val="24"/>
          <w:lang w:val="sq-AL"/>
          <w14:ligatures w14:val="standardContextual"/>
        </w:rPr>
        <w:t xml:space="preserve">nenit </w:t>
      </w:r>
      <w:r w:rsidRPr="008419ED">
        <w:rPr>
          <w:rFonts w:ascii="Garamond" w:eastAsiaTheme="minorHAnsi" w:hAnsi="Garamond"/>
          <w:color w:val="000000"/>
          <w:sz w:val="24"/>
          <w:szCs w:val="24"/>
          <w:lang w:val="sq-AL"/>
          <w14:ligatures w14:val="standardContextual"/>
        </w:rPr>
        <w:t>6</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1, duke përfshirë kërkesën për t’u dëgjuar brenda një afati të arsyeshëm (krahaso </w:t>
      </w:r>
      <w:r w:rsidRPr="008419ED">
        <w:rPr>
          <w:rFonts w:ascii="Garamond" w:eastAsiaTheme="minorHAnsi" w:hAnsi="Garamond"/>
          <w:i/>
          <w:iCs/>
          <w:color w:val="000000"/>
          <w:sz w:val="24"/>
          <w:szCs w:val="24"/>
          <w:lang w:val="sq-AL"/>
          <w14:ligatures w14:val="standardContextual"/>
        </w:rPr>
        <w:t>Fisanotti</w:t>
      </w:r>
      <w:r w:rsidRPr="008419ED">
        <w:rPr>
          <w:rFonts w:ascii="Garamond" w:eastAsiaTheme="minorHAnsi" w:hAnsi="Garamond"/>
          <w:color w:val="000000"/>
          <w:sz w:val="24"/>
          <w:szCs w:val="24"/>
          <w:lang w:val="sq-AL"/>
          <w14:ligatures w14:val="standardContextual"/>
        </w:rPr>
        <w:t xml:space="preserve">, cituar më sipër,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22; </w:t>
      </w:r>
      <w:r w:rsidRPr="008419ED">
        <w:rPr>
          <w:rFonts w:ascii="Garamond" w:eastAsiaTheme="minorHAnsi" w:hAnsi="Garamond"/>
          <w:i/>
          <w:iCs/>
          <w:color w:val="000000"/>
          <w:sz w:val="24"/>
          <w:szCs w:val="24"/>
          <w:lang w:val="sq-AL"/>
          <w14:ligatures w14:val="standardContextual"/>
        </w:rPr>
        <w:t>Krastanov kundër Bullgarisë</w:t>
      </w:r>
      <w:r w:rsidRPr="008419ED">
        <w:rPr>
          <w:rFonts w:ascii="Garamond" w:eastAsiaTheme="minorHAnsi" w:hAnsi="Garamond"/>
          <w:color w:val="000000"/>
          <w:sz w:val="24"/>
          <w:szCs w:val="24"/>
          <w:lang w:val="sq-AL"/>
          <w14:ligatures w14:val="standardContextual"/>
        </w:rPr>
        <w:t xml:space="preserve">, nr. 50222/99,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74, 30 </w:t>
      </w:r>
      <w:r w:rsidR="003D5F64" w:rsidRPr="008419ED">
        <w:rPr>
          <w:rFonts w:ascii="Garamond" w:eastAsiaTheme="minorHAnsi" w:hAnsi="Garamond"/>
          <w:color w:val="000000"/>
          <w:sz w:val="24"/>
          <w:szCs w:val="24"/>
          <w:lang w:val="sq-AL"/>
          <w14:ligatures w14:val="standardContextual"/>
        </w:rPr>
        <w:t xml:space="preserve">shtator </w:t>
      </w:r>
      <w:r w:rsidRPr="008419ED">
        <w:rPr>
          <w:rFonts w:ascii="Garamond" w:eastAsiaTheme="minorHAnsi" w:hAnsi="Garamond"/>
          <w:color w:val="000000"/>
          <w:sz w:val="24"/>
          <w:szCs w:val="24"/>
          <w:lang w:val="sq-AL"/>
          <w14:ligatures w14:val="standardContextual"/>
        </w:rPr>
        <w:t xml:space="preserve">2004; dhe </w:t>
      </w:r>
      <w:r w:rsidRPr="008419ED">
        <w:rPr>
          <w:rFonts w:ascii="Garamond" w:eastAsiaTheme="minorHAnsi" w:hAnsi="Garamond"/>
          <w:i/>
          <w:iCs/>
          <w:color w:val="000000"/>
          <w:sz w:val="24"/>
          <w:szCs w:val="24"/>
          <w:lang w:val="sq-AL"/>
          <w14:ligatures w14:val="standardContextual"/>
        </w:rPr>
        <w:t>Bara dhe Kola</w:t>
      </w:r>
      <w:r w:rsidRPr="008419ED">
        <w:rPr>
          <w:rFonts w:ascii="Garamond" w:eastAsiaTheme="minorHAnsi" w:hAnsi="Garamond"/>
          <w:color w:val="000000"/>
          <w:sz w:val="24"/>
          <w:szCs w:val="24"/>
          <w:lang w:val="sq-AL"/>
          <w14:ligatures w14:val="standardContextual"/>
        </w:rPr>
        <w:t xml:space="preserve">, cituar më sipër,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70). </w:t>
      </w:r>
    </w:p>
    <w:p w14:paraId="0B53822C" w14:textId="51F52880"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121. Gjykata nuk anashkalon sfidat me të cilat është përballur gjyqësori në Shqipëri në valën e reformave të ndërmarra në dekadën e fundit, duke përfshirë si rezultat i </w:t>
      </w:r>
      <w:r w:rsidRPr="003D5F64">
        <w:rPr>
          <w:rFonts w:ascii="Garamond" w:eastAsiaTheme="minorHAnsi" w:hAnsi="Garamond"/>
          <w:i/>
          <w:color w:val="000000"/>
          <w:sz w:val="24"/>
          <w:szCs w:val="24"/>
          <w:lang w:val="sq-AL"/>
          <w14:ligatures w14:val="standardContextual"/>
        </w:rPr>
        <w:t>vetting</w:t>
      </w:r>
      <w:r w:rsidRPr="008419ED">
        <w:rPr>
          <w:rFonts w:ascii="Garamond" w:eastAsiaTheme="minorHAnsi" w:hAnsi="Garamond"/>
          <w:color w:val="000000"/>
          <w:sz w:val="24"/>
          <w:szCs w:val="24"/>
          <w:lang w:val="sq-AL"/>
          <w14:ligatures w14:val="standardContextual"/>
        </w:rPr>
        <w:t xml:space="preserve">-ut të gjyqtarëve dhe prokurorëve dhe vonesat e shkaktuara nga autoritetet emëruese për plotësimin e vakancave të krijuara. Gjithashtu, ajo pranon – ashtu siç kanë pranuar edhe Komiteti i Ministrave – se në fusha të caktuara është arritur sukses i rëndësishëm, veçanërisht reduktimin e vazhdueshëm në </w:t>
      </w:r>
      <w:r w:rsidRPr="00DD25D1">
        <w:rPr>
          <w:rFonts w:ascii="Garamond" w:eastAsiaTheme="minorHAnsi" w:hAnsi="Garamond"/>
          <w:i/>
          <w:color w:val="000000"/>
          <w:sz w:val="24"/>
          <w:szCs w:val="24"/>
          <w:lang w:val="sq-AL"/>
          <w14:ligatures w14:val="standardContextual"/>
        </w:rPr>
        <w:t>backlog</w:t>
      </w:r>
      <w:r w:rsidRPr="008419ED">
        <w:rPr>
          <w:rFonts w:ascii="Garamond" w:eastAsiaTheme="minorHAnsi" w:hAnsi="Garamond"/>
          <w:color w:val="000000"/>
          <w:sz w:val="24"/>
          <w:szCs w:val="24"/>
          <w:lang w:val="sq-AL"/>
          <w14:ligatures w14:val="standardContextual"/>
        </w:rPr>
        <w:t xml:space="preserve">-un e madh të çështjeve që ishin pezull në Gjykatën e Lartë në vitin 2020, dhe rritjen e normës së evadimit të konstatuar në vitet e fundit. Në të njëjtën kohë, koha mesatare për procedimin e çështjeve rezulton të jetë ende e madhe në gjykatat vendase të shkallës së lartë për të gjitha llojet e çështjeve (shih paragrafin 79 më sipër). </w:t>
      </w:r>
    </w:p>
    <w:p w14:paraId="1DB58F5A" w14:textId="0FEA3E51"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122. Në vijim, Gjykata pranon – në linjë me përfundimet e Gjykatës Kushtetuese (shih paragrafin 76 më sipër), se në përpjekje për të trajtuar </w:t>
      </w:r>
      <w:r w:rsidRPr="003D5F64">
        <w:rPr>
          <w:rFonts w:ascii="Garamond" w:eastAsiaTheme="minorHAnsi" w:hAnsi="Garamond"/>
          <w:i/>
          <w:color w:val="000000"/>
          <w:sz w:val="24"/>
          <w:szCs w:val="24"/>
          <w:lang w:val="sq-AL"/>
          <w14:ligatures w14:val="standardContextual"/>
        </w:rPr>
        <w:t>backlog</w:t>
      </w:r>
      <w:r w:rsidRPr="008419ED">
        <w:rPr>
          <w:rFonts w:ascii="Garamond" w:eastAsiaTheme="minorHAnsi" w:hAnsi="Garamond"/>
          <w:color w:val="000000"/>
          <w:sz w:val="24"/>
          <w:szCs w:val="24"/>
          <w:lang w:val="sq-AL"/>
          <w14:ligatures w14:val="standardContextual"/>
        </w:rPr>
        <w:t xml:space="preserve">-un e madh dhe për të garantuar trajtim të drejtë për të gjitha çështjet e prapambetura, gjykatat vendase mund të kenë hapësira të kufizuara  për të përdorur mjetet përshpejtuese të ofruara nga juridiksioni vendas për çështjet joprioritare. Sidoqoftë, Shtetit të paditur ende i kërkohet që të ofrojë një mjet kompensues efektiv në rrethana të tilla. Faktorët e një natyre të përgjithshme, të tillë si ata të përcaktuar në paragrafin pararendës, mund të merren në konsideratë nga Gjykata, në masën e duhur për përcaktimin e kohëzgjatjes së tejzgjatur të procedurave në një çështje specifike (shih </w:t>
      </w:r>
      <w:r w:rsidRPr="008419ED">
        <w:rPr>
          <w:rFonts w:ascii="Garamond" w:eastAsiaTheme="minorHAnsi" w:hAnsi="Garamond"/>
          <w:i/>
          <w:iCs/>
          <w:color w:val="000000"/>
          <w:sz w:val="24"/>
          <w:szCs w:val="24"/>
          <w:lang w:val="sq-AL"/>
          <w14:ligatures w14:val="standardContextual"/>
        </w:rPr>
        <w:t>P.H. kundër Irlandës</w:t>
      </w:r>
      <w:r w:rsidRPr="008419ED">
        <w:rPr>
          <w:rFonts w:ascii="Garamond" w:eastAsiaTheme="minorHAnsi" w:hAnsi="Garamond"/>
          <w:color w:val="000000"/>
          <w:sz w:val="24"/>
          <w:szCs w:val="24"/>
          <w:lang w:val="sq-AL"/>
          <w14:ligatures w14:val="standardContextual"/>
        </w:rPr>
        <w:t xml:space="preserve"> (vendim) [Komiteti], nr. 45046/16, 10 </w:t>
      </w:r>
      <w:r w:rsidR="003D5F64" w:rsidRPr="008419ED">
        <w:rPr>
          <w:rFonts w:ascii="Garamond" w:eastAsiaTheme="minorHAnsi" w:hAnsi="Garamond"/>
          <w:color w:val="000000"/>
          <w:sz w:val="24"/>
          <w:szCs w:val="24"/>
          <w:lang w:val="sq-AL"/>
          <w14:ligatures w14:val="standardContextual"/>
        </w:rPr>
        <w:t xml:space="preserve">tetor </w:t>
      </w:r>
      <w:r w:rsidRPr="008419ED">
        <w:rPr>
          <w:rFonts w:ascii="Garamond" w:eastAsiaTheme="minorHAnsi" w:hAnsi="Garamond"/>
          <w:color w:val="000000"/>
          <w:sz w:val="24"/>
          <w:szCs w:val="24"/>
          <w:lang w:val="sq-AL"/>
          <w14:ligatures w14:val="standardContextual"/>
        </w:rPr>
        <w:t xml:space="preserve">2017). Në të njëjtën kohë, të vetme ato nuk mund të justifikojnë vonesat e një magnitude të tillë si ajo me të cilën është përballur kompania kërkuese në çështjen konkrete. </w:t>
      </w:r>
    </w:p>
    <w:p w14:paraId="59494077" w14:textId="4A4A8CDE"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123. Për sa më sipër, më 1 </w:t>
      </w:r>
      <w:r w:rsidR="008E491E">
        <w:rPr>
          <w:rFonts w:ascii="Garamond" w:eastAsiaTheme="minorHAnsi" w:hAnsi="Garamond"/>
          <w:color w:val="000000"/>
          <w:sz w:val="24"/>
          <w:szCs w:val="24"/>
          <w:lang w:val="sq-AL"/>
          <w14:ligatures w14:val="standardContextual"/>
        </w:rPr>
        <w:t>n</w:t>
      </w:r>
      <w:r w:rsidRPr="008419ED">
        <w:rPr>
          <w:rFonts w:ascii="Garamond" w:eastAsiaTheme="minorHAnsi" w:hAnsi="Garamond"/>
          <w:color w:val="000000"/>
          <w:sz w:val="24"/>
          <w:szCs w:val="24"/>
          <w:lang w:val="sq-AL"/>
          <w14:ligatures w14:val="standardContextual"/>
        </w:rPr>
        <w:t xml:space="preserve">ëntor 2021, kur Gjykata Kushtetuese gjykoi për herë të parë çështjen në fjalë, kohëzgjatja e procedurave tashmë ishte e madhe. Domosdoshmërisht, ajo e ruajti këtë tejzgjatje gjatë tre </w:t>
      </w:r>
      <w:r w:rsidR="00661964">
        <w:rPr>
          <w:rFonts w:ascii="Garamond" w:eastAsiaTheme="minorHAnsi" w:hAnsi="Garamond"/>
          <w:color w:val="000000"/>
          <w:sz w:val="24"/>
          <w:szCs w:val="24"/>
          <w:lang w:val="sq-AL"/>
          <w14:ligatures w14:val="standardContextual"/>
        </w:rPr>
        <w:t>vjetëve</w:t>
      </w:r>
      <w:r w:rsidRPr="008419ED">
        <w:rPr>
          <w:rFonts w:ascii="Garamond" w:eastAsiaTheme="minorHAnsi" w:hAnsi="Garamond"/>
          <w:color w:val="000000"/>
          <w:sz w:val="24"/>
          <w:szCs w:val="24"/>
          <w:lang w:val="sq-AL"/>
          <w14:ligatures w14:val="standardContextual"/>
        </w:rPr>
        <w:t xml:space="preserve"> dhe një muaji nga data e përmendur për herë të fundit deri më 27 </w:t>
      </w:r>
      <w:r w:rsidR="00B92E2E" w:rsidRPr="008419ED">
        <w:rPr>
          <w:rFonts w:ascii="Garamond" w:eastAsiaTheme="minorHAnsi" w:hAnsi="Garamond"/>
          <w:color w:val="000000"/>
          <w:sz w:val="24"/>
          <w:szCs w:val="24"/>
          <w:lang w:val="sq-AL"/>
          <w14:ligatures w14:val="standardContextual"/>
        </w:rPr>
        <w:t xml:space="preserve">nëntor </w:t>
      </w:r>
      <w:r w:rsidRPr="008419ED">
        <w:rPr>
          <w:rFonts w:ascii="Garamond" w:eastAsiaTheme="minorHAnsi" w:hAnsi="Garamond"/>
          <w:color w:val="000000"/>
          <w:sz w:val="24"/>
          <w:szCs w:val="24"/>
          <w:lang w:val="sq-AL"/>
          <w14:ligatures w14:val="standardContextual"/>
        </w:rPr>
        <w:t xml:space="preserve">2024, kur Gjykata e Lartë e rrëzoi përfundimisht rekursin e kompanisë kërkuese (shih </w:t>
      </w:r>
      <w:r w:rsidRPr="008419ED">
        <w:rPr>
          <w:rFonts w:ascii="Garamond" w:eastAsiaTheme="minorHAnsi" w:hAnsi="Garamond"/>
          <w:i/>
          <w:iCs/>
          <w:color w:val="000000"/>
          <w:sz w:val="24"/>
          <w:szCs w:val="24"/>
          <w:lang w:val="sq-AL"/>
          <w14:ligatures w14:val="standardContextual"/>
        </w:rPr>
        <w:t>Kozlica</w:t>
      </w:r>
      <w:r w:rsidRPr="008419ED">
        <w:rPr>
          <w:rFonts w:ascii="Garamond" w:eastAsiaTheme="minorHAnsi" w:hAnsi="Garamond"/>
          <w:color w:val="000000"/>
          <w:sz w:val="24"/>
          <w:szCs w:val="24"/>
          <w:lang w:val="sq-AL"/>
          <w14:ligatures w14:val="standardContextual"/>
        </w:rPr>
        <w:t xml:space="preserve">, cituar më sipër,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28). Gjykata vëren me shqetësim se të tr</w:t>
      </w:r>
      <w:r w:rsidR="00661964">
        <w:rPr>
          <w:rFonts w:ascii="Garamond" w:eastAsiaTheme="minorHAnsi" w:hAnsi="Garamond"/>
          <w:color w:val="000000"/>
          <w:sz w:val="24"/>
          <w:szCs w:val="24"/>
          <w:lang w:val="sq-AL"/>
          <w14:ligatures w14:val="standardContextual"/>
        </w:rPr>
        <w:t>ia</w:t>
      </w:r>
      <w:r w:rsidRPr="008419ED">
        <w:rPr>
          <w:rFonts w:ascii="Garamond" w:eastAsiaTheme="minorHAnsi" w:hAnsi="Garamond"/>
          <w:color w:val="000000"/>
          <w:sz w:val="24"/>
          <w:szCs w:val="24"/>
          <w:lang w:val="sq-AL"/>
          <w14:ligatures w14:val="standardContextual"/>
        </w:rPr>
        <w:t xml:space="preserve"> vendimet e Gjykatës Kushtetuese kishin ndikim në këtë gjendje, ashtu si edhe fakti se Gjykata e Lartë këmbëngulte me konstatimin se reformat në drejtësi përbënin një “arsye objektive” për vonesat, që nuk i atribuohen Shtetit, pavarësisht kundërshtimit të Gjykatës për këtë pozicion në vendimin </w:t>
      </w:r>
      <w:r w:rsidRPr="008419ED">
        <w:rPr>
          <w:rFonts w:ascii="Garamond" w:eastAsiaTheme="minorHAnsi" w:hAnsi="Garamond"/>
          <w:i/>
          <w:iCs/>
          <w:color w:val="000000"/>
          <w:sz w:val="24"/>
          <w:szCs w:val="24"/>
          <w:lang w:val="sq-AL"/>
          <w14:ligatures w14:val="standardContextual"/>
        </w:rPr>
        <w:t>Bara dhe Kola</w:t>
      </w:r>
      <w:r w:rsidRPr="008419ED">
        <w:rPr>
          <w:rFonts w:ascii="Garamond" w:eastAsiaTheme="minorHAnsi" w:hAnsi="Garamond"/>
          <w:color w:val="000000"/>
          <w:sz w:val="24"/>
          <w:szCs w:val="24"/>
          <w:lang w:val="sq-AL"/>
          <w14:ligatures w14:val="standardContextual"/>
        </w:rPr>
        <w:t xml:space="preserve"> (cituar më sipër; shih </w:t>
      </w:r>
      <w:r w:rsidR="009D599E">
        <w:rPr>
          <w:rFonts w:ascii="Garamond" w:eastAsiaTheme="minorHAnsi" w:hAnsi="Garamond"/>
          <w:color w:val="000000"/>
          <w:sz w:val="24"/>
          <w:szCs w:val="24"/>
          <w:lang w:val="sq-AL"/>
          <w14:ligatures w14:val="standardContextual"/>
        </w:rPr>
        <w:t>paragrafin 120</w:t>
      </w:r>
      <w:r w:rsidRPr="009D599E">
        <w:rPr>
          <w:rFonts w:ascii="Garamond" w:eastAsiaTheme="minorHAnsi" w:hAnsi="Garamond"/>
          <w:color w:val="000000"/>
          <w:sz w:val="24"/>
          <w:szCs w:val="24"/>
          <w:lang w:val="sq-AL"/>
          <w14:ligatures w14:val="standardContextual"/>
        </w:rPr>
        <w:t xml:space="preserve"> më</w:t>
      </w:r>
      <w:r w:rsidRPr="008419ED">
        <w:rPr>
          <w:rFonts w:ascii="Garamond" w:eastAsiaTheme="minorHAnsi" w:hAnsi="Garamond"/>
          <w:color w:val="000000"/>
          <w:sz w:val="24"/>
          <w:szCs w:val="24"/>
          <w:lang w:val="sq-AL"/>
          <w14:ligatures w14:val="standardContextual"/>
        </w:rPr>
        <w:t xml:space="preserve"> sipër). Në vijim, Gjykata vëren se me miratimin e ndryshimeve të vitit 2017 që përfshinin një mjet të ri për kohëzgjatjen e procedurave, legjislacioni vendas përfshinte disa dispozita tranzitore që shtynin kohëzgjatjen e lejuar të procedurave civile në Gjykatën e Lartë me një vit e gjysmë më shumë, për të gjitha çështjet e mbetura pezull në kohën përkatëse (që do të thotë përveç periudhës standarde prej dy </w:t>
      </w:r>
      <w:r w:rsidR="008E3CDE">
        <w:rPr>
          <w:rFonts w:ascii="Garamond" w:eastAsiaTheme="minorHAnsi" w:hAnsi="Garamond"/>
          <w:color w:val="000000"/>
          <w:sz w:val="24"/>
          <w:szCs w:val="24"/>
          <w:lang w:val="sq-AL"/>
          <w14:ligatures w14:val="standardContextual"/>
        </w:rPr>
        <w:t>vjetësh</w:t>
      </w:r>
      <w:r w:rsidRPr="008419ED">
        <w:rPr>
          <w:rFonts w:ascii="Garamond" w:eastAsiaTheme="minorHAnsi" w:hAnsi="Garamond"/>
          <w:color w:val="000000"/>
          <w:sz w:val="24"/>
          <w:szCs w:val="24"/>
          <w:lang w:val="sq-AL"/>
          <w14:ligatures w14:val="standardContextual"/>
        </w:rPr>
        <w:t xml:space="preserve"> për çështjet civile të gjykuara nga Gjykata e Lartë; shih paragrafin 67 më sipër). Kjo prezumohet të jetë bërë nga legjislatori në pritje të sfidave që reformat më gjera në drejtësi mund të shkaktojnë për kohëzgjatjen e përgjithshme të procedurave në periudhën e ndërmjetme. Teksa një periudhë prej tre </w:t>
      </w:r>
      <w:r w:rsidR="00661964">
        <w:rPr>
          <w:rFonts w:ascii="Garamond" w:eastAsiaTheme="minorHAnsi" w:hAnsi="Garamond"/>
          <w:color w:val="000000"/>
          <w:sz w:val="24"/>
          <w:szCs w:val="24"/>
          <w:lang w:val="sq-AL"/>
          <w14:ligatures w14:val="standardContextual"/>
        </w:rPr>
        <w:t>vjetësh</w:t>
      </w:r>
      <w:r w:rsidRPr="008419ED">
        <w:rPr>
          <w:rFonts w:ascii="Garamond" w:eastAsiaTheme="minorHAnsi" w:hAnsi="Garamond"/>
          <w:color w:val="000000"/>
          <w:sz w:val="24"/>
          <w:szCs w:val="24"/>
          <w:lang w:val="sq-AL"/>
          <w14:ligatures w14:val="standardContextual"/>
        </w:rPr>
        <w:t xml:space="preserve"> e gjysmë përpara një shkalle të vetme  tashmë është e konsiderueshme, Gjykata vëren se procedurat e Gjykatës së Lartë në çështjet konkrete e tejkalonin atë standard me një margjinë të konsiderueshme. Për këtë arsye, nëse në të ardhmen Gjykata e Lartë ruan një pozicion doktrinal për “arsye objektive”, ajo rrezikon të krijojë dyshime ndaj efikasitetit të pjesshëm të mjeteve vendase, specifikisht në lidhje me mjetin që do të përdoret në vet</w:t>
      </w:r>
      <w:r w:rsidR="00583F1F">
        <w:rPr>
          <w:rFonts w:ascii="Garamond" w:eastAsiaTheme="minorHAnsi" w:hAnsi="Garamond"/>
          <w:color w:val="000000"/>
          <w:sz w:val="24"/>
          <w:szCs w:val="24"/>
          <w:lang w:val="sq-AL"/>
          <w14:ligatures w14:val="standardContextual"/>
        </w:rPr>
        <w:t>ë</w:t>
      </w:r>
      <w:r w:rsidRPr="008419ED">
        <w:rPr>
          <w:rFonts w:ascii="Garamond" w:eastAsiaTheme="minorHAnsi" w:hAnsi="Garamond"/>
          <w:color w:val="000000"/>
          <w:sz w:val="24"/>
          <w:szCs w:val="24"/>
          <w:lang w:val="sq-AL"/>
          <w14:ligatures w14:val="standardContextual"/>
        </w:rPr>
        <w:t xml:space="preserve"> Gjykatën e Lartë. </w:t>
      </w:r>
    </w:p>
    <w:p w14:paraId="6A3B0E16" w14:textId="2DC3C79F"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124. Duke mbajtur në konsideratë vonesën prej tetë </w:t>
      </w:r>
      <w:r w:rsidR="008E3CDE">
        <w:rPr>
          <w:rFonts w:ascii="Garamond" w:eastAsiaTheme="minorHAnsi" w:hAnsi="Garamond"/>
          <w:color w:val="000000"/>
          <w:sz w:val="24"/>
          <w:szCs w:val="24"/>
          <w:lang w:val="sq-AL"/>
          <w14:ligatures w14:val="standardContextual"/>
        </w:rPr>
        <w:t>vjetë</w:t>
      </w:r>
      <w:r w:rsidRPr="008419ED">
        <w:rPr>
          <w:rFonts w:ascii="Garamond" w:eastAsiaTheme="minorHAnsi" w:hAnsi="Garamond"/>
          <w:color w:val="000000"/>
          <w:sz w:val="24"/>
          <w:szCs w:val="24"/>
          <w:lang w:val="sq-AL"/>
          <w14:ligatures w14:val="standardContextual"/>
        </w:rPr>
        <w:t xml:space="preserve">sh dhe gjashtë muajsh pranë Gjykatës së Lartë, Gjykata arrin në përfundimin se është shkelur kërkesa për “afat të arsyeshëm” sipas </w:t>
      </w:r>
      <w:r w:rsidR="003D5F64" w:rsidRPr="008419ED">
        <w:rPr>
          <w:rFonts w:ascii="Garamond" w:eastAsiaTheme="minorHAnsi" w:hAnsi="Garamond"/>
          <w:color w:val="000000"/>
          <w:sz w:val="24"/>
          <w:szCs w:val="24"/>
          <w:lang w:val="sq-AL"/>
          <w14:ligatures w14:val="standardContextual"/>
        </w:rPr>
        <w:t xml:space="preserve">nenit </w:t>
      </w:r>
      <w:r w:rsidRPr="008419ED">
        <w:rPr>
          <w:rFonts w:ascii="Garamond" w:eastAsiaTheme="minorHAnsi" w:hAnsi="Garamond"/>
          <w:color w:val="000000"/>
          <w:sz w:val="24"/>
          <w:szCs w:val="24"/>
          <w:lang w:val="sq-AL"/>
          <w14:ligatures w14:val="standardContextual"/>
        </w:rPr>
        <w:t>6</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1 të Konventës për kërkesën e parë. </w:t>
      </w:r>
    </w:p>
    <w:p w14:paraId="4EE7CABE" w14:textId="0E694724"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8419ED">
        <w:rPr>
          <w:rFonts w:ascii="Garamond" w:eastAsiaTheme="minorHAnsi" w:hAnsi="Garamond"/>
          <w:i/>
          <w:iCs/>
          <w:color w:val="000000"/>
          <w:sz w:val="24"/>
          <w:szCs w:val="24"/>
          <w:lang w:val="sq-AL"/>
          <w14:ligatures w14:val="standardContextual"/>
        </w:rPr>
        <w:t>2. Kërkesa e dytë: ARB SHPK kundër Shqipërisë (nr. 38996/20)</w:t>
      </w:r>
    </w:p>
    <w:p w14:paraId="6400E507" w14:textId="0713AE77"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125. Palët parashtruan të njëjtat argumente që u përdorën në kërkesën e parë (shih paragrafët 104</w:t>
      </w:r>
      <w:r w:rsidR="003D5F64">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108 më sipër). </w:t>
      </w:r>
    </w:p>
    <w:p w14:paraId="115F1DD4" w14:textId="15235FC6"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126. Procedurat filluan më 28 </w:t>
      </w:r>
      <w:r w:rsidR="003D5F64" w:rsidRPr="008419ED">
        <w:rPr>
          <w:rFonts w:ascii="Garamond" w:eastAsiaTheme="minorHAnsi" w:hAnsi="Garamond"/>
          <w:color w:val="000000"/>
          <w:sz w:val="24"/>
          <w:szCs w:val="24"/>
          <w:lang w:val="sq-AL"/>
          <w14:ligatures w14:val="standardContextual"/>
        </w:rPr>
        <w:t xml:space="preserve">maj </w:t>
      </w:r>
      <w:r w:rsidRPr="008419ED">
        <w:rPr>
          <w:rFonts w:ascii="Garamond" w:eastAsiaTheme="minorHAnsi" w:hAnsi="Garamond"/>
          <w:color w:val="000000"/>
          <w:sz w:val="24"/>
          <w:szCs w:val="24"/>
          <w:lang w:val="sq-AL"/>
          <w14:ligatures w14:val="standardContextual"/>
        </w:rPr>
        <w:t>2014 (shih paragrafin 29 më sipër) dhe për sa i përket pikës fundore të periudhës në fjalë, Gjykata do të përdorë të njëjtën qasje</w:t>
      </w:r>
      <w:r w:rsidR="000F26BD">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 si edhe për kërkesën e parë (shih paragrafin 113 më sipër). </w:t>
      </w:r>
    </w:p>
    <w:p w14:paraId="09081128" w14:textId="104CB7DE"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127. Gjykata vëren se çështja u transferua në Gjykatën e Lartë më 14 </w:t>
      </w:r>
      <w:r w:rsidR="000F26BD">
        <w:rPr>
          <w:rFonts w:ascii="Garamond" w:eastAsiaTheme="minorHAnsi" w:hAnsi="Garamond"/>
          <w:color w:val="000000"/>
          <w:sz w:val="24"/>
          <w:szCs w:val="24"/>
          <w:lang w:val="sq-AL"/>
          <w14:ligatures w14:val="standardContextual"/>
        </w:rPr>
        <w:t>s</w:t>
      </w:r>
      <w:r w:rsidRPr="008419ED">
        <w:rPr>
          <w:rFonts w:ascii="Garamond" w:eastAsiaTheme="minorHAnsi" w:hAnsi="Garamond"/>
          <w:color w:val="000000"/>
          <w:sz w:val="24"/>
          <w:szCs w:val="24"/>
          <w:lang w:val="sq-AL"/>
          <w14:ligatures w14:val="standardContextual"/>
        </w:rPr>
        <w:t xml:space="preserve">htator 2017 (shih paragrafin 31 më sipër). Më 1 </w:t>
      </w:r>
      <w:r w:rsidR="003D5F64" w:rsidRPr="008419ED">
        <w:rPr>
          <w:rFonts w:ascii="Garamond" w:eastAsiaTheme="minorHAnsi" w:hAnsi="Garamond"/>
          <w:color w:val="000000"/>
          <w:sz w:val="24"/>
          <w:szCs w:val="24"/>
          <w:lang w:val="sq-AL"/>
          <w14:ligatures w14:val="standardContextual"/>
        </w:rPr>
        <w:t xml:space="preserve">nëntor </w:t>
      </w:r>
      <w:r w:rsidRPr="008419ED">
        <w:rPr>
          <w:rFonts w:ascii="Garamond" w:eastAsiaTheme="minorHAnsi" w:hAnsi="Garamond"/>
          <w:color w:val="000000"/>
          <w:sz w:val="24"/>
          <w:szCs w:val="24"/>
          <w:lang w:val="sq-AL"/>
          <w14:ligatures w14:val="standardContextual"/>
        </w:rPr>
        <w:t xml:space="preserve">2021, kur Gjykata Kushtetuese mori vendim për çështjen (shih paragrafin 34 më sipër), çështja kishte qenë pezull në Gjykatën e Lartë për katër </w:t>
      </w:r>
      <w:r w:rsidR="00CA282B">
        <w:rPr>
          <w:rFonts w:ascii="Garamond" w:eastAsiaTheme="minorHAnsi" w:hAnsi="Garamond"/>
          <w:color w:val="000000"/>
          <w:sz w:val="24"/>
          <w:szCs w:val="24"/>
          <w:lang w:val="sq-AL"/>
          <w14:ligatures w14:val="standardContextual"/>
        </w:rPr>
        <w:t>vjet</w:t>
      </w:r>
      <w:r w:rsidRPr="008419ED">
        <w:rPr>
          <w:rFonts w:ascii="Garamond" w:eastAsiaTheme="minorHAnsi" w:hAnsi="Garamond"/>
          <w:color w:val="000000"/>
          <w:sz w:val="24"/>
          <w:szCs w:val="24"/>
          <w:lang w:val="sq-AL"/>
          <w14:ligatures w14:val="standardContextual"/>
        </w:rPr>
        <w:t xml:space="preserve"> dhe dy muaj. </w:t>
      </w:r>
    </w:p>
    <w:p w14:paraId="1586D56B" w14:textId="6287EF9A"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128. Duke pasur parasysh ngjashmërinë e kuadrit faktik dhe vendimeve të Gjykatës Kushtetuese për kërkesën e parë dhe të dytë, arsyetimi i Gjykatës në kërkesën e parë (shih paragrafët 114</w:t>
      </w:r>
      <w:r w:rsidR="00794506">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120 më sipër) është i zbatueshëm edhe për kërkesën e dytë. </w:t>
      </w:r>
    </w:p>
    <w:p w14:paraId="70B631F3" w14:textId="2D479249"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129. Sipas rrethanave, duke pasur në konsideratë periudhën prej shtatë </w:t>
      </w:r>
      <w:r w:rsidR="00A64498">
        <w:rPr>
          <w:rFonts w:ascii="Garamond" w:eastAsiaTheme="minorHAnsi" w:hAnsi="Garamond"/>
          <w:color w:val="000000"/>
          <w:sz w:val="24"/>
          <w:szCs w:val="24"/>
          <w:lang w:val="sq-AL"/>
          <w14:ligatures w14:val="standardContextual"/>
        </w:rPr>
        <w:t>vjetë</w:t>
      </w:r>
      <w:r w:rsidRPr="008419ED">
        <w:rPr>
          <w:rFonts w:ascii="Garamond" w:eastAsiaTheme="minorHAnsi" w:hAnsi="Garamond"/>
          <w:color w:val="000000"/>
          <w:sz w:val="24"/>
          <w:szCs w:val="24"/>
          <w:lang w:val="sq-AL"/>
          <w14:ligatures w14:val="standardContextual"/>
        </w:rPr>
        <w:t xml:space="preserve">sh gjatë së cilës çështja ishte pezull në Gjykatën e Lartë (shih paragrafin 31 më sipër), Gjykata arrin në përfundimin se është shkelur kërkesa për “afat të arsyeshëm” sipas </w:t>
      </w:r>
      <w:r w:rsidR="00F201B1">
        <w:rPr>
          <w:rFonts w:ascii="Garamond" w:eastAsiaTheme="minorHAnsi" w:hAnsi="Garamond"/>
          <w:color w:val="000000"/>
          <w:sz w:val="24"/>
          <w:szCs w:val="24"/>
          <w:lang w:val="sq-AL"/>
          <w14:ligatures w14:val="standardContextual"/>
        </w:rPr>
        <w:t>n</w:t>
      </w:r>
      <w:r w:rsidRPr="008419ED">
        <w:rPr>
          <w:rFonts w:ascii="Garamond" w:eastAsiaTheme="minorHAnsi" w:hAnsi="Garamond"/>
          <w:color w:val="000000"/>
          <w:sz w:val="24"/>
          <w:szCs w:val="24"/>
          <w:lang w:val="sq-AL"/>
          <w14:ligatures w14:val="standardContextual"/>
        </w:rPr>
        <w:t>enit 6</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1 të Konventës për kërkesën e dytë. </w:t>
      </w:r>
    </w:p>
    <w:p w14:paraId="60870CC2" w14:textId="3CE5CEB1"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8419ED">
        <w:rPr>
          <w:rFonts w:ascii="Garamond" w:eastAsiaTheme="minorHAnsi" w:hAnsi="Garamond"/>
          <w:i/>
          <w:iCs/>
          <w:color w:val="000000"/>
          <w:sz w:val="24"/>
          <w:szCs w:val="24"/>
          <w:lang w:val="sq-AL"/>
          <w14:ligatures w14:val="standardContextual"/>
        </w:rPr>
        <w:t>3. Kërkesa e katërt: Gazidedja kundër Shqipërisë (nr. 27370/22)</w:t>
      </w:r>
    </w:p>
    <w:p w14:paraId="277ED7B9" w14:textId="114980A7"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8419ED">
        <w:rPr>
          <w:rFonts w:ascii="Garamond" w:eastAsiaTheme="minorHAnsi" w:hAnsi="Garamond"/>
          <w:b/>
          <w:bCs/>
          <w:color w:val="000000"/>
          <w:sz w:val="24"/>
          <w:szCs w:val="24"/>
          <w:lang w:val="sq-AL"/>
          <w14:ligatures w14:val="standardContextual"/>
        </w:rPr>
        <w:t>a) Shterim i mjeteve vendase dhe statusi i viktimës</w:t>
      </w:r>
    </w:p>
    <w:p w14:paraId="0E9C77C9" w14:textId="40DFABCB"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130. Si përgjigja ndaj pretendimit të Qeverisë se ankesa është e parakohshme dhe se kërkuesi ka humbur statusin e tij të viktimës, Gjykata duhet t</w:t>
      </w:r>
      <w:r w:rsidR="008756F3" w:rsidRPr="008419ED">
        <w:rPr>
          <w:rFonts w:ascii="Garamond" w:eastAsiaTheme="minorHAnsi" w:hAnsi="Garamond"/>
          <w:color w:val="000000"/>
          <w:sz w:val="24"/>
          <w:szCs w:val="24"/>
          <w:lang w:val="sq-AL"/>
          <w14:ligatures w14:val="standardContextual"/>
        </w:rPr>
        <w:t>ë</w:t>
      </w:r>
      <w:r w:rsidRPr="008419ED">
        <w:rPr>
          <w:rFonts w:ascii="Garamond" w:eastAsiaTheme="minorHAnsi" w:hAnsi="Garamond"/>
          <w:color w:val="000000"/>
          <w:sz w:val="24"/>
          <w:szCs w:val="24"/>
          <w:lang w:val="sq-AL"/>
          <w14:ligatures w14:val="standardContextual"/>
        </w:rPr>
        <w:t xml:space="preserve"> shqyrtojë efektet e vendimeve vendase për ankesën e kërkuesit. </w:t>
      </w:r>
    </w:p>
    <w:p w14:paraId="23AC1178" w14:textId="4ACDF514"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131. Më 18 </w:t>
      </w:r>
      <w:r w:rsidR="00F201B1">
        <w:rPr>
          <w:rFonts w:ascii="Garamond" w:eastAsiaTheme="minorHAnsi" w:hAnsi="Garamond"/>
          <w:color w:val="000000"/>
          <w:sz w:val="24"/>
          <w:szCs w:val="24"/>
          <w:lang w:val="sq-AL"/>
          <w14:ligatures w14:val="standardContextual"/>
        </w:rPr>
        <w:t>s</w:t>
      </w:r>
      <w:r w:rsidRPr="008419ED">
        <w:rPr>
          <w:rFonts w:ascii="Garamond" w:eastAsiaTheme="minorHAnsi" w:hAnsi="Garamond"/>
          <w:color w:val="000000"/>
          <w:sz w:val="24"/>
          <w:szCs w:val="24"/>
          <w:lang w:val="sq-AL"/>
          <w14:ligatures w14:val="standardContextual"/>
        </w:rPr>
        <w:t xml:space="preserve">htator 2020, pothuajse tre </w:t>
      </w:r>
      <w:r w:rsidR="008E3CDE">
        <w:rPr>
          <w:rFonts w:ascii="Garamond" w:eastAsiaTheme="minorHAnsi" w:hAnsi="Garamond"/>
          <w:color w:val="000000"/>
          <w:sz w:val="24"/>
          <w:szCs w:val="24"/>
          <w:lang w:val="sq-AL"/>
          <w14:ligatures w14:val="standardContextual"/>
        </w:rPr>
        <w:t>vjet</w:t>
      </w:r>
      <w:r w:rsidRPr="008419ED">
        <w:rPr>
          <w:rFonts w:ascii="Garamond" w:eastAsiaTheme="minorHAnsi" w:hAnsi="Garamond"/>
          <w:color w:val="000000"/>
          <w:sz w:val="24"/>
          <w:szCs w:val="24"/>
          <w:lang w:val="sq-AL"/>
          <w14:ligatures w14:val="standardContextual"/>
        </w:rPr>
        <w:t xml:space="preserve"> pas paraqitjes së rekursit, kërkuesi e paraqiti ankesën e tij për kohëzgjatjen e procedurave pranë Gjykatës së Lartë, e cila në mbështetje të </w:t>
      </w:r>
      <w:r w:rsidR="00F201B1">
        <w:rPr>
          <w:rFonts w:ascii="Garamond" w:eastAsiaTheme="minorHAnsi" w:hAnsi="Garamond"/>
          <w:color w:val="000000"/>
          <w:sz w:val="24"/>
          <w:szCs w:val="24"/>
          <w:lang w:val="sq-AL"/>
          <w14:ligatures w14:val="standardContextual"/>
        </w:rPr>
        <w:t>n</w:t>
      </w:r>
      <w:r w:rsidRPr="008419ED">
        <w:rPr>
          <w:rFonts w:ascii="Garamond" w:eastAsiaTheme="minorHAnsi" w:hAnsi="Garamond"/>
          <w:color w:val="000000"/>
          <w:sz w:val="24"/>
          <w:szCs w:val="24"/>
          <w:lang w:val="sq-AL"/>
          <w14:ligatures w14:val="standardContextual"/>
        </w:rPr>
        <w:t>enit 399/7</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1 të KPC</w:t>
      </w:r>
      <w:r w:rsidR="00F201B1">
        <w:rPr>
          <w:rFonts w:ascii="Garamond" w:eastAsiaTheme="minorHAnsi" w:hAnsi="Garamond"/>
          <w:color w:val="000000"/>
          <w:sz w:val="24"/>
          <w:szCs w:val="24"/>
          <w:lang w:val="sq-AL"/>
          <w14:ligatures w14:val="standardContextual"/>
        </w:rPr>
        <w:t>-së</w:t>
      </w:r>
      <w:r w:rsidRPr="008419ED">
        <w:rPr>
          <w:rFonts w:ascii="Garamond" w:eastAsiaTheme="minorHAnsi" w:hAnsi="Garamond"/>
          <w:color w:val="000000"/>
          <w:sz w:val="24"/>
          <w:szCs w:val="24"/>
          <w:lang w:val="sq-AL"/>
          <w14:ligatures w14:val="standardContextual"/>
        </w:rPr>
        <w:t xml:space="preserve"> pritej të gjykohej brenda dyzet e pesë ditëve (shih paragrafët 55 dhe 66 më sipër). Gjykata e Lartë nuk e gjykoi çështjen në kohë. </w:t>
      </w:r>
    </w:p>
    <w:p w14:paraId="1B26EBF5" w14:textId="2FF71469"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132. Duke qenë se Gjykata Kushtetuese e shpalli </w:t>
      </w:r>
      <w:r w:rsidR="00F201B1">
        <w:rPr>
          <w:rFonts w:ascii="Garamond" w:eastAsiaTheme="minorHAnsi" w:hAnsi="Garamond"/>
          <w:color w:val="000000"/>
          <w:sz w:val="24"/>
          <w:szCs w:val="24"/>
          <w:lang w:val="sq-AL"/>
          <w14:ligatures w14:val="standardContextual"/>
        </w:rPr>
        <w:t>v</w:t>
      </w:r>
      <w:r w:rsidRPr="008419ED">
        <w:rPr>
          <w:rFonts w:ascii="Garamond" w:eastAsiaTheme="minorHAnsi" w:hAnsi="Garamond"/>
          <w:color w:val="000000"/>
          <w:sz w:val="24"/>
          <w:szCs w:val="24"/>
          <w:lang w:val="sq-AL"/>
          <w14:ligatures w14:val="standardContextual"/>
        </w:rPr>
        <w:t xml:space="preserve">endimin e saj 35/2021 më 1 </w:t>
      </w:r>
      <w:r w:rsidR="00DD25D1" w:rsidRPr="008419ED">
        <w:rPr>
          <w:rFonts w:ascii="Garamond" w:eastAsiaTheme="minorHAnsi" w:hAnsi="Garamond"/>
          <w:color w:val="000000"/>
          <w:sz w:val="24"/>
          <w:szCs w:val="24"/>
          <w:lang w:val="sq-AL"/>
          <w14:ligatures w14:val="standardContextual"/>
        </w:rPr>
        <w:t xml:space="preserve">nëntor </w:t>
      </w:r>
      <w:r w:rsidRPr="008419ED">
        <w:rPr>
          <w:rFonts w:ascii="Garamond" w:eastAsiaTheme="minorHAnsi" w:hAnsi="Garamond"/>
          <w:color w:val="000000"/>
          <w:sz w:val="24"/>
          <w:szCs w:val="24"/>
          <w:lang w:val="sq-AL"/>
          <w14:ligatures w14:val="standardContextual"/>
        </w:rPr>
        <w:t>2021, kërkuesit iu deshën trembëdhjetë muaj që të plotësonte fazën e parë të mjetit dhe të kishte mundësi për gjykim nëse kohëzgjatja e procedurave kryesore që kishte të bënte me pensionin e tij ishte tejzgjatur.</w:t>
      </w:r>
    </w:p>
    <w:p w14:paraId="3F36D4CB" w14:textId="30F28678"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133. Në lidhje me këtë, fakti se Gjykata Kushtetuese konstatoi një shkelje të së drejtës së kërkuesit për një gjykim brenda një afati të arsyeshëm nuk mjafton për të arritur në përfundimin se kërkuesi e kishte humbur statusin e tij të viktimës. Në përputhje me praktikën e saj gjyqësore (shih, </w:t>
      </w:r>
      <w:r w:rsidRPr="008419ED">
        <w:rPr>
          <w:rFonts w:ascii="Garamond" w:eastAsiaTheme="minorHAnsi" w:hAnsi="Garamond"/>
          <w:i/>
          <w:iCs/>
          <w:color w:val="000000"/>
          <w:sz w:val="24"/>
          <w:szCs w:val="24"/>
          <w:lang w:val="sq-AL"/>
          <w14:ligatures w14:val="standardContextual"/>
        </w:rPr>
        <w:t>mutatis mutandis</w:t>
      </w:r>
      <w:r w:rsidRPr="008419ED">
        <w:rPr>
          <w:rFonts w:ascii="Garamond" w:eastAsiaTheme="minorHAnsi" w:hAnsi="Garamond"/>
          <w:color w:val="000000"/>
          <w:sz w:val="24"/>
          <w:szCs w:val="24"/>
          <w:lang w:val="sq-AL"/>
          <w14:ligatures w14:val="standardContextual"/>
        </w:rPr>
        <w:t xml:space="preserve">, </w:t>
      </w:r>
      <w:r w:rsidRPr="008419ED">
        <w:rPr>
          <w:rFonts w:ascii="Garamond" w:eastAsiaTheme="minorHAnsi" w:hAnsi="Garamond"/>
          <w:i/>
          <w:iCs/>
          <w:color w:val="000000"/>
          <w:sz w:val="24"/>
          <w:szCs w:val="24"/>
          <w:lang w:val="sq-AL"/>
          <w14:ligatures w14:val="standardContextual"/>
        </w:rPr>
        <w:t>Sürmeli</w:t>
      </w:r>
      <w:r w:rsidRPr="008419ED">
        <w:rPr>
          <w:rFonts w:ascii="Garamond" w:eastAsiaTheme="minorHAnsi" w:hAnsi="Garamond"/>
          <w:color w:val="000000"/>
          <w:sz w:val="24"/>
          <w:szCs w:val="24"/>
          <w:lang w:val="sq-AL"/>
          <w14:ligatures w14:val="standardContextual"/>
        </w:rPr>
        <w:t xml:space="preserve">, cituar më sipër,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99), Gjykata duhet të përcaktojë nëse autoritetet vendase morën masat e duhura për të parandaluar vijimin e shkeljes, pas vendimit të Gjykatës Kushtetuese, dhe nëse këto masa kompensonin kërkuesin pas shkaktimit të shkeljes. </w:t>
      </w:r>
    </w:p>
    <w:p w14:paraId="358E51D4" w14:textId="3861A308"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134. Gjykata vëren se Gjykata Kushtetuese, në </w:t>
      </w:r>
      <w:r w:rsidR="00B9352B">
        <w:rPr>
          <w:rFonts w:ascii="Garamond" w:eastAsiaTheme="minorHAnsi" w:hAnsi="Garamond"/>
          <w:color w:val="000000"/>
          <w:sz w:val="24"/>
          <w:szCs w:val="24"/>
          <w:lang w:val="sq-AL"/>
          <w14:ligatures w14:val="standardContextual"/>
        </w:rPr>
        <w:t>v</w:t>
      </w:r>
      <w:r w:rsidRPr="008419ED">
        <w:rPr>
          <w:rFonts w:ascii="Garamond" w:eastAsiaTheme="minorHAnsi" w:hAnsi="Garamond"/>
          <w:color w:val="000000"/>
          <w:sz w:val="24"/>
          <w:szCs w:val="24"/>
          <w:lang w:val="sq-AL"/>
          <w14:ligatures w14:val="standardContextual"/>
        </w:rPr>
        <w:t xml:space="preserve">endimin e saj 35/2021, e urdhëroi Gjykatën e Lartë që  të shqyrtonte pretendimin e kërkuesit në lidhje me pensionin e tij brenda gjashtë muajsh, dhe se Gjykata e Lartë e respektoi atë urdhër brenda dy muajsh e gjysmë (shih paragrafët 51 dhe 59 më sipër). Rezulton se në një masë të caktuar, seanca për apelimin e kërkuesit u përshpejtua. </w:t>
      </w:r>
    </w:p>
    <w:p w14:paraId="2FE602F1" w14:textId="54E30908"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135. Megjithatë, duke qenë se Gjykata kushtetuese kishte arritur në përfundimin se ishte shkelur e drejta e kërkuesit për t’u dëgjuar brenda një afati të arsyeshëm, përshpejtimi i shqyrtimit nuk ishte mjaftueshëm për të kompensuar shkeljen e identifikuar nga Gjykata Kushtetuese. </w:t>
      </w:r>
    </w:p>
    <w:p w14:paraId="260B919F" w14:textId="0394A48F"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136. Gjykata Kushtetuese nuk e përdori kundër kërkuesit faktin se ai nuk kishte paraqitur një ankesë në mbështetje të </w:t>
      </w:r>
      <w:r w:rsidR="00B9352B">
        <w:rPr>
          <w:rFonts w:ascii="Garamond" w:eastAsiaTheme="minorHAnsi" w:hAnsi="Garamond"/>
          <w:color w:val="000000"/>
          <w:sz w:val="24"/>
          <w:szCs w:val="24"/>
          <w:lang w:val="sq-AL"/>
          <w14:ligatures w14:val="standardContextual"/>
        </w:rPr>
        <w:t>n</w:t>
      </w:r>
      <w:r w:rsidRPr="008419ED">
        <w:rPr>
          <w:rFonts w:ascii="Garamond" w:eastAsiaTheme="minorHAnsi" w:hAnsi="Garamond"/>
          <w:color w:val="000000"/>
          <w:sz w:val="24"/>
          <w:szCs w:val="24"/>
          <w:lang w:val="sq-AL"/>
          <w14:ligatures w14:val="standardContextual"/>
        </w:rPr>
        <w:t>enit 399/1 e në vijim të KPC</w:t>
      </w:r>
      <w:r w:rsidR="00B9352B">
        <w:rPr>
          <w:rFonts w:ascii="Garamond" w:eastAsiaTheme="minorHAnsi" w:hAnsi="Garamond"/>
          <w:color w:val="000000"/>
          <w:sz w:val="24"/>
          <w:szCs w:val="24"/>
          <w:lang w:val="sq-AL"/>
          <w14:ligatures w14:val="standardContextual"/>
        </w:rPr>
        <w:t>-së</w:t>
      </w:r>
      <w:r w:rsidRPr="008419ED">
        <w:rPr>
          <w:rFonts w:ascii="Garamond" w:eastAsiaTheme="minorHAnsi" w:hAnsi="Garamond"/>
          <w:color w:val="000000"/>
          <w:sz w:val="24"/>
          <w:szCs w:val="24"/>
          <w:lang w:val="sq-AL"/>
          <w14:ligatures w14:val="standardContextual"/>
        </w:rPr>
        <w:t xml:space="preserve"> në një fazë më të hershme të procedurave për të shmangur që kohëzgjatja e tyre të bëhej e paarsyeshme. Gjykata do të ndjekë të njëjtën qasje duke mbajtur në konsideratë veçanërisht  </w:t>
      </w:r>
      <w:r w:rsidRPr="00B9352B">
        <w:rPr>
          <w:rFonts w:ascii="Garamond" w:eastAsiaTheme="minorHAnsi" w:hAnsi="Garamond"/>
          <w:i/>
          <w:color w:val="000000"/>
          <w:sz w:val="24"/>
          <w:szCs w:val="24"/>
          <w:lang w:val="sq-AL"/>
          <w14:ligatures w14:val="standardContextual"/>
        </w:rPr>
        <w:t>backlog</w:t>
      </w:r>
      <w:r w:rsidRPr="008419ED">
        <w:rPr>
          <w:rFonts w:ascii="Garamond" w:eastAsiaTheme="minorHAnsi" w:hAnsi="Garamond"/>
          <w:color w:val="000000"/>
          <w:sz w:val="24"/>
          <w:szCs w:val="24"/>
          <w:lang w:val="sq-AL"/>
          <w14:ligatures w14:val="standardContextual"/>
        </w:rPr>
        <w:t xml:space="preserve">-un e konsiderueshëm të Gjykatës së Lartë dhe vakancat në trupën e saj gjyqësore në kohën përkatëse. </w:t>
      </w:r>
    </w:p>
    <w:p w14:paraId="24DE51D6" w14:textId="5A3FE3B2"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137. Duke u rikthyer tek aspekti i kompensimit, Gjykata vëren se më 22 </w:t>
      </w:r>
      <w:r w:rsidR="00B9352B" w:rsidRPr="008419ED">
        <w:rPr>
          <w:rFonts w:ascii="Garamond" w:eastAsiaTheme="minorHAnsi" w:hAnsi="Garamond"/>
          <w:color w:val="000000"/>
          <w:sz w:val="24"/>
          <w:szCs w:val="24"/>
          <w:lang w:val="sq-AL"/>
          <w14:ligatures w14:val="standardContextual"/>
        </w:rPr>
        <w:t xml:space="preserve">prill </w:t>
      </w:r>
      <w:r w:rsidRPr="008419ED">
        <w:rPr>
          <w:rFonts w:ascii="Garamond" w:eastAsiaTheme="minorHAnsi" w:hAnsi="Garamond"/>
          <w:color w:val="000000"/>
          <w:sz w:val="24"/>
          <w:szCs w:val="24"/>
          <w:lang w:val="sq-AL"/>
          <w14:ligatures w14:val="standardContextual"/>
        </w:rPr>
        <w:t xml:space="preserve">2022, kërkuesi paraqiti pretendimin për t’u kompensuar për vonesat me të cilat ishte përballur, dhe se në mbështetje të </w:t>
      </w:r>
      <w:r w:rsidR="00B9352B" w:rsidRPr="008419ED">
        <w:rPr>
          <w:rFonts w:ascii="Garamond" w:eastAsiaTheme="minorHAnsi" w:hAnsi="Garamond"/>
          <w:color w:val="000000"/>
          <w:sz w:val="24"/>
          <w:szCs w:val="24"/>
          <w:lang w:val="sq-AL"/>
          <w14:ligatures w14:val="standardContextual"/>
        </w:rPr>
        <w:t xml:space="preserve">nenit </w:t>
      </w:r>
      <w:r w:rsidRPr="008419ED">
        <w:rPr>
          <w:rFonts w:ascii="Garamond" w:eastAsiaTheme="minorHAnsi" w:hAnsi="Garamond"/>
          <w:color w:val="000000"/>
          <w:sz w:val="24"/>
          <w:szCs w:val="24"/>
          <w:lang w:val="sq-AL"/>
          <w14:ligatures w14:val="standardContextual"/>
        </w:rPr>
        <w:t>399/7</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2 të KPC</w:t>
      </w:r>
      <w:r w:rsidR="00DD25D1">
        <w:rPr>
          <w:rFonts w:ascii="Garamond" w:eastAsiaTheme="minorHAnsi" w:hAnsi="Garamond"/>
          <w:color w:val="000000"/>
          <w:sz w:val="24"/>
          <w:szCs w:val="24"/>
          <w:lang w:val="sq-AL"/>
          <w14:ligatures w14:val="standardContextual"/>
        </w:rPr>
        <w:t>-së</w:t>
      </w:r>
      <w:r w:rsidRPr="008419ED">
        <w:rPr>
          <w:rFonts w:ascii="Garamond" w:eastAsiaTheme="minorHAnsi" w:hAnsi="Garamond"/>
          <w:color w:val="000000"/>
          <w:sz w:val="24"/>
          <w:szCs w:val="24"/>
          <w:lang w:val="sq-AL"/>
          <w14:ligatures w14:val="standardContextual"/>
        </w:rPr>
        <w:t xml:space="preserve">, Gjykatës së Rrethit i kërkohej të merrte një vendim për atë pretendim brenda tre muajve (shih paragrafët 61 dhe 66 më sipër). </w:t>
      </w:r>
    </w:p>
    <w:p w14:paraId="7FF646BF" w14:textId="6A34A6D1"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138. Më 14 </w:t>
      </w:r>
      <w:r w:rsidR="00B9352B" w:rsidRPr="008419ED">
        <w:rPr>
          <w:rFonts w:ascii="Garamond" w:eastAsiaTheme="minorHAnsi" w:hAnsi="Garamond"/>
          <w:color w:val="000000"/>
          <w:sz w:val="24"/>
          <w:szCs w:val="24"/>
          <w:lang w:val="sq-AL"/>
          <w14:ligatures w14:val="standardContextual"/>
        </w:rPr>
        <w:t xml:space="preserve">prill </w:t>
      </w:r>
      <w:r w:rsidRPr="008419ED">
        <w:rPr>
          <w:rFonts w:ascii="Garamond" w:eastAsiaTheme="minorHAnsi" w:hAnsi="Garamond"/>
          <w:color w:val="000000"/>
          <w:sz w:val="24"/>
          <w:szCs w:val="24"/>
          <w:lang w:val="sq-AL"/>
          <w14:ligatures w14:val="standardContextual"/>
        </w:rPr>
        <w:t xml:space="preserve">2024 – që do të thotë dy </w:t>
      </w:r>
      <w:r w:rsidR="00CA282B">
        <w:rPr>
          <w:rFonts w:ascii="Garamond" w:eastAsiaTheme="minorHAnsi" w:hAnsi="Garamond"/>
          <w:color w:val="000000"/>
          <w:sz w:val="24"/>
          <w:szCs w:val="24"/>
          <w:lang w:val="sq-AL"/>
          <w14:ligatures w14:val="standardContextual"/>
        </w:rPr>
        <w:t xml:space="preserve">vjet </w:t>
      </w:r>
      <w:r w:rsidRPr="008419ED">
        <w:rPr>
          <w:rFonts w:ascii="Garamond" w:eastAsiaTheme="minorHAnsi" w:hAnsi="Garamond"/>
          <w:color w:val="000000"/>
          <w:sz w:val="24"/>
          <w:szCs w:val="24"/>
          <w:lang w:val="sq-AL"/>
          <w14:ligatures w14:val="standardContextual"/>
        </w:rPr>
        <w:t xml:space="preserve">më pas – Gjykata e Rrethit Tiranë dha një vendim verbal ku i akordonte kompensim kërkuesit (shih paragrafin 62 më sipër). Versioni me shkrim i atij vendimi u bë i disponueshëm vetëm në </w:t>
      </w:r>
      <w:r w:rsidR="00B9352B" w:rsidRPr="008419ED">
        <w:rPr>
          <w:rFonts w:ascii="Garamond" w:eastAsiaTheme="minorHAnsi" w:hAnsi="Garamond"/>
          <w:color w:val="000000"/>
          <w:sz w:val="24"/>
          <w:szCs w:val="24"/>
          <w:lang w:val="sq-AL"/>
          <w14:ligatures w14:val="standardContextual"/>
        </w:rPr>
        <w:t xml:space="preserve">tetor </w:t>
      </w:r>
      <w:r w:rsidRPr="008419ED">
        <w:rPr>
          <w:rFonts w:ascii="Garamond" w:eastAsiaTheme="minorHAnsi" w:hAnsi="Garamond"/>
          <w:color w:val="000000"/>
          <w:sz w:val="24"/>
          <w:szCs w:val="24"/>
          <w:lang w:val="sq-AL"/>
          <w14:ligatures w14:val="standardContextual"/>
        </w:rPr>
        <w:t xml:space="preserve">2024 (shih paragrafin 63 më sipër). </w:t>
      </w:r>
    </w:p>
    <w:p w14:paraId="2604FC95" w14:textId="5756562D"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139. Qeveria nuk paraqiti asnjë shpjegim për ato vonesa. Në lidhje me këtë, Gjykata përsërit se kërkohet kujdes i veçantë nga </w:t>
      </w:r>
      <w:r w:rsidR="00B9352B" w:rsidRPr="008419ED">
        <w:rPr>
          <w:rFonts w:ascii="Garamond" w:eastAsiaTheme="minorHAnsi" w:hAnsi="Garamond"/>
          <w:color w:val="000000"/>
          <w:sz w:val="24"/>
          <w:szCs w:val="24"/>
          <w:lang w:val="sq-AL"/>
          <w14:ligatures w14:val="standardContextual"/>
        </w:rPr>
        <w:t xml:space="preserve">shteti </w:t>
      </w:r>
      <w:r w:rsidRPr="008419ED">
        <w:rPr>
          <w:rFonts w:ascii="Garamond" w:eastAsiaTheme="minorHAnsi" w:hAnsi="Garamond"/>
          <w:color w:val="000000"/>
          <w:sz w:val="24"/>
          <w:szCs w:val="24"/>
          <w:lang w:val="sq-AL"/>
          <w14:ligatures w14:val="standardContextual"/>
        </w:rPr>
        <w:t xml:space="preserve">në trajtimin e rasteve në të cilat palët kërkojnë korrigjim nga dëmet e shkaktuara nga kohëzgjatja e paarsyeshme e procedurave (shih, për shembull, </w:t>
      </w:r>
      <w:r w:rsidRPr="008419ED">
        <w:rPr>
          <w:rFonts w:ascii="Garamond" w:eastAsiaTheme="minorHAnsi" w:hAnsi="Garamond"/>
          <w:i/>
          <w:iCs/>
          <w:color w:val="000000"/>
          <w:sz w:val="24"/>
          <w:szCs w:val="24"/>
          <w:lang w:val="sq-AL"/>
          <w14:ligatures w14:val="standardContextual"/>
        </w:rPr>
        <w:t xml:space="preserve">Hajrudinović kundër Sllovenisë, </w:t>
      </w:r>
      <w:r w:rsidRPr="008419ED">
        <w:rPr>
          <w:rFonts w:ascii="Garamond" w:eastAsiaTheme="minorHAnsi" w:hAnsi="Garamond"/>
          <w:color w:val="000000"/>
          <w:sz w:val="24"/>
          <w:szCs w:val="24"/>
          <w:lang w:val="sq-AL"/>
          <w14:ligatures w14:val="standardContextual"/>
        </w:rPr>
        <w:t xml:space="preserve">nr. 69319/12,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50, 21 </w:t>
      </w:r>
      <w:r w:rsidR="00B9352B" w:rsidRPr="008419ED">
        <w:rPr>
          <w:rFonts w:ascii="Garamond" w:eastAsiaTheme="minorHAnsi" w:hAnsi="Garamond"/>
          <w:color w:val="000000"/>
          <w:sz w:val="24"/>
          <w:szCs w:val="24"/>
          <w:lang w:val="sq-AL"/>
          <w14:ligatures w14:val="standardContextual"/>
        </w:rPr>
        <w:t xml:space="preserve">maj </w:t>
      </w:r>
      <w:r w:rsidRPr="008419ED">
        <w:rPr>
          <w:rFonts w:ascii="Garamond" w:eastAsiaTheme="minorHAnsi" w:hAnsi="Garamond"/>
          <w:color w:val="000000"/>
          <w:sz w:val="24"/>
          <w:szCs w:val="24"/>
          <w:lang w:val="sq-AL"/>
          <w14:ligatures w14:val="standardContextual"/>
        </w:rPr>
        <w:t xml:space="preserve">2015, dhe </w:t>
      </w:r>
      <w:r w:rsidRPr="008419ED">
        <w:rPr>
          <w:rFonts w:ascii="Garamond" w:eastAsiaTheme="minorHAnsi" w:hAnsi="Garamond"/>
          <w:i/>
          <w:iCs/>
          <w:color w:val="000000"/>
          <w:sz w:val="24"/>
          <w:szCs w:val="24"/>
          <w:lang w:val="sq-AL"/>
          <w14:ligatures w14:val="standardContextual"/>
        </w:rPr>
        <w:t xml:space="preserve">Belperio dhe Ciarmoli kundër Italisë, </w:t>
      </w:r>
      <w:r w:rsidRPr="008419ED">
        <w:rPr>
          <w:rFonts w:ascii="Garamond" w:eastAsiaTheme="minorHAnsi" w:hAnsi="Garamond"/>
          <w:color w:val="000000"/>
          <w:sz w:val="24"/>
          <w:szCs w:val="24"/>
          <w:lang w:val="sq-AL"/>
          <w14:ligatures w14:val="standardContextual"/>
        </w:rPr>
        <w:t xml:space="preserve">nr. 7932/04,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42, 21 dhjetor 2010). Në parim, dhe duke përjashtuar rrethanat e jashtëzakonshme, kohëzgjatja e këtyre procedurave, duke përfshirë fazën e ekzekutimit, nuk duhet të tejkalojnë dy </w:t>
      </w:r>
      <w:r w:rsidR="00CA282B">
        <w:rPr>
          <w:rFonts w:ascii="Garamond" w:eastAsiaTheme="minorHAnsi" w:hAnsi="Garamond"/>
          <w:color w:val="000000"/>
          <w:sz w:val="24"/>
          <w:szCs w:val="24"/>
          <w:lang w:val="sq-AL"/>
          <w14:ligatures w14:val="standardContextual"/>
        </w:rPr>
        <w:t>vjet</w:t>
      </w:r>
      <w:r w:rsidRPr="008419ED">
        <w:rPr>
          <w:rFonts w:ascii="Garamond" w:eastAsiaTheme="minorHAnsi" w:hAnsi="Garamond"/>
          <w:color w:val="000000"/>
          <w:sz w:val="24"/>
          <w:szCs w:val="24"/>
          <w:lang w:val="sq-AL"/>
          <w14:ligatures w14:val="standardContextual"/>
        </w:rPr>
        <w:t xml:space="preserve"> dhe gjashtë muaj (</w:t>
      </w:r>
      <w:r w:rsidRPr="008419ED">
        <w:rPr>
          <w:rFonts w:ascii="Garamond" w:eastAsiaTheme="minorHAnsi" w:hAnsi="Garamond"/>
          <w:i/>
          <w:iCs/>
          <w:color w:val="000000"/>
          <w:sz w:val="24"/>
          <w:szCs w:val="24"/>
          <w:lang w:val="sq-AL"/>
          <w14:ligatures w14:val="standardContextual"/>
        </w:rPr>
        <w:t>Gagliano Giorgi kundër Italisë</w:t>
      </w:r>
      <w:r w:rsidRPr="008419ED">
        <w:rPr>
          <w:rFonts w:ascii="Garamond" w:eastAsiaTheme="minorHAnsi" w:hAnsi="Garamond"/>
          <w:color w:val="000000"/>
          <w:sz w:val="24"/>
          <w:szCs w:val="24"/>
          <w:lang w:val="sq-AL"/>
          <w14:ligatures w14:val="standardContextual"/>
        </w:rPr>
        <w:t xml:space="preserve">, nr. 23563/07,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73, GJEDNJ 2012 (ekstrakte)). </w:t>
      </w:r>
    </w:p>
    <w:p w14:paraId="285AA8E3" w14:textId="49BC5195"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140. Dhe çfarë është më e rëndësishmja, vendimi që akordon kompensim për kërkuesin ka qenë pezull në Gjykatën e Apelit që prej muajit </w:t>
      </w:r>
      <w:r w:rsidR="00B9352B" w:rsidRPr="008419ED">
        <w:rPr>
          <w:rFonts w:ascii="Garamond" w:eastAsiaTheme="minorHAnsi" w:hAnsi="Garamond"/>
          <w:color w:val="000000"/>
          <w:sz w:val="24"/>
          <w:szCs w:val="24"/>
          <w:lang w:val="sq-AL"/>
          <w14:ligatures w14:val="standardContextual"/>
        </w:rPr>
        <w:t xml:space="preserve">tetor </w:t>
      </w:r>
      <w:r w:rsidRPr="008419ED">
        <w:rPr>
          <w:rFonts w:ascii="Garamond" w:eastAsiaTheme="minorHAnsi" w:hAnsi="Garamond"/>
          <w:color w:val="000000"/>
          <w:sz w:val="24"/>
          <w:szCs w:val="24"/>
          <w:lang w:val="sq-AL"/>
          <w14:ligatures w14:val="standardContextual"/>
        </w:rPr>
        <w:t>2024, dhe pretendimi i kërkuesit që ai nuk është ekzekutuar deri më sot nuk është kundërshtuar nga Qeveria (shih paragrafët 63</w:t>
      </w:r>
      <w:r w:rsidR="00B9352B">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64 më sipër). </w:t>
      </w:r>
    </w:p>
    <w:p w14:paraId="390DCE41" w14:textId="60C6BFDA"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141. Së fundmi, Gjykata nuk mund të mos marrë në konsideratë faktin se procedurat e pensionit janë ende pezull pranë Gjykatës Administrative të Apelit Tiranë, më shumë se tre </w:t>
      </w:r>
      <w:r w:rsidR="008E3CDE">
        <w:rPr>
          <w:rFonts w:ascii="Garamond" w:eastAsiaTheme="minorHAnsi" w:hAnsi="Garamond"/>
          <w:color w:val="000000"/>
          <w:sz w:val="24"/>
          <w:szCs w:val="24"/>
          <w:lang w:val="sq-AL"/>
          <w14:ligatures w14:val="standardContextual"/>
        </w:rPr>
        <w:t>vjet</w:t>
      </w:r>
      <w:r w:rsidRPr="008419ED">
        <w:rPr>
          <w:rFonts w:ascii="Garamond" w:eastAsiaTheme="minorHAnsi" w:hAnsi="Garamond"/>
          <w:color w:val="000000"/>
          <w:sz w:val="24"/>
          <w:szCs w:val="24"/>
          <w:lang w:val="sq-AL"/>
          <w14:ligatures w14:val="standardContextual"/>
        </w:rPr>
        <w:t xml:space="preserve"> pas dërgimit të çështjes nga Gjykata e Lartë (shih paragrafin 54 më sipër). </w:t>
      </w:r>
    </w:p>
    <w:p w14:paraId="61AE5985" w14:textId="6EF02C0B"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142. Gjykata arrin në përfundimin se kërkuesi mund të pretendojë ende të jetë viktimë e një shkeljeje të pretenduar të kërkesës për “afat të arsyeshëm” në mbështetje të </w:t>
      </w:r>
      <w:r w:rsidR="00B9352B" w:rsidRPr="008419ED">
        <w:rPr>
          <w:rFonts w:ascii="Garamond" w:eastAsiaTheme="minorHAnsi" w:hAnsi="Garamond"/>
          <w:color w:val="000000"/>
          <w:sz w:val="24"/>
          <w:szCs w:val="24"/>
          <w:lang w:val="sq-AL"/>
          <w14:ligatures w14:val="standardContextual"/>
        </w:rPr>
        <w:t xml:space="preserve">nenit </w:t>
      </w:r>
      <w:r w:rsidRPr="008419ED">
        <w:rPr>
          <w:rFonts w:ascii="Garamond" w:eastAsiaTheme="minorHAnsi" w:hAnsi="Garamond"/>
          <w:color w:val="000000"/>
          <w:sz w:val="24"/>
          <w:szCs w:val="24"/>
          <w:lang w:val="sq-AL"/>
          <w14:ligatures w14:val="standardContextual"/>
        </w:rPr>
        <w:t xml:space="preserve">6§1 të Konventës, pasi autoritetet vendase as nuk kanë parandaluar vijimin e shkeljes së pretenduar, dhe as nuk kanë dhënë kompensim për kërkuesin me anë të një vendimi të ekzekutueshëm. Për këtë arsye, kundërshtimi i Qeverisë në lidhje me këtë aspekt rrëzohet. </w:t>
      </w:r>
    </w:p>
    <w:p w14:paraId="78AD2F36" w14:textId="600EFEED"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143. Gjithashtu, procedurat sipas mjetit 2017, që synonin të pranonin dhe të korrigjonin kohëzgjatjen e tepërt të procedurave, filluan më 18 </w:t>
      </w:r>
      <w:r w:rsidR="00944CA1">
        <w:rPr>
          <w:rFonts w:ascii="Garamond" w:eastAsiaTheme="minorHAnsi" w:hAnsi="Garamond"/>
          <w:color w:val="000000"/>
          <w:sz w:val="24"/>
          <w:szCs w:val="24"/>
          <w:lang w:val="sq-AL"/>
          <w14:ligatures w14:val="standardContextual"/>
        </w:rPr>
        <w:t>s</w:t>
      </w:r>
      <w:r w:rsidRPr="008419ED">
        <w:rPr>
          <w:rFonts w:ascii="Garamond" w:eastAsiaTheme="minorHAnsi" w:hAnsi="Garamond"/>
          <w:color w:val="000000"/>
          <w:sz w:val="24"/>
          <w:szCs w:val="24"/>
          <w:lang w:val="sq-AL"/>
          <w14:ligatures w14:val="standardContextual"/>
        </w:rPr>
        <w:t xml:space="preserve">htator 2020 dhe janë ende pezull (shih paragrafët 55 dhe 64 më sipër). Ato nuk kanë përfunduar brenda afateve të legjislacionit vendas ose brenda periudhës prej dy </w:t>
      </w:r>
      <w:r w:rsidR="00CA282B" w:rsidRPr="008419ED">
        <w:rPr>
          <w:rFonts w:ascii="Garamond" w:eastAsiaTheme="minorHAnsi" w:hAnsi="Garamond"/>
          <w:color w:val="000000"/>
          <w:sz w:val="24"/>
          <w:szCs w:val="24"/>
          <w:lang w:val="sq-AL"/>
          <w14:ligatures w14:val="standardContextual"/>
        </w:rPr>
        <w:t>v</w:t>
      </w:r>
      <w:r w:rsidR="00CA282B">
        <w:rPr>
          <w:rFonts w:ascii="Garamond" w:eastAsiaTheme="minorHAnsi" w:hAnsi="Garamond"/>
          <w:color w:val="000000"/>
          <w:sz w:val="24"/>
          <w:szCs w:val="24"/>
          <w:lang w:val="sq-AL"/>
          <w14:ligatures w14:val="standardContextual"/>
        </w:rPr>
        <w:t>jetë</w:t>
      </w:r>
      <w:r w:rsidR="00CA282B" w:rsidRPr="008419ED">
        <w:rPr>
          <w:rFonts w:ascii="Garamond" w:eastAsiaTheme="minorHAnsi" w:hAnsi="Garamond"/>
          <w:color w:val="000000"/>
          <w:sz w:val="24"/>
          <w:szCs w:val="24"/>
          <w:lang w:val="sq-AL"/>
          <w14:ligatures w14:val="standardContextual"/>
        </w:rPr>
        <w:t>sh</w:t>
      </w:r>
      <w:r w:rsidRPr="008419ED">
        <w:rPr>
          <w:rFonts w:ascii="Garamond" w:eastAsiaTheme="minorHAnsi" w:hAnsi="Garamond"/>
          <w:color w:val="000000"/>
          <w:sz w:val="24"/>
          <w:szCs w:val="24"/>
          <w:lang w:val="sq-AL"/>
          <w14:ligatures w14:val="standardContextual"/>
        </w:rPr>
        <w:t xml:space="preserve"> e gjysmë që normalisht parashikohet sipas praktikës gjyqësore të Gjykatës. rezulton se ankesa e kërkuesit sipas </w:t>
      </w:r>
      <w:r w:rsidR="00DD25D1">
        <w:rPr>
          <w:rFonts w:ascii="Garamond" w:eastAsiaTheme="minorHAnsi" w:hAnsi="Garamond"/>
          <w:color w:val="000000"/>
          <w:sz w:val="24"/>
          <w:szCs w:val="24"/>
          <w:lang w:val="sq-AL"/>
          <w14:ligatures w14:val="standardContextual"/>
        </w:rPr>
        <w:t>n</w:t>
      </w:r>
      <w:r w:rsidRPr="008419ED">
        <w:rPr>
          <w:rFonts w:ascii="Garamond" w:eastAsiaTheme="minorHAnsi" w:hAnsi="Garamond"/>
          <w:color w:val="000000"/>
          <w:sz w:val="24"/>
          <w:szCs w:val="24"/>
          <w:lang w:val="sq-AL"/>
          <w14:ligatures w14:val="standardContextual"/>
        </w:rPr>
        <w:t>enit 6</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1 të Konventës nuk është e parakohshme dhe se pretendimi i Qeverisë për mosshterim duhet të rrëzohet. </w:t>
      </w:r>
    </w:p>
    <w:p w14:paraId="3D68A901" w14:textId="34D6DEC8"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8419ED">
        <w:rPr>
          <w:rFonts w:ascii="Garamond" w:eastAsiaTheme="minorHAnsi" w:hAnsi="Garamond"/>
          <w:b/>
          <w:bCs/>
          <w:color w:val="000000"/>
          <w:sz w:val="24"/>
          <w:szCs w:val="24"/>
          <w:lang w:val="sq-AL"/>
          <w14:ligatures w14:val="standardContextual"/>
        </w:rPr>
        <w:t>b) Respektimi i kërkesës për “afat të arsyeshëm”</w:t>
      </w:r>
    </w:p>
    <w:p w14:paraId="71155E2C" w14:textId="4118EDC9"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144. Edhe një herë, Gjykata i referohet parimeve përkatëse të përmendura, për shembull, në </w:t>
      </w:r>
      <w:r w:rsidRPr="008419ED">
        <w:rPr>
          <w:rFonts w:ascii="Garamond" w:eastAsiaTheme="minorHAnsi" w:hAnsi="Garamond"/>
          <w:i/>
          <w:iCs/>
          <w:color w:val="000000"/>
          <w:sz w:val="24"/>
          <w:szCs w:val="24"/>
          <w:lang w:val="sq-AL"/>
          <w14:ligatures w14:val="standardContextual"/>
        </w:rPr>
        <w:t xml:space="preserve">Comingersoll S.A. </w:t>
      </w:r>
      <w:r w:rsidRPr="008419ED">
        <w:rPr>
          <w:rFonts w:ascii="Garamond" w:eastAsiaTheme="minorHAnsi" w:hAnsi="Garamond"/>
          <w:color w:val="000000"/>
          <w:sz w:val="24"/>
          <w:szCs w:val="24"/>
          <w:lang w:val="sq-AL"/>
          <w14:ligatures w14:val="standardContextual"/>
        </w:rPr>
        <w:t xml:space="preserve">(cituar më sipër,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19). </w:t>
      </w:r>
    </w:p>
    <w:p w14:paraId="5BCA9FC4" w14:textId="72B32E71"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145. Procedurat filluan më 26 </w:t>
      </w:r>
      <w:r w:rsidR="00CA282B">
        <w:rPr>
          <w:rFonts w:ascii="Garamond" w:eastAsiaTheme="minorHAnsi" w:hAnsi="Garamond"/>
          <w:color w:val="000000"/>
          <w:sz w:val="24"/>
          <w:szCs w:val="24"/>
          <w:lang w:val="sq-AL"/>
          <w14:ligatures w14:val="standardContextual"/>
        </w:rPr>
        <w:t>m</w:t>
      </w:r>
      <w:r w:rsidRPr="008419ED">
        <w:rPr>
          <w:rFonts w:ascii="Garamond" w:eastAsiaTheme="minorHAnsi" w:hAnsi="Garamond"/>
          <w:color w:val="000000"/>
          <w:sz w:val="24"/>
          <w:szCs w:val="24"/>
          <w:lang w:val="sq-AL"/>
          <w14:ligatures w14:val="standardContextual"/>
        </w:rPr>
        <w:t xml:space="preserve">aj 2016 (shih paragrafin 45 më sipër). Për sa i përket përfundimit të tyre, Gjykata vëren se ajo ka vendosur se kërkuesi mban statusin e viktimës, pavarësisht vendimit në favor të tij nga Gjykata Kushtetuese, dhe procedurat kryesore vijojnë ende në Gjykatën Administrative të Apelit. Data e miratimit të vendimit konkret do të konsiderohet si pika fundore. </w:t>
      </w:r>
    </w:p>
    <w:p w14:paraId="075FFDB2" w14:textId="2A6ED321"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146. Më 1 </w:t>
      </w:r>
      <w:r w:rsidR="00DD25D1">
        <w:rPr>
          <w:rFonts w:ascii="Garamond" w:eastAsiaTheme="minorHAnsi" w:hAnsi="Garamond"/>
          <w:color w:val="000000"/>
          <w:sz w:val="24"/>
          <w:szCs w:val="24"/>
          <w:lang w:val="sq-AL"/>
          <w14:ligatures w14:val="standardContextual"/>
        </w:rPr>
        <w:t>n</w:t>
      </w:r>
      <w:r w:rsidRPr="008419ED">
        <w:rPr>
          <w:rFonts w:ascii="Garamond" w:eastAsiaTheme="minorHAnsi" w:hAnsi="Garamond"/>
          <w:color w:val="000000"/>
          <w:sz w:val="24"/>
          <w:szCs w:val="24"/>
          <w:lang w:val="sq-AL"/>
          <w14:ligatures w14:val="standardContextual"/>
        </w:rPr>
        <w:t xml:space="preserve">ëntor 2021, kur Gjykata Kushtetuese vendosi për çështjen (shih paragrafin 57 më sipër), procedurat kishin zgjatur afërsisht pesë </w:t>
      </w:r>
      <w:r w:rsidR="00CA282B">
        <w:rPr>
          <w:rFonts w:ascii="Garamond" w:eastAsiaTheme="minorHAnsi" w:hAnsi="Garamond"/>
          <w:color w:val="000000"/>
          <w:sz w:val="24"/>
          <w:szCs w:val="24"/>
          <w:lang w:val="sq-AL"/>
          <w14:ligatures w14:val="standardContextual"/>
        </w:rPr>
        <w:t>vjet</w:t>
      </w:r>
      <w:r w:rsidRPr="008419ED">
        <w:rPr>
          <w:rFonts w:ascii="Garamond" w:eastAsiaTheme="minorHAnsi" w:hAnsi="Garamond"/>
          <w:color w:val="000000"/>
          <w:sz w:val="24"/>
          <w:szCs w:val="24"/>
          <w:lang w:val="sq-AL"/>
          <w14:ligatures w14:val="standardContextual"/>
        </w:rPr>
        <w:t xml:space="preserve"> dhe pesë muaj në tr</w:t>
      </w:r>
      <w:r w:rsidR="008E3CDE">
        <w:rPr>
          <w:rFonts w:ascii="Garamond" w:eastAsiaTheme="minorHAnsi" w:hAnsi="Garamond"/>
          <w:color w:val="000000"/>
          <w:sz w:val="24"/>
          <w:szCs w:val="24"/>
          <w:lang w:val="sq-AL"/>
          <w14:ligatures w14:val="standardContextual"/>
        </w:rPr>
        <w:t>i</w:t>
      </w:r>
      <w:r w:rsidRPr="008419ED">
        <w:rPr>
          <w:rFonts w:ascii="Garamond" w:eastAsiaTheme="minorHAnsi" w:hAnsi="Garamond"/>
          <w:color w:val="000000"/>
          <w:sz w:val="24"/>
          <w:szCs w:val="24"/>
          <w:lang w:val="sq-AL"/>
          <w14:ligatures w14:val="standardContextual"/>
        </w:rPr>
        <w:t xml:space="preserve"> nivele juridiksioni. </w:t>
      </w:r>
    </w:p>
    <w:p w14:paraId="089440D4" w14:textId="5B4FCBD8"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147. Fillimisht procedurat ishin mjaft të shpejta pasi gjykatat e shkallës së parë dhe të apelit e gjykuan çështjen brenda pesë dhe dhjetë muajve respektivisht (shih paragrafët 46</w:t>
      </w:r>
      <w:r w:rsidR="00DD25D1">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47</w:t>
      </w:r>
      <w:r w:rsidR="00DD25D1">
        <w:rPr>
          <w:rFonts w:ascii="Garamond" w:eastAsiaTheme="minorHAnsi" w:hAnsi="Garamond"/>
          <w:color w:val="000000"/>
          <w:sz w:val="24"/>
          <w:szCs w:val="24"/>
          <w:lang w:val="sq-AL"/>
          <w14:ligatures w14:val="standardContextual"/>
        </w:rPr>
        <w:t xml:space="preserve"> </w:t>
      </w:r>
      <w:r w:rsidRPr="008419ED">
        <w:rPr>
          <w:rFonts w:ascii="Garamond" w:eastAsiaTheme="minorHAnsi" w:hAnsi="Garamond"/>
          <w:color w:val="000000"/>
          <w:sz w:val="24"/>
          <w:szCs w:val="24"/>
          <w:lang w:val="sq-AL"/>
          <w14:ligatures w14:val="standardContextual"/>
        </w:rPr>
        <w:t xml:space="preserve">më sipër). Megjithatë, pas rekursit të kërkuesit të datës 26 dhjetor 2017, çështja mbeti e pashqyrtuar në Gjykatën e Lartë për një kohë të gjatë. Më 1 </w:t>
      </w:r>
      <w:r w:rsidR="00DD25D1">
        <w:rPr>
          <w:rFonts w:ascii="Garamond" w:eastAsiaTheme="minorHAnsi" w:hAnsi="Garamond"/>
          <w:color w:val="000000"/>
          <w:sz w:val="24"/>
          <w:szCs w:val="24"/>
          <w:lang w:val="sq-AL"/>
          <w14:ligatures w14:val="standardContextual"/>
        </w:rPr>
        <w:t>n</w:t>
      </w:r>
      <w:r w:rsidRPr="008419ED">
        <w:rPr>
          <w:rFonts w:ascii="Garamond" w:eastAsiaTheme="minorHAnsi" w:hAnsi="Garamond"/>
          <w:color w:val="000000"/>
          <w:sz w:val="24"/>
          <w:szCs w:val="24"/>
          <w:lang w:val="sq-AL"/>
          <w14:ligatures w14:val="standardContextual"/>
        </w:rPr>
        <w:t xml:space="preserve">ëntor 2021, çështja kishte qenë pezull në Gjykatën e Lartë për pothuajse katër </w:t>
      </w:r>
      <w:r w:rsidR="00CA282B">
        <w:rPr>
          <w:rFonts w:ascii="Garamond" w:eastAsiaTheme="minorHAnsi" w:hAnsi="Garamond"/>
          <w:color w:val="000000"/>
          <w:sz w:val="24"/>
          <w:szCs w:val="24"/>
          <w:lang w:val="sq-AL"/>
          <w14:ligatures w14:val="standardContextual"/>
        </w:rPr>
        <w:t>vjet</w:t>
      </w:r>
      <w:r w:rsidRPr="008419ED">
        <w:rPr>
          <w:rFonts w:ascii="Garamond" w:eastAsiaTheme="minorHAnsi" w:hAnsi="Garamond"/>
          <w:color w:val="000000"/>
          <w:sz w:val="24"/>
          <w:szCs w:val="24"/>
          <w:lang w:val="sq-AL"/>
          <w14:ligatures w14:val="standardContextual"/>
        </w:rPr>
        <w:t xml:space="preserve">. </w:t>
      </w:r>
    </w:p>
    <w:p w14:paraId="3A87AA1B" w14:textId="5E134111"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148. Siç theksohet nga Gjykata Kushtetuese, me të cilën bie dakord Gjykata, procedurat nuk ngritën ndonjë çështje komplekse të faktit ose të ligjit. Kryesisht ato kishin të bënin me çështjen se për sa kohë kishte punuar dhe kontribuar kërkuesi në skemën e pensionit, dhe mënyrën në të cilën zbatoheshin afatet kohore për shlyerjen e pretendimeve të ngritura nga DSSH</w:t>
      </w:r>
      <w:r w:rsidR="006E215F">
        <w:rPr>
          <w:rFonts w:ascii="Garamond" w:eastAsiaTheme="minorHAnsi" w:hAnsi="Garamond"/>
          <w:color w:val="000000"/>
          <w:sz w:val="24"/>
          <w:szCs w:val="24"/>
          <w:lang w:val="sq-AL"/>
          <w14:ligatures w14:val="standardContextual"/>
        </w:rPr>
        <w:t>-ja</w:t>
      </w:r>
      <w:r w:rsidRPr="008419ED">
        <w:rPr>
          <w:rFonts w:ascii="Garamond" w:eastAsiaTheme="minorHAnsi" w:hAnsi="Garamond"/>
          <w:color w:val="000000"/>
          <w:sz w:val="24"/>
          <w:szCs w:val="24"/>
          <w:lang w:val="sq-AL"/>
          <w14:ligatures w14:val="standardContextual"/>
        </w:rPr>
        <w:t xml:space="preserve"> (shih paragrafin 59 më sipër). </w:t>
      </w:r>
    </w:p>
    <w:p w14:paraId="0195A448" w14:textId="1C42DCF3"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149. As sjellja e kërkuesit nuk shkaktoi ndonjë vonesë. </w:t>
      </w:r>
    </w:p>
    <w:p w14:paraId="64CC02CB" w14:textId="2EF74FAF"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150. Për sa i përket faktit se çfarë rrezikohej, Gjykata vlerëson se çështja në fjalë ishte e një rëndësie të madhe për kërkuesin, pasi kishte të bënte me pensionet e tij të minatorit dhe të vjetërsisë në moshë (krahaso </w:t>
      </w:r>
      <w:r w:rsidRPr="008419ED">
        <w:rPr>
          <w:rFonts w:ascii="Garamond" w:eastAsiaTheme="minorHAnsi" w:hAnsi="Garamond"/>
          <w:i/>
          <w:iCs/>
          <w:color w:val="000000"/>
          <w:sz w:val="24"/>
          <w:szCs w:val="24"/>
          <w:lang w:val="sq-AL"/>
          <w14:ligatures w14:val="standardContextual"/>
        </w:rPr>
        <w:t>Bieliński</w:t>
      </w:r>
      <w:r w:rsidRPr="008419ED">
        <w:rPr>
          <w:rFonts w:ascii="Garamond" w:eastAsiaTheme="minorHAnsi" w:hAnsi="Garamond"/>
          <w:color w:val="000000"/>
          <w:sz w:val="24"/>
          <w:szCs w:val="24"/>
          <w:lang w:val="sq-AL"/>
          <w14:ligatures w14:val="standardContextual"/>
        </w:rPr>
        <w:t xml:space="preserve">, cituar më sipër,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48). </w:t>
      </w:r>
    </w:p>
    <w:p w14:paraId="01941F23" w14:textId="2F9AA0AA"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151. Për sa më sipër, Gjykata bie dakord me përfundimin e Gjykatës Kushtetuese se më 1 </w:t>
      </w:r>
      <w:r w:rsidR="008E3CDE" w:rsidRPr="008419ED">
        <w:rPr>
          <w:rFonts w:ascii="Garamond" w:eastAsiaTheme="minorHAnsi" w:hAnsi="Garamond"/>
          <w:color w:val="000000"/>
          <w:sz w:val="24"/>
          <w:szCs w:val="24"/>
          <w:lang w:val="sq-AL"/>
          <w14:ligatures w14:val="standardContextual"/>
        </w:rPr>
        <w:t xml:space="preserve">nëntor </w:t>
      </w:r>
      <w:r w:rsidRPr="008419ED">
        <w:rPr>
          <w:rFonts w:ascii="Garamond" w:eastAsiaTheme="minorHAnsi" w:hAnsi="Garamond"/>
          <w:color w:val="000000"/>
          <w:sz w:val="24"/>
          <w:szCs w:val="24"/>
          <w:lang w:val="sq-AL"/>
          <w14:ligatures w14:val="standardContextual"/>
        </w:rPr>
        <w:t xml:space="preserve">2021, kohëzgjatja e procedurave </w:t>
      </w:r>
      <w:bookmarkStart w:id="0" w:name="_GoBack"/>
      <w:bookmarkEnd w:id="0"/>
      <w:r w:rsidRPr="00565C9B">
        <w:rPr>
          <w:rFonts w:ascii="Garamond" w:eastAsiaTheme="minorHAnsi" w:hAnsi="Garamond"/>
          <w:color w:val="000000"/>
          <w:sz w:val="24"/>
          <w:szCs w:val="24"/>
          <w:lang w:val="sq-AL"/>
          <w14:ligatures w14:val="standardContextual"/>
        </w:rPr>
        <w:t xml:space="preserve">në </w:t>
      </w:r>
      <w:r w:rsidR="00873B1E" w:rsidRPr="00565C9B">
        <w:rPr>
          <w:rFonts w:ascii="Garamond" w:eastAsiaTheme="minorHAnsi" w:hAnsi="Garamond"/>
          <w:color w:val="000000"/>
          <w:sz w:val="24"/>
          <w:szCs w:val="24"/>
          <w:lang w:val="sq-AL"/>
          <w14:ligatures w14:val="standardContextual"/>
        </w:rPr>
        <w:t>çështjen</w:t>
      </w:r>
      <w:r w:rsidRPr="008419ED">
        <w:rPr>
          <w:rFonts w:ascii="Garamond" w:eastAsiaTheme="minorHAnsi" w:hAnsi="Garamond"/>
          <w:color w:val="000000"/>
          <w:sz w:val="24"/>
          <w:szCs w:val="24"/>
          <w:lang w:val="sq-AL"/>
          <w14:ligatures w14:val="standardContextual"/>
        </w:rPr>
        <w:t xml:space="preserve"> konkrete ishte tashmë e paarsyeshme. </w:t>
      </w:r>
    </w:p>
    <w:p w14:paraId="2A7B242F" w14:textId="6C8D968D"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152. Më 17 </w:t>
      </w:r>
      <w:r w:rsidR="008E3CDE" w:rsidRPr="008419ED">
        <w:rPr>
          <w:rFonts w:ascii="Garamond" w:eastAsiaTheme="minorHAnsi" w:hAnsi="Garamond"/>
          <w:color w:val="000000"/>
          <w:sz w:val="24"/>
          <w:szCs w:val="24"/>
          <w:lang w:val="sq-AL"/>
          <w14:ligatures w14:val="standardContextual"/>
        </w:rPr>
        <w:t xml:space="preserve">janar </w:t>
      </w:r>
      <w:r w:rsidRPr="008419ED">
        <w:rPr>
          <w:rFonts w:ascii="Garamond" w:eastAsiaTheme="minorHAnsi" w:hAnsi="Garamond"/>
          <w:color w:val="000000"/>
          <w:sz w:val="24"/>
          <w:szCs w:val="24"/>
          <w:lang w:val="sq-AL"/>
          <w14:ligatures w14:val="standardContextual"/>
        </w:rPr>
        <w:t xml:space="preserve">2022, Gjykata e Lartë rrëzoi vendimin e Gjykatës Administrative të Apelit (shih paragrafët 51 dhe në vijim më sipër). Për më tepër, defektet e vendimit të kundërshtuar nuk mund të korrigjoheshin nga Gjykata e Lartë, që e dërgonte çështjen për rigjykim. </w:t>
      </w:r>
    </w:p>
    <w:p w14:paraId="5127E7D4" w14:textId="0CD05576"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153. Gjithashtu, për tre </w:t>
      </w:r>
      <w:r w:rsidR="008E3CDE">
        <w:rPr>
          <w:rFonts w:ascii="Garamond" w:eastAsiaTheme="minorHAnsi" w:hAnsi="Garamond"/>
          <w:color w:val="000000"/>
          <w:sz w:val="24"/>
          <w:szCs w:val="24"/>
          <w:lang w:val="sq-AL"/>
          <w14:ligatures w14:val="standardContextual"/>
        </w:rPr>
        <w:t>vjetët</w:t>
      </w:r>
      <w:r w:rsidRPr="008419ED">
        <w:rPr>
          <w:rFonts w:ascii="Garamond" w:eastAsiaTheme="minorHAnsi" w:hAnsi="Garamond"/>
          <w:color w:val="000000"/>
          <w:sz w:val="24"/>
          <w:szCs w:val="24"/>
          <w:lang w:val="sq-AL"/>
          <w14:ligatures w14:val="standardContextual"/>
        </w:rPr>
        <w:t xml:space="preserve"> e fundit çështja kishte mbetur pezull në Gjykatën Administrative të Apelit Tiranë, pa arritur ndonjë progres të veçantë në shqyrtimin e saj. </w:t>
      </w:r>
    </w:p>
    <w:p w14:paraId="02F5A3AC" w14:textId="3A56AD14"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154. Kohëzgjatja e përgjithshme e procedurave, deri më sot, është afërsisht tetë </w:t>
      </w:r>
      <w:r w:rsidR="00CA282B">
        <w:rPr>
          <w:rFonts w:ascii="Garamond" w:eastAsiaTheme="minorHAnsi" w:hAnsi="Garamond"/>
          <w:color w:val="000000"/>
          <w:sz w:val="24"/>
          <w:szCs w:val="24"/>
          <w:lang w:val="sq-AL"/>
          <w14:ligatures w14:val="standardContextual"/>
        </w:rPr>
        <w:t>vjet</w:t>
      </w:r>
      <w:r w:rsidRPr="008419ED">
        <w:rPr>
          <w:rFonts w:ascii="Garamond" w:eastAsiaTheme="minorHAnsi" w:hAnsi="Garamond"/>
          <w:color w:val="000000"/>
          <w:sz w:val="24"/>
          <w:szCs w:val="24"/>
          <w:lang w:val="sq-AL"/>
          <w14:ligatures w14:val="standardContextual"/>
        </w:rPr>
        <w:t xml:space="preserve"> dhe njëmbëdhjetë muaj. Sipas rrethanave, është shkelur kërkesa për “afat të arsyeshëm” sipas </w:t>
      </w:r>
      <w:r w:rsidR="008E491E" w:rsidRPr="008419ED">
        <w:rPr>
          <w:rFonts w:ascii="Garamond" w:eastAsiaTheme="minorHAnsi" w:hAnsi="Garamond"/>
          <w:color w:val="000000"/>
          <w:sz w:val="24"/>
          <w:szCs w:val="24"/>
          <w:lang w:val="sq-AL"/>
          <w14:ligatures w14:val="standardContextual"/>
        </w:rPr>
        <w:t xml:space="preserve">nenit </w:t>
      </w:r>
      <w:r w:rsidRPr="008419ED">
        <w:rPr>
          <w:rFonts w:ascii="Garamond" w:eastAsiaTheme="minorHAnsi" w:hAnsi="Garamond"/>
          <w:color w:val="000000"/>
          <w:sz w:val="24"/>
          <w:szCs w:val="24"/>
          <w:lang w:val="sq-AL"/>
          <w14:ligatures w14:val="standardContextual"/>
        </w:rPr>
        <w:t>6</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1 të Konventës për kërkesën e katërt. </w:t>
      </w:r>
    </w:p>
    <w:p w14:paraId="76898838" w14:textId="2A3AB015"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III. PRETENDIMI PËR SHKELJE TË NENIT 13 SË BASHKU ME NENIN 6</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1 TË KONVENTËS</w:t>
      </w:r>
    </w:p>
    <w:p w14:paraId="335F1A62" w14:textId="2881EAF9"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155. Kërkuesit u ankuan në mbështetje të </w:t>
      </w:r>
      <w:r w:rsidR="00873B1E">
        <w:rPr>
          <w:rFonts w:ascii="Garamond" w:eastAsiaTheme="minorHAnsi" w:hAnsi="Garamond"/>
          <w:color w:val="000000"/>
          <w:sz w:val="24"/>
          <w:szCs w:val="24"/>
          <w:lang w:val="sq-AL"/>
          <w14:ligatures w14:val="standardContextual"/>
        </w:rPr>
        <w:t>n</w:t>
      </w:r>
      <w:r w:rsidRPr="008419ED">
        <w:rPr>
          <w:rFonts w:ascii="Garamond" w:eastAsiaTheme="minorHAnsi" w:hAnsi="Garamond"/>
          <w:color w:val="000000"/>
          <w:sz w:val="24"/>
          <w:szCs w:val="24"/>
          <w:lang w:val="sq-AL"/>
          <w14:ligatures w14:val="standardContextual"/>
        </w:rPr>
        <w:t xml:space="preserve">enit 13 së bashku me </w:t>
      </w:r>
      <w:r w:rsidR="008E491E" w:rsidRPr="008419ED">
        <w:rPr>
          <w:rFonts w:ascii="Garamond" w:eastAsiaTheme="minorHAnsi" w:hAnsi="Garamond"/>
          <w:color w:val="000000"/>
          <w:sz w:val="24"/>
          <w:szCs w:val="24"/>
          <w:lang w:val="sq-AL"/>
          <w14:ligatures w14:val="standardContextual"/>
        </w:rPr>
        <w:t xml:space="preserve">nenin </w:t>
      </w:r>
      <w:r w:rsidRPr="008419ED">
        <w:rPr>
          <w:rFonts w:ascii="Garamond" w:eastAsiaTheme="minorHAnsi" w:hAnsi="Garamond"/>
          <w:color w:val="000000"/>
          <w:sz w:val="24"/>
          <w:szCs w:val="24"/>
          <w:lang w:val="sq-AL"/>
          <w14:ligatures w14:val="standardContextual"/>
        </w:rPr>
        <w:t>6</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1 të Konventës, se nuk kishin asnjë mjet efektiv për ankesat e tyre për kohëzgjatjen e procedurave. Neni 13 i Konventës parashikon: </w:t>
      </w:r>
    </w:p>
    <w:p w14:paraId="6283E2A3" w14:textId="77777777"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p>
    <w:p w14:paraId="789A7A87" w14:textId="5AE96665" w:rsidR="008419ED" w:rsidRDefault="008419ED" w:rsidP="008419ED">
      <w:pPr>
        <w:tabs>
          <w:tab w:val="left" w:pos="560"/>
          <w:tab w:val="left" w:pos="1120"/>
        </w:tabs>
        <w:autoSpaceDE w:val="0"/>
        <w:autoSpaceDN w:val="0"/>
        <w:adjustRightInd w:val="0"/>
        <w:spacing w:after="0" w:line="240" w:lineRule="auto"/>
        <w:ind w:firstLine="284"/>
        <w:jc w:val="center"/>
        <w:rPr>
          <w:rFonts w:ascii="Garamond" w:eastAsiaTheme="minorHAnsi" w:hAnsi="Garamond"/>
          <w:b/>
          <w:bCs/>
          <w:color w:val="000000"/>
          <w:sz w:val="24"/>
          <w:szCs w:val="24"/>
          <w:lang w:val="sq-AL"/>
          <w14:ligatures w14:val="standardContextual"/>
        </w:rPr>
      </w:pPr>
      <w:r w:rsidRPr="008419ED">
        <w:rPr>
          <w:rFonts w:ascii="Garamond" w:eastAsiaTheme="minorHAnsi" w:hAnsi="Garamond"/>
          <w:b/>
          <w:bCs/>
          <w:color w:val="000000"/>
          <w:sz w:val="24"/>
          <w:szCs w:val="24"/>
          <w:lang w:val="sq-AL"/>
          <w14:ligatures w14:val="standardContextual"/>
        </w:rPr>
        <w:t xml:space="preserve">Neni </w:t>
      </w:r>
    </w:p>
    <w:p w14:paraId="470A182B" w14:textId="77777777" w:rsidR="008E491E" w:rsidRPr="008419ED" w:rsidRDefault="008E491E" w:rsidP="008419ED">
      <w:pPr>
        <w:tabs>
          <w:tab w:val="left" w:pos="560"/>
          <w:tab w:val="left" w:pos="1120"/>
        </w:tabs>
        <w:autoSpaceDE w:val="0"/>
        <w:autoSpaceDN w:val="0"/>
        <w:adjustRightInd w:val="0"/>
        <w:spacing w:after="0" w:line="240" w:lineRule="auto"/>
        <w:ind w:firstLine="284"/>
        <w:jc w:val="center"/>
        <w:rPr>
          <w:rFonts w:ascii="Garamond" w:eastAsiaTheme="minorHAnsi" w:hAnsi="Garamond"/>
          <w:b/>
          <w:bCs/>
          <w:color w:val="000000"/>
          <w:sz w:val="24"/>
          <w:szCs w:val="24"/>
          <w:lang w:val="sq-AL"/>
          <w14:ligatures w14:val="standardContextual"/>
        </w:rPr>
      </w:pPr>
    </w:p>
    <w:p w14:paraId="595B7BC9" w14:textId="77777777" w:rsidR="008419ED" w:rsidRPr="008419ED" w:rsidRDefault="008419ED" w:rsidP="008419ED">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“Çdokush, të cilit i janë shkelur të drejtat dhe liritë e përcaktuara në këtë Konventë, ka të drejtën e një zgjidhjeje efektive para një organi kombëtar...”</w:t>
      </w:r>
    </w:p>
    <w:p w14:paraId="54EE558E" w14:textId="2E3AA814" w:rsidR="008419ED" w:rsidRPr="008419ED" w:rsidRDefault="008419ED" w:rsidP="008419ED">
      <w:pPr>
        <w:tabs>
          <w:tab w:val="left" w:pos="560"/>
          <w:tab w:val="left" w:pos="1120"/>
        </w:tabs>
        <w:autoSpaceDE w:val="0"/>
        <w:autoSpaceDN w:val="0"/>
        <w:adjustRightInd w:val="0"/>
        <w:spacing w:after="0" w:line="240" w:lineRule="auto"/>
        <w:ind w:firstLine="284"/>
        <w:rPr>
          <w:rFonts w:ascii="Garamond" w:eastAsiaTheme="minorHAnsi" w:hAnsi="Garamond"/>
          <w:b/>
          <w:bCs/>
          <w:color w:val="000000"/>
          <w:sz w:val="24"/>
          <w:szCs w:val="24"/>
          <w:lang w:val="sq-AL"/>
          <w14:ligatures w14:val="standardContextual"/>
        </w:rPr>
      </w:pPr>
      <w:r w:rsidRPr="008419ED">
        <w:rPr>
          <w:rFonts w:ascii="Garamond" w:eastAsiaTheme="minorHAnsi" w:hAnsi="Garamond"/>
          <w:b/>
          <w:bCs/>
          <w:color w:val="000000"/>
          <w:sz w:val="24"/>
          <w:szCs w:val="24"/>
          <w:lang w:val="sq-AL"/>
          <w14:ligatures w14:val="standardContextual"/>
        </w:rPr>
        <w:t>A. Parashtrimet e palëve</w:t>
      </w:r>
    </w:p>
    <w:p w14:paraId="177B9390" w14:textId="3983B87C"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156. Qeveria i kërkoi Gjykatës t’i deklaronte ankesat qartazi të pambështetura në fakte, sepse, sipas këndvështrimit të saj, kërkuesve iu ishte dhënë një mjet efektiv. </w:t>
      </w:r>
    </w:p>
    <w:p w14:paraId="7AD8C5DD" w14:textId="392E21DE"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157. Kërkuesit në kërkesën e parë, të dytë dhe të katërt (respektivisht nr. 39860/19, 38996/20 dhe 27370/22) përsëritën argumentet e tyre të paraqitur më sipër (shih paragrafët 104</w:t>
      </w:r>
      <w:r w:rsidR="00873B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108 më sipër) dhe e kundërshtuan qëndrimin e Qeverisë. Kërkuesi në kërkesën e tretë (nr. 6142/22) nuk u përgjigj. </w:t>
      </w:r>
    </w:p>
    <w:p w14:paraId="4A6E51F3" w14:textId="515F8CB5"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8419ED">
        <w:rPr>
          <w:rFonts w:ascii="Garamond" w:eastAsiaTheme="minorHAnsi" w:hAnsi="Garamond"/>
          <w:b/>
          <w:bCs/>
          <w:color w:val="000000"/>
          <w:sz w:val="24"/>
          <w:szCs w:val="24"/>
          <w:lang w:val="sq-AL"/>
          <w14:ligatures w14:val="standardContextual"/>
        </w:rPr>
        <w:t>B. Vlerësimi i Gjykatës</w:t>
      </w:r>
    </w:p>
    <w:p w14:paraId="1DDE390C" w14:textId="492B4376"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8419ED">
        <w:rPr>
          <w:rFonts w:ascii="Garamond" w:eastAsiaTheme="minorHAnsi" w:hAnsi="Garamond"/>
          <w:i/>
          <w:iCs/>
          <w:color w:val="000000"/>
          <w:sz w:val="24"/>
          <w:szCs w:val="24"/>
          <w:lang w:val="sq-AL"/>
          <w14:ligatures w14:val="standardContextual"/>
        </w:rPr>
        <w:t>1. Parimet e zbatueshme</w:t>
      </w:r>
    </w:p>
    <w:p w14:paraId="222B1849" w14:textId="48EDBAB4"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158. Neni 13 i Konventës garanton disponueshmërinë në nivel kombëtar të një mjeti për të zbatuar thelbin e të drejtave dhe lirive të Konventës në cilëndo formë që mund ët ndodhnin për të qenë të sigurta në rendin juridik vendas. Në këtë mënyr</w:t>
      </w:r>
      <w:r w:rsidR="002E6B75" w:rsidRPr="008419ED">
        <w:rPr>
          <w:rFonts w:ascii="Garamond" w:eastAsiaTheme="minorHAnsi" w:hAnsi="Garamond"/>
          <w:color w:val="000000"/>
          <w:sz w:val="24"/>
          <w:szCs w:val="24"/>
          <w:lang w:val="sq-AL"/>
          <w14:ligatures w14:val="standardContextual"/>
        </w:rPr>
        <w:t>ë</w:t>
      </w:r>
      <w:r w:rsidRPr="008419ED">
        <w:rPr>
          <w:rFonts w:ascii="Garamond" w:eastAsiaTheme="minorHAnsi" w:hAnsi="Garamond"/>
          <w:color w:val="000000"/>
          <w:sz w:val="24"/>
          <w:szCs w:val="24"/>
          <w:lang w:val="sq-AL"/>
          <w14:ligatures w14:val="standardContextual"/>
        </w:rPr>
        <w:t xml:space="preserve">, rezultati i </w:t>
      </w:r>
      <w:r w:rsidR="008E491E" w:rsidRPr="008419ED">
        <w:rPr>
          <w:rFonts w:ascii="Garamond" w:eastAsiaTheme="minorHAnsi" w:hAnsi="Garamond"/>
          <w:color w:val="000000"/>
          <w:sz w:val="24"/>
          <w:szCs w:val="24"/>
          <w:lang w:val="sq-AL"/>
          <w14:ligatures w14:val="standardContextual"/>
        </w:rPr>
        <w:t xml:space="preserve">nenit </w:t>
      </w:r>
      <w:r w:rsidRPr="008419ED">
        <w:rPr>
          <w:rFonts w:ascii="Garamond" w:eastAsiaTheme="minorHAnsi" w:hAnsi="Garamond"/>
          <w:color w:val="000000"/>
          <w:sz w:val="24"/>
          <w:szCs w:val="24"/>
          <w:lang w:val="sq-AL"/>
          <w14:ligatures w14:val="standardContextual"/>
        </w:rPr>
        <w:t xml:space="preserve">13 është që të kërkojë garantimin e një mjeti vendas për të trajtuar thelbin e një “ankese të diskutueshme” sipas Konventës dhe për të garantuar lehtësimin e duhur (shih </w:t>
      </w:r>
      <w:r w:rsidRPr="008419ED">
        <w:rPr>
          <w:rFonts w:ascii="Garamond" w:eastAsiaTheme="minorHAnsi" w:hAnsi="Garamond"/>
          <w:i/>
          <w:iCs/>
          <w:color w:val="000000"/>
          <w:sz w:val="24"/>
          <w:szCs w:val="24"/>
          <w:lang w:val="sq-AL"/>
          <w14:ligatures w14:val="standardContextual"/>
        </w:rPr>
        <w:t>Kudła kundër Polonisë</w:t>
      </w:r>
      <w:r w:rsidRPr="008419ED">
        <w:rPr>
          <w:rFonts w:ascii="Garamond" w:eastAsiaTheme="minorHAnsi" w:hAnsi="Garamond"/>
          <w:color w:val="000000"/>
          <w:sz w:val="24"/>
          <w:szCs w:val="24"/>
          <w:lang w:val="sq-AL"/>
          <w14:ligatures w14:val="standardContextual"/>
        </w:rPr>
        <w:t xml:space="preserve"> [DHM], nr. 30210/96,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157, GJEDNJ 2000-XI, dhe </w:t>
      </w:r>
      <w:r w:rsidRPr="008419ED">
        <w:rPr>
          <w:rFonts w:ascii="Garamond" w:eastAsiaTheme="minorHAnsi" w:hAnsi="Garamond"/>
          <w:i/>
          <w:iCs/>
          <w:color w:val="000000"/>
          <w:sz w:val="24"/>
          <w:szCs w:val="24"/>
          <w:lang w:val="sq-AL"/>
          <w14:ligatures w14:val="standardContextual"/>
        </w:rPr>
        <w:t xml:space="preserve">McFarlane kundër Irlandës </w:t>
      </w:r>
      <w:r w:rsidRPr="008419ED">
        <w:rPr>
          <w:rFonts w:ascii="Garamond" w:eastAsiaTheme="minorHAnsi" w:hAnsi="Garamond"/>
          <w:color w:val="000000"/>
          <w:sz w:val="24"/>
          <w:szCs w:val="24"/>
          <w:lang w:val="sq-AL"/>
          <w14:ligatures w14:val="standardContextual"/>
        </w:rPr>
        <w:t xml:space="preserve">[DHM], nr. 31333/06,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108, 10 </w:t>
      </w:r>
      <w:r w:rsidR="008E491E" w:rsidRPr="008419ED">
        <w:rPr>
          <w:rFonts w:ascii="Garamond" w:eastAsiaTheme="minorHAnsi" w:hAnsi="Garamond"/>
          <w:color w:val="000000"/>
          <w:sz w:val="24"/>
          <w:szCs w:val="24"/>
          <w:lang w:val="sq-AL"/>
          <w14:ligatures w14:val="standardContextual"/>
        </w:rPr>
        <w:t xml:space="preserve">shtator </w:t>
      </w:r>
      <w:r w:rsidRPr="008419ED">
        <w:rPr>
          <w:rFonts w:ascii="Garamond" w:eastAsiaTheme="minorHAnsi" w:hAnsi="Garamond"/>
          <w:color w:val="000000"/>
          <w:sz w:val="24"/>
          <w:szCs w:val="24"/>
          <w:lang w:val="sq-AL"/>
          <w14:ligatures w14:val="standardContextual"/>
        </w:rPr>
        <w:t>2010).</w:t>
      </w:r>
    </w:p>
    <w:p w14:paraId="6A4F6C2D" w14:textId="090EB5D7"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159. Qëllimi i detyrimeve të Palës Kontraktuese sipas </w:t>
      </w:r>
      <w:r w:rsidR="00873B1E" w:rsidRPr="008419ED">
        <w:rPr>
          <w:rFonts w:ascii="Garamond" w:eastAsiaTheme="minorHAnsi" w:hAnsi="Garamond"/>
          <w:color w:val="000000"/>
          <w:sz w:val="24"/>
          <w:szCs w:val="24"/>
          <w:lang w:val="sq-AL"/>
          <w14:ligatures w14:val="standardContextual"/>
        </w:rPr>
        <w:t xml:space="preserve">nenit </w:t>
      </w:r>
      <w:r w:rsidRPr="008419ED">
        <w:rPr>
          <w:rFonts w:ascii="Garamond" w:eastAsiaTheme="minorHAnsi" w:hAnsi="Garamond"/>
          <w:color w:val="000000"/>
          <w:sz w:val="24"/>
          <w:szCs w:val="24"/>
          <w:lang w:val="sq-AL"/>
          <w14:ligatures w14:val="standardContextual"/>
        </w:rPr>
        <w:t xml:space="preserve">13 varion në varësi të natyrës së ankesës. Megjithatë, mjeti i kërkuar nga </w:t>
      </w:r>
      <w:r w:rsidR="008E491E" w:rsidRPr="008419ED">
        <w:rPr>
          <w:rFonts w:ascii="Garamond" w:eastAsiaTheme="minorHAnsi" w:hAnsi="Garamond"/>
          <w:color w:val="000000"/>
          <w:sz w:val="24"/>
          <w:szCs w:val="24"/>
          <w:lang w:val="sq-AL"/>
          <w14:ligatures w14:val="standardContextual"/>
        </w:rPr>
        <w:t xml:space="preserve">neni </w:t>
      </w:r>
      <w:r w:rsidRPr="008419ED">
        <w:rPr>
          <w:rFonts w:ascii="Garamond" w:eastAsiaTheme="minorHAnsi" w:hAnsi="Garamond"/>
          <w:color w:val="000000"/>
          <w:sz w:val="24"/>
          <w:szCs w:val="24"/>
          <w:lang w:val="sq-AL"/>
          <w14:ligatures w14:val="standardContextual"/>
        </w:rPr>
        <w:t xml:space="preserve">13 duhet të jetë “efektiv” në praktikë ashtu si edhe në juridiksion (shih, për shembull, </w:t>
      </w:r>
      <w:r w:rsidRPr="008419ED">
        <w:rPr>
          <w:rFonts w:ascii="Garamond" w:eastAsiaTheme="minorHAnsi" w:hAnsi="Garamond"/>
          <w:i/>
          <w:iCs/>
          <w:color w:val="000000"/>
          <w:sz w:val="24"/>
          <w:szCs w:val="24"/>
          <w:lang w:val="sq-AL"/>
          <w14:ligatures w14:val="standardContextual"/>
        </w:rPr>
        <w:t>İlhan kundër Turqisë</w:t>
      </w:r>
      <w:r w:rsidRPr="008419ED">
        <w:rPr>
          <w:rFonts w:ascii="Garamond" w:eastAsiaTheme="minorHAnsi" w:hAnsi="Garamond"/>
          <w:color w:val="000000"/>
          <w:sz w:val="24"/>
          <w:szCs w:val="24"/>
          <w:lang w:val="sq-AL"/>
          <w14:ligatures w14:val="standardContextual"/>
        </w:rPr>
        <w:t xml:space="preserve"> [DHM], nr. 22277/93,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97, GJEDNJ 2000-VII). Termi “efektiv” nënkupt</w:t>
      </w:r>
      <w:r w:rsidR="00294DE8">
        <w:rPr>
          <w:rFonts w:ascii="Garamond" w:eastAsiaTheme="minorHAnsi" w:hAnsi="Garamond"/>
          <w:color w:val="000000"/>
          <w:sz w:val="24"/>
          <w:szCs w:val="24"/>
          <w:lang w:val="sq-AL"/>
          <w14:ligatures w14:val="standardContextual"/>
        </w:rPr>
        <w:t>o</w:t>
      </w:r>
      <w:r w:rsidRPr="008419ED">
        <w:rPr>
          <w:rFonts w:ascii="Garamond" w:eastAsiaTheme="minorHAnsi" w:hAnsi="Garamond"/>
          <w:color w:val="000000"/>
          <w:sz w:val="24"/>
          <w:szCs w:val="24"/>
          <w:lang w:val="sq-AL"/>
          <w14:ligatures w14:val="standardContextual"/>
        </w:rPr>
        <w:t>n</w:t>
      </w:r>
      <w:r w:rsidR="00294DE8">
        <w:rPr>
          <w:rFonts w:ascii="Garamond" w:eastAsiaTheme="minorHAnsi" w:hAnsi="Garamond"/>
          <w:color w:val="000000"/>
          <w:sz w:val="24"/>
          <w:szCs w:val="24"/>
          <w:lang w:val="sq-AL"/>
          <w14:ligatures w14:val="standardContextual"/>
        </w:rPr>
        <w:t xml:space="preserve"> </w:t>
      </w:r>
      <w:r w:rsidRPr="008419ED">
        <w:rPr>
          <w:rFonts w:ascii="Garamond" w:eastAsiaTheme="minorHAnsi" w:hAnsi="Garamond"/>
          <w:color w:val="000000"/>
          <w:sz w:val="24"/>
          <w:szCs w:val="24"/>
          <w:lang w:val="sq-AL"/>
          <w14:ligatures w14:val="standardContextual"/>
        </w:rPr>
        <w:t xml:space="preserve">se mjeti duhet të jetë i përshtatshëm dhe i aksesueshëm (shih </w:t>
      </w:r>
      <w:r w:rsidRPr="008419ED">
        <w:rPr>
          <w:rFonts w:ascii="Garamond" w:eastAsiaTheme="minorHAnsi" w:hAnsi="Garamond"/>
          <w:i/>
          <w:iCs/>
          <w:color w:val="000000"/>
          <w:sz w:val="24"/>
          <w:szCs w:val="24"/>
          <w:lang w:val="sq-AL"/>
          <w14:ligatures w14:val="standardContextual"/>
        </w:rPr>
        <w:t xml:space="preserve">Paulino Tomás kundër Portugalisë </w:t>
      </w:r>
      <w:r w:rsidRPr="008419ED">
        <w:rPr>
          <w:rFonts w:ascii="Garamond" w:eastAsiaTheme="minorHAnsi" w:hAnsi="Garamond"/>
          <w:color w:val="000000"/>
          <w:sz w:val="24"/>
          <w:szCs w:val="24"/>
          <w:lang w:val="sq-AL"/>
          <w14:ligatures w14:val="standardContextual"/>
        </w:rPr>
        <w:t xml:space="preserve">(vendim), nr. 58698/00, GJEDNJ 2003-VIII). </w:t>
      </w:r>
    </w:p>
    <w:p w14:paraId="03F5FB61" w14:textId="1B202807"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160. Në lidhje me llojin e mjeteve të nevojshme për ankesat për kohëzgjatjen e procedurave sipas </w:t>
      </w:r>
      <w:r w:rsidR="008E491E" w:rsidRPr="008419ED">
        <w:rPr>
          <w:rFonts w:ascii="Garamond" w:eastAsiaTheme="minorHAnsi" w:hAnsi="Garamond"/>
          <w:color w:val="000000"/>
          <w:sz w:val="24"/>
          <w:szCs w:val="24"/>
          <w:lang w:val="sq-AL"/>
          <w14:ligatures w14:val="standardContextual"/>
        </w:rPr>
        <w:t xml:space="preserve">nenit </w:t>
      </w:r>
      <w:r w:rsidRPr="008419ED">
        <w:rPr>
          <w:rFonts w:ascii="Garamond" w:eastAsiaTheme="minorHAnsi" w:hAnsi="Garamond"/>
          <w:color w:val="000000"/>
          <w:sz w:val="24"/>
          <w:szCs w:val="24"/>
          <w:lang w:val="sq-AL"/>
          <w14:ligatures w14:val="standardContextual"/>
        </w:rPr>
        <w:t xml:space="preserve">13 së bashku me </w:t>
      </w:r>
      <w:r w:rsidR="008E491E" w:rsidRPr="008419ED">
        <w:rPr>
          <w:rFonts w:ascii="Garamond" w:eastAsiaTheme="minorHAnsi" w:hAnsi="Garamond"/>
          <w:color w:val="000000"/>
          <w:sz w:val="24"/>
          <w:szCs w:val="24"/>
          <w:lang w:val="sq-AL"/>
          <w14:ligatures w14:val="standardContextual"/>
        </w:rPr>
        <w:t xml:space="preserve">nenin </w:t>
      </w:r>
      <w:r w:rsidRPr="008419ED">
        <w:rPr>
          <w:rFonts w:ascii="Garamond" w:eastAsiaTheme="minorHAnsi" w:hAnsi="Garamond"/>
          <w:color w:val="000000"/>
          <w:sz w:val="24"/>
          <w:szCs w:val="24"/>
          <w:lang w:val="sq-AL"/>
          <w14:ligatures w14:val="standardContextual"/>
        </w:rPr>
        <w:t>6</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1 të Konventës, Gjykata i referohet përsëri parimeve të efikasitetit të përcaktuara më sipër (shih paragrafin 97 më sipër). </w:t>
      </w:r>
    </w:p>
    <w:p w14:paraId="7929EB60" w14:textId="332F2E9B"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8419ED">
        <w:rPr>
          <w:rFonts w:ascii="Garamond" w:eastAsiaTheme="minorHAnsi" w:hAnsi="Garamond"/>
          <w:i/>
          <w:iCs/>
          <w:color w:val="000000"/>
          <w:sz w:val="24"/>
          <w:szCs w:val="24"/>
          <w:lang w:val="sq-AL"/>
          <w14:ligatures w14:val="standardContextual"/>
        </w:rPr>
        <w:t>2. Zbatimi i parimeve në çështjen aktuale</w:t>
      </w:r>
    </w:p>
    <w:p w14:paraId="6CFDD7F1" w14:textId="6AEDFB23"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8419ED">
        <w:rPr>
          <w:rFonts w:ascii="Garamond" w:eastAsiaTheme="minorHAnsi" w:hAnsi="Garamond"/>
          <w:b/>
          <w:bCs/>
          <w:color w:val="000000"/>
          <w:sz w:val="24"/>
          <w:szCs w:val="24"/>
          <w:lang w:val="sq-AL"/>
          <w14:ligatures w14:val="standardContextual"/>
        </w:rPr>
        <w:t>a) Kërkesa e parë: ARB SHPK kundër Shqipërisë (nr. 39860/19)</w:t>
      </w:r>
    </w:p>
    <w:p w14:paraId="29D6BBC2" w14:textId="7A54DF49"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161. Siç theksohet nga Gjykata Kushtetuese (shih paragrafin 12 më sipër), Gjykata e Lartë nuk dha një vendim në kohë për kërkesën e kompanisë kërkuese të datës 30 </w:t>
      </w:r>
      <w:r w:rsidR="008E491E" w:rsidRPr="008419ED">
        <w:rPr>
          <w:rFonts w:ascii="Garamond" w:eastAsiaTheme="minorHAnsi" w:hAnsi="Garamond"/>
          <w:color w:val="000000"/>
          <w:sz w:val="24"/>
          <w:szCs w:val="24"/>
          <w:lang w:val="sq-AL"/>
          <w14:ligatures w14:val="standardContextual"/>
        </w:rPr>
        <w:t xml:space="preserve">dhjetor </w:t>
      </w:r>
      <w:r w:rsidRPr="008419ED">
        <w:rPr>
          <w:rFonts w:ascii="Garamond" w:eastAsiaTheme="minorHAnsi" w:hAnsi="Garamond"/>
          <w:color w:val="000000"/>
          <w:sz w:val="24"/>
          <w:szCs w:val="24"/>
          <w:lang w:val="sq-AL"/>
          <w14:ligatures w14:val="standardContextual"/>
        </w:rPr>
        <w:t xml:space="preserve">2020, duke u ankuar se kohëzgjatja e procedurave kryesore kishte qenë e paarsyeshme. Dështimi i Gjykatës së Lartë në atë aspekt e dobëson argumentin e Qeverisë se kompanisë kërkuese i ishte garantuar një mjet efektiv. </w:t>
      </w:r>
    </w:p>
    <w:p w14:paraId="2DEDBC12" w14:textId="0CFABDED"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162. Megjithatë, në 1 </w:t>
      </w:r>
      <w:r w:rsidR="008E491E" w:rsidRPr="008419ED">
        <w:rPr>
          <w:rFonts w:ascii="Garamond" w:eastAsiaTheme="minorHAnsi" w:hAnsi="Garamond"/>
          <w:color w:val="000000"/>
          <w:sz w:val="24"/>
          <w:szCs w:val="24"/>
          <w:lang w:val="sq-AL"/>
          <w14:ligatures w14:val="standardContextual"/>
        </w:rPr>
        <w:t xml:space="preserve">nëntor </w:t>
      </w:r>
      <w:r w:rsidRPr="008419ED">
        <w:rPr>
          <w:rFonts w:ascii="Garamond" w:eastAsiaTheme="minorHAnsi" w:hAnsi="Garamond"/>
          <w:color w:val="000000"/>
          <w:sz w:val="24"/>
          <w:szCs w:val="24"/>
          <w:lang w:val="sq-AL"/>
          <w14:ligatures w14:val="standardContextual"/>
        </w:rPr>
        <w:t xml:space="preserve">2021, që është njëmbëdhjetë muaj pasi kompania ankuese paraqiti kërkesën e saj, Gjykata Kushtetuese shqyrtoi ankesën dhe miratoi </w:t>
      </w:r>
      <w:r w:rsidR="008E491E">
        <w:rPr>
          <w:rFonts w:ascii="Garamond" w:eastAsiaTheme="minorHAnsi" w:hAnsi="Garamond"/>
          <w:color w:val="000000"/>
          <w:sz w:val="24"/>
          <w:szCs w:val="24"/>
          <w:lang w:val="sq-AL"/>
          <w14:ligatures w14:val="standardContextual"/>
        </w:rPr>
        <w:t>v</w:t>
      </w:r>
      <w:r w:rsidRPr="008419ED">
        <w:rPr>
          <w:rFonts w:ascii="Garamond" w:eastAsiaTheme="minorHAnsi" w:hAnsi="Garamond"/>
          <w:color w:val="000000"/>
          <w:sz w:val="24"/>
          <w:szCs w:val="24"/>
          <w:lang w:val="sq-AL"/>
          <w14:ligatures w14:val="standardContextual"/>
        </w:rPr>
        <w:t xml:space="preserve">endimin 34/2021 me gjykimin e saj për çështjen (shih paragrafët 8 dhe 10 më sipër). </w:t>
      </w:r>
    </w:p>
    <w:p w14:paraId="1454DA08" w14:textId="73A2EB4E"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163. Në </w:t>
      </w:r>
      <w:r w:rsidR="008E491E">
        <w:rPr>
          <w:rFonts w:ascii="Garamond" w:eastAsiaTheme="minorHAnsi" w:hAnsi="Garamond"/>
          <w:color w:val="000000"/>
          <w:sz w:val="24"/>
          <w:szCs w:val="24"/>
          <w:lang w:val="sq-AL"/>
          <w14:ligatures w14:val="standardContextual"/>
        </w:rPr>
        <w:t>v</w:t>
      </w:r>
      <w:r w:rsidRPr="008419ED">
        <w:rPr>
          <w:rFonts w:ascii="Garamond" w:eastAsiaTheme="minorHAnsi" w:hAnsi="Garamond"/>
          <w:color w:val="000000"/>
          <w:sz w:val="24"/>
          <w:szCs w:val="24"/>
          <w:lang w:val="sq-AL"/>
          <w14:ligatures w14:val="standardContextual"/>
        </w:rPr>
        <w:t>endimin 34/2021, Gjykata Kushtetuese vendosi se nuk ishte shkelur kërkesa për “afat të arsyeshëm”. I njëjti pozicion u mbajt edhe për dy vendimet e mëpasshme të Gjykatës Kushtetuese.</w:t>
      </w:r>
      <w:r w:rsidR="00FF0BBE">
        <w:rPr>
          <w:rFonts w:ascii="Garamond" w:eastAsiaTheme="minorHAnsi" w:hAnsi="Garamond"/>
          <w:color w:val="000000"/>
          <w:sz w:val="24"/>
          <w:szCs w:val="24"/>
          <w:lang w:val="sq-AL"/>
          <w14:ligatures w14:val="standardContextual"/>
        </w:rPr>
        <w:t xml:space="preserve"> </w:t>
      </w:r>
    </w:p>
    <w:p w14:paraId="163D1011" w14:textId="5CC2DB9C"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164. Gjykata përsërit se çështja nëse kërkuesi në një çështje të caktuar përfitoi nga gjykimi brenda një afati të arsyeshëm, në përcaktimin e të drejtave dhe detyrimeve civile  ose të një akuze penale, është një çështje ligjore e veçantë nga aspekti nëse ajo ishte e disponueshme për kërkuesin sipas legjislacionit vendas, një mjet efektiv për të shqyrtuar një ankesë në atë aspekt (shih </w:t>
      </w:r>
      <w:r w:rsidRPr="008419ED">
        <w:rPr>
          <w:rFonts w:ascii="Garamond" w:eastAsiaTheme="minorHAnsi" w:hAnsi="Garamond"/>
          <w:i/>
          <w:iCs/>
          <w:color w:val="000000"/>
          <w:sz w:val="24"/>
          <w:szCs w:val="24"/>
          <w:lang w:val="sq-AL"/>
          <w14:ligatures w14:val="standardContextual"/>
        </w:rPr>
        <w:t xml:space="preserve">Kudła, </w:t>
      </w:r>
      <w:r w:rsidRPr="008419ED">
        <w:rPr>
          <w:rFonts w:ascii="Garamond" w:eastAsiaTheme="minorHAnsi" w:hAnsi="Garamond"/>
          <w:color w:val="000000"/>
          <w:sz w:val="24"/>
          <w:szCs w:val="24"/>
          <w:lang w:val="sq-AL"/>
          <w14:ligatures w14:val="standardContextual"/>
        </w:rPr>
        <w:t xml:space="preserve">cituar më sipër,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147). </w:t>
      </w:r>
    </w:p>
    <w:p w14:paraId="3F9E27A1" w14:textId="3BAC58A7"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165. Në linjë me këtë aspekt, çështja nëse kompanisë kërkuese iu dha e drejta për t’u dëgjuar brenda një afati të arsyeshëm është vlerësuar nga gjykata më sipër vetëm në mbështetje të </w:t>
      </w:r>
      <w:r w:rsidR="008E491E">
        <w:rPr>
          <w:rFonts w:ascii="Garamond" w:eastAsiaTheme="minorHAnsi" w:hAnsi="Garamond"/>
          <w:color w:val="000000"/>
          <w:sz w:val="24"/>
          <w:szCs w:val="24"/>
          <w:lang w:val="sq-AL"/>
          <w14:ligatures w14:val="standardContextual"/>
        </w:rPr>
        <w:t>n</w:t>
      </w:r>
      <w:r w:rsidRPr="008419ED">
        <w:rPr>
          <w:rFonts w:ascii="Garamond" w:eastAsiaTheme="minorHAnsi" w:hAnsi="Garamond"/>
          <w:color w:val="000000"/>
          <w:sz w:val="24"/>
          <w:szCs w:val="24"/>
          <w:lang w:val="sq-AL"/>
          <w14:ligatures w14:val="standardContextual"/>
        </w:rPr>
        <w:t>enit 6</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1 të Konventës (shih paragrafët 114 dhe në vijim më sipër). </w:t>
      </w:r>
    </w:p>
    <w:p w14:paraId="316321F5" w14:textId="4B3BB2F5"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166. Pyetja që kërkon përgjigje në këtë fazë të analizë sipas </w:t>
      </w:r>
      <w:r w:rsidR="008E491E">
        <w:rPr>
          <w:rFonts w:ascii="Garamond" w:eastAsiaTheme="minorHAnsi" w:hAnsi="Garamond"/>
          <w:color w:val="000000"/>
          <w:sz w:val="24"/>
          <w:szCs w:val="24"/>
          <w:lang w:val="sq-AL"/>
          <w14:ligatures w14:val="standardContextual"/>
        </w:rPr>
        <w:t>n</w:t>
      </w:r>
      <w:r w:rsidRPr="008419ED">
        <w:rPr>
          <w:rFonts w:ascii="Garamond" w:eastAsiaTheme="minorHAnsi" w:hAnsi="Garamond"/>
          <w:color w:val="000000"/>
          <w:sz w:val="24"/>
          <w:szCs w:val="24"/>
          <w:lang w:val="sq-AL"/>
          <w14:ligatures w14:val="standardContextual"/>
        </w:rPr>
        <w:t xml:space="preserve">enit 13 së bashku me </w:t>
      </w:r>
      <w:r w:rsidR="008E491E">
        <w:rPr>
          <w:rFonts w:ascii="Garamond" w:eastAsiaTheme="minorHAnsi" w:hAnsi="Garamond"/>
          <w:color w:val="000000"/>
          <w:sz w:val="24"/>
          <w:szCs w:val="24"/>
          <w:lang w:val="sq-AL"/>
          <w14:ligatures w14:val="standardContextual"/>
        </w:rPr>
        <w:t>n</w:t>
      </w:r>
      <w:r w:rsidRPr="008419ED">
        <w:rPr>
          <w:rFonts w:ascii="Garamond" w:eastAsiaTheme="minorHAnsi" w:hAnsi="Garamond"/>
          <w:color w:val="000000"/>
          <w:sz w:val="24"/>
          <w:szCs w:val="24"/>
          <w:lang w:val="sq-AL"/>
          <w14:ligatures w14:val="standardContextual"/>
        </w:rPr>
        <w:t>enin 6</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1 kufizohet në faktin nëse kompania kërkuese pati mundësinë që mbështetur në legjislacionin vendas të ankohej për kohëzgjatjen e procedurave. Në lidhje me këtë, Gjykata thekson se Gjykata Kushtetuese, në të tr</w:t>
      </w:r>
      <w:r w:rsidR="008E3CDE">
        <w:rPr>
          <w:rFonts w:ascii="Garamond" w:eastAsiaTheme="minorHAnsi" w:hAnsi="Garamond"/>
          <w:color w:val="000000"/>
          <w:sz w:val="24"/>
          <w:szCs w:val="24"/>
          <w:lang w:val="sq-AL"/>
          <w14:ligatures w14:val="standardContextual"/>
        </w:rPr>
        <w:t>ia</w:t>
      </w:r>
      <w:r w:rsidRPr="008419ED">
        <w:rPr>
          <w:rFonts w:ascii="Garamond" w:eastAsiaTheme="minorHAnsi" w:hAnsi="Garamond"/>
          <w:color w:val="000000"/>
          <w:sz w:val="24"/>
          <w:szCs w:val="24"/>
          <w:lang w:val="sq-AL"/>
          <w14:ligatures w14:val="standardContextual"/>
        </w:rPr>
        <w:t xml:space="preserve"> vendimet, e shqyrtoi ankesën e kompanisë kërkuese për kohëzgjatjen e procedurave, duke pasur në </w:t>
      </w:r>
      <w:r w:rsidR="004A738D" w:rsidRPr="008419ED">
        <w:rPr>
          <w:rFonts w:ascii="Garamond" w:eastAsiaTheme="minorHAnsi" w:hAnsi="Garamond"/>
          <w:color w:val="000000"/>
          <w:sz w:val="24"/>
          <w:szCs w:val="24"/>
          <w:lang w:val="sq-AL"/>
          <w14:ligatures w14:val="standardContextual"/>
        </w:rPr>
        <w:t>konsideratë</w:t>
      </w:r>
      <w:r w:rsidRPr="008419ED">
        <w:rPr>
          <w:rFonts w:ascii="Garamond" w:eastAsiaTheme="minorHAnsi" w:hAnsi="Garamond"/>
          <w:color w:val="000000"/>
          <w:sz w:val="24"/>
          <w:szCs w:val="24"/>
          <w:lang w:val="sq-AL"/>
          <w14:ligatures w14:val="standardContextual"/>
        </w:rPr>
        <w:t xml:space="preserve"> faktorët që përfshijnë arsyet për vonesën, sjelljen e autoriteteve dhe të kërkuesit, kompleksitetin e çështjes dhe çfarë ishte në rrezik gjatë procedurave. Për sa më sipër, dhe pavarësisht konstatimit të një shkeljeje të </w:t>
      </w:r>
      <w:r w:rsidR="008E491E">
        <w:rPr>
          <w:rFonts w:ascii="Garamond" w:eastAsiaTheme="minorHAnsi" w:hAnsi="Garamond"/>
          <w:color w:val="000000"/>
          <w:sz w:val="24"/>
          <w:szCs w:val="24"/>
          <w:lang w:val="sq-AL"/>
          <w14:ligatures w14:val="standardContextual"/>
        </w:rPr>
        <w:t>n</w:t>
      </w:r>
      <w:r w:rsidRPr="008419ED">
        <w:rPr>
          <w:rFonts w:ascii="Garamond" w:eastAsiaTheme="minorHAnsi" w:hAnsi="Garamond"/>
          <w:color w:val="000000"/>
          <w:sz w:val="24"/>
          <w:szCs w:val="24"/>
          <w:lang w:val="sq-AL"/>
          <w14:ligatures w14:val="standardContextual"/>
        </w:rPr>
        <w:t>enit 6</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1 të Konventës nga Gjykata (shih paragrafin 124 më sipër), Gjykata arrin në përfundimin se në çështjen konkrete, kompanisë kërkuese i ishte dhënë një mjet efektiv për pretendimet e saj në lidhje me kohëzgjatjen e tepërt të procedurave. </w:t>
      </w:r>
    </w:p>
    <w:p w14:paraId="431A7F02" w14:textId="7E85F0CB"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167. Mbështetur në rrethana, ankesa sipas </w:t>
      </w:r>
      <w:r w:rsidR="008E491E" w:rsidRPr="008419ED">
        <w:rPr>
          <w:rFonts w:ascii="Garamond" w:eastAsiaTheme="minorHAnsi" w:hAnsi="Garamond"/>
          <w:color w:val="000000"/>
          <w:sz w:val="24"/>
          <w:szCs w:val="24"/>
          <w:lang w:val="sq-AL"/>
          <w14:ligatures w14:val="standardContextual"/>
        </w:rPr>
        <w:t xml:space="preserve">nenit </w:t>
      </w:r>
      <w:r w:rsidRPr="008419ED">
        <w:rPr>
          <w:rFonts w:ascii="Garamond" w:eastAsiaTheme="minorHAnsi" w:hAnsi="Garamond"/>
          <w:color w:val="000000"/>
          <w:sz w:val="24"/>
          <w:szCs w:val="24"/>
          <w:lang w:val="sq-AL"/>
          <w14:ligatures w14:val="standardContextual"/>
        </w:rPr>
        <w:t xml:space="preserve">13 së bashku me </w:t>
      </w:r>
      <w:r w:rsidR="008E491E" w:rsidRPr="008419ED">
        <w:rPr>
          <w:rFonts w:ascii="Garamond" w:eastAsiaTheme="minorHAnsi" w:hAnsi="Garamond"/>
          <w:color w:val="000000"/>
          <w:sz w:val="24"/>
          <w:szCs w:val="24"/>
          <w:lang w:val="sq-AL"/>
          <w14:ligatures w14:val="standardContextual"/>
        </w:rPr>
        <w:t xml:space="preserve">nenin </w:t>
      </w:r>
      <w:r w:rsidRPr="008419ED">
        <w:rPr>
          <w:rFonts w:ascii="Garamond" w:eastAsiaTheme="minorHAnsi" w:hAnsi="Garamond"/>
          <w:color w:val="000000"/>
          <w:sz w:val="24"/>
          <w:szCs w:val="24"/>
          <w:lang w:val="sq-AL"/>
          <w14:ligatures w14:val="standardContextual"/>
        </w:rPr>
        <w:t>6</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1 të Konventës për kërkesën e parë është e papranueshme mbështetur në </w:t>
      </w:r>
      <w:r w:rsidR="008E491E" w:rsidRPr="008419ED">
        <w:rPr>
          <w:rFonts w:ascii="Garamond" w:eastAsiaTheme="minorHAnsi" w:hAnsi="Garamond"/>
          <w:color w:val="000000"/>
          <w:sz w:val="24"/>
          <w:szCs w:val="24"/>
          <w:lang w:val="sq-AL"/>
          <w14:ligatures w14:val="standardContextual"/>
        </w:rPr>
        <w:t xml:space="preserve">nenin </w:t>
      </w:r>
      <w:r w:rsidRPr="008419ED">
        <w:rPr>
          <w:rFonts w:ascii="Garamond" w:eastAsiaTheme="minorHAnsi" w:hAnsi="Garamond"/>
          <w:color w:val="000000"/>
          <w:sz w:val="24"/>
          <w:szCs w:val="24"/>
          <w:lang w:val="sq-AL"/>
          <w14:ligatures w14:val="standardContextual"/>
        </w:rPr>
        <w:t>35</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3 (a) të Konventës si qartazi e pambështetur në fakte, dhe për këtë arsye duhet të rrëzohet sipas </w:t>
      </w:r>
      <w:r w:rsidR="008E491E" w:rsidRPr="008419ED">
        <w:rPr>
          <w:rFonts w:ascii="Garamond" w:eastAsiaTheme="minorHAnsi" w:hAnsi="Garamond"/>
          <w:color w:val="000000"/>
          <w:sz w:val="24"/>
          <w:szCs w:val="24"/>
          <w:lang w:val="sq-AL"/>
          <w14:ligatures w14:val="standardContextual"/>
        </w:rPr>
        <w:t xml:space="preserve">nenit </w:t>
      </w:r>
      <w:r w:rsidRPr="008419ED">
        <w:rPr>
          <w:rFonts w:ascii="Garamond" w:eastAsiaTheme="minorHAnsi" w:hAnsi="Garamond"/>
          <w:color w:val="000000"/>
          <w:sz w:val="24"/>
          <w:szCs w:val="24"/>
          <w:lang w:val="sq-AL"/>
          <w14:ligatures w14:val="standardContextual"/>
        </w:rPr>
        <w:t>35</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4. </w:t>
      </w:r>
    </w:p>
    <w:p w14:paraId="62187D1D" w14:textId="0880E37C"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8419ED">
        <w:rPr>
          <w:rFonts w:ascii="Garamond" w:eastAsiaTheme="minorHAnsi" w:hAnsi="Garamond"/>
          <w:b/>
          <w:bCs/>
          <w:color w:val="000000"/>
          <w:sz w:val="24"/>
          <w:szCs w:val="24"/>
          <w:lang w:val="sq-AL"/>
          <w14:ligatures w14:val="standardContextual"/>
        </w:rPr>
        <w:t>b) Kërkesa e dytë: ARB SHPK kundër Shqipërisë (nr. 38996/20)</w:t>
      </w:r>
    </w:p>
    <w:p w14:paraId="5EAD70FB" w14:textId="4C7F3A2F"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168. Gjykata thekson se rrethanat e kërkesës së dytë janë shumë të ngjashme me ato të kërkesës së parë (shih paragrafët 32</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34</w:t>
      </w:r>
      <w:r w:rsidR="008E491E">
        <w:rPr>
          <w:rFonts w:ascii="Garamond" w:eastAsiaTheme="minorHAnsi" w:hAnsi="Garamond"/>
          <w:color w:val="000000"/>
          <w:sz w:val="24"/>
          <w:szCs w:val="24"/>
          <w:lang w:val="sq-AL"/>
          <w14:ligatures w14:val="standardContextual"/>
        </w:rPr>
        <w:t xml:space="preserve"> </w:t>
      </w:r>
      <w:r w:rsidRPr="008419ED">
        <w:rPr>
          <w:rFonts w:ascii="Garamond" w:eastAsiaTheme="minorHAnsi" w:hAnsi="Garamond"/>
          <w:color w:val="000000"/>
          <w:sz w:val="24"/>
          <w:szCs w:val="24"/>
          <w:lang w:val="sq-AL"/>
          <w14:ligatures w14:val="standardContextual"/>
        </w:rPr>
        <w:t>dhe 8</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10 më sipër). </w:t>
      </w:r>
    </w:p>
    <w:p w14:paraId="3ED42680" w14:textId="0164B29B"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169. Arsyetimi i Gjykatës në lidhje me këtë aspekt (shih paragrafët 161</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166 më sipër) përdoret edhe për kërkesën e dytë. </w:t>
      </w:r>
    </w:p>
    <w:p w14:paraId="6BD5C3C1" w14:textId="570F9D87"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170. Në përputhje me rrethanat, edhe ankesa e bërë sipas </w:t>
      </w:r>
      <w:r w:rsidR="008E491E" w:rsidRPr="008419ED">
        <w:rPr>
          <w:rFonts w:ascii="Garamond" w:eastAsiaTheme="minorHAnsi" w:hAnsi="Garamond"/>
          <w:color w:val="000000"/>
          <w:sz w:val="24"/>
          <w:szCs w:val="24"/>
          <w:lang w:val="sq-AL"/>
          <w14:ligatures w14:val="standardContextual"/>
        </w:rPr>
        <w:t xml:space="preserve">nenit </w:t>
      </w:r>
      <w:r w:rsidRPr="008419ED">
        <w:rPr>
          <w:rFonts w:ascii="Garamond" w:eastAsiaTheme="minorHAnsi" w:hAnsi="Garamond"/>
          <w:color w:val="000000"/>
          <w:sz w:val="24"/>
          <w:szCs w:val="24"/>
          <w:lang w:val="sq-AL"/>
          <w14:ligatures w14:val="standardContextual"/>
        </w:rPr>
        <w:t>13 së bashku me nenin 6</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1 të Konventës për kërkesën e dytë është e papranueshme sipas nenit 35</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3 (a) të Konventës si qartazi e pambështetur në fakte dhe për këtë arsye duhet të rrëzohet sipas </w:t>
      </w:r>
      <w:r w:rsidR="008E491E" w:rsidRPr="008419ED">
        <w:rPr>
          <w:rFonts w:ascii="Garamond" w:eastAsiaTheme="minorHAnsi" w:hAnsi="Garamond"/>
          <w:color w:val="000000"/>
          <w:sz w:val="24"/>
          <w:szCs w:val="24"/>
          <w:lang w:val="sq-AL"/>
          <w14:ligatures w14:val="standardContextual"/>
        </w:rPr>
        <w:t xml:space="preserve">nenit </w:t>
      </w:r>
      <w:r w:rsidRPr="008419ED">
        <w:rPr>
          <w:rFonts w:ascii="Garamond" w:eastAsiaTheme="minorHAnsi" w:hAnsi="Garamond"/>
          <w:color w:val="000000"/>
          <w:sz w:val="24"/>
          <w:szCs w:val="24"/>
          <w:lang w:val="sq-AL"/>
          <w14:ligatures w14:val="standardContextual"/>
        </w:rPr>
        <w:t>35</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4. </w:t>
      </w:r>
    </w:p>
    <w:p w14:paraId="29AA7D73" w14:textId="53A3BF5F"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8419ED">
        <w:rPr>
          <w:rFonts w:ascii="Garamond" w:eastAsiaTheme="minorHAnsi" w:hAnsi="Garamond"/>
          <w:b/>
          <w:bCs/>
          <w:color w:val="000000"/>
          <w:sz w:val="24"/>
          <w:szCs w:val="24"/>
          <w:lang w:val="sq-AL"/>
          <w14:ligatures w14:val="standardContextual"/>
        </w:rPr>
        <w:t>c) Kërkesa e tretë: Llagami kundër Shqipërisë (nr. 6142/22)</w:t>
      </w:r>
    </w:p>
    <w:p w14:paraId="42419400" w14:textId="0FCFD1D0"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171. Gjykata i referohet përsëri përfundimit të saj se një ankimim kushtetues, në teori, mund të ishte një mjet efektiv për ankesën e kërkuesit për kohëzgjatjen e procedurave (shih paragrafin 100 më sipër). </w:t>
      </w:r>
    </w:p>
    <w:p w14:paraId="68D78F73" w14:textId="41C481FF"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172. Në vijim, rezulton se i takonte kërkuesit që të paraqiste një ankimim kushtetues për t’u ankuar për kohëzgjatjen e procedurave. </w:t>
      </w:r>
    </w:p>
    <w:p w14:paraId="30A72B9C" w14:textId="78BAAAD2"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173. Sipas rrethanave, ankesa e bërë mbështetur në </w:t>
      </w:r>
      <w:r w:rsidR="008E491E" w:rsidRPr="008419ED">
        <w:rPr>
          <w:rFonts w:ascii="Garamond" w:eastAsiaTheme="minorHAnsi" w:hAnsi="Garamond"/>
          <w:color w:val="000000"/>
          <w:sz w:val="24"/>
          <w:szCs w:val="24"/>
          <w:lang w:val="sq-AL"/>
          <w14:ligatures w14:val="standardContextual"/>
        </w:rPr>
        <w:t xml:space="preserve">nenin </w:t>
      </w:r>
      <w:r w:rsidRPr="008419ED">
        <w:rPr>
          <w:rFonts w:ascii="Garamond" w:eastAsiaTheme="minorHAnsi" w:hAnsi="Garamond"/>
          <w:color w:val="000000"/>
          <w:sz w:val="24"/>
          <w:szCs w:val="24"/>
          <w:lang w:val="sq-AL"/>
          <w14:ligatures w14:val="standardContextual"/>
        </w:rPr>
        <w:t xml:space="preserve">13 së bashku me </w:t>
      </w:r>
      <w:r w:rsidR="008E491E" w:rsidRPr="008419ED">
        <w:rPr>
          <w:rFonts w:ascii="Garamond" w:eastAsiaTheme="minorHAnsi" w:hAnsi="Garamond"/>
          <w:color w:val="000000"/>
          <w:sz w:val="24"/>
          <w:szCs w:val="24"/>
          <w:lang w:val="sq-AL"/>
          <w14:ligatures w14:val="standardContextual"/>
        </w:rPr>
        <w:t xml:space="preserve">nenin </w:t>
      </w:r>
      <w:r w:rsidRPr="008419ED">
        <w:rPr>
          <w:rFonts w:ascii="Garamond" w:eastAsiaTheme="minorHAnsi" w:hAnsi="Garamond"/>
          <w:color w:val="000000"/>
          <w:sz w:val="24"/>
          <w:szCs w:val="24"/>
          <w:lang w:val="sq-AL"/>
          <w14:ligatures w14:val="standardContextual"/>
        </w:rPr>
        <w:t>6</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1 të Konventës për kërkesën e tretë është e papranueshme sipas </w:t>
      </w:r>
      <w:r w:rsidR="008E491E">
        <w:rPr>
          <w:rFonts w:ascii="Garamond" w:eastAsiaTheme="minorHAnsi" w:hAnsi="Garamond"/>
          <w:color w:val="000000"/>
          <w:sz w:val="24"/>
          <w:szCs w:val="24"/>
          <w:lang w:val="sq-AL"/>
          <w14:ligatures w14:val="standardContextual"/>
        </w:rPr>
        <w:t>n</w:t>
      </w:r>
      <w:r w:rsidRPr="008419ED">
        <w:rPr>
          <w:rFonts w:ascii="Garamond" w:eastAsiaTheme="minorHAnsi" w:hAnsi="Garamond"/>
          <w:color w:val="000000"/>
          <w:sz w:val="24"/>
          <w:szCs w:val="24"/>
          <w:lang w:val="sq-AL"/>
          <w14:ligatures w14:val="standardContextual"/>
        </w:rPr>
        <w:t>enit 35</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3 (a) të Konventës si qartazi e pambështetur në fakte, dhe për këtë arsye duhet të rrëzohet sipas </w:t>
      </w:r>
      <w:r w:rsidR="008E491E" w:rsidRPr="008419ED">
        <w:rPr>
          <w:rFonts w:ascii="Garamond" w:eastAsiaTheme="minorHAnsi" w:hAnsi="Garamond"/>
          <w:color w:val="000000"/>
          <w:sz w:val="24"/>
          <w:szCs w:val="24"/>
          <w:lang w:val="sq-AL"/>
          <w14:ligatures w14:val="standardContextual"/>
        </w:rPr>
        <w:t xml:space="preserve">nenit </w:t>
      </w:r>
      <w:r w:rsidRPr="008419ED">
        <w:rPr>
          <w:rFonts w:ascii="Garamond" w:eastAsiaTheme="minorHAnsi" w:hAnsi="Garamond"/>
          <w:color w:val="000000"/>
          <w:sz w:val="24"/>
          <w:szCs w:val="24"/>
          <w:lang w:val="sq-AL"/>
          <w14:ligatures w14:val="standardContextual"/>
        </w:rPr>
        <w:t>35</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4. </w:t>
      </w:r>
    </w:p>
    <w:p w14:paraId="08AC21DF" w14:textId="4BF1899C"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8419ED">
        <w:rPr>
          <w:rFonts w:ascii="Garamond" w:eastAsiaTheme="minorHAnsi" w:hAnsi="Garamond"/>
          <w:b/>
          <w:bCs/>
          <w:color w:val="000000"/>
          <w:sz w:val="24"/>
          <w:szCs w:val="24"/>
          <w:lang w:val="sq-AL"/>
          <w14:ligatures w14:val="standardContextual"/>
        </w:rPr>
        <w:t>d) Kërkesa e katërt: Gazidedja kundër Shqipërisë (nr. 27370/22)</w:t>
      </w:r>
    </w:p>
    <w:p w14:paraId="5752CB03" w14:textId="6BC8E19F"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174. Gjykata vëren se çështjet e mësipërme (shih, veçanërisht, paragrafët 161</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166 më sipër) kanë të bëjnë me rezultatin e ankesave të kërkuesve për kohëzgjatjen e procedurave. Ndryshe nga këto çështje, më shumë sesa rezultati substantiv i procedurave, çështja në kërkesën konkrete ishte mënyra me të cilën u trajtua ankesa e kërkuesit nga gjykatat vendase, që u karakterizua qartazi nga një vonesë e tejzgjatur në finalizimin e procedurave të kompensimit sipas mjetit 2017 (shih paragrafin 143 më sipër). Gjykata tashmë ka konstatuar se për shkak të kësaj vonese dhe pavarësisht rezultatit të favorshëm të ankesës së tij kushtetuese, kërkuesi ka statusin e viktimës. </w:t>
      </w:r>
    </w:p>
    <w:p w14:paraId="1E430497" w14:textId="0D1B18B7"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175. Për këtë arsye, në rrethanat specifike të çështjes konkrete, ankesa është e pranueshme dhe paraqet një shkelje të </w:t>
      </w:r>
      <w:r w:rsidR="008E491E">
        <w:rPr>
          <w:rFonts w:ascii="Garamond" w:eastAsiaTheme="minorHAnsi" w:hAnsi="Garamond"/>
          <w:color w:val="000000"/>
          <w:sz w:val="24"/>
          <w:szCs w:val="24"/>
          <w:lang w:val="sq-AL"/>
          <w14:ligatures w14:val="standardContextual"/>
        </w:rPr>
        <w:t>n</w:t>
      </w:r>
      <w:r w:rsidRPr="008419ED">
        <w:rPr>
          <w:rFonts w:ascii="Garamond" w:eastAsiaTheme="minorHAnsi" w:hAnsi="Garamond"/>
          <w:color w:val="000000"/>
          <w:sz w:val="24"/>
          <w:szCs w:val="24"/>
          <w:lang w:val="sq-AL"/>
          <w14:ligatures w14:val="standardContextual"/>
        </w:rPr>
        <w:t xml:space="preserve">enit 13 së bashku me </w:t>
      </w:r>
      <w:r w:rsidR="008E491E">
        <w:rPr>
          <w:rFonts w:ascii="Garamond" w:eastAsiaTheme="minorHAnsi" w:hAnsi="Garamond"/>
          <w:color w:val="000000"/>
          <w:sz w:val="24"/>
          <w:szCs w:val="24"/>
          <w:lang w:val="sq-AL"/>
          <w14:ligatures w14:val="standardContextual"/>
        </w:rPr>
        <w:t>n</w:t>
      </w:r>
      <w:r w:rsidRPr="008419ED">
        <w:rPr>
          <w:rFonts w:ascii="Garamond" w:eastAsiaTheme="minorHAnsi" w:hAnsi="Garamond"/>
          <w:color w:val="000000"/>
          <w:sz w:val="24"/>
          <w:szCs w:val="24"/>
          <w:lang w:val="sq-AL"/>
          <w14:ligatures w14:val="standardContextual"/>
        </w:rPr>
        <w:t>enin 6</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1 të Konventës. </w:t>
      </w:r>
    </w:p>
    <w:p w14:paraId="6DE51774" w14:textId="46B221D9"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IV. ANKESAT E PARAQITURA PASI QEVERIA E PADITUR U NJOFTUA PËR ÇËSHTJEN </w:t>
      </w:r>
    </w:p>
    <w:p w14:paraId="0A0B5BFF" w14:textId="1151321D"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176. Në parashtrimet e saj të fundit të datës 12 </w:t>
      </w:r>
      <w:r w:rsidR="008E491E">
        <w:rPr>
          <w:rFonts w:ascii="Garamond" w:eastAsiaTheme="minorHAnsi" w:hAnsi="Garamond"/>
          <w:color w:val="000000"/>
          <w:sz w:val="24"/>
          <w:szCs w:val="24"/>
          <w:lang w:val="sq-AL"/>
          <w14:ligatures w14:val="standardContextual"/>
        </w:rPr>
        <w:t>m</w:t>
      </w:r>
      <w:r w:rsidRPr="008419ED">
        <w:rPr>
          <w:rFonts w:ascii="Garamond" w:eastAsiaTheme="minorHAnsi" w:hAnsi="Garamond"/>
          <w:color w:val="000000"/>
          <w:sz w:val="24"/>
          <w:szCs w:val="24"/>
          <w:lang w:val="sq-AL"/>
          <w14:ligatures w14:val="standardContextual"/>
        </w:rPr>
        <w:t xml:space="preserve">ars 2025 pranë Gjykatës, ARB SHPK parashtroi një sërë ankesash të reja. </w:t>
      </w:r>
    </w:p>
    <w:p w14:paraId="70D4EB40" w14:textId="638FE1B2"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177. Sipas </w:t>
      </w:r>
      <w:r w:rsidR="008E491E">
        <w:rPr>
          <w:rFonts w:ascii="Garamond" w:eastAsiaTheme="minorHAnsi" w:hAnsi="Garamond"/>
          <w:color w:val="000000"/>
          <w:sz w:val="24"/>
          <w:szCs w:val="24"/>
          <w:lang w:val="sq-AL"/>
          <w14:ligatures w14:val="standardContextual"/>
        </w:rPr>
        <w:t>n</w:t>
      </w:r>
      <w:r w:rsidRPr="008419ED">
        <w:rPr>
          <w:rFonts w:ascii="Garamond" w:eastAsiaTheme="minorHAnsi" w:hAnsi="Garamond"/>
          <w:color w:val="000000"/>
          <w:sz w:val="24"/>
          <w:szCs w:val="24"/>
          <w:lang w:val="sq-AL"/>
          <w14:ligatures w14:val="standardContextual"/>
        </w:rPr>
        <w:t>enit 6</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1 të Konventës, pretendohet se vendimit të Gjykatës Kushtetuese i datës 21 </w:t>
      </w:r>
      <w:r w:rsidR="008E491E">
        <w:rPr>
          <w:rFonts w:ascii="Garamond" w:eastAsiaTheme="minorHAnsi" w:hAnsi="Garamond"/>
          <w:color w:val="000000"/>
          <w:sz w:val="24"/>
          <w:szCs w:val="24"/>
          <w:lang w:val="sq-AL"/>
          <w14:ligatures w14:val="standardContextual"/>
        </w:rPr>
        <w:t>n</w:t>
      </w:r>
      <w:r w:rsidRPr="008419ED">
        <w:rPr>
          <w:rFonts w:ascii="Garamond" w:eastAsiaTheme="minorHAnsi" w:hAnsi="Garamond"/>
          <w:color w:val="000000"/>
          <w:sz w:val="24"/>
          <w:szCs w:val="24"/>
          <w:lang w:val="sq-AL"/>
          <w14:ligatures w14:val="standardContextual"/>
        </w:rPr>
        <w:t xml:space="preserve">ëntor 2024 (shih paragrafin 22 më sipër) i mungonin arsyet dhe ishte i papajtueshëm me ligjin vendas dhe praktikën gjyqësore të Gjykatës. Në vijim u argumentua se Gjykata e Lartë, në miratimin e vendimit të datës 30 </w:t>
      </w:r>
      <w:r w:rsidR="008E491E">
        <w:rPr>
          <w:rFonts w:ascii="Garamond" w:eastAsiaTheme="minorHAnsi" w:hAnsi="Garamond"/>
          <w:color w:val="000000"/>
          <w:sz w:val="24"/>
          <w:szCs w:val="24"/>
          <w:lang w:val="sq-AL"/>
          <w14:ligatures w14:val="standardContextual"/>
        </w:rPr>
        <w:t>m</w:t>
      </w:r>
      <w:r w:rsidRPr="008419ED">
        <w:rPr>
          <w:rFonts w:ascii="Garamond" w:eastAsiaTheme="minorHAnsi" w:hAnsi="Garamond"/>
          <w:color w:val="000000"/>
          <w:sz w:val="24"/>
          <w:szCs w:val="24"/>
          <w:lang w:val="sq-AL"/>
          <w14:ligatures w14:val="standardContextual"/>
        </w:rPr>
        <w:t xml:space="preserve">aj 2024 (shih paragrafin 21 më sipër) nuk kishte vepruar si një “gjykatë e krijuar nga ligji” sipas interpretimit të atij </w:t>
      </w:r>
      <w:r w:rsidR="00873B1E" w:rsidRPr="008419ED">
        <w:rPr>
          <w:rFonts w:ascii="Garamond" w:eastAsiaTheme="minorHAnsi" w:hAnsi="Garamond"/>
          <w:color w:val="000000"/>
          <w:sz w:val="24"/>
          <w:szCs w:val="24"/>
          <w:lang w:val="sq-AL"/>
          <w14:ligatures w14:val="standardContextual"/>
        </w:rPr>
        <w:t>neni</w:t>
      </w:r>
      <w:r w:rsidRPr="008419ED">
        <w:rPr>
          <w:rFonts w:ascii="Garamond" w:eastAsiaTheme="minorHAnsi" w:hAnsi="Garamond"/>
          <w:color w:val="000000"/>
          <w:sz w:val="24"/>
          <w:szCs w:val="24"/>
          <w:lang w:val="sq-AL"/>
          <w14:ligatures w14:val="standardContextual"/>
        </w:rPr>
        <w:t xml:space="preserve">. </w:t>
      </w:r>
    </w:p>
    <w:p w14:paraId="3351D722" w14:textId="613A6BC3"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178. Sipas </w:t>
      </w:r>
      <w:r w:rsidR="00873B1E" w:rsidRPr="008419ED">
        <w:rPr>
          <w:rFonts w:ascii="Garamond" w:eastAsiaTheme="minorHAnsi" w:hAnsi="Garamond"/>
          <w:color w:val="000000"/>
          <w:sz w:val="24"/>
          <w:szCs w:val="24"/>
          <w:lang w:val="sq-AL"/>
          <w14:ligatures w14:val="standardContextual"/>
        </w:rPr>
        <w:t xml:space="preserve">nenit 1 të protokollit nr. </w:t>
      </w:r>
      <w:r w:rsidRPr="008419ED">
        <w:rPr>
          <w:rFonts w:ascii="Garamond" w:eastAsiaTheme="minorHAnsi" w:hAnsi="Garamond"/>
          <w:color w:val="000000"/>
          <w:sz w:val="24"/>
          <w:szCs w:val="24"/>
          <w:lang w:val="sq-AL"/>
          <w14:ligatures w14:val="standardContextual"/>
        </w:rPr>
        <w:t xml:space="preserve">1 të Konventës, kompania kërkuese u ankua se vonesat në procedurat civile dhe shkeljet procedurale kishin pasur një ndikim negativ në markën tregtare dhe në emrin tregtar. </w:t>
      </w:r>
    </w:p>
    <w:p w14:paraId="65B707F2" w14:textId="2A964000"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179. Për sa i përket fakteve të çështjes, parashtrimeve të palëve dhe gjetjeve të saj, Gjykata vlerëson se ka shqyrtuar çështjet kryesore ligjore të ngritura në çështjen konkrete dhe se nuk është e nevojshme që të japë një vendim të veçantë për pranueshmërinë dhe meritat e këtyre ankesave shtesë (shih, për shembull, </w:t>
      </w:r>
      <w:r w:rsidRPr="008419ED">
        <w:rPr>
          <w:rFonts w:ascii="Garamond" w:eastAsiaTheme="minorHAnsi" w:hAnsi="Garamond"/>
          <w:i/>
          <w:iCs/>
          <w:color w:val="000000"/>
          <w:sz w:val="24"/>
          <w:szCs w:val="24"/>
          <w:lang w:val="sq-AL"/>
          <w14:ligatures w14:val="standardContextual"/>
        </w:rPr>
        <w:t xml:space="preserve">Qendra për Burimet Ligjore në emër të Valentin Câmpeanu kundër Rumanisë </w:t>
      </w:r>
      <w:r w:rsidRPr="008419ED">
        <w:rPr>
          <w:rFonts w:ascii="Garamond" w:eastAsiaTheme="minorHAnsi" w:hAnsi="Garamond"/>
          <w:color w:val="000000"/>
          <w:sz w:val="24"/>
          <w:szCs w:val="24"/>
          <w:lang w:val="sq-AL"/>
          <w14:ligatures w14:val="standardContextual"/>
        </w:rPr>
        <w:t xml:space="preserve">[DHM], nr. 47848/08,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156, GJEDNJ 2014).</w:t>
      </w:r>
    </w:p>
    <w:p w14:paraId="7C9920FF" w14:textId="379D005D"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V. KËRKESA E NENIT 41 TË KONVENTËS</w:t>
      </w:r>
    </w:p>
    <w:p w14:paraId="57B9E705" w14:textId="7F8DC138"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180. Neni 41 i Konventës parashikon: </w:t>
      </w:r>
    </w:p>
    <w:p w14:paraId="70C06AFF" w14:textId="77777777"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“Kur Gjykata konstaton se ka pasur një shkelje të Konventës ose të protokolleve të saj dhe, nëse e drejta e brendshme e Palës së Lartë Kontraktuese lejon të bëhet vetëm një ndreqje e pjesshme, Gjykata, kur është e nevojshme, i akordon shpërblim të drejtë palës së dëmtuar.”</w:t>
      </w:r>
    </w:p>
    <w:p w14:paraId="422F4122" w14:textId="6969621F"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8419ED">
        <w:rPr>
          <w:rFonts w:ascii="Garamond" w:eastAsiaTheme="minorHAnsi" w:hAnsi="Garamond"/>
          <w:b/>
          <w:bCs/>
          <w:color w:val="000000"/>
          <w:sz w:val="24"/>
          <w:szCs w:val="24"/>
          <w:lang w:val="sq-AL"/>
          <w14:ligatures w14:val="standardContextual"/>
        </w:rPr>
        <w:t>A. Dëmi</w:t>
      </w:r>
    </w:p>
    <w:p w14:paraId="707460D0" w14:textId="0B6CBE5A"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181. Kompania kërkuese dhe kërkuesi i katërt kërkuan shumat e përshkruara në tabelën bashkëlidhur për dëmin pasuror dhe jopasuror. </w:t>
      </w:r>
    </w:p>
    <w:p w14:paraId="3BB2EC12" w14:textId="0CDF4D3E"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182. Qeveria i kundërshtoi këto shuma si të paarsyeshme. </w:t>
      </w:r>
    </w:p>
    <w:p w14:paraId="5A174694" w14:textId="1EB41AA4"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183. Gjykata nuk gjen ndonjë lidhje rastësore midis shkeljeve të konstatuara dhe dëmit pasuror të pretenduar; për këtë arsye ajo i kundërshton këto kërkesa. </w:t>
      </w:r>
    </w:p>
    <w:p w14:paraId="49FB8603" w14:textId="1945005E"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184. Megjithatë, ajo i akordon kompanisë kërkuese dhe kërkuesit të katërt shumat e përshkruara në tabelën bashkëlidhur për dëmin jopasuror, plus çdo taksë që mund të jetë e tarifueshme. </w:t>
      </w:r>
    </w:p>
    <w:p w14:paraId="2DF8E8A1" w14:textId="6818C654"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8419ED">
        <w:rPr>
          <w:rFonts w:ascii="Garamond" w:eastAsiaTheme="minorHAnsi" w:hAnsi="Garamond"/>
          <w:b/>
          <w:bCs/>
          <w:color w:val="000000"/>
          <w:sz w:val="24"/>
          <w:szCs w:val="24"/>
          <w:lang w:val="sq-AL"/>
          <w14:ligatures w14:val="standardContextual"/>
        </w:rPr>
        <w:t>B. Kostot dhe shpenzimet</w:t>
      </w:r>
    </w:p>
    <w:p w14:paraId="6768ED0C" w14:textId="7D960CD1"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185. Kompania kërkuese dhe kërkuesi i katërt kërkuan edhe shumat e paraqitura në tabelën bashkëlidhur për kostot dhe shpenzimet e bëra në gjykatat vendase dhe në Gjykatë.</w:t>
      </w:r>
    </w:p>
    <w:p w14:paraId="3F5AE603" w14:textId="632B635C"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186. Qeveria i kundërshtoi ato shuma si të paarsyeshme. </w:t>
      </w:r>
    </w:p>
    <w:p w14:paraId="1D36D636" w14:textId="2A5FF681"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187. Sipas praktikës gjyqësore të Gjykatës, një kërkues ka të drejtën për rimbursimin e kostove dhe shpenzimeve vetëm për sa provohet se këto janë bërë në aspektin faktik dhe mbështetur në nevojë, dhe janë të arsyeshme sipas kuantit. Në çështjen konkrete, duke iu referuar dokumenteve në zotërimin e saj, dhe kritereve të mësipërme, Gjykata e gjykon të arsyeshme që të akordojë shumat e përcaktuara në tabelën bashkëlidhur për të mbuluar kostot për të gjitha hyrjet, plus çdo taksë që mund të jetë e tarifueshme për kompaninë kërkuese dhe kërkuesin e katërt. </w:t>
      </w:r>
    </w:p>
    <w:p w14:paraId="1FC618A2" w14:textId="60A914D8"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VI. ZBATIMI I NENIT 46 TË KONVENTËS</w:t>
      </w:r>
    </w:p>
    <w:p w14:paraId="0F5DCCC2" w14:textId="5571B356"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188. Neni 46 i Konventës, për sa ka të bëjë me çështjen, parashikon: </w:t>
      </w:r>
    </w:p>
    <w:p w14:paraId="339A7FC2" w14:textId="77777777"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 Palët e Larta Kontraktuese marrin përsipër të respektojnë vendimin e formës së prerë të Gjykatës në çdo çështje ku ato janë palë. </w:t>
      </w:r>
    </w:p>
    <w:p w14:paraId="492406C6" w14:textId="7C9E33A4"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2.</w:t>
      </w:r>
      <w:r w:rsidR="00873B1E">
        <w:rPr>
          <w:rFonts w:ascii="Garamond" w:eastAsiaTheme="minorHAnsi" w:hAnsi="Garamond"/>
          <w:color w:val="000000"/>
          <w:sz w:val="24"/>
          <w:szCs w:val="24"/>
          <w:lang w:val="sq-AL"/>
          <w14:ligatures w14:val="standardContextual"/>
        </w:rPr>
        <w:t xml:space="preserve"> </w:t>
      </w:r>
      <w:r w:rsidRPr="008419ED">
        <w:rPr>
          <w:rFonts w:ascii="Garamond" w:eastAsiaTheme="minorHAnsi" w:hAnsi="Garamond"/>
          <w:color w:val="000000"/>
          <w:sz w:val="24"/>
          <w:szCs w:val="24"/>
          <w:lang w:val="sq-AL"/>
          <w14:ligatures w14:val="standardContextual"/>
        </w:rPr>
        <w:t>Vendimi i formës së prerë i Gjykatës i përcillet Komitetit të Ministrave, i cili mbikëqyr ekzekutimin e tij.”</w:t>
      </w:r>
    </w:p>
    <w:p w14:paraId="498738F0" w14:textId="2E51C43C"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189. Gjykata përsërit se mbështetur në </w:t>
      </w:r>
      <w:r w:rsidR="00873B1E">
        <w:rPr>
          <w:rFonts w:ascii="Garamond" w:eastAsiaTheme="minorHAnsi" w:hAnsi="Garamond"/>
          <w:color w:val="000000"/>
          <w:sz w:val="24"/>
          <w:szCs w:val="24"/>
          <w:lang w:val="sq-AL"/>
          <w14:ligatures w14:val="standardContextual"/>
        </w:rPr>
        <w:t>n</w:t>
      </w:r>
      <w:r w:rsidRPr="008419ED">
        <w:rPr>
          <w:rFonts w:ascii="Garamond" w:eastAsiaTheme="minorHAnsi" w:hAnsi="Garamond"/>
          <w:color w:val="000000"/>
          <w:sz w:val="24"/>
          <w:szCs w:val="24"/>
          <w:lang w:val="sq-AL"/>
          <w14:ligatures w14:val="standardContextual"/>
        </w:rPr>
        <w:t>enin 46</w:t>
      </w:r>
      <w:r w:rsidR="00294DE8">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 Palët Kontraktuese të Larta kanë marrë përsipër të respektojnë vendimet përfundimtare të Gjykatës për çdo çështje në të cilën ato janë palë, ekzekutimi i të cilit mbikëqyret nga Komiteti i Ministrave. Rezulton, </w:t>
      </w:r>
      <w:r w:rsidRPr="008419ED">
        <w:rPr>
          <w:rFonts w:ascii="Garamond" w:eastAsiaTheme="minorHAnsi" w:hAnsi="Garamond"/>
          <w:i/>
          <w:iCs/>
          <w:color w:val="000000"/>
          <w:sz w:val="24"/>
          <w:szCs w:val="24"/>
          <w:lang w:val="sq-AL"/>
          <w14:ligatures w14:val="standardContextual"/>
        </w:rPr>
        <w:t xml:space="preserve">inter alia, </w:t>
      </w:r>
      <w:r w:rsidRPr="008419ED">
        <w:rPr>
          <w:rFonts w:ascii="Garamond" w:eastAsiaTheme="minorHAnsi" w:hAnsi="Garamond"/>
          <w:color w:val="000000"/>
          <w:sz w:val="24"/>
          <w:szCs w:val="24"/>
          <w:lang w:val="sq-AL"/>
          <w14:ligatures w14:val="standardContextual"/>
        </w:rPr>
        <w:t>se një vendim në të cilin Gjykata konstaton një shkelje, ushtron një detyrim ligjor ndaj Shtetit të paditur jo vetëm t’u paguajë palëve përkatëse shum</w:t>
      </w:r>
      <w:r w:rsidR="00D0152C">
        <w:rPr>
          <w:rFonts w:ascii="Garamond" w:eastAsiaTheme="minorHAnsi" w:hAnsi="Garamond"/>
          <w:color w:val="000000"/>
          <w:sz w:val="24"/>
          <w:szCs w:val="24"/>
          <w:lang w:val="sq-AL"/>
          <w14:ligatures w14:val="standardContextual"/>
        </w:rPr>
        <w:t>a</w:t>
      </w:r>
      <w:r w:rsidRPr="008419ED">
        <w:rPr>
          <w:rFonts w:ascii="Garamond" w:eastAsiaTheme="minorHAnsi" w:hAnsi="Garamond"/>
          <w:color w:val="000000"/>
          <w:sz w:val="24"/>
          <w:szCs w:val="24"/>
          <w:lang w:val="sq-AL"/>
          <w14:ligatures w14:val="standardContextual"/>
        </w:rPr>
        <w:t xml:space="preserve">t e akorduara për shpërblim të drejtë  sipas </w:t>
      </w:r>
      <w:r w:rsidR="00873B1E">
        <w:rPr>
          <w:rFonts w:ascii="Garamond" w:eastAsiaTheme="minorHAnsi" w:hAnsi="Garamond"/>
          <w:color w:val="000000"/>
          <w:sz w:val="24"/>
          <w:szCs w:val="24"/>
          <w:lang w:val="sq-AL"/>
          <w14:ligatures w14:val="standardContextual"/>
        </w:rPr>
        <w:t>n</w:t>
      </w:r>
      <w:r w:rsidRPr="008419ED">
        <w:rPr>
          <w:rFonts w:ascii="Garamond" w:eastAsiaTheme="minorHAnsi" w:hAnsi="Garamond"/>
          <w:color w:val="000000"/>
          <w:sz w:val="24"/>
          <w:szCs w:val="24"/>
          <w:lang w:val="sq-AL"/>
          <w14:ligatures w14:val="standardContextual"/>
        </w:rPr>
        <w:t xml:space="preserve">enit 41, por edhe të përzgjedhë, nën mbikëqyrjen e Komitetit të Ministrave, masat e përgjithshme, dhe/ose, nëse është me vend, individuale që duhet të miratohen në rendin e tij ligjor vendas për t’i dhënë fund shkeljes së konstatuar nga Gjykata dhe për korrigjuar sa të jetë e mundur efektet. Nën monitorimin e Komitetit të Ministrave, Shteti i paditur ka lirinë të zgjedhë mjetin me anë të cilit do të përmbushë detyrimin e tij ligjor sipas </w:t>
      </w:r>
      <w:r w:rsidR="00873B1E">
        <w:rPr>
          <w:rFonts w:ascii="Garamond" w:eastAsiaTheme="minorHAnsi" w:hAnsi="Garamond"/>
          <w:color w:val="000000"/>
          <w:sz w:val="24"/>
          <w:szCs w:val="24"/>
          <w:lang w:val="sq-AL"/>
          <w14:ligatures w14:val="standardContextual"/>
        </w:rPr>
        <w:t>n</w:t>
      </w:r>
      <w:r w:rsidRPr="008419ED">
        <w:rPr>
          <w:rFonts w:ascii="Garamond" w:eastAsiaTheme="minorHAnsi" w:hAnsi="Garamond"/>
          <w:color w:val="000000"/>
          <w:sz w:val="24"/>
          <w:szCs w:val="24"/>
          <w:lang w:val="sq-AL"/>
          <w14:ligatures w14:val="standardContextual"/>
        </w:rPr>
        <w:t xml:space="preserve">enit 46 të Konventës, nëse këto mjete janë të pajtueshme me përfundimet e përcaktuara në vendimin e Gjykatës (shih midis autoriteteve të tjerë, </w:t>
      </w:r>
      <w:r w:rsidRPr="008419ED">
        <w:rPr>
          <w:rFonts w:ascii="Garamond" w:eastAsiaTheme="minorHAnsi" w:hAnsi="Garamond"/>
          <w:i/>
          <w:iCs/>
          <w:color w:val="000000"/>
          <w:sz w:val="24"/>
          <w:szCs w:val="24"/>
          <w:lang w:val="sq-AL"/>
          <w14:ligatures w14:val="standardContextual"/>
        </w:rPr>
        <w:t xml:space="preserve">Scozzari dhe Giunta kundër Italisë </w:t>
      </w:r>
      <w:r w:rsidRPr="008419ED">
        <w:rPr>
          <w:rFonts w:ascii="Garamond" w:eastAsiaTheme="minorHAnsi" w:hAnsi="Garamond"/>
          <w:color w:val="000000"/>
          <w:sz w:val="24"/>
          <w:szCs w:val="24"/>
          <w:lang w:val="sq-AL"/>
          <w14:ligatures w14:val="standardContextual"/>
        </w:rPr>
        <w:t xml:space="preserve">[DHM], nr. 39221/98 dhe 41963/98,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249, GJEDNJ 2000-VIII; </w:t>
      </w:r>
      <w:r w:rsidRPr="008419ED">
        <w:rPr>
          <w:rFonts w:ascii="Garamond" w:eastAsiaTheme="minorHAnsi" w:hAnsi="Garamond"/>
          <w:i/>
          <w:iCs/>
          <w:color w:val="000000"/>
          <w:sz w:val="24"/>
          <w:szCs w:val="24"/>
          <w:lang w:val="sq-AL"/>
          <w14:ligatures w14:val="standardContextual"/>
        </w:rPr>
        <w:t xml:space="preserve">Broniowski  kundër Polonisë </w:t>
      </w:r>
      <w:r w:rsidRPr="008419ED">
        <w:rPr>
          <w:rFonts w:ascii="Garamond" w:eastAsiaTheme="minorHAnsi" w:hAnsi="Garamond"/>
          <w:color w:val="000000"/>
          <w:sz w:val="24"/>
          <w:szCs w:val="24"/>
          <w:lang w:val="sq-AL"/>
          <w14:ligatures w14:val="standardContextual"/>
        </w:rPr>
        <w:t xml:space="preserve">[DHM], nr. 31443/96,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192, GJEDNJ 2004-V; dhe </w:t>
      </w:r>
      <w:r w:rsidRPr="008419ED">
        <w:rPr>
          <w:rFonts w:ascii="Garamond" w:eastAsiaTheme="minorHAnsi" w:hAnsi="Garamond"/>
          <w:i/>
          <w:iCs/>
          <w:color w:val="000000"/>
          <w:sz w:val="24"/>
          <w:szCs w:val="24"/>
          <w:lang w:val="sq-AL"/>
          <w14:ligatures w14:val="standardContextual"/>
        </w:rPr>
        <w:t xml:space="preserve">Stanev kundër Bullgarisë </w:t>
      </w:r>
      <w:r w:rsidRPr="008419ED">
        <w:rPr>
          <w:rFonts w:ascii="Garamond" w:eastAsiaTheme="minorHAnsi" w:hAnsi="Garamond"/>
          <w:color w:val="000000"/>
          <w:sz w:val="24"/>
          <w:szCs w:val="24"/>
          <w:lang w:val="sq-AL"/>
          <w14:ligatures w14:val="standardContextual"/>
        </w:rPr>
        <w:t xml:space="preserve">[DHM], nr. 36760/06,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254, GJEDNJ 2012, të gjithë me referenca të tjera). </w:t>
      </w:r>
    </w:p>
    <w:p w14:paraId="63A01911" w14:textId="06F44121"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190. Megjithatë, me këndvështrimin për të ndihmuar Shtetin e paditur të përmbushë detyrimet e tij sipas </w:t>
      </w:r>
      <w:r w:rsidR="00873B1E">
        <w:rPr>
          <w:rFonts w:ascii="Garamond" w:eastAsiaTheme="minorHAnsi" w:hAnsi="Garamond"/>
          <w:color w:val="000000"/>
          <w:sz w:val="24"/>
          <w:szCs w:val="24"/>
          <w:lang w:val="sq-AL"/>
          <w14:ligatures w14:val="standardContextual"/>
        </w:rPr>
        <w:t>n</w:t>
      </w:r>
      <w:r w:rsidRPr="008419ED">
        <w:rPr>
          <w:rFonts w:ascii="Garamond" w:eastAsiaTheme="minorHAnsi" w:hAnsi="Garamond"/>
          <w:color w:val="000000"/>
          <w:sz w:val="24"/>
          <w:szCs w:val="24"/>
          <w:lang w:val="sq-AL"/>
          <w14:ligatures w14:val="standardContextual"/>
        </w:rPr>
        <w:t xml:space="preserve">enit 46, Gjykata mund të kërkojë të përcaktohet lloji i masave individuale dhe/ose të përgjithshme që mund të merren për t’i dhënë fund situatës së papajtueshme me Konventën, që është konstatuar (shih </w:t>
      </w:r>
      <w:r w:rsidRPr="008419ED">
        <w:rPr>
          <w:rFonts w:ascii="Garamond" w:eastAsiaTheme="minorHAnsi" w:hAnsi="Garamond"/>
          <w:i/>
          <w:iCs/>
          <w:color w:val="000000"/>
          <w:sz w:val="24"/>
          <w:szCs w:val="24"/>
          <w:lang w:val="sq-AL"/>
          <w14:ligatures w14:val="standardContextual"/>
        </w:rPr>
        <w:t xml:space="preserve">Broniowski, </w:t>
      </w:r>
      <w:r w:rsidRPr="008419ED">
        <w:rPr>
          <w:rFonts w:ascii="Garamond" w:eastAsiaTheme="minorHAnsi" w:hAnsi="Garamond"/>
          <w:color w:val="000000"/>
          <w:sz w:val="24"/>
          <w:szCs w:val="24"/>
          <w:lang w:val="sq-AL"/>
          <w14:ligatures w14:val="standardContextual"/>
        </w:rPr>
        <w:t xml:space="preserve">cituar më sipër,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194; </w:t>
      </w:r>
      <w:r w:rsidRPr="008419ED">
        <w:rPr>
          <w:rFonts w:ascii="Garamond" w:eastAsiaTheme="minorHAnsi" w:hAnsi="Garamond"/>
          <w:i/>
          <w:iCs/>
          <w:color w:val="000000"/>
          <w:sz w:val="24"/>
          <w:szCs w:val="24"/>
          <w:lang w:val="sq-AL"/>
          <w14:ligatures w14:val="standardContextual"/>
        </w:rPr>
        <w:t>Scoppola kundër Italisë</w:t>
      </w:r>
      <w:r w:rsidRPr="008419ED">
        <w:rPr>
          <w:rFonts w:ascii="Garamond" w:eastAsiaTheme="minorHAnsi" w:hAnsi="Garamond"/>
          <w:color w:val="000000"/>
          <w:sz w:val="24"/>
          <w:szCs w:val="24"/>
          <w:lang w:val="sq-AL"/>
          <w14:ligatures w14:val="standardContextual"/>
        </w:rPr>
        <w:t xml:space="preserve"> (nr. 2) [DHM], nr. 10249/03,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148, 17 </w:t>
      </w:r>
      <w:r w:rsidR="00944CA1">
        <w:rPr>
          <w:rFonts w:ascii="Garamond" w:eastAsiaTheme="minorHAnsi" w:hAnsi="Garamond"/>
          <w:color w:val="000000"/>
          <w:sz w:val="24"/>
          <w:szCs w:val="24"/>
          <w:lang w:val="sq-AL"/>
          <w14:ligatures w14:val="standardContextual"/>
        </w:rPr>
        <w:t>s</w:t>
      </w:r>
      <w:r w:rsidRPr="008419ED">
        <w:rPr>
          <w:rFonts w:ascii="Garamond" w:eastAsiaTheme="minorHAnsi" w:hAnsi="Garamond"/>
          <w:color w:val="000000"/>
          <w:sz w:val="24"/>
          <w:szCs w:val="24"/>
          <w:lang w:val="sq-AL"/>
          <w14:ligatures w14:val="standardContextual"/>
        </w:rPr>
        <w:t xml:space="preserve">htator 2009; dhe </w:t>
      </w:r>
      <w:r w:rsidRPr="008419ED">
        <w:rPr>
          <w:rFonts w:ascii="Garamond" w:eastAsiaTheme="minorHAnsi" w:hAnsi="Garamond"/>
          <w:i/>
          <w:iCs/>
          <w:color w:val="000000"/>
          <w:sz w:val="24"/>
          <w:szCs w:val="24"/>
          <w:lang w:val="sq-AL"/>
          <w14:ligatures w14:val="standardContextual"/>
        </w:rPr>
        <w:t>Stanev</w:t>
      </w:r>
      <w:r w:rsidRPr="008419ED">
        <w:rPr>
          <w:rFonts w:ascii="Garamond" w:eastAsiaTheme="minorHAnsi" w:hAnsi="Garamond"/>
          <w:color w:val="000000"/>
          <w:sz w:val="24"/>
          <w:szCs w:val="24"/>
          <w:lang w:val="sq-AL"/>
          <w14:ligatures w14:val="standardContextual"/>
        </w:rPr>
        <w:t xml:space="preserve">, cituar më sipër, </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255). </w:t>
      </w:r>
    </w:p>
    <w:p w14:paraId="0FEE7EC4" w14:textId="0CF127F0"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191. Në lidhje me sa më sipër, Gjykata inkurajon autoritetet vendase të vijojnë përpjekjet e tyre për të parandaluar shkeljet në të ardhmen të kërkesës për “afat të arsyeshëm” sipas </w:t>
      </w:r>
      <w:r w:rsidR="00873B1E">
        <w:rPr>
          <w:rFonts w:ascii="Garamond" w:eastAsiaTheme="minorHAnsi" w:hAnsi="Garamond"/>
          <w:color w:val="000000"/>
          <w:sz w:val="24"/>
          <w:szCs w:val="24"/>
          <w:lang w:val="sq-AL"/>
          <w14:ligatures w14:val="standardContextual"/>
        </w:rPr>
        <w:t>n</w:t>
      </w:r>
      <w:r w:rsidRPr="008419ED">
        <w:rPr>
          <w:rFonts w:ascii="Garamond" w:eastAsiaTheme="minorHAnsi" w:hAnsi="Garamond"/>
          <w:color w:val="000000"/>
          <w:sz w:val="24"/>
          <w:szCs w:val="24"/>
          <w:lang w:val="sq-AL"/>
          <w14:ligatures w14:val="standardContextual"/>
        </w:rPr>
        <w:t>enit 6</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1 të Konventës. Gjykata vëren specifikisht se që prej vitit 2020 është bërë progres i rëndësishëm në reduktimin e </w:t>
      </w:r>
      <w:r w:rsidRPr="00873B1E">
        <w:rPr>
          <w:rFonts w:ascii="Garamond" w:eastAsiaTheme="minorHAnsi" w:hAnsi="Garamond"/>
          <w:i/>
          <w:color w:val="000000"/>
          <w:sz w:val="24"/>
          <w:szCs w:val="24"/>
          <w:lang w:val="sq-AL"/>
          <w14:ligatures w14:val="standardContextual"/>
        </w:rPr>
        <w:t>backlog</w:t>
      </w:r>
      <w:r w:rsidRPr="008419ED">
        <w:rPr>
          <w:rFonts w:ascii="Garamond" w:eastAsiaTheme="minorHAnsi" w:hAnsi="Garamond"/>
          <w:color w:val="000000"/>
          <w:sz w:val="24"/>
          <w:szCs w:val="24"/>
          <w:lang w:val="sq-AL"/>
          <w14:ligatures w14:val="standardContextual"/>
        </w:rPr>
        <w:t xml:space="preserve">-ut të madh në Gjykatën e Lartë. Në të njëjtën kohë, </w:t>
      </w:r>
      <w:r w:rsidRPr="00873B1E">
        <w:rPr>
          <w:rFonts w:ascii="Garamond" w:eastAsiaTheme="minorHAnsi" w:hAnsi="Garamond"/>
          <w:i/>
          <w:color w:val="000000"/>
          <w:sz w:val="24"/>
          <w:szCs w:val="24"/>
          <w:lang w:val="sq-AL"/>
          <w14:ligatures w14:val="standardContextual"/>
        </w:rPr>
        <w:t>backlog</w:t>
      </w:r>
      <w:r w:rsidRPr="008419ED">
        <w:rPr>
          <w:rFonts w:ascii="Garamond" w:eastAsiaTheme="minorHAnsi" w:hAnsi="Garamond"/>
          <w:color w:val="000000"/>
          <w:sz w:val="24"/>
          <w:szCs w:val="24"/>
          <w:lang w:val="sq-AL"/>
          <w14:ligatures w14:val="standardContextual"/>
        </w:rPr>
        <w:t>-u aktual në Gjykatën e vetme të Apelit me juridiksion të përgjithshëm, dhe në Gjykatën Administrative të Apelit – të dyja po funksionojnë me më pak gjyqtarë sesa parashikohet nga norma për shkak të vonesave në plotësimin e vakancave – është shqetësues, dhe periudha e evadimit të një çështjeje në këto gjykata është e madhe (shih paragrafët 72 dhe 80 më sipër). Në vijim, Gjykata vëren se si Komiteti i Ministrave edhe Gjykata Kushtetuese i kanë nxitur autoritetet shqiptare, dhe legjislativin në veçanti, të marrin masat e nevojshme për të plotësuar sa më shpejt vakancat në gjyqësor dhe t’i sigurojnë gjyqësorit burimet e nevojshme njerëzore dhe burime t</w:t>
      </w:r>
      <w:r w:rsidR="00C5506D" w:rsidRPr="008419ED">
        <w:rPr>
          <w:rFonts w:ascii="Garamond" w:eastAsiaTheme="minorHAnsi" w:hAnsi="Garamond"/>
          <w:color w:val="000000"/>
          <w:sz w:val="24"/>
          <w:szCs w:val="24"/>
          <w:lang w:val="sq-AL"/>
          <w14:ligatures w14:val="standardContextual"/>
        </w:rPr>
        <w:t>ë</w:t>
      </w:r>
      <w:r w:rsidRPr="008419ED">
        <w:rPr>
          <w:rFonts w:ascii="Garamond" w:eastAsiaTheme="minorHAnsi" w:hAnsi="Garamond"/>
          <w:color w:val="000000"/>
          <w:sz w:val="24"/>
          <w:szCs w:val="24"/>
          <w:lang w:val="sq-AL"/>
          <w14:ligatures w14:val="standardContextual"/>
        </w:rPr>
        <w:t xml:space="preserve"> tjera për të adresuar sfidat aktuale brenda një afati të arsyeshëm (shih paragrafët 76 dhe 84 më sipër). Në lidhje me këtë, është marrë në konsideratë edhe strategjia e KLGJ-së e miratuar së fundmi për reduktimin e </w:t>
      </w:r>
      <w:r w:rsidR="00873B1E" w:rsidRPr="00873B1E">
        <w:rPr>
          <w:rFonts w:ascii="Garamond" w:eastAsiaTheme="minorHAnsi" w:hAnsi="Garamond"/>
          <w:i/>
          <w:color w:val="000000"/>
          <w:sz w:val="24"/>
          <w:szCs w:val="24"/>
          <w:lang w:val="sq-AL"/>
          <w14:ligatures w14:val="standardContextual"/>
        </w:rPr>
        <w:t>backlog</w:t>
      </w:r>
      <w:r w:rsidRPr="008419ED">
        <w:rPr>
          <w:rFonts w:ascii="Garamond" w:eastAsiaTheme="minorHAnsi" w:hAnsi="Garamond"/>
          <w:color w:val="000000"/>
          <w:sz w:val="24"/>
          <w:szCs w:val="24"/>
          <w:lang w:val="sq-AL"/>
          <w14:ligatures w14:val="standardContextual"/>
        </w:rPr>
        <w:t xml:space="preserve">-ut (shih paragrafin 73 më sipër). </w:t>
      </w:r>
    </w:p>
    <w:p w14:paraId="4B81D3A9" w14:textId="34CAA663"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192. Në vijim, Gjykata vëren me shqetësim se sistemi shqiptar aktual dykahësh i mjeteve për kohëzgjatjen e tepërt të procedurave kërkon që palët ndërgjyqëse të bëjnë një padi të veçantë për kompensim në gjykatat e shkallës së parë pasi një gjykatë më e lartë ka konstatuar shkelje të kërkesës për “afat të arsyeshëm”. Një masë e tillë ka potencialin që jo vetëm të zgjasë kohëzgjatjen e përgjithshme të procedurave në çështjet individuale, por edhe t’i shtojë shqyrtimit të çështjeve barrën e një sistemi drejtësie tashmë të ngarkuar (shih paragrafin 74 më sipër). Numri i çështjeve për të cilin është dhënë kompensim në këtë kontekst mbetet ende shume i kufizuar. Gjykata nxit autoritetet vendase të marrin në konsideratë efikasitetin praktik të mjetit kompensues sipas </w:t>
      </w:r>
      <w:r w:rsidR="00294DE8" w:rsidRPr="008419ED">
        <w:rPr>
          <w:rFonts w:ascii="Garamond" w:eastAsiaTheme="minorHAnsi" w:hAnsi="Garamond"/>
          <w:color w:val="000000"/>
          <w:sz w:val="24"/>
          <w:szCs w:val="24"/>
          <w:lang w:val="sq-AL"/>
          <w14:ligatures w14:val="standardContextual"/>
        </w:rPr>
        <w:t xml:space="preserve">neneve </w:t>
      </w:r>
      <w:r w:rsidRPr="008419ED">
        <w:rPr>
          <w:rFonts w:ascii="Garamond" w:eastAsiaTheme="minorHAnsi" w:hAnsi="Garamond"/>
          <w:color w:val="000000"/>
          <w:sz w:val="24"/>
          <w:szCs w:val="24"/>
          <w:lang w:val="sq-AL"/>
          <w14:ligatures w14:val="standardContextual"/>
        </w:rPr>
        <w:t>399/1 e në vijim të KPC</w:t>
      </w:r>
      <w:r w:rsidR="00873B1E">
        <w:rPr>
          <w:rFonts w:ascii="Garamond" w:eastAsiaTheme="minorHAnsi" w:hAnsi="Garamond"/>
          <w:color w:val="000000"/>
          <w:sz w:val="24"/>
          <w:szCs w:val="24"/>
          <w:lang w:val="sq-AL"/>
          <w14:ligatures w14:val="standardContextual"/>
        </w:rPr>
        <w:t>-së</w:t>
      </w:r>
      <w:r w:rsidRPr="008419ED">
        <w:rPr>
          <w:rFonts w:ascii="Garamond" w:eastAsiaTheme="minorHAnsi" w:hAnsi="Garamond"/>
          <w:color w:val="000000"/>
          <w:sz w:val="24"/>
          <w:szCs w:val="24"/>
          <w:lang w:val="sq-AL"/>
          <w14:ligatures w14:val="standardContextual"/>
        </w:rPr>
        <w:t xml:space="preserve">. </w:t>
      </w:r>
    </w:p>
    <w:p w14:paraId="2F246CD1" w14:textId="77777777"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PËR KËTO ARSYE, NË MËNYRË UNANIME, GJYKATA, </w:t>
      </w:r>
    </w:p>
    <w:p w14:paraId="042BD909" w14:textId="4DD1424E"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i/>
          <w:iCs/>
          <w:color w:val="000000"/>
          <w:sz w:val="24"/>
          <w:szCs w:val="24"/>
          <w:lang w:val="sq-AL"/>
          <w14:ligatures w14:val="standardContextual"/>
        </w:rPr>
        <w:t xml:space="preserve">1. Vendos </w:t>
      </w:r>
      <w:r w:rsidRPr="008419ED">
        <w:rPr>
          <w:rFonts w:ascii="Garamond" w:eastAsiaTheme="minorHAnsi" w:hAnsi="Garamond"/>
          <w:color w:val="000000"/>
          <w:sz w:val="24"/>
          <w:szCs w:val="24"/>
          <w:lang w:val="sq-AL"/>
          <w14:ligatures w14:val="standardContextual"/>
        </w:rPr>
        <w:t xml:space="preserve">t’i bashkojë kërkesat; </w:t>
      </w:r>
    </w:p>
    <w:p w14:paraId="2131D35C" w14:textId="6F99E053"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i/>
          <w:iCs/>
          <w:color w:val="000000"/>
          <w:sz w:val="24"/>
          <w:szCs w:val="24"/>
          <w:lang w:val="sq-AL"/>
          <w14:ligatures w14:val="standardContextual"/>
        </w:rPr>
        <w:t xml:space="preserve">2. Bashkon </w:t>
      </w:r>
      <w:r w:rsidRPr="008419ED">
        <w:rPr>
          <w:rFonts w:ascii="Garamond" w:eastAsiaTheme="minorHAnsi" w:hAnsi="Garamond"/>
          <w:color w:val="000000"/>
          <w:sz w:val="24"/>
          <w:szCs w:val="24"/>
          <w:lang w:val="sq-AL"/>
          <w14:ligatures w14:val="standardContextual"/>
        </w:rPr>
        <w:t xml:space="preserve">në merita kundërshtimet paraprake të Qeverisë në lidhje me mosshterimin e mjeteve vendase dhe humbjen e statusit të viktimës për kërkesën nr. 27370/22 dhe </w:t>
      </w:r>
      <w:r w:rsidRPr="008419ED">
        <w:rPr>
          <w:rFonts w:ascii="Garamond" w:eastAsiaTheme="minorHAnsi" w:hAnsi="Garamond"/>
          <w:i/>
          <w:iCs/>
          <w:color w:val="000000"/>
          <w:sz w:val="24"/>
          <w:szCs w:val="24"/>
          <w:lang w:val="sq-AL"/>
          <w14:ligatures w14:val="standardContextual"/>
        </w:rPr>
        <w:t xml:space="preserve"> i rrëzon </w:t>
      </w:r>
      <w:r w:rsidRPr="008419ED">
        <w:rPr>
          <w:rFonts w:ascii="Garamond" w:eastAsiaTheme="minorHAnsi" w:hAnsi="Garamond"/>
          <w:color w:val="000000"/>
          <w:sz w:val="24"/>
          <w:szCs w:val="24"/>
          <w:lang w:val="sq-AL"/>
          <w14:ligatures w14:val="standardContextual"/>
        </w:rPr>
        <w:t xml:space="preserve">ato; </w:t>
      </w:r>
    </w:p>
    <w:p w14:paraId="0F8646E4" w14:textId="1CC1C307"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i/>
          <w:iCs/>
          <w:color w:val="000000"/>
          <w:sz w:val="24"/>
          <w:szCs w:val="24"/>
          <w:lang w:val="sq-AL"/>
          <w14:ligatures w14:val="standardContextual"/>
        </w:rPr>
        <w:t xml:space="preserve">3. E shpall </w:t>
      </w:r>
      <w:r w:rsidRPr="008419ED">
        <w:rPr>
          <w:rFonts w:ascii="Garamond" w:eastAsiaTheme="minorHAnsi" w:hAnsi="Garamond"/>
          <w:color w:val="000000"/>
          <w:sz w:val="24"/>
          <w:szCs w:val="24"/>
          <w:lang w:val="sq-AL"/>
          <w14:ligatures w14:val="standardContextual"/>
        </w:rPr>
        <w:t xml:space="preserve">ankesën sipas </w:t>
      </w:r>
      <w:r w:rsidR="00294DE8" w:rsidRPr="008419ED">
        <w:rPr>
          <w:rFonts w:ascii="Garamond" w:eastAsiaTheme="minorHAnsi" w:hAnsi="Garamond"/>
          <w:color w:val="000000"/>
          <w:sz w:val="24"/>
          <w:szCs w:val="24"/>
          <w:lang w:val="sq-AL"/>
          <w14:ligatures w14:val="standardContextual"/>
        </w:rPr>
        <w:t xml:space="preserve">nenit </w:t>
      </w:r>
      <w:r w:rsidRPr="008419ED">
        <w:rPr>
          <w:rFonts w:ascii="Garamond" w:eastAsiaTheme="minorHAnsi" w:hAnsi="Garamond"/>
          <w:color w:val="000000"/>
          <w:sz w:val="24"/>
          <w:szCs w:val="24"/>
          <w:lang w:val="sq-AL"/>
          <w14:ligatures w14:val="standardContextual"/>
        </w:rPr>
        <w:t>6</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1 të Konventës në lidhje me kohëzgjatjen e procedurave të pranueshme për kërkesat nr. 39860/20 dhe 27370/22, dhe të papranueshme për kërkesën nr. 6142/22; </w:t>
      </w:r>
    </w:p>
    <w:p w14:paraId="2D5A63D5" w14:textId="506395BF"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i/>
          <w:iCs/>
          <w:color w:val="000000"/>
          <w:sz w:val="24"/>
          <w:szCs w:val="24"/>
          <w:lang w:val="sq-AL"/>
          <w14:ligatures w14:val="standardContextual"/>
        </w:rPr>
        <w:t xml:space="preserve">4. I shpall </w:t>
      </w:r>
      <w:r w:rsidRPr="008419ED">
        <w:rPr>
          <w:rFonts w:ascii="Garamond" w:eastAsiaTheme="minorHAnsi" w:hAnsi="Garamond"/>
          <w:color w:val="000000"/>
          <w:sz w:val="24"/>
          <w:szCs w:val="24"/>
          <w:lang w:val="sq-AL"/>
          <w14:ligatures w14:val="standardContextual"/>
        </w:rPr>
        <w:t xml:space="preserve">ankesat sipas </w:t>
      </w:r>
      <w:r w:rsidR="00294DE8" w:rsidRPr="008419ED">
        <w:rPr>
          <w:rFonts w:ascii="Garamond" w:eastAsiaTheme="minorHAnsi" w:hAnsi="Garamond"/>
          <w:color w:val="000000"/>
          <w:sz w:val="24"/>
          <w:szCs w:val="24"/>
          <w:lang w:val="sq-AL"/>
          <w14:ligatures w14:val="standardContextual"/>
        </w:rPr>
        <w:t xml:space="preserve">nenit </w:t>
      </w:r>
      <w:r w:rsidRPr="008419ED">
        <w:rPr>
          <w:rFonts w:ascii="Garamond" w:eastAsiaTheme="minorHAnsi" w:hAnsi="Garamond"/>
          <w:color w:val="000000"/>
          <w:sz w:val="24"/>
          <w:szCs w:val="24"/>
          <w:lang w:val="sq-AL"/>
          <w14:ligatures w14:val="standardContextual"/>
        </w:rPr>
        <w:t xml:space="preserve">13 së bashku me </w:t>
      </w:r>
      <w:r w:rsidR="00294DE8" w:rsidRPr="008419ED">
        <w:rPr>
          <w:rFonts w:ascii="Garamond" w:eastAsiaTheme="minorHAnsi" w:hAnsi="Garamond"/>
          <w:color w:val="000000"/>
          <w:sz w:val="24"/>
          <w:szCs w:val="24"/>
          <w:lang w:val="sq-AL"/>
          <w14:ligatures w14:val="standardContextual"/>
        </w:rPr>
        <w:t xml:space="preserve">nenin </w:t>
      </w:r>
      <w:r w:rsidRPr="008419ED">
        <w:rPr>
          <w:rFonts w:ascii="Garamond" w:eastAsiaTheme="minorHAnsi" w:hAnsi="Garamond"/>
          <w:color w:val="000000"/>
          <w:sz w:val="24"/>
          <w:szCs w:val="24"/>
          <w:lang w:val="sq-AL"/>
          <w14:ligatures w14:val="standardContextual"/>
        </w:rPr>
        <w:t>6</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1 të Konventës në lidhje me kohëzgjatjen e procedurave të pranueshme për kërkesën nr. 27370/22 dhe të papranueshme për pjesën tjetër të kërkesave; </w:t>
      </w:r>
    </w:p>
    <w:p w14:paraId="7FB4B565" w14:textId="17748EB1"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i/>
          <w:iCs/>
          <w:color w:val="000000"/>
          <w:sz w:val="24"/>
          <w:szCs w:val="24"/>
          <w:lang w:val="sq-AL"/>
          <w14:ligatures w14:val="standardContextual"/>
        </w:rPr>
        <w:t xml:space="preserve">5. Gjykon </w:t>
      </w:r>
      <w:r w:rsidRPr="008419ED">
        <w:rPr>
          <w:rFonts w:ascii="Garamond" w:eastAsiaTheme="minorHAnsi" w:hAnsi="Garamond"/>
          <w:color w:val="000000"/>
          <w:sz w:val="24"/>
          <w:szCs w:val="24"/>
          <w:lang w:val="sq-AL"/>
          <w14:ligatures w14:val="standardContextual"/>
        </w:rPr>
        <w:t xml:space="preserve">se është shkelur </w:t>
      </w:r>
      <w:r w:rsidR="00294DE8" w:rsidRPr="008419ED">
        <w:rPr>
          <w:rFonts w:ascii="Garamond" w:eastAsiaTheme="minorHAnsi" w:hAnsi="Garamond"/>
          <w:color w:val="000000"/>
          <w:sz w:val="24"/>
          <w:szCs w:val="24"/>
          <w:lang w:val="sq-AL"/>
          <w14:ligatures w14:val="standardContextual"/>
        </w:rPr>
        <w:t xml:space="preserve">neni </w:t>
      </w:r>
      <w:r w:rsidRPr="008419ED">
        <w:rPr>
          <w:rFonts w:ascii="Garamond" w:eastAsiaTheme="minorHAnsi" w:hAnsi="Garamond"/>
          <w:color w:val="000000"/>
          <w:sz w:val="24"/>
          <w:szCs w:val="24"/>
          <w:lang w:val="sq-AL"/>
          <w14:ligatures w14:val="standardContextual"/>
        </w:rPr>
        <w:t>6</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1 i Konventës për kërkesat nr. 39860/19, 38996/20 dhe 27370/22; </w:t>
      </w:r>
    </w:p>
    <w:p w14:paraId="529FEDC9" w14:textId="6D92C8A8"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i/>
          <w:iCs/>
          <w:color w:val="000000"/>
          <w:sz w:val="24"/>
          <w:szCs w:val="24"/>
          <w:lang w:val="sq-AL"/>
          <w14:ligatures w14:val="standardContextual"/>
        </w:rPr>
        <w:t xml:space="preserve">6. Gjykon </w:t>
      </w:r>
      <w:r w:rsidRPr="008419ED">
        <w:rPr>
          <w:rFonts w:ascii="Garamond" w:eastAsiaTheme="minorHAnsi" w:hAnsi="Garamond"/>
          <w:color w:val="000000"/>
          <w:sz w:val="24"/>
          <w:szCs w:val="24"/>
          <w:lang w:val="sq-AL"/>
          <w14:ligatures w14:val="standardContextual"/>
        </w:rPr>
        <w:t xml:space="preserve">se është shkelur </w:t>
      </w:r>
      <w:r w:rsidR="00294DE8" w:rsidRPr="008419ED">
        <w:rPr>
          <w:rFonts w:ascii="Garamond" w:eastAsiaTheme="minorHAnsi" w:hAnsi="Garamond"/>
          <w:color w:val="000000"/>
          <w:sz w:val="24"/>
          <w:szCs w:val="24"/>
          <w:lang w:val="sq-AL"/>
          <w14:ligatures w14:val="standardContextual"/>
        </w:rPr>
        <w:t xml:space="preserve">neni </w:t>
      </w:r>
      <w:r w:rsidRPr="008419ED">
        <w:rPr>
          <w:rFonts w:ascii="Garamond" w:eastAsiaTheme="minorHAnsi" w:hAnsi="Garamond"/>
          <w:color w:val="000000"/>
          <w:sz w:val="24"/>
          <w:szCs w:val="24"/>
          <w:lang w:val="sq-AL"/>
          <w14:ligatures w14:val="standardContextual"/>
        </w:rPr>
        <w:t xml:space="preserve">13 së bashku me </w:t>
      </w:r>
      <w:r w:rsidR="00294DE8" w:rsidRPr="008419ED">
        <w:rPr>
          <w:rFonts w:ascii="Garamond" w:eastAsiaTheme="minorHAnsi" w:hAnsi="Garamond"/>
          <w:color w:val="000000"/>
          <w:sz w:val="24"/>
          <w:szCs w:val="24"/>
          <w:lang w:val="sq-AL"/>
          <w14:ligatures w14:val="standardContextual"/>
        </w:rPr>
        <w:t xml:space="preserve">nenin </w:t>
      </w:r>
      <w:r w:rsidRPr="008419ED">
        <w:rPr>
          <w:rFonts w:ascii="Garamond" w:eastAsiaTheme="minorHAnsi" w:hAnsi="Garamond"/>
          <w:color w:val="000000"/>
          <w:sz w:val="24"/>
          <w:szCs w:val="24"/>
          <w:lang w:val="sq-AL"/>
          <w14:ligatures w14:val="standardContextual"/>
        </w:rPr>
        <w:t>6</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1 të Konventës për kërkesën nr. 27370/22; </w:t>
      </w:r>
    </w:p>
    <w:p w14:paraId="5C7208DE" w14:textId="765CB5FB"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i/>
          <w:iCs/>
          <w:color w:val="000000"/>
          <w:sz w:val="24"/>
          <w:szCs w:val="24"/>
          <w:lang w:val="sq-AL"/>
          <w14:ligatures w14:val="standardContextual"/>
        </w:rPr>
        <w:t>7. Gjykon</w:t>
      </w:r>
      <w:r w:rsidRPr="008419ED">
        <w:rPr>
          <w:rFonts w:ascii="Garamond" w:eastAsiaTheme="minorHAnsi" w:hAnsi="Garamond"/>
          <w:color w:val="000000"/>
          <w:sz w:val="24"/>
          <w:szCs w:val="24"/>
          <w:lang w:val="sq-AL"/>
          <w14:ligatures w14:val="standardContextual"/>
        </w:rPr>
        <w:t xml:space="preserve"> se nuk është e nevojshme që të shqyrtohet pranueshmëria dhe merita e pjesës tjetër të ankesave të ngritura nga kompania kërkuese; </w:t>
      </w:r>
    </w:p>
    <w:p w14:paraId="1DCB061D" w14:textId="6A6982D9"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i/>
          <w:iCs/>
          <w:color w:val="000000"/>
          <w:sz w:val="24"/>
          <w:szCs w:val="24"/>
          <w:lang w:val="sq-AL"/>
          <w14:ligatures w14:val="standardContextual"/>
        </w:rPr>
        <w:t>8. Gjykon</w:t>
      </w:r>
      <w:r w:rsidR="00294DE8">
        <w:rPr>
          <w:rFonts w:ascii="Garamond" w:eastAsiaTheme="minorHAnsi" w:hAnsi="Garamond"/>
          <w:i/>
          <w:iCs/>
          <w:color w:val="000000"/>
          <w:sz w:val="24"/>
          <w:szCs w:val="24"/>
          <w:lang w:val="sq-AL"/>
          <w14:ligatures w14:val="standardContextual"/>
        </w:rPr>
        <w:t>:</w:t>
      </w:r>
      <w:r w:rsidRPr="008419ED">
        <w:rPr>
          <w:rFonts w:ascii="Garamond" w:eastAsiaTheme="minorHAnsi" w:hAnsi="Garamond"/>
          <w:i/>
          <w:iCs/>
          <w:color w:val="000000"/>
          <w:sz w:val="24"/>
          <w:szCs w:val="24"/>
          <w:lang w:val="sq-AL"/>
          <w14:ligatures w14:val="standardContextual"/>
        </w:rPr>
        <w:t xml:space="preserve"> </w:t>
      </w:r>
    </w:p>
    <w:p w14:paraId="10B65BBB" w14:textId="3328C340"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a) se Shteti i paditur duhet t’i paguajë kërkuesve përkatës brenda tre muajve nga data në të cilën vendimi bëhet i formës së prerë, në përputhje me </w:t>
      </w:r>
      <w:r w:rsidR="00294DE8" w:rsidRPr="008419ED">
        <w:rPr>
          <w:rFonts w:ascii="Garamond" w:eastAsiaTheme="minorHAnsi" w:hAnsi="Garamond"/>
          <w:color w:val="000000"/>
          <w:sz w:val="24"/>
          <w:szCs w:val="24"/>
          <w:lang w:val="sq-AL"/>
          <w14:ligatures w14:val="standardContextual"/>
        </w:rPr>
        <w:t xml:space="preserve">nenin </w:t>
      </w:r>
      <w:r w:rsidRPr="008419ED">
        <w:rPr>
          <w:rFonts w:ascii="Garamond" w:eastAsiaTheme="minorHAnsi" w:hAnsi="Garamond"/>
          <w:color w:val="000000"/>
          <w:sz w:val="24"/>
          <w:szCs w:val="24"/>
          <w:lang w:val="sq-AL"/>
          <w14:ligatures w14:val="standardContextual"/>
        </w:rPr>
        <w:t>44</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2 të Konventës, shumat e përcaktuara në tabelën bashkëlidhur, plus çdo taksë që mund të tarifohet, të konvertuar në monedhën e Shtetit të paditur  në normën e zbatueshme në datën e shlyerjes: </w:t>
      </w:r>
    </w:p>
    <w:p w14:paraId="3EE9DC91" w14:textId="620D1540"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b) se nga përfundimi i periudhës së sipërpërmendur tremujore deri në shlyerje interesi i thjeshtë do të paguhet për shumat e mësipërme në normën e barabartë me normën margjinale të huadhënies së Bankës Qendrore E</w:t>
      </w:r>
      <w:r w:rsidR="00294DE8">
        <w:rPr>
          <w:rFonts w:ascii="Garamond" w:eastAsiaTheme="minorHAnsi" w:hAnsi="Garamond"/>
          <w:color w:val="000000"/>
          <w:sz w:val="24"/>
          <w:szCs w:val="24"/>
          <w:lang w:val="sq-AL"/>
          <w14:ligatures w14:val="standardContextual"/>
        </w:rPr>
        <w:t>v</w:t>
      </w:r>
      <w:r w:rsidRPr="008419ED">
        <w:rPr>
          <w:rFonts w:ascii="Garamond" w:eastAsiaTheme="minorHAnsi" w:hAnsi="Garamond"/>
          <w:color w:val="000000"/>
          <w:sz w:val="24"/>
          <w:szCs w:val="24"/>
          <w:lang w:val="sq-AL"/>
          <w14:ligatures w14:val="standardContextual"/>
        </w:rPr>
        <w:t>ropiane gjatë periudhës së mosshlyerjes plus tre pikë përqindje;</w:t>
      </w:r>
      <w:r w:rsidR="00FF0BBE">
        <w:rPr>
          <w:rFonts w:ascii="Garamond" w:eastAsiaTheme="minorHAnsi" w:hAnsi="Garamond"/>
          <w:color w:val="000000"/>
          <w:sz w:val="24"/>
          <w:szCs w:val="24"/>
          <w:lang w:val="sq-AL"/>
          <w14:ligatures w14:val="standardContextual"/>
        </w:rPr>
        <w:t xml:space="preserve"> </w:t>
      </w:r>
    </w:p>
    <w:p w14:paraId="2CBF7307" w14:textId="27E1BE00"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i/>
          <w:iCs/>
          <w:color w:val="000000"/>
          <w:sz w:val="24"/>
          <w:szCs w:val="24"/>
          <w:lang w:val="sq-AL"/>
          <w14:ligatures w14:val="standardContextual"/>
        </w:rPr>
        <w:t xml:space="preserve">9. Rrëzon </w:t>
      </w:r>
      <w:r w:rsidRPr="008419ED">
        <w:rPr>
          <w:rFonts w:ascii="Garamond" w:eastAsiaTheme="minorHAnsi" w:hAnsi="Garamond"/>
          <w:color w:val="000000"/>
          <w:sz w:val="24"/>
          <w:szCs w:val="24"/>
          <w:lang w:val="sq-AL"/>
          <w14:ligatures w14:val="standardContextual"/>
        </w:rPr>
        <w:t xml:space="preserve">pjesën tjetër të kërkesave të kërkuesve për shpërblim të drejtë. </w:t>
      </w:r>
    </w:p>
    <w:p w14:paraId="470B7432" w14:textId="084B8B61" w:rsidR="008419ED" w:rsidRP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 xml:space="preserve"> Hartuar në anglisht dhe njoftuar me shkrim më 27 </w:t>
      </w:r>
      <w:r w:rsidR="00294DE8">
        <w:rPr>
          <w:rFonts w:ascii="Garamond" w:eastAsiaTheme="minorHAnsi" w:hAnsi="Garamond"/>
          <w:color w:val="000000"/>
          <w:sz w:val="24"/>
          <w:szCs w:val="24"/>
          <w:lang w:val="sq-AL"/>
          <w14:ligatures w14:val="standardContextual"/>
        </w:rPr>
        <w:t>m</w:t>
      </w:r>
      <w:r w:rsidRPr="008419ED">
        <w:rPr>
          <w:rFonts w:ascii="Garamond" w:eastAsiaTheme="minorHAnsi" w:hAnsi="Garamond"/>
          <w:color w:val="000000"/>
          <w:sz w:val="24"/>
          <w:szCs w:val="24"/>
          <w:lang w:val="sq-AL"/>
          <w14:ligatures w14:val="standardContextual"/>
        </w:rPr>
        <w:t xml:space="preserve">aj 2025, në mbështetje të </w:t>
      </w:r>
      <w:r w:rsidR="00294DE8">
        <w:rPr>
          <w:rFonts w:ascii="Garamond" w:eastAsiaTheme="minorHAnsi" w:hAnsi="Garamond"/>
          <w:color w:val="000000"/>
          <w:sz w:val="24"/>
          <w:szCs w:val="24"/>
          <w:lang w:val="sq-AL"/>
          <w14:ligatures w14:val="standardContextual"/>
        </w:rPr>
        <w:t>r</w:t>
      </w:r>
      <w:r w:rsidRPr="008419ED">
        <w:rPr>
          <w:rFonts w:ascii="Garamond" w:eastAsiaTheme="minorHAnsi" w:hAnsi="Garamond"/>
          <w:color w:val="000000"/>
          <w:sz w:val="24"/>
          <w:szCs w:val="24"/>
          <w:lang w:val="sq-AL"/>
          <w14:ligatures w14:val="standardContextual"/>
        </w:rPr>
        <w:t>regullit 77§</w:t>
      </w:r>
      <w:r w:rsidR="008E491E">
        <w:rPr>
          <w:rFonts w:ascii="Garamond" w:eastAsiaTheme="minorHAnsi" w:hAnsi="Garamond"/>
          <w:color w:val="000000"/>
          <w:sz w:val="24"/>
          <w:szCs w:val="24"/>
          <w:lang w:val="sq-AL"/>
          <w14:ligatures w14:val="standardContextual"/>
        </w:rPr>
        <w:t>§</w:t>
      </w:r>
      <w:r w:rsidRPr="008419ED">
        <w:rPr>
          <w:rFonts w:ascii="Garamond" w:eastAsiaTheme="minorHAnsi" w:hAnsi="Garamond"/>
          <w:color w:val="000000"/>
          <w:sz w:val="24"/>
          <w:szCs w:val="24"/>
          <w:lang w:val="sq-AL"/>
          <w14:ligatures w14:val="standardContextual"/>
        </w:rPr>
        <w:t xml:space="preserve">2 dhe 3 të </w:t>
      </w:r>
      <w:r w:rsidR="00F01D9E" w:rsidRPr="008419ED">
        <w:rPr>
          <w:rFonts w:ascii="Garamond" w:eastAsiaTheme="minorHAnsi" w:hAnsi="Garamond"/>
          <w:color w:val="000000"/>
          <w:sz w:val="24"/>
          <w:szCs w:val="24"/>
          <w:lang w:val="sq-AL"/>
          <w14:ligatures w14:val="standardContextual"/>
        </w:rPr>
        <w:t xml:space="preserve">rregullores </w:t>
      </w:r>
      <w:r w:rsidRPr="008419ED">
        <w:rPr>
          <w:rFonts w:ascii="Garamond" w:eastAsiaTheme="minorHAnsi" w:hAnsi="Garamond"/>
          <w:color w:val="000000"/>
          <w:sz w:val="24"/>
          <w:szCs w:val="24"/>
          <w:lang w:val="sq-AL"/>
          <w14:ligatures w14:val="standardContextual"/>
        </w:rPr>
        <w:t>së Gjykatës.</w:t>
      </w:r>
    </w:p>
    <w:p w14:paraId="1D7579AF" w14:textId="02441F53" w:rsidR="008419ED" w:rsidRDefault="008419ED"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2126"/>
      </w:tblGrid>
      <w:tr w:rsidR="00482BC2" w14:paraId="3B17C5F0" w14:textId="77777777" w:rsidTr="00482BC2">
        <w:tc>
          <w:tcPr>
            <w:tcW w:w="1838" w:type="dxa"/>
          </w:tcPr>
          <w:p w14:paraId="1FC0E0BB" w14:textId="77777777" w:rsidR="00482BC2" w:rsidRPr="00482BC2" w:rsidRDefault="00482BC2" w:rsidP="008419ED">
            <w:pPr>
              <w:tabs>
                <w:tab w:val="left" w:pos="560"/>
                <w:tab w:val="left" w:pos="1120"/>
              </w:tabs>
              <w:autoSpaceDE w:val="0"/>
              <w:autoSpaceDN w:val="0"/>
              <w:adjustRightInd w:val="0"/>
              <w:spacing w:after="0" w:line="240" w:lineRule="auto"/>
              <w:jc w:val="both"/>
              <w:rPr>
                <w:rFonts w:ascii="Garamond" w:eastAsiaTheme="minorHAnsi" w:hAnsi="Garamond"/>
                <w:b/>
                <w:color w:val="000000"/>
                <w:sz w:val="24"/>
                <w:szCs w:val="24"/>
                <w:lang w:val="sq-AL"/>
                <w14:ligatures w14:val="standardContextual"/>
              </w:rPr>
            </w:pPr>
            <w:r w:rsidRPr="00482BC2">
              <w:rPr>
                <w:rFonts w:ascii="Garamond" w:eastAsiaTheme="minorHAnsi" w:hAnsi="Garamond"/>
                <w:b/>
                <w:color w:val="000000"/>
                <w:sz w:val="24"/>
                <w:szCs w:val="24"/>
                <w:lang w:val="sq-AL"/>
                <w14:ligatures w14:val="standardContextual"/>
              </w:rPr>
              <w:t xml:space="preserve">Milan Blaško </w:t>
            </w:r>
          </w:p>
          <w:p w14:paraId="35D5F4CE" w14:textId="1300C637" w:rsidR="00482BC2" w:rsidRDefault="00482BC2" w:rsidP="008419ED">
            <w:pPr>
              <w:tabs>
                <w:tab w:val="left" w:pos="560"/>
                <w:tab w:val="left" w:pos="1120"/>
              </w:tabs>
              <w:autoSpaceDE w:val="0"/>
              <w:autoSpaceDN w:val="0"/>
              <w:adjustRightInd w:val="0"/>
              <w:spacing w:after="0" w:line="240" w:lineRule="auto"/>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Regjistrar</w:t>
            </w:r>
          </w:p>
        </w:tc>
        <w:tc>
          <w:tcPr>
            <w:tcW w:w="2126" w:type="dxa"/>
          </w:tcPr>
          <w:p w14:paraId="555C2A27" w14:textId="77777777" w:rsidR="00482BC2" w:rsidRPr="00482BC2" w:rsidRDefault="00482BC2" w:rsidP="008419ED">
            <w:pPr>
              <w:tabs>
                <w:tab w:val="left" w:pos="560"/>
                <w:tab w:val="left" w:pos="1120"/>
              </w:tabs>
              <w:autoSpaceDE w:val="0"/>
              <w:autoSpaceDN w:val="0"/>
              <w:adjustRightInd w:val="0"/>
              <w:spacing w:after="0" w:line="240" w:lineRule="auto"/>
              <w:jc w:val="both"/>
              <w:rPr>
                <w:rFonts w:ascii="Garamond" w:eastAsiaTheme="minorHAnsi" w:hAnsi="Garamond"/>
                <w:b/>
                <w:color w:val="000000"/>
                <w:sz w:val="24"/>
                <w:szCs w:val="24"/>
                <w:lang w:val="sq-AL"/>
                <w14:ligatures w14:val="standardContextual"/>
              </w:rPr>
            </w:pPr>
            <w:r w:rsidRPr="00482BC2">
              <w:rPr>
                <w:rFonts w:ascii="Garamond" w:eastAsiaTheme="minorHAnsi" w:hAnsi="Garamond"/>
                <w:b/>
                <w:color w:val="000000"/>
                <w:sz w:val="24"/>
                <w:szCs w:val="24"/>
                <w:lang w:val="sq-AL"/>
                <w14:ligatures w14:val="standardContextual"/>
              </w:rPr>
              <w:t xml:space="preserve">Ioannis Ktistakis </w:t>
            </w:r>
          </w:p>
          <w:p w14:paraId="6C1D4CCA" w14:textId="15396173" w:rsidR="00482BC2" w:rsidRDefault="00482BC2" w:rsidP="008419ED">
            <w:pPr>
              <w:tabs>
                <w:tab w:val="left" w:pos="560"/>
                <w:tab w:val="left" w:pos="1120"/>
              </w:tabs>
              <w:autoSpaceDE w:val="0"/>
              <w:autoSpaceDN w:val="0"/>
              <w:adjustRightInd w:val="0"/>
              <w:spacing w:after="0" w:line="240" w:lineRule="auto"/>
              <w:jc w:val="both"/>
              <w:rPr>
                <w:rFonts w:ascii="Garamond" w:eastAsiaTheme="minorHAnsi" w:hAnsi="Garamond"/>
                <w:color w:val="000000"/>
                <w:sz w:val="24"/>
                <w:szCs w:val="24"/>
                <w:lang w:val="sq-AL"/>
                <w14:ligatures w14:val="standardContextual"/>
              </w:rPr>
            </w:pPr>
            <w:r w:rsidRPr="008419ED">
              <w:rPr>
                <w:rFonts w:ascii="Garamond" w:eastAsiaTheme="minorHAnsi" w:hAnsi="Garamond"/>
                <w:color w:val="000000"/>
                <w:sz w:val="24"/>
                <w:szCs w:val="24"/>
                <w:lang w:val="sq-AL"/>
                <w14:ligatures w14:val="standardContextual"/>
              </w:rPr>
              <w:t>Kryetar</w:t>
            </w:r>
          </w:p>
        </w:tc>
      </w:tr>
    </w:tbl>
    <w:p w14:paraId="0A726702" w14:textId="77777777" w:rsidR="00482BC2" w:rsidRPr="008419ED" w:rsidRDefault="00482BC2" w:rsidP="008419ED">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p>
    <w:p w14:paraId="63E34DB5" w14:textId="77777777" w:rsidR="003161DB" w:rsidRPr="00482BC2" w:rsidRDefault="003161DB" w:rsidP="003161DB">
      <w:pPr>
        <w:pStyle w:val="ECHRDecisionBody"/>
        <w:spacing w:line="276" w:lineRule="auto"/>
        <w:jc w:val="center"/>
        <w:rPr>
          <w:rFonts w:ascii="Garamond" w:hAnsi="Garamond"/>
          <w:iCs/>
          <w:szCs w:val="24"/>
          <w:lang w:val="sq-AL"/>
        </w:rPr>
      </w:pPr>
      <w:r w:rsidRPr="00482BC2">
        <w:rPr>
          <w:rFonts w:ascii="Garamond" w:hAnsi="Garamond"/>
          <w:iCs/>
          <w:szCs w:val="24"/>
          <w:lang w:val="sq-AL"/>
        </w:rPr>
        <w:t>SHTOJCË</w:t>
      </w:r>
    </w:p>
    <w:p w14:paraId="5A7D3E37" w14:textId="77777777" w:rsidR="003161DB" w:rsidRPr="002872CC" w:rsidRDefault="003161DB" w:rsidP="003161DB">
      <w:pPr>
        <w:pStyle w:val="ECHRDecisionBody"/>
        <w:spacing w:line="276" w:lineRule="auto"/>
        <w:rPr>
          <w:iCs/>
          <w:szCs w:val="24"/>
          <w:lang w:val="sq-AL"/>
        </w:rPr>
      </w:pPr>
    </w:p>
    <w:tbl>
      <w:tblPr>
        <w:tblStyle w:val="TableGrid"/>
        <w:tblW w:w="5131" w:type="pct"/>
        <w:tblLook w:val="04A0" w:firstRow="1" w:lastRow="0" w:firstColumn="1" w:lastColumn="0" w:noHBand="0" w:noVBand="1"/>
      </w:tblPr>
      <w:tblGrid>
        <w:gridCol w:w="764"/>
        <w:gridCol w:w="1026"/>
        <w:gridCol w:w="1222"/>
        <w:gridCol w:w="1229"/>
        <w:gridCol w:w="1159"/>
        <w:gridCol w:w="1077"/>
        <w:gridCol w:w="1153"/>
        <w:gridCol w:w="1668"/>
      </w:tblGrid>
      <w:tr w:rsidR="003161DB" w:rsidRPr="00482BC2" w14:paraId="6FF7F30C" w14:textId="5B3D1887" w:rsidTr="00A57F2F">
        <w:tc>
          <w:tcPr>
            <w:tcW w:w="411" w:type="pct"/>
          </w:tcPr>
          <w:p w14:paraId="11C8B892" w14:textId="45BD559B" w:rsidR="003161DB" w:rsidRPr="00482BC2" w:rsidRDefault="003161DB" w:rsidP="00066884">
            <w:pPr>
              <w:pStyle w:val="ECHRDecisionBody"/>
              <w:spacing w:line="276" w:lineRule="auto"/>
              <w:jc w:val="center"/>
              <w:rPr>
                <w:rFonts w:ascii="Garamond" w:hAnsi="Garamond"/>
                <w:b/>
                <w:bCs/>
                <w:iCs/>
                <w:sz w:val="16"/>
                <w:szCs w:val="16"/>
                <w:lang w:val="sq-AL"/>
              </w:rPr>
            </w:pPr>
            <w:r w:rsidRPr="00482BC2">
              <w:rPr>
                <w:rFonts w:ascii="Garamond" w:hAnsi="Garamond"/>
                <w:b/>
                <w:bCs/>
                <w:iCs/>
                <w:sz w:val="16"/>
                <w:szCs w:val="16"/>
                <w:lang w:val="sq-AL"/>
              </w:rPr>
              <w:t>Nr.</w:t>
            </w:r>
          </w:p>
        </w:tc>
        <w:tc>
          <w:tcPr>
            <w:tcW w:w="552" w:type="pct"/>
          </w:tcPr>
          <w:p w14:paraId="0ABC2BBA" w14:textId="7962A2F2" w:rsidR="003161DB" w:rsidRPr="00482BC2" w:rsidRDefault="003161DB" w:rsidP="00066884">
            <w:pPr>
              <w:pStyle w:val="ECHRDecisionBody"/>
              <w:spacing w:line="276" w:lineRule="auto"/>
              <w:jc w:val="center"/>
              <w:rPr>
                <w:rFonts w:ascii="Garamond" w:hAnsi="Garamond"/>
                <w:b/>
                <w:bCs/>
                <w:iCs/>
                <w:sz w:val="16"/>
                <w:szCs w:val="16"/>
                <w:lang w:val="sq-AL"/>
              </w:rPr>
            </w:pPr>
            <w:r w:rsidRPr="00482BC2">
              <w:rPr>
                <w:rFonts w:ascii="Garamond" w:hAnsi="Garamond"/>
                <w:b/>
                <w:bCs/>
                <w:iCs/>
                <w:sz w:val="16"/>
                <w:szCs w:val="16"/>
                <w:lang w:val="sq-AL"/>
              </w:rPr>
              <w:t>Nr. i k</w:t>
            </w:r>
            <w:r w:rsidR="00BE26B8" w:rsidRPr="00482BC2">
              <w:rPr>
                <w:rFonts w:ascii="Garamond" w:hAnsi="Garamond"/>
                <w:b/>
                <w:bCs/>
                <w:iCs/>
                <w:sz w:val="16"/>
                <w:szCs w:val="16"/>
                <w:lang w:val="sq-AL"/>
              </w:rPr>
              <w:t>ë</w:t>
            </w:r>
            <w:r w:rsidRPr="00482BC2">
              <w:rPr>
                <w:rFonts w:ascii="Garamond" w:hAnsi="Garamond"/>
                <w:b/>
                <w:bCs/>
                <w:iCs/>
                <w:sz w:val="16"/>
                <w:szCs w:val="16"/>
                <w:lang w:val="sq-AL"/>
              </w:rPr>
              <w:t>rkes</w:t>
            </w:r>
            <w:r w:rsidR="00BE26B8" w:rsidRPr="00482BC2">
              <w:rPr>
                <w:rFonts w:ascii="Garamond" w:hAnsi="Garamond"/>
                <w:b/>
                <w:bCs/>
                <w:iCs/>
                <w:sz w:val="16"/>
                <w:szCs w:val="16"/>
                <w:lang w:val="sq-AL"/>
              </w:rPr>
              <w:t>ë</w:t>
            </w:r>
            <w:r w:rsidRPr="00482BC2">
              <w:rPr>
                <w:rFonts w:ascii="Garamond" w:hAnsi="Garamond"/>
                <w:b/>
                <w:bCs/>
                <w:iCs/>
                <w:sz w:val="16"/>
                <w:szCs w:val="16"/>
                <w:lang w:val="sq-AL"/>
              </w:rPr>
              <w:t>s dhe data e paraqitjes s</w:t>
            </w:r>
            <w:r w:rsidR="00BE26B8" w:rsidRPr="00482BC2">
              <w:rPr>
                <w:rFonts w:ascii="Garamond" w:hAnsi="Garamond"/>
                <w:b/>
                <w:bCs/>
                <w:iCs/>
                <w:sz w:val="16"/>
                <w:szCs w:val="16"/>
                <w:lang w:val="sq-AL"/>
              </w:rPr>
              <w:t>ë</w:t>
            </w:r>
            <w:r w:rsidRPr="00482BC2">
              <w:rPr>
                <w:rFonts w:ascii="Garamond" w:hAnsi="Garamond"/>
                <w:b/>
                <w:bCs/>
                <w:iCs/>
                <w:sz w:val="16"/>
                <w:szCs w:val="16"/>
                <w:lang w:val="sq-AL"/>
              </w:rPr>
              <w:t xml:space="preserve"> saj</w:t>
            </w:r>
          </w:p>
        </w:tc>
        <w:tc>
          <w:tcPr>
            <w:tcW w:w="657" w:type="pct"/>
          </w:tcPr>
          <w:p w14:paraId="6FE63916" w14:textId="77777777" w:rsidR="003161DB" w:rsidRPr="00482BC2" w:rsidRDefault="003161DB" w:rsidP="00066884">
            <w:pPr>
              <w:pStyle w:val="ECHRDecisionBody"/>
              <w:spacing w:line="276" w:lineRule="auto"/>
              <w:jc w:val="center"/>
              <w:rPr>
                <w:rFonts w:ascii="Garamond" w:hAnsi="Garamond"/>
                <w:b/>
                <w:bCs/>
                <w:iCs/>
                <w:sz w:val="16"/>
                <w:szCs w:val="16"/>
                <w:lang w:val="sq-AL"/>
              </w:rPr>
            </w:pPr>
            <w:r w:rsidRPr="00482BC2">
              <w:rPr>
                <w:rFonts w:ascii="Garamond" w:hAnsi="Garamond"/>
                <w:b/>
                <w:bCs/>
                <w:iCs/>
                <w:sz w:val="16"/>
                <w:szCs w:val="16"/>
                <w:lang w:val="sq-AL"/>
              </w:rPr>
              <w:t>Emri i kërkuesit</w:t>
            </w:r>
          </w:p>
          <w:p w14:paraId="6E28FBDF" w14:textId="05D62F6A" w:rsidR="003161DB" w:rsidRPr="00482BC2" w:rsidRDefault="007F7FB5" w:rsidP="00066884">
            <w:pPr>
              <w:pStyle w:val="ECHRDecisionBody"/>
              <w:spacing w:line="276" w:lineRule="auto"/>
              <w:jc w:val="center"/>
              <w:rPr>
                <w:rFonts w:ascii="Garamond" w:hAnsi="Garamond"/>
                <w:b/>
                <w:bCs/>
                <w:iCs/>
                <w:sz w:val="16"/>
                <w:szCs w:val="16"/>
                <w:lang w:val="sq-AL"/>
              </w:rPr>
            </w:pPr>
            <w:r w:rsidRPr="00482BC2">
              <w:rPr>
                <w:rFonts w:ascii="Garamond" w:hAnsi="Garamond"/>
                <w:b/>
                <w:bCs/>
                <w:iCs/>
                <w:sz w:val="16"/>
                <w:szCs w:val="16"/>
                <w:lang w:val="sq-AL"/>
              </w:rPr>
              <w:t>v</w:t>
            </w:r>
            <w:r w:rsidR="003161DB" w:rsidRPr="00482BC2">
              <w:rPr>
                <w:rFonts w:ascii="Garamond" w:hAnsi="Garamond"/>
                <w:b/>
                <w:bCs/>
                <w:iCs/>
                <w:sz w:val="16"/>
                <w:szCs w:val="16"/>
                <w:lang w:val="sq-AL"/>
              </w:rPr>
              <w:t>iti i lindjes ose regjistrimi, vendndodhja dhe komb</w:t>
            </w:r>
            <w:r w:rsidR="00BE26B8" w:rsidRPr="00482BC2">
              <w:rPr>
                <w:rFonts w:ascii="Garamond" w:hAnsi="Garamond"/>
                <w:b/>
                <w:bCs/>
                <w:iCs/>
                <w:sz w:val="16"/>
                <w:szCs w:val="16"/>
                <w:lang w:val="sq-AL"/>
              </w:rPr>
              <w:t>ë</w:t>
            </w:r>
            <w:r w:rsidR="003161DB" w:rsidRPr="00482BC2">
              <w:rPr>
                <w:rFonts w:ascii="Garamond" w:hAnsi="Garamond"/>
                <w:b/>
                <w:bCs/>
                <w:iCs/>
                <w:sz w:val="16"/>
                <w:szCs w:val="16"/>
                <w:lang w:val="sq-AL"/>
              </w:rPr>
              <w:t xml:space="preserve">sia </w:t>
            </w:r>
          </w:p>
        </w:tc>
        <w:tc>
          <w:tcPr>
            <w:tcW w:w="661" w:type="pct"/>
          </w:tcPr>
          <w:p w14:paraId="35539605" w14:textId="77777777" w:rsidR="003161DB" w:rsidRPr="00482BC2" w:rsidRDefault="003161DB" w:rsidP="00066884">
            <w:pPr>
              <w:pStyle w:val="ECHRDecisionBody"/>
              <w:spacing w:line="276" w:lineRule="auto"/>
              <w:jc w:val="center"/>
              <w:rPr>
                <w:rFonts w:ascii="Garamond" w:hAnsi="Garamond"/>
                <w:b/>
                <w:bCs/>
                <w:iCs/>
                <w:sz w:val="16"/>
                <w:szCs w:val="16"/>
                <w:lang w:val="sq-AL"/>
              </w:rPr>
            </w:pPr>
            <w:r w:rsidRPr="00482BC2">
              <w:rPr>
                <w:rFonts w:ascii="Garamond" w:hAnsi="Garamond"/>
                <w:b/>
                <w:bCs/>
                <w:iCs/>
                <w:sz w:val="16"/>
                <w:szCs w:val="16"/>
                <w:lang w:val="sq-AL"/>
              </w:rPr>
              <w:t>Emri dhe vendndodhja e përfaqësuesit</w:t>
            </w:r>
          </w:p>
        </w:tc>
        <w:tc>
          <w:tcPr>
            <w:tcW w:w="623" w:type="pct"/>
          </w:tcPr>
          <w:p w14:paraId="62AF08F8" w14:textId="54E60D5D" w:rsidR="003161DB" w:rsidRPr="00482BC2" w:rsidRDefault="003161DB" w:rsidP="00066884">
            <w:pPr>
              <w:pStyle w:val="ECHRDecisionBody"/>
              <w:spacing w:line="276" w:lineRule="auto"/>
              <w:jc w:val="center"/>
              <w:rPr>
                <w:rFonts w:ascii="Garamond" w:hAnsi="Garamond"/>
                <w:b/>
                <w:bCs/>
                <w:iCs/>
                <w:sz w:val="16"/>
                <w:szCs w:val="16"/>
                <w:lang w:val="sq-AL"/>
              </w:rPr>
            </w:pPr>
            <w:r w:rsidRPr="00482BC2">
              <w:rPr>
                <w:rFonts w:ascii="Garamond" w:hAnsi="Garamond"/>
                <w:b/>
                <w:bCs/>
                <w:iCs/>
                <w:sz w:val="16"/>
                <w:szCs w:val="16"/>
                <w:lang w:val="sq-AL"/>
              </w:rPr>
              <w:t>Shumat e k</w:t>
            </w:r>
            <w:r w:rsidR="00BE26B8" w:rsidRPr="00482BC2">
              <w:rPr>
                <w:rFonts w:ascii="Garamond" w:hAnsi="Garamond"/>
                <w:b/>
                <w:bCs/>
                <w:iCs/>
                <w:sz w:val="16"/>
                <w:szCs w:val="16"/>
                <w:lang w:val="sq-AL"/>
              </w:rPr>
              <w:t>ë</w:t>
            </w:r>
            <w:r w:rsidRPr="00482BC2">
              <w:rPr>
                <w:rFonts w:ascii="Garamond" w:hAnsi="Garamond"/>
                <w:b/>
                <w:bCs/>
                <w:iCs/>
                <w:sz w:val="16"/>
                <w:szCs w:val="16"/>
                <w:lang w:val="sq-AL"/>
              </w:rPr>
              <w:t>rkuara p</w:t>
            </w:r>
            <w:r w:rsidR="00BE26B8" w:rsidRPr="00482BC2">
              <w:rPr>
                <w:rFonts w:ascii="Garamond" w:hAnsi="Garamond"/>
                <w:b/>
                <w:bCs/>
                <w:iCs/>
                <w:sz w:val="16"/>
                <w:szCs w:val="16"/>
                <w:lang w:val="sq-AL"/>
              </w:rPr>
              <w:t>ë</w:t>
            </w:r>
            <w:r w:rsidRPr="00482BC2">
              <w:rPr>
                <w:rFonts w:ascii="Garamond" w:hAnsi="Garamond"/>
                <w:b/>
                <w:bCs/>
                <w:iCs/>
                <w:sz w:val="16"/>
                <w:szCs w:val="16"/>
                <w:lang w:val="sq-AL"/>
              </w:rPr>
              <w:t>r d</w:t>
            </w:r>
            <w:r w:rsidR="00BE26B8" w:rsidRPr="00482BC2">
              <w:rPr>
                <w:rFonts w:ascii="Garamond" w:hAnsi="Garamond"/>
                <w:b/>
                <w:bCs/>
                <w:iCs/>
                <w:sz w:val="16"/>
                <w:szCs w:val="16"/>
                <w:lang w:val="sq-AL"/>
              </w:rPr>
              <w:t>ë</w:t>
            </w:r>
            <w:r w:rsidRPr="00482BC2">
              <w:rPr>
                <w:rFonts w:ascii="Garamond" w:hAnsi="Garamond"/>
                <w:b/>
                <w:bCs/>
                <w:iCs/>
                <w:sz w:val="16"/>
                <w:szCs w:val="16"/>
                <w:lang w:val="sq-AL"/>
              </w:rPr>
              <w:t>m pasuror dhe jopasuror (n</w:t>
            </w:r>
            <w:r w:rsidR="00BE26B8" w:rsidRPr="00482BC2">
              <w:rPr>
                <w:rFonts w:ascii="Garamond" w:hAnsi="Garamond"/>
                <w:b/>
                <w:bCs/>
                <w:iCs/>
                <w:sz w:val="16"/>
                <w:szCs w:val="16"/>
                <w:lang w:val="sq-AL"/>
              </w:rPr>
              <w:t>ë</w:t>
            </w:r>
            <w:r w:rsidRPr="00482BC2">
              <w:rPr>
                <w:rFonts w:ascii="Garamond" w:hAnsi="Garamond"/>
                <w:b/>
                <w:bCs/>
                <w:iCs/>
                <w:sz w:val="16"/>
                <w:szCs w:val="16"/>
                <w:lang w:val="sq-AL"/>
              </w:rPr>
              <w:t xml:space="preserve"> euro)</w:t>
            </w:r>
          </w:p>
        </w:tc>
        <w:tc>
          <w:tcPr>
            <w:tcW w:w="579" w:type="pct"/>
          </w:tcPr>
          <w:p w14:paraId="09ACEE28" w14:textId="1D955980" w:rsidR="003161DB" w:rsidRPr="00482BC2" w:rsidRDefault="003161DB" w:rsidP="00066884">
            <w:pPr>
              <w:pStyle w:val="ECHRDecisionBody"/>
              <w:spacing w:line="276" w:lineRule="auto"/>
              <w:jc w:val="center"/>
              <w:rPr>
                <w:rFonts w:ascii="Garamond" w:hAnsi="Garamond"/>
                <w:b/>
                <w:bCs/>
                <w:iCs/>
                <w:sz w:val="16"/>
                <w:szCs w:val="16"/>
                <w:lang w:val="sq-AL"/>
              </w:rPr>
            </w:pPr>
            <w:r w:rsidRPr="00482BC2">
              <w:rPr>
                <w:rFonts w:ascii="Garamond" w:hAnsi="Garamond"/>
                <w:b/>
                <w:bCs/>
                <w:iCs/>
                <w:sz w:val="16"/>
                <w:szCs w:val="16"/>
                <w:lang w:val="sq-AL"/>
              </w:rPr>
              <w:t>Shumat e k</w:t>
            </w:r>
            <w:r w:rsidR="00BE26B8" w:rsidRPr="00482BC2">
              <w:rPr>
                <w:rFonts w:ascii="Garamond" w:hAnsi="Garamond"/>
                <w:b/>
                <w:bCs/>
                <w:iCs/>
                <w:sz w:val="16"/>
                <w:szCs w:val="16"/>
                <w:lang w:val="sq-AL"/>
              </w:rPr>
              <w:t>ë</w:t>
            </w:r>
            <w:r w:rsidRPr="00482BC2">
              <w:rPr>
                <w:rFonts w:ascii="Garamond" w:hAnsi="Garamond"/>
                <w:b/>
                <w:bCs/>
                <w:iCs/>
                <w:sz w:val="16"/>
                <w:szCs w:val="16"/>
                <w:lang w:val="sq-AL"/>
              </w:rPr>
              <w:t>rkuara p</w:t>
            </w:r>
            <w:r w:rsidR="00BE26B8" w:rsidRPr="00482BC2">
              <w:rPr>
                <w:rFonts w:ascii="Garamond" w:hAnsi="Garamond"/>
                <w:b/>
                <w:bCs/>
                <w:iCs/>
                <w:sz w:val="16"/>
                <w:szCs w:val="16"/>
                <w:lang w:val="sq-AL"/>
              </w:rPr>
              <w:t>ë</w:t>
            </w:r>
            <w:r w:rsidRPr="00482BC2">
              <w:rPr>
                <w:rFonts w:ascii="Garamond" w:hAnsi="Garamond"/>
                <w:b/>
                <w:bCs/>
                <w:iCs/>
                <w:sz w:val="16"/>
                <w:szCs w:val="16"/>
                <w:lang w:val="sq-AL"/>
              </w:rPr>
              <w:t>r kostot dhe shpenzimet (n</w:t>
            </w:r>
            <w:r w:rsidR="00BE26B8" w:rsidRPr="00482BC2">
              <w:rPr>
                <w:rFonts w:ascii="Garamond" w:hAnsi="Garamond"/>
                <w:b/>
                <w:bCs/>
                <w:iCs/>
                <w:sz w:val="16"/>
                <w:szCs w:val="16"/>
                <w:lang w:val="sq-AL"/>
              </w:rPr>
              <w:t>ë</w:t>
            </w:r>
            <w:r w:rsidRPr="00482BC2">
              <w:rPr>
                <w:rFonts w:ascii="Garamond" w:hAnsi="Garamond"/>
                <w:b/>
                <w:bCs/>
                <w:iCs/>
                <w:sz w:val="16"/>
                <w:szCs w:val="16"/>
                <w:lang w:val="sq-AL"/>
              </w:rPr>
              <w:t xml:space="preserve"> euro)</w:t>
            </w:r>
          </w:p>
        </w:tc>
        <w:tc>
          <w:tcPr>
            <w:tcW w:w="620" w:type="pct"/>
          </w:tcPr>
          <w:p w14:paraId="21EBFA6B" w14:textId="77777777" w:rsidR="00294DE8" w:rsidRDefault="003161DB" w:rsidP="00066884">
            <w:pPr>
              <w:pStyle w:val="ECHRDecisionBody"/>
              <w:spacing w:line="276" w:lineRule="auto"/>
              <w:jc w:val="center"/>
              <w:rPr>
                <w:rFonts w:ascii="Garamond" w:hAnsi="Garamond"/>
                <w:b/>
                <w:bCs/>
                <w:iCs/>
                <w:sz w:val="16"/>
                <w:szCs w:val="16"/>
                <w:lang w:val="sq-AL"/>
              </w:rPr>
            </w:pPr>
            <w:r w:rsidRPr="00482BC2">
              <w:rPr>
                <w:rFonts w:ascii="Garamond" w:hAnsi="Garamond"/>
                <w:b/>
                <w:bCs/>
                <w:iCs/>
                <w:sz w:val="16"/>
                <w:szCs w:val="16"/>
                <w:lang w:val="sq-AL"/>
              </w:rPr>
              <w:t>Shumat e akorduara p</w:t>
            </w:r>
            <w:r w:rsidR="00BE26B8" w:rsidRPr="00482BC2">
              <w:rPr>
                <w:rFonts w:ascii="Garamond" w:hAnsi="Garamond"/>
                <w:b/>
                <w:bCs/>
                <w:iCs/>
                <w:sz w:val="16"/>
                <w:szCs w:val="16"/>
                <w:lang w:val="sq-AL"/>
              </w:rPr>
              <w:t>ë</w:t>
            </w:r>
            <w:r w:rsidRPr="00482BC2">
              <w:rPr>
                <w:rFonts w:ascii="Garamond" w:hAnsi="Garamond"/>
                <w:b/>
                <w:bCs/>
                <w:iCs/>
                <w:sz w:val="16"/>
                <w:szCs w:val="16"/>
                <w:lang w:val="sq-AL"/>
              </w:rPr>
              <w:t>r d</w:t>
            </w:r>
            <w:r w:rsidR="00BE26B8" w:rsidRPr="00482BC2">
              <w:rPr>
                <w:rFonts w:ascii="Garamond" w:hAnsi="Garamond"/>
                <w:b/>
                <w:bCs/>
                <w:iCs/>
                <w:sz w:val="16"/>
                <w:szCs w:val="16"/>
                <w:lang w:val="sq-AL"/>
              </w:rPr>
              <w:t>ë</w:t>
            </w:r>
            <w:r w:rsidRPr="00482BC2">
              <w:rPr>
                <w:rFonts w:ascii="Garamond" w:hAnsi="Garamond"/>
                <w:b/>
                <w:bCs/>
                <w:iCs/>
                <w:sz w:val="16"/>
                <w:szCs w:val="16"/>
                <w:lang w:val="sq-AL"/>
              </w:rPr>
              <w:t xml:space="preserve">m jopasuror </w:t>
            </w:r>
          </w:p>
          <w:p w14:paraId="4E501E93" w14:textId="189B8938" w:rsidR="003161DB" w:rsidRPr="00482BC2" w:rsidRDefault="003161DB" w:rsidP="00066884">
            <w:pPr>
              <w:pStyle w:val="ECHRDecisionBody"/>
              <w:spacing w:line="276" w:lineRule="auto"/>
              <w:jc w:val="center"/>
              <w:rPr>
                <w:rFonts w:ascii="Garamond" w:hAnsi="Garamond"/>
                <w:b/>
                <w:bCs/>
                <w:iCs/>
                <w:sz w:val="16"/>
                <w:szCs w:val="16"/>
                <w:lang w:val="sq-AL"/>
              </w:rPr>
            </w:pPr>
            <w:r w:rsidRPr="00482BC2">
              <w:rPr>
                <w:rFonts w:ascii="Garamond" w:hAnsi="Garamond"/>
                <w:b/>
                <w:bCs/>
                <w:iCs/>
                <w:sz w:val="16"/>
                <w:szCs w:val="16"/>
                <w:lang w:val="sq-AL"/>
              </w:rPr>
              <w:t>(n</w:t>
            </w:r>
            <w:r w:rsidR="00BE26B8" w:rsidRPr="00482BC2">
              <w:rPr>
                <w:rFonts w:ascii="Garamond" w:hAnsi="Garamond"/>
                <w:b/>
                <w:bCs/>
                <w:iCs/>
                <w:sz w:val="16"/>
                <w:szCs w:val="16"/>
                <w:lang w:val="sq-AL"/>
              </w:rPr>
              <w:t>ë</w:t>
            </w:r>
            <w:r w:rsidRPr="00482BC2">
              <w:rPr>
                <w:rFonts w:ascii="Garamond" w:hAnsi="Garamond"/>
                <w:b/>
                <w:bCs/>
                <w:iCs/>
                <w:sz w:val="16"/>
                <w:szCs w:val="16"/>
                <w:lang w:val="sq-AL"/>
              </w:rPr>
              <w:t xml:space="preserve"> euro)</w:t>
            </w:r>
          </w:p>
        </w:tc>
        <w:tc>
          <w:tcPr>
            <w:tcW w:w="897" w:type="pct"/>
          </w:tcPr>
          <w:p w14:paraId="51E2D8A5" w14:textId="1FE24177" w:rsidR="003161DB" w:rsidRPr="00482BC2" w:rsidRDefault="003161DB" w:rsidP="00066884">
            <w:pPr>
              <w:pStyle w:val="ECHRDecisionBody"/>
              <w:spacing w:line="276" w:lineRule="auto"/>
              <w:jc w:val="center"/>
              <w:rPr>
                <w:rFonts w:ascii="Garamond" w:hAnsi="Garamond"/>
                <w:b/>
                <w:bCs/>
                <w:iCs/>
                <w:sz w:val="16"/>
                <w:szCs w:val="16"/>
                <w:lang w:val="sq-AL"/>
              </w:rPr>
            </w:pPr>
            <w:r w:rsidRPr="00482BC2">
              <w:rPr>
                <w:rFonts w:ascii="Garamond" w:hAnsi="Garamond"/>
                <w:b/>
                <w:bCs/>
                <w:iCs/>
                <w:sz w:val="16"/>
                <w:szCs w:val="16"/>
                <w:lang w:val="sq-AL"/>
              </w:rPr>
              <w:t>Shumat e akorduara p</w:t>
            </w:r>
            <w:r w:rsidR="00BE26B8" w:rsidRPr="00482BC2">
              <w:rPr>
                <w:rFonts w:ascii="Garamond" w:hAnsi="Garamond"/>
                <w:b/>
                <w:bCs/>
                <w:iCs/>
                <w:sz w:val="16"/>
                <w:szCs w:val="16"/>
                <w:lang w:val="sq-AL"/>
              </w:rPr>
              <w:t>ë</w:t>
            </w:r>
            <w:r w:rsidRPr="00482BC2">
              <w:rPr>
                <w:rFonts w:ascii="Garamond" w:hAnsi="Garamond"/>
                <w:b/>
                <w:bCs/>
                <w:iCs/>
                <w:sz w:val="16"/>
                <w:szCs w:val="16"/>
                <w:lang w:val="sq-AL"/>
              </w:rPr>
              <w:t>r kostot dhe shpenzimet (n</w:t>
            </w:r>
            <w:r w:rsidR="00BE26B8" w:rsidRPr="00482BC2">
              <w:rPr>
                <w:rFonts w:ascii="Garamond" w:hAnsi="Garamond"/>
                <w:b/>
                <w:bCs/>
                <w:iCs/>
                <w:sz w:val="16"/>
                <w:szCs w:val="16"/>
                <w:lang w:val="sq-AL"/>
              </w:rPr>
              <w:t>ë</w:t>
            </w:r>
            <w:r w:rsidRPr="00482BC2">
              <w:rPr>
                <w:rFonts w:ascii="Garamond" w:hAnsi="Garamond"/>
                <w:b/>
                <w:bCs/>
                <w:iCs/>
                <w:sz w:val="16"/>
                <w:szCs w:val="16"/>
                <w:lang w:val="sq-AL"/>
              </w:rPr>
              <w:t xml:space="preserve"> euro)</w:t>
            </w:r>
          </w:p>
        </w:tc>
      </w:tr>
      <w:tr w:rsidR="00BE26B8" w:rsidRPr="00482BC2" w14:paraId="649CDD8C" w14:textId="069E1779" w:rsidTr="00A57F2F">
        <w:tc>
          <w:tcPr>
            <w:tcW w:w="411" w:type="pct"/>
          </w:tcPr>
          <w:p w14:paraId="16341537" w14:textId="77777777" w:rsidR="00BE26B8" w:rsidRPr="00482BC2" w:rsidRDefault="00BE26B8" w:rsidP="00066884">
            <w:pPr>
              <w:pStyle w:val="ECHRDecisionBody"/>
              <w:spacing w:line="276" w:lineRule="auto"/>
              <w:jc w:val="center"/>
              <w:rPr>
                <w:rFonts w:ascii="Garamond" w:hAnsi="Garamond"/>
                <w:iCs/>
                <w:sz w:val="16"/>
                <w:szCs w:val="16"/>
                <w:lang w:val="sq-AL"/>
              </w:rPr>
            </w:pPr>
            <w:r w:rsidRPr="00482BC2">
              <w:rPr>
                <w:rFonts w:ascii="Garamond" w:hAnsi="Garamond"/>
                <w:iCs/>
                <w:sz w:val="16"/>
                <w:szCs w:val="16"/>
                <w:lang w:val="sq-AL"/>
              </w:rPr>
              <w:t>1</w:t>
            </w:r>
          </w:p>
        </w:tc>
        <w:tc>
          <w:tcPr>
            <w:tcW w:w="552" w:type="pct"/>
          </w:tcPr>
          <w:p w14:paraId="2FDCF174" w14:textId="77777777" w:rsidR="00BE26B8" w:rsidRPr="00482BC2" w:rsidRDefault="00BE26B8" w:rsidP="00066884">
            <w:pPr>
              <w:pStyle w:val="ECHRDecisionBody"/>
              <w:spacing w:line="276" w:lineRule="auto"/>
              <w:jc w:val="center"/>
              <w:rPr>
                <w:rFonts w:ascii="Garamond" w:hAnsi="Garamond"/>
                <w:iCs/>
                <w:sz w:val="16"/>
                <w:szCs w:val="16"/>
                <w:lang w:val="sq-AL"/>
              </w:rPr>
            </w:pPr>
            <w:r w:rsidRPr="00482BC2">
              <w:rPr>
                <w:rFonts w:ascii="Garamond" w:hAnsi="Garamond"/>
                <w:iCs/>
                <w:sz w:val="16"/>
                <w:szCs w:val="16"/>
                <w:lang w:val="sq-AL"/>
              </w:rPr>
              <w:t>39860/19</w:t>
            </w:r>
          </w:p>
          <w:p w14:paraId="19A93267" w14:textId="5078855E" w:rsidR="00BE26B8" w:rsidRPr="00482BC2" w:rsidRDefault="00BE26B8" w:rsidP="00066884">
            <w:pPr>
              <w:pStyle w:val="ECHRDecisionBody"/>
              <w:spacing w:line="276" w:lineRule="auto"/>
              <w:jc w:val="center"/>
              <w:rPr>
                <w:rFonts w:ascii="Garamond" w:hAnsi="Garamond"/>
                <w:iCs/>
                <w:sz w:val="16"/>
                <w:szCs w:val="16"/>
                <w:lang w:val="sq-AL"/>
              </w:rPr>
            </w:pPr>
            <w:r w:rsidRPr="00482BC2">
              <w:rPr>
                <w:rFonts w:ascii="Garamond" w:hAnsi="Garamond"/>
                <w:iCs/>
                <w:sz w:val="16"/>
                <w:szCs w:val="16"/>
                <w:lang w:val="sq-AL"/>
              </w:rPr>
              <w:t>15</w:t>
            </w:r>
            <w:r w:rsidR="00294DE8">
              <w:rPr>
                <w:rFonts w:ascii="Garamond" w:hAnsi="Garamond"/>
                <w:iCs/>
                <w:sz w:val="16"/>
                <w:szCs w:val="16"/>
                <w:lang w:val="sq-AL"/>
              </w:rPr>
              <w:t>.</w:t>
            </w:r>
            <w:r w:rsidRPr="00482BC2">
              <w:rPr>
                <w:rFonts w:ascii="Garamond" w:hAnsi="Garamond"/>
                <w:iCs/>
                <w:sz w:val="16"/>
                <w:szCs w:val="16"/>
                <w:lang w:val="sq-AL"/>
              </w:rPr>
              <w:t>7</w:t>
            </w:r>
            <w:r w:rsidR="00294DE8">
              <w:rPr>
                <w:rFonts w:ascii="Garamond" w:hAnsi="Garamond"/>
                <w:iCs/>
                <w:sz w:val="16"/>
                <w:szCs w:val="16"/>
                <w:lang w:val="sq-AL"/>
              </w:rPr>
              <w:t>.</w:t>
            </w:r>
            <w:r w:rsidRPr="00482BC2">
              <w:rPr>
                <w:rFonts w:ascii="Garamond" w:hAnsi="Garamond"/>
                <w:iCs/>
                <w:sz w:val="16"/>
                <w:szCs w:val="16"/>
                <w:lang w:val="sq-AL"/>
              </w:rPr>
              <w:t>2019</w:t>
            </w:r>
          </w:p>
        </w:tc>
        <w:tc>
          <w:tcPr>
            <w:tcW w:w="657" w:type="pct"/>
            <w:vMerge w:val="restart"/>
          </w:tcPr>
          <w:p w14:paraId="4E062F43" w14:textId="77777777" w:rsidR="00BE26B8" w:rsidRPr="00482BC2" w:rsidRDefault="00BE26B8" w:rsidP="00066884">
            <w:pPr>
              <w:pStyle w:val="ECHRDecisionBody"/>
              <w:spacing w:line="276" w:lineRule="auto"/>
              <w:jc w:val="center"/>
              <w:rPr>
                <w:rFonts w:ascii="Garamond" w:hAnsi="Garamond"/>
                <w:b/>
                <w:bCs/>
                <w:iCs/>
                <w:sz w:val="16"/>
                <w:szCs w:val="16"/>
                <w:lang w:val="sq-AL"/>
              </w:rPr>
            </w:pPr>
            <w:r w:rsidRPr="00482BC2">
              <w:rPr>
                <w:rFonts w:ascii="Garamond" w:hAnsi="Garamond"/>
                <w:b/>
                <w:bCs/>
                <w:iCs/>
                <w:sz w:val="16"/>
                <w:szCs w:val="16"/>
                <w:lang w:val="sq-AL"/>
              </w:rPr>
              <w:t>ARB SHPK</w:t>
            </w:r>
          </w:p>
          <w:p w14:paraId="5B03CCF4" w14:textId="77777777" w:rsidR="00BE26B8" w:rsidRPr="00482BC2" w:rsidRDefault="00BE26B8" w:rsidP="00066884">
            <w:pPr>
              <w:pStyle w:val="ECHRDecisionBody"/>
              <w:spacing w:line="276" w:lineRule="auto"/>
              <w:jc w:val="center"/>
              <w:rPr>
                <w:rFonts w:ascii="Garamond" w:hAnsi="Garamond"/>
                <w:iCs/>
                <w:sz w:val="16"/>
                <w:szCs w:val="16"/>
                <w:lang w:val="sq-AL"/>
              </w:rPr>
            </w:pPr>
            <w:r w:rsidRPr="00482BC2">
              <w:rPr>
                <w:rFonts w:ascii="Garamond" w:hAnsi="Garamond"/>
                <w:iCs/>
                <w:sz w:val="16"/>
                <w:szCs w:val="16"/>
                <w:lang w:val="sq-AL"/>
              </w:rPr>
              <w:t>2011</w:t>
            </w:r>
          </w:p>
          <w:p w14:paraId="2A1F65D3" w14:textId="108FB13B" w:rsidR="00BE26B8" w:rsidRPr="00482BC2" w:rsidRDefault="00BE26B8" w:rsidP="00BE26B8">
            <w:pPr>
              <w:pStyle w:val="ECHRDecisionBody"/>
              <w:spacing w:line="276" w:lineRule="auto"/>
              <w:jc w:val="center"/>
              <w:rPr>
                <w:rFonts w:ascii="Garamond" w:hAnsi="Garamond"/>
                <w:iCs/>
                <w:sz w:val="16"/>
                <w:szCs w:val="16"/>
                <w:lang w:val="sq-AL"/>
              </w:rPr>
            </w:pPr>
            <w:r w:rsidRPr="00482BC2">
              <w:rPr>
                <w:rFonts w:ascii="Garamond" w:hAnsi="Garamond"/>
                <w:iCs/>
                <w:sz w:val="16"/>
                <w:szCs w:val="16"/>
                <w:lang w:val="sq-AL"/>
              </w:rPr>
              <w:t xml:space="preserve">Tiranë </w:t>
            </w:r>
          </w:p>
          <w:p w14:paraId="03D60996" w14:textId="602700EA" w:rsidR="00BE26B8" w:rsidRPr="00482BC2" w:rsidRDefault="00BE26B8" w:rsidP="00BE26B8">
            <w:pPr>
              <w:pStyle w:val="ECHRDecisionBody"/>
              <w:spacing w:line="276" w:lineRule="auto"/>
              <w:jc w:val="center"/>
              <w:rPr>
                <w:rFonts w:ascii="Garamond" w:hAnsi="Garamond"/>
                <w:iCs/>
                <w:sz w:val="16"/>
                <w:szCs w:val="16"/>
                <w:lang w:val="sq-AL"/>
              </w:rPr>
            </w:pPr>
            <w:r w:rsidRPr="00482BC2">
              <w:rPr>
                <w:rFonts w:ascii="Garamond" w:hAnsi="Garamond"/>
                <w:iCs/>
                <w:sz w:val="16"/>
                <w:szCs w:val="16"/>
                <w:lang w:val="sq-AL"/>
              </w:rPr>
              <w:t xml:space="preserve">Shqiptar </w:t>
            </w:r>
          </w:p>
        </w:tc>
        <w:tc>
          <w:tcPr>
            <w:tcW w:w="661" w:type="pct"/>
            <w:vMerge w:val="restart"/>
          </w:tcPr>
          <w:p w14:paraId="54533AF9" w14:textId="77777777" w:rsidR="00BE26B8" w:rsidRPr="00482BC2" w:rsidRDefault="00BE26B8" w:rsidP="00066884">
            <w:pPr>
              <w:pStyle w:val="ECHRDecisionBody"/>
              <w:spacing w:line="276" w:lineRule="auto"/>
              <w:jc w:val="center"/>
              <w:rPr>
                <w:rFonts w:ascii="Garamond" w:hAnsi="Garamond"/>
                <w:iCs/>
                <w:sz w:val="16"/>
                <w:szCs w:val="16"/>
                <w:lang w:val="sq-AL"/>
              </w:rPr>
            </w:pPr>
            <w:r w:rsidRPr="00482BC2">
              <w:rPr>
                <w:rFonts w:ascii="Garamond" w:hAnsi="Garamond"/>
                <w:iCs/>
                <w:sz w:val="16"/>
                <w:szCs w:val="16"/>
                <w:lang w:val="sq-AL"/>
              </w:rPr>
              <w:t>Ledi Bianku</w:t>
            </w:r>
          </w:p>
          <w:p w14:paraId="353563F0" w14:textId="77777777" w:rsidR="00BE26B8" w:rsidRPr="00482BC2" w:rsidRDefault="00BE26B8" w:rsidP="00066884">
            <w:pPr>
              <w:pStyle w:val="ECHRDecisionBody"/>
              <w:spacing w:line="276" w:lineRule="auto"/>
              <w:jc w:val="center"/>
              <w:rPr>
                <w:rFonts w:ascii="Garamond" w:hAnsi="Garamond"/>
                <w:iCs/>
                <w:sz w:val="16"/>
                <w:szCs w:val="16"/>
                <w:lang w:val="sq-AL"/>
              </w:rPr>
            </w:pPr>
            <w:r w:rsidRPr="00482BC2">
              <w:rPr>
                <w:rFonts w:ascii="Garamond" w:hAnsi="Garamond"/>
                <w:iCs/>
                <w:sz w:val="16"/>
                <w:szCs w:val="16"/>
                <w:lang w:val="sq-AL"/>
              </w:rPr>
              <w:t xml:space="preserve">Strasburg  </w:t>
            </w:r>
          </w:p>
          <w:p w14:paraId="6CCCB79C" w14:textId="3570F179" w:rsidR="00BE26B8" w:rsidRPr="00482BC2" w:rsidRDefault="00BE26B8" w:rsidP="00066884">
            <w:pPr>
              <w:pStyle w:val="ECHRDecisionBody"/>
              <w:spacing w:line="276" w:lineRule="auto"/>
              <w:jc w:val="center"/>
              <w:rPr>
                <w:rFonts w:ascii="Garamond" w:hAnsi="Garamond"/>
                <w:iCs/>
                <w:sz w:val="16"/>
                <w:szCs w:val="16"/>
                <w:lang w:val="sq-AL"/>
              </w:rPr>
            </w:pPr>
          </w:p>
        </w:tc>
        <w:tc>
          <w:tcPr>
            <w:tcW w:w="623" w:type="pct"/>
          </w:tcPr>
          <w:p w14:paraId="319CBA1E" w14:textId="0B38AC31" w:rsidR="00BE26B8" w:rsidRPr="00482BC2" w:rsidRDefault="00BE26B8" w:rsidP="00066884">
            <w:pPr>
              <w:pStyle w:val="ECHRDecisionBody"/>
              <w:spacing w:line="276" w:lineRule="auto"/>
              <w:jc w:val="center"/>
              <w:rPr>
                <w:rFonts w:ascii="Garamond" w:hAnsi="Garamond"/>
                <w:iCs/>
                <w:sz w:val="16"/>
                <w:szCs w:val="16"/>
                <w:lang w:val="sq-AL"/>
              </w:rPr>
            </w:pPr>
            <w:r w:rsidRPr="00482BC2">
              <w:rPr>
                <w:rFonts w:ascii="Garamond" w:hAnsi="Garamond"/>
                <w:iCs/>
                <w:sz w:val="16"/>
                <w:szCs w:val="16"/>
                <w:lang w:val="sq-AL"/>
              </w:rPr>
              <w:t>5,000-10,000</w:t>
            </w:r>
          </w:p>
        </w:tc>
        <w:tc>
          <w:tcPr>
            <w:tcW w:w="579" w:type="pct"/>
          </w:tcPr>
          <w:p w14:paraId="0B4842DB" w14:textId="04DBEBEB" w:rsidR="00BE26B8" w:rsidRPr="00482BC2" w:rsidRDefault="00BE26B8" w:rsidP="00066884">
            <w:pPr>
              <w:pStyle w:val="ECHRDecisionBody"/>
              <w:spacing w:line="276" w:lineRule="auto"/>
              <w:jc w:val="center"/>
              <w:rPr>
                <w:rFonts w:ascii="Garamond" w:hAnsi="Garamond"/>
                <w:iCs/>
                <w:sz w:val="16"/>
                <w:szCs w:val="16"/>
                <w:lang w:val="sq-AL"/>
              </w:rPr>
            </w:pPr>
            <w:r w:rsidRPr="00482BC2">
              <w:rPr>
                <w:rFonts w:ascii="Garamond" w:hAnsi="Garamond"/>
                <w:iCs/>
                <w:sz w:val="16"/>
                <w:szCs w:val="16"/>
                <w:lang w:val="sq-AL"/>
              </w:rPr>
              <w:t>3,000</w:t>
            </w:r>
          </w:p>
        </w:tc>
        <w:tc>
          <w:tcPr>
            <w:tcW w:w="620" w:type="pct"/>
          </w:tcPr>
          <w:p w14:paraId="2AFE72A2" w14:textId="7D6197C7" w:rsidR="00BE26B8" w:rsidRPr="00482BC2" w:rsidRDefault="00BE26B8" w:rsidP="00066884">
            <w:pPr>
              <w:pStyle w:val="ECHRDecisionBody"/>
              <w:spacing w:line="276" w:lineRule="auto"/>
              <w:jc w:val="center"/>
              <w:rPr>
                <w:rFonts w:ascii="Garamond" w:hAnsi="Garamond"/>
                <w:iCs/>
                <w:sz w:val="16"/>
                <w:szCs w:val="16"/>
                <w:lang w:val="sq-AL"/>
              </w:rPr>
            </w:pPr>
            <w:r w:rsidRPr="00482BC2">
              <w:rPr>
                <w:rFonts w:ascii="Garamond" w:hAnsi="Garamond"/>
                <w:iCs/>
                <w:sz w:val="16"/>
                <w:szCs w:val="16"/>
                <w:lang w:val="sq-AL"/>
              </w:rPr>
              <w:t>3,</w:t>
            </w:r>
            <w:r w:rsidR="00395600" w:rsidRPr="00482BC2">
              <w:rPr>
                <w:rFonts w:ascii="Garamond" w:hAnsi="Garamond"/>
                <w:iCs/>
                <w:sz w:val="16"/>
                <w:szCs w:val="16"/>
                <w:lang w:val="sq-AL"/>
              </w:rPr>
              <w:t>3</w:t>
            </w:r>
            <w:r w:rsidRPr="00482BC2">
              <w:rPr>
                <w:rFonts w:ascii="Garamond" w:hAnsi="Garamond"/>
                <w:iCs/>
                <w:sz w:val="16"/>
                <w:szCs w:val="16"/>
                <w:lang w:val="sq-AL"/>
              </w:rPr>
              <w:t>00</w:t>
            </w:r>
          </w:p>
        </w:tc>
        <w:tc>
          <w:tcPr>
            <w:tcW w:w="897" w:type="pct"/>
          </w:tcPr>
          <w:p w14:paraId="79F73526" w14:textId="5AFA2E7D" w:rsidR="00BE26B8" w:rsidRPr="00482BC2" w:rsidRDefault="00BE26B8" w:rsidP="00066884">
            <w:pPr>
              <w:pStyle w:val="ECHRDecisionBody"/>
              <w:spacing w:line="276" w:lineRule="auto"/>
              <w:jc w:val="center"/>
              <w:rPr>
                <w:rFonts w:ascii="Garamond" w:hAnsi="Garamond"/>
                <w:iCs/>
                <w:sz w:val="16"/>
                <w:szCs w:val="16"/>
                <w:lang w:val="sq-AL"/>
              </w:rPr>
            </w:pPr>
            <w:r w:rsidRPr="00482BC2">
              <w:rPr>
                <w:rFonts w:ascii="Garamond" w:hAnsi="Garamond"/>
                <w:iCs/>
                <w:sz w:val="16"/>
                <w:szCs w:val="16"/>
                <w:lang w:val="sq-AL"/>
              </w:rPr>
              <w:t>1,500</w:t>
            </w:r>
          </w:p>
        </w:tc>
      </w:tr>
      <w:tr w:rsidR="00BE26B8" w:rsidRPr="00482BC2" w14:paraId="5BAA7F7E" w14:textId="1BBEFBDA" w:rsidTr="00A57F2F">
        <w:tc>
          <w:tcPr>
            <w:tcW w:w="411" w:type="pct"/>
          </w:tcPr>
          <w:p w14:paraId="70EC3D17" w14:textId="77777777" w:rsidR="00BE26B8" w:rsidRPr="00482BC2" w:rsidRDefault="00BE26B8" w:rsidP="00066884">
            <w:pPr>
              <w:pStyle w:val="ECHRDecisionBody"/>
              <w:spacing w:line="276" w:lineRule="auto"/>
              <w:jc w:val="center"/>
              <w:rPr>
                <w:rFonts w:ascii="Garamond" w:hAnsi="Garamond"/>
                <w:iCs/>
                <w:sz w:val="16"/>
                <w:szCs w:val="16"/>
                <w:lang w:val="sq-AL"/>
              </w:rPr>
            </w:pPr>
            <w:r w:rsidRPr="00482BC2">
              <w:rPr>
                <w:rFonts w:ascii="Garamond" w:hAnsi="Garamond"/>
                <w:iCs/>
                <w:sz w:val="16"/>
                <w:szCs w:val="16"/>
                <w:lang w:val="sq-AL"/>
              </w:rPr>
              <w:t>2</w:t>
            </w:r>
          </w:p>
        </w:tc>
        <w:tc>
          <w:tcPr>
            <w:tcW w:w="552" w:type="pct"/>
          </w:tcPr>
          <w:p w14:paraId="1EC21688" w14:textId="77777777" w:rsidR="00BE26B8" w:rsidRPr="00482BC2" w:rsidRDefault="00BE26B8" w:rsidP="00066884">
            <w:pPr>
              <w:pStyle w:val="ECHRDecisionBody"/>
              <w:spacing w:line="276" w:lineRule="auto"/>
              <w:jc w:val="center"/>
              <w:rPr>
                <w:rFonts w:ascii="Garamond" w:hAnsi="Garamond"/>
                <w:iCs/>
                <w:sz w:val="16"/>
                <w:szCs w:val="16"/>
                <w:lang w:val="sq-AL"/>
              </w:rPr>
            </w:pPr>
            <w:r w:rsidRPr="00482BC2">
              <w:rPr>
                <w:rFonts w:ascii="Garamond" w:hAnsi="Garamond"/>
                <w:iCs/>
                <w:sz w:val="16"/>
                <w:szCs w:val="16"/>
                <w:lang w:val="sq-AL"/>
              </w:rPr>
              <w:t>38996/20</w:t>
            </w:r>
          </w:p>
          <w:p w14:paraId="75F155AD" w14:textId="06BC621D" w:rsidR="00BE26B8" w:rsidRPr="00482BC2" w:rsidRDefault="00BE26B8" w:rsidP="00066884">
            <w:pPr>
              <w:pStyle w:val="ECHRDecisionBody"/>
              <w:spacing w:line="276" w:lineRule="auto"/>
              <w:jc w:val="center"/>
              <w:rPr>
                <w:rFonts w:ascii="Garamond" w:hAnsi="Garamond"/>
                <w:iCs/>
                <w:sz w:val="16"/>
                <w:szCs w:val="16"/>
                <w:lang w:val="sq-AL"/>
              </w:rPr>
            </w:pPr>
            <w:r w:rsidRPr="00482BC2">
              <w:rPr>
                <w:rFonts w:ascii="Garamond" w:hAnsi="Garamond"/>
                <w:iCs/>
                <w:sz w:val="16"/>
                <w:szCs w:val="16"/>
                <w:lang w:val="sq-AL"/>
              </w:rPr>
              <w:t>21</w:t>
            </w:r>
            <w:r w:rsidR="00294DE8">
              <w:rPr>
                <w:rFonts w:ascii="Garamond" w:hAnsi="Garamond"/>
                <w:iCs/>
                <w:sz w:val="16"/>
                <w:szCs w:val="16"/>
                <w:lang w:val="sq-AL"/>
              </w:rPr>
              <w:t>.</w:t>
            </w:r>
            <w:r w:rsidRPr="00482BC2">
              <w:rPr>
                <w:rFonts w:ascii="Garamond" w:hAnsi="Garamond"/>
                <w:iCs/>
                <w:sz w:val="16"/>
                <w:szCs w:val="16"/>
                <w:lang w:val="sq-AL"/>
              </w:rPr>
              <w:t>12</w:t>
            </w:r>
            <w:r w:rsidR="00294DE8">
              <w:rPr>
                <w:rFonts w:ascii="Garamond" w:hAnsi="Garamond"/>
                <w:iCs/>
                <w:sz w:val="16"/>
                <w:szCs w:val="16"/>
                <w:lang w:val="sq-AL"/>
              </w:rPr>
              <w:t>.</w:t>
            </w:r>
            <w:r w:rsidRPr="00482BC2">
              <w:rPr>
                <w:rFonts w:ascii="Garamond" w:hAnsi="Garamond"/>
                <w:iCs/>
                <w:sz w:val="16"/>
                <w:szCs w:val="16"/>
                <w:lang w:val="sq-AL"/>
              </w:rPr>
              <w:t>2019</w:t>
            </w:r>
          </w:p>
        </w:tc>
        <w:tc>
          <w:tcPr>
            <w:tcW w:w="657" w:type="pct"/>
            <w:vMerge/>
          </w:tcPr>
          <w:p w14:paraId="70727C55" w14:textId="6B86BF88" w:rsidR="00BE26B8" w:rsidRPr="00482BC2" w:rsidRDefault="00BE26B8" w:rsidP="00066884">
            <w:pPr>
              <w:pStyle w:val="ECHRDecisionBody"/>
              <w:spacing w:line="276" w:lineRule="auto"/>
              <w:jc w:val="center"/>
              <w:rPr>
                <w:rFonts w:ascii="Garamond" w:hAnsi="Garamond"/>
                <w:b/>
                <w:bCs/>
                <w:iCs/>
                <w:sz w:val="16"/>
                <w:szCs w:val="16"/>
                <w:lang w:val="sq-AL"/>
              </w:rPr>
            </w:pPr>
          </w:p>
        </w:tc>
        <w:tc>
          <w:tcPr>
            <w:tcW w:w="661" w:type="pct"/>
            <w:vMerge/>
          </w:tcPr>
          <w:p w14:paraId="1699B6F7" w14:textId="5BAA741D" w:rsidR="00BE26B8" w:rsidRPr="00482BC2" w:rsidRDefault="00BE26B8" w:rsidP="00066884">
            <w:pPr>
              <w:pStyle w:val="ECHRDecisionBody"/>
              <w:spacing w:line="276" w:lineRule="auto"/>
              <w:jc w:val="center"/>
              <w:rPr>
                <w:rFonts w:ascii="Garamond" w:hAnsi="Garamond"/>
                <w:iCs/>
                <w:sz w:val="16"/>
                <w:szCs w:val="16"/>
                <w:lang w:val="sq-AL"/>
              </w:rPr>
            </w:pPr>
          </w:p>
        </w:tc>
        <w:tc>
          <w:tcPr>
            <w:tcW w:w="623" w:type="pct"/>
          </w:tcPr>
          <w:p w14:paraId="63840B18" w14:textId="32D4F384" w:rsidR="00BE26B8" w:rsidRPr="00482BC2" w:rsidRDefault="00BE26B8" w:rsidP="00066884">
            <w:pPr>
              <w:pStyle w:val="ECHRDecisionBody"/>
              <w:spacing w:line="276" w:lineRule="auto"/>
              <w:jc w:val="center"/>
              <w:rPr>
                <w:rFonts w:ascii="Garamond" w:hAnsi="Garamond"/>
                <w:iCs/>
                <w:sz w:val="16"/>
                <w:szCs w:val="16"/>
                <w:lang w:val="sq-AL"/>
              </w:rPr>
            </w:pPr>
            <w:r w:rsidRPr="00482BC2">
              <w:rPr>
                <w:rFonts w:ascii="Garamond" w:hAnsi="Garamond"/>
                <w:iCs/>
                <w:sz w:val="16"/>
                <w:szCs w:val="16"/>
                <w:lang w:val="sq-AL"/>
              </w:rPr>
              <w:t>5,000-10,000</w:t>
            </w:r>
          </w:p>
        </w:tc>
        <w:tc>
          <w:tcPr>
            <w:tcW w:w="579" w:type="pct"/>
          </w:tcPr>
          <w:p w14:paraId="2C9DA708" w14:textId="0320F01D" w:rsidR="00BE26B8" w:rsidRPr="00482BC2" w:rsidRDefault="00BE26B8" w:rsidP="00066884">
            <w:pPr>
              <w:pStyle w:val="ECHRDecisionBody"/>
              <w:spacing w:line="276" w:lineRule="auto"/>
              <w:jc w:val="center"/>
              <w:rPr>
                <w:rFonts w:ascii="Garamond" w:hAnsi="Garamond"/>
                <w:iCs/>
                <w:sz w:val="16"/>
                <w:szCs w:val="16"/>
                <w:lang w:val="sq-AL"/>
              </w:rPr>
            </w:pPr>
            <w:r w:rsidRPr="00482BC2">
              <w:rPr>
                <w:rFonts w:ascii="Garamond" w:hAnsi="Garamond"/>
                <w:iCs/>
                <w:sz w:val="16"/>
                <w:szCs w:val="16"/>
                <w:lang w:val="sq-AL"/>
              </w:rPr>
              <w:t>3,000</w:t>
            </w:r>
          </w:p>
        </w:tc>
        <w:tc>
          <w:tcPr>
            <w:tcW w:w="620" w:type="pct"/>
          </w:tcPr>
          <w:p w14:paraId="23D13FEC" w14:textId="137C574B" w:rsidR="00BE26B8" w:rsidRPr="00482BC2" w:rsidRDefault="00BE26B8" w:rsidP="00066884">
            <w:pPr>
              <w:pStyle w:val="ECHRDecisionBody"/>
              <w:spacing w:line="276" w:lineRule="auto"/>
              <w:jc w:val="center"/>
              <w:rPr>
                <w:rFonts w:ascii="Garamond" w:hAnsi="Garamond"/>
                <w:iCs/>
                <w:sz w:val="16"/>
                <w:szCs w:val="16"/>
                <w:lang w:val="sq-AL"/>
              </w:rPr>
            </w:pPr>
            <w:r w:rsidRPr="00482BC2">
              <w:rPr>
                <w:rFonts w:ascii="Garamond" w:hAnsi="Garamond"/>
                <w:iCs/>
                <w:sz w:val="16"/>
                <w:szCs w:val="16"/>
                <w:lang w:val="sq-AL"/>
              </w:rPr>
              <w:t>2,400</w:t>
            </w:r>
          </w:p>
        </w:tc>
        <w:tc>
          <w:tcPr>
            <w:tcW w:w="897" w:type="pct"/>
          </w:tcPr>
          <w:p w14:paraId="08D09637" w14:textId="40CE4039" w:rsidR="00BE26B8" w:rsidRPr="00482BC2" w:rsidRDefault="00BE26B8" w:rsidP="00066884">
            <w:pPr>
              <w:pStyle w:val="ECHRDecisionBody"/>
              <w:spacing w:line="276" w:lineRule="auto"/>
              <w:jc w:val="center"/>
              <w:rPr>
                <w:rFonts w:ascii="Garamond" w:hAnsi="Garamond"/>
                <w:iCs/>
                <w:sz w:val="16"/>
                <w:szCs w:val="16"/>
                <w:lang w:val="sq-AL"/>
              </w:rPr>
            </w:pPr>
            <w:r w:rsidRPr="00482BC2">
              <w:rPr>
                <w:rFonts w:ascii="Garamond" w:hAnsi="Garamond"/>
                <w:iCs/>
                <w:sz w:val="16"/>
                <w:szCs w:val="16"/>
                <w:lang w:val="sq-AL"/>
              </w:rPr>
              <w:t>1,500</w:t>
            </w:r>
          </w:p>
        </w:tc>
      </w:tr>
      <w:tr w:rsidR="00BE26B8" w:rsidRPr="00482BC2" w14:paraId="4C5BC770" w14:textId="77777777" w:rsidTr="00A57F2F">
        <w:tc>
          <w:tcPr>
            <w:tcW w:w="411" w:type="pct"/>
          </w:tcPr>
          <w:p w14:paraId="3A375C08" w14:textId="6B4BF0C4" w:rsidR="00BE26B8" w:rsidRPr="00482BC2" w:rsidRDefault="00BE26B8" w:rsidP="00066884">
            <w:pPr>
              <w:pStyle w:val="ECHRDecisionBody"/>
              <w:spacing w:line="276" w:lineRule="auto"/>
              <w:jc w:val="center"/>
              <w:rPr>
                <w:rFonts w:ascii="Garamond" w:hAnsi="Garamond"/>
                <w:iCs/>
                <w:sz w:val="16"/>
                <w:szCs w:val="16"/>
                <w:lang w:val="sq-AL"/>
              </w:rPr>
            </w:pPr>
            <w:r w:rsidRPr="00482BC2">
              <w:rPr>
                <w:rFonts w:ascii="Garamond" w:hAnsi="Garamond"/>
                <w:iCs/>
                <w:sz w:val="16"/>
                <w:szCs w:val="16"/>
                <w:lang w:val="sq-AL"/>
              </w:rPr>
              <w:t>3</w:t>
            </w:r>
          </w:p>
        </w:tc>
        <w:tc>
          <w:tcPr>
            <w:tcW w:w="552" w:type="pct"/>
          </w:tcPr>
          <w:p w14:paraId="4BBD31D2" w14:textId="77777777" w:rsidR="00BE26B8" w:rsidRPr="00482BC2" w:rsidRDefault="00BE26B8" w:rsidP="00066884">
            <w:pPr>
              <w:pStyle w:val="ECHRDecisionBody"/>
              <w:spacing w:line="276" w:lineRule="auto"/>
              <w:jc w:val="center"/>
              <w:rPr>
                <w:rFonts w:ascii="Garamond" w:hAnsi="Garamond"/>
                <w:iCs/>
                <w:sz w:val="16"/>
                <w:szCs w:val="16"/>
                <w:lang w:val="sq-AL"/>
              </w:rPr>
            </w:pPr>
            <w:r w:rsidRPr="00482BC2">
              <w:rPr>
                <w:rFonts w:ascii="Garamond" w:hAnsi="Garamond"/>
                <w:iCs/>
                <w:sz w:val="16"/>
                <w:szCs w:val="16"/>
                <w:lang w:val="sq-AL"/>
              </w:rPr>
              <w:t>6142/22</w:t>
            </w:r>
          </w:p>
          <w:p w14:paraId="78D26A0E" w14:textId="0B460E8D" w:rsidR="00BE26B8" w:rsidRPr="00482BC2" w:rsidRDefault="00BE26B8" w:rsidP="00066884">
            <w:pPr>
              <w:pStyle w:val="ECHRDecisionBody"/>
              <w:spacing w:line="276" w:lineRule="auto"/>
              <w:jc w:val="center"/>
              <w:rPr>
                <w:rFonts w:ascii="Garamond" w:hAnsi="Garamond"/>
                <w:iCs/>
                <w:sz w:val="16"/>
                <w:szCs w:val="16"/>
                <w:lang w:val="sq-AL"/>
              </w:rPr>
            </w:pPr>
            <w:r w:rsidRPr="00482BC2">
              <w:rPr>
                <w:rFonts w:ascii="Garamond" w:hAnsi="Garamond"/>
                <w:iCs/>
                <w:sz w:val="16"/>
                <w:szCs w:val="16"/>
                <w:lang w:val="sq-AL"/>
              </w:rPr>
              <w:t>19</w:t>
            </w:r>
            <w:r w:rsidR="00294DE8">
              <w:rPr>
                <w:rFonts w:ascii="Garamond" w:hAnsi="Garamond"/>
                <w:iCs/>
                <w:sz w:val="16"/>
                <w:szCs w:val="16"/>
                <w:lang w:val="sq-AL"/>
              </w:rPr>
              <w:t>.</w:t>
            </w:r>
            <w:r w:rsidRPr="00482BC2">
              <w:rPr>
                <w:rFonts w:ascii="Garamond" w:hAnsi="Garamond"/>
                <w:iCs/>
                <w:sz w:val="16"/>
                <w:szCs w:val="16"/>
                <w:lang w:val="sq-AL"/>
              </w:rPr>
              <w:t>1</w:t>
            </w:r>
            <w:r w:rsidR="00294DE8">
              <w:rPr>
                <w:rFonts w:ascii="Garamond" w:hAnsi="Garamond"/>
                <w:iCs/>
                <w:sz w:val="16"/>
                <w:szCs w:val="16"/>
                <w:lang w:val="sq-AL"/>
              </w:rPr>
              <w:t>.</w:t>
            </w:r>
            <w:r w:rsidRPr="00482BC2">
              <w:rPr>
                <w:rFonts w:ascii="Garamond" w:hAnsi="Garamond"/>
                <w:iCs/>
                <w:sz w:val="16"/>
                <w:szCs w:val="16"/>
                <w:lang w:val="sq-AL"/>
              </w:rPr>
              <w:t>2022</w:t>
            </w:r>
          </w:p>
        </w:tc>
        <w:tc>
          <w:tcPr>
            <w:tcW w:w="657" w:type="pct"/>
          </w:tcPr>
          <w:p w14:paraId="012CD6FD" w14:textId="77777777" w:rsidR="00BE26B8" w:rsidRPr="00482BC2" w:rsidRDefault="00BE26B8" w:rsidP="00066884">
            <w:pPr>
              <w:pStyle w:val="ECHRDecisionBody"/>
              <w:spacing w:line="276" w:lineRule="auto"/>
              <w:jc w:val="center"/>
              <w:rPr>
                <w:rFonts w:ascii="Garamond" w:hAnsi="Garamond"/>
                <w:b/>
                <w:bCs/>
                <w:iCs/>
                <w:sz w:val="16"/>
                <w:szCs w:val="16"/>
                <w:lang w:val="sq-AL"/>
              </w:rPr>
            </w:pPr>
            <w:r w:rsidRPr="00482BC2">
              <w:rPr>
                <w:rFonts w:ascii="Garamond" w:hAnsi="Garamond"/>
                <w:b/>
                <w:bCs/>
                <w:iCs/>
                <w:sz w:val="16"/>
                <w:szCs w:val="16"/>
                <w:lang w:val="sq-AL"/>
              </w:rPr>
              <w:t>Kujtim Llagami</w:t>
            </w:r>
          </w:p>
          <w:p w14:paraId="7C196490" w14:textId="77777777" w:rsidR="00BE26B8" w:rsidRPr="00482BC2" w:rsidRDefault="00BE26B8" w:rsidP="00066884">
            <w:pPr>
              <w:pStyle w:val="ECHRDecisionBody"/>
              <w:spacing w:line="276" w:lineRule="auto"/>
              <w:jc w:val="center"/>
              <w:rPr>
                <w:rFonts w:ascii="Garamond" w:hAnsi="Garamond"/>
                <w:iCs/>
                <w:sz w:val="16"/>
                <w:szCs w:val="16"/>
                <w:lang w:val="sq-AL"/>
              </w:rPr>
            </w:pPr>
            <w:r w:rsidRPr="00482BC2">
              <w:rPr>
                <w:rFonts w:ascii="Garamond" w:hAnsi="Garamond"/>
                <w:iCs/>
                <w:sz w:val="16"/>
                <w:szCs w:val="16"/>
                <w:lang w:val="sq-AL"/>
              </w:rPr>
              <w:t>1962</w:t>
            </w:r>
          </w:p>
          <w:p w14:paraId="6E845E23" w14:textId="36050738" w:rsidR="00BE26B8" w:rsidRPr="00482BC2" w:rsidRDefault="00BE26B8" w:rsidP="00066884">
            <w:pPr>
              <w:pStyle w:val="ECHRDecisionBody"/>
              <w:spacing w:line="276" w:lineRule="auto"/>
              <w:jc w:val="center"/>
              <w:rPr>
                <w:rFonts w:ascii="Garamond" w:hAnsi="Garamond"/>
                <w:iCs/>
                <w:sz w:val="16"/>
                <w:szCs w:val="16"/>
                <w:lang w:val="sq-AL"/>
              </w:rPr>
            </w:pPr>
            <w:r w:rsidRPr="00482BC2">
              <w:rPr>
                <w:rFonts w:ascii="Garamond" w:hAnsi="Garamond"/>
                <w:iCs/>
                <w:sz w:val="16"/>
                <w:szCs w:val="16"/>
                <w:lang w:val="sq-AL"/>
              </w:rPr>
              <w:t xml:space="preserve">Tiranë </w:t>
            </w:r>
          </w:p>
          <w:p w14:paraId="3B3BA268" w14:textId="3121A653" w:rsidR="00BE26B8" w:rsidRPr="00482BC2" w:rsidRDefault="00BE26B8" w:rsidP="00066884">
            <w:pPr>
              <w:pStyle w:val="ECHRDecisionBody"/>
              <w:spacing w:line="276" w:lineRule="auto"/>
              <w:jc w:val="center"/>
              <w:rPr>
                <w:rFonts w:ascii="Garamond" w:hAnsi="Garamond"/>
                <w:iCs/>
                <w:sz w:val="16"/>
                <w:szCs w:val="16"/>
                <w:lang w:val="sq-AL"/>
              </w:rPr>
            </w:pPr>
            <w:r w:rsidRPr="00482BC2">
              <w:rPr>
                <w:rFonts w:ascii="Garamond" w:hAnsi="Garamond"/>
                <w:iCs/>
                <w:sz w:val="16"/>
                <w:szCs w:val="16"/>
                <w:lang w:val="sq-AL"/>
              </w:rPr>
              <w:t xml:space="preserve">Shqiptar </w:t>
            </w:r>
          </w:p>
        </w:tc>
        <w:tc>
          <w:tcPr>
            <w:tcW w:w="661" w:type="pct"/>
          </w:tcPr>
          <w:p w14:paraId="1E5234AB" w14:textId="77777777" w:rsidR="00BE26B8" w:rsidRPr="00482BC2" w:rsidRDefault="00BE26B8" w:rsidP="00066884">
            <w:pPr>
              <w:pStyle w:val="ECHRDecisionBody"/>
              <w:spacing w:line="276" w:lineRule="auto"/>
              <w:jc w:val="center"/>
              <w:rPr>
                <w:rFonts w:ascii="Garamond" w:hAnsi="Garamond"/>
                <w:iCs/>
                <w:sz w:val="16"/>
                <w:szCs w:val="16"/>
                <w:lang w:val="sq-AL"/>
              </w:rPr>
            </w:pPr>
            <w:r w:rsidRPr="00482BC2">
              <w:rPr>
                <w:rFonts w:ascii="Garamond" w:hAnsi="Garamond"/>
                <w:iCs/>
                <w:sz w:val="16"/>
                <w:szCs w:val="16"/>
                <w:lang w:val="sq-AL"/>
              </w:rPr>
              <w:t>Elis Bilali</w:t>
            </w:r>
          </w:p>
          <w:p w14:paraId="79D24B6A" w14:textId="396161E9" w:rsidR="00BE26B8" w:rsidRPr="00482BC2" w:rsidRDefault="00BE26B8" w:rsidP="00066884">
            <w:pPr>
              <w:pStyle w:val="ECHRDecisionBody"/>
              <w:spacing w:line="276" w:lineRule="auto"/>
              <w:jc w:val="center"/>
              <w:rPr>
                <w:rFonts w:ascii="Garamond" w:hAnsi="Garamond"/>
                <w:iCs/>
                <w:sz w:val="16"/>
                <w:szCs w:val="16"/>
                <w:lang w:val="sq-AL"/>
              </w:rPr>
            </w:pPr>
            <w:r w:rsidRPr="00482BC2">
              <w:rPr>
                <w:rFonts w:ascii="Garamond" w:hAnsi="Garamond"/>
                <w:iCs/>
                <w:sz w:val="16"/>
                <w:szCs w:val="16"/>
                <w:lang w:val="sq-AL"/>
              </w:rPr>
              <w:t xml:space="preserve">Tiranë </w:t>
            </w:r>
          </w:p>
        </w:tc>
        <w:tc>
          <w:tcPr>
            <w:tcW w:w="2720" w:type="pct"/>
            <w:gridSpan w:val="4"/>
          </w:tcPr>
          <w:p w14:paraId="17A26725" w14:textId="78BFB8FA" w:rsidR="00BE26B8" w:rsidRPr="00482BC2" w:rsidRDefault="00BE26B8" w:rsidP="00066884">
            <w:pPr>
              <w:pStyle w:val="ECHRDecisionBody"/>
              <w:spacing w:line="276" w:lineRule="auto"/>
              <w:jc w:val="center"/>
              <w:rPr>
                <w:rFonts w:ascii="Garamond" w:hAnsi="Garamond"/>
                <w:iCs/>
                <w:sz w:val="16"/>
                <w:szCs w:val="16"/>
                <w:lang w:val="sq-AL"/>
              </w:rPr>
            </w:pPr>
            <w:r w:rsidRPr="00482BC2">
              <w:rPr>
                <w:rFonts w:ascii="Garamond" w:hAnsi="Garamond"/>
                <w:iCs/>
                <w:sz w:val="16"/>
                <w:szCs w:val="16"/>
                <w:lang w:val="sq-AL"/>
              </w:rPr>
              <w:t xml:space="preserve">Nuk ka zbatim </w:t>
            </w:r>
          </w:p>
        </w:tc>
      </w:tr>
      <w:tr w:rsidR="00BE26B8" w:rsidRPr="00482BC2" w14:paraId="3D07B232" w14:textId="77777777" w:rsidTr="00A57F2F">
        <w:tc>
          <w:tcPr>
            <w:tcW w:w="411" w:type="pct"/>
          </w:tcPr>
          <w:p w14:paraId="1F7A47E4" w14:textId="50E2A627" w:rsidR="00BE26B8" w:rsidRPr="00482BC2" w:rsidRDefault="00BE26B8" w:rsidP="00066884">
            <w:pPr>
              <w:pStyle w:val="ECHRDecisionBody"/>
              <w:spacing w:line="276" w:lineRule="auto"/>
              <w:jc w:val="center"/>
              <w:rPr>
                <w:rFonts w:ascii="Garamond" w:hAnsi="Garamond"/>
                <w:iCs/>
                <w:sz w:val="16"/>
                <w:szCs w:val="16"/>
                <w:lang w:val="sq-AL"/>
              </w:rPr>
            </w:pPr>
            <w:r w:rsidRPr="00482BC2">
              <w:rPr>
                <w:rFonts w:ascii="Garamond" w:hAnsi="Garamond"/>
                <w:iCs/>
                <w:sz w:val="16"/>
                <w:szCs w:val="16"/>
                <w:lang w:val="sq-AL"/>
              </w:rPr>
              <w:t>4</w:t>
            </w:r>
          </w:p>
        </w:tc>
        <w:tc>
          <w:tcPr>
            <w:tcW w:w="552" w:type="pct"/>
          </w:tcPr>
          <w:p w14:paraId="4954E5BE" w14:textId="77777777" w:rsidR="00BE26B8" w:rsidRPr="00482BC2" w:rsidRDefault="00BE26B8" w:rsidP="00066884">
            <w:pPr>
              <w:pStyle w:val="ECHRDecisionBody"/>
              <w:spacing w:line="276" w:lineRule="auto"/>
              <w:jc w:val="center"/>
              <w:rPr>
                <w:rFonts w:ascii="Garamond" w:hAnsi="Garamond"/>
                <w:iCs/>
                <w:sz w:val="16"/>
                <w:szCs w:val="16"/>
                <w:lang w:val="sq-AL"/>
              </w:rPr>
            </w:pPr>
            <w:r w:rsidRPr="00482BC2">
              <w:rPr>
                <w:rFonts w:ascii="Garamond" w:hAnsi="Garamond"/>
                <w:iCs/>
                <w:sz w:val="16"/>
                <w:szCs w:val="16"/>
                <w:lang w:val="sq-AL"/>
              </w:rPr>
              <w:t>27370/22</w:t>
            </w:r>
          </w:p>
          <w:p w14:paraId="3124B691" w14:textId="45253BB2" w:rsidR="00BE26B8" w:rsidRPr="00482BC2" w:rsidRDefault="00BE26B8" w:rsidP="00066884">
            <w:pPr>
              <w:pStyle w:val="ECHRDecisionBody"/>
              <w:spacing w:line="276" w:lineRule="auto"/>
              <w:jc w:val="center"/>
              <w:rPr>
                <w:rFonts w:ascii="Garamond" w:hAnsi="Garamond"/>
                <w:iCs/>
                <w:sz w:val="16"/>
                <w:szCs w:val="16"/>
                <w:lang w:val="sq-AL"/>
              </w:rPr>
            </w:pPr>
            <w:r w:rsidRPr="00482BC2">
              <w:rPr>
                <w:rFonts w:ascii="Garamond" w:hAnsi="Garamond"/>
                <w:iCs/>
                <w:sz w:val="16"/>
                <w:szCs w:val="16"/>
                <w:lang w:val="sq-AL"/>
              </w:rPr>
              <w:t>26</w:t>
            </w:r>
            <w:r w:rsidR="00294DE8">
              <w:rPr>
                <w:rFonts w:ascii="Garamond" w:hAnsi="Garamond"/>
                <w:iCs/>
                <w:sz w:val="16"/>
                <w:szCs w:val="16"/>
                <w:lang w:val="sq-AL"/>
              </w:rPr>
              <w:t>.</w:t>
            </w:r>
            <w:r w:rsidRPr="00482BC2">
              <w:rPr>
                <w:rFonts w:ascii="Garamond" w:hAnsi="Garamond"/>
                <w:iCs/>
                <w:sz w:val="16"/>
                <w:szCs w:val="16"/>
                <w:lang w:val="sq-AL"/>
              </w:rPr>
              <w:t>5</w:t>
            </w:r>
            <w:r w:rsidR="00294DE8">
              <w:rPr>
                <w:rFonts w:ascii="Garamond" w:hAnsi="Garamond"/>
                <w:iCs/>
                <w:sz w:val="16"/>
                <w:szCs w:val="16"/>
                <w:lang w:val="sq-AL"/>
              </w:rPr>
              <w:t>.</w:t>
            </w:r>
            <w:r w:rsidRPr="00482BC2">
              <w:rPr>
                <w:rFonts w:ascii="Garamond" w:hAnsi="Garamond"/>
                <w:iCs/>
                <w:sz w:val="16"/>
                <w:szCs w:val="16"/>
                <w:lang w:val="sq-AL"/>
              </w:rPr>
              <w:t>2022</w:t>
            </w:r>
          </w:p>
        </w:tc>
        <w:tc>
          <w:tcPr>
            <w:tcW w:w="657" w:type="pct"/>
          </w:tcPr>
          <w:p w14:paraId="46932D21" w14:textId="77777777" w:rsidR="00BE26B8" w:rsidRPr="00482BC2" w:rsidRDefault="00BE26B8" w:rsidP="00066884">
            <w:pPr>
              <w:pStyle w:val="ECHRDecisionBody"/>
              <w:spacing w:line="276" w:lineRule="auto"/>
              <w:jc w:val="center"/>
              <w:rPr>
                <w:rFonts w:ascii="Garamond" w:hAnsi="Garamond"/>
                <w:b/>
                <w:bCs/>
                <w:iCs/>
                <w:sz w:val="16"/>
                <w:szCs w:val="16"/>
                <w:lang w:val="sq-AL"/>
              </w:rPr>
            </w:pPr>
            <w:r w:rsidRPr="00482BC2">
              <w:rPr>
                <w:rFonts w:ascii="Garamond" w:hAnsi="Garamond"/>
                <w:b/>
                <w:bCs/>
                <w:iCs/>
                <w:sz w:val="16"/>
                <w:szCs w:val="16"/>
                <w:lang w:val="sq-AL"/>
              </w:rPr>
              <w:t>Selman Gazidedja</w:t>
            </w:r>
          </w:p>
          <w:p w14:paraId="3A96A5D2" w14:textId="77777777" w:rsidR="00BE26B8" w:rsidRPr="00482BC2" w:rsidRDefault="00BE26B8" w:rsidP="00066884">
            <w:pPr>
              <w:pStyle w:val="ECHRDecisionBody"/>
              <w:spacing w:line="276" w:lineRule="auto"/>
              <w:jc w:val="center"/>
              <w:rPr>
                <w:rFonts w:ascii="Garamond" w:hAnsi="Garamond"/>
                <w:iCs/>
                <w:sz w:val="16"/>
                <w:szCs w:val="16"/>
                <w:lang w:val="sq-AL"/>
              </w:rPr>
            </w:pPr>
            <w:r w:rsidRPr="00482BC2">
              <w:rPr>
                <w:rFonts w:ascii="Garamond" w:hAnsi="Garamond"/>
                <w:iCs/>
                <w:sz w:val="16"/>
                <w:szCs w:val="16"/>
                <w:lang w:val="sq-AL"/>
              </w:rPr>
              <w:t>1954</w:t>
            </w:r>
          </w:p>
          <w:p w14:paraId="61EE4ED2" w14:textId="650B138D" w:rsidR="00BE26B8" w:rsidRPr="00482BC2" w:rsidRDefault="00BE26B8" w:rsidP="00066884">
            <w:pPr>
              <w:pStyle w:val="ECHRDecisionBody"/>
              <w:spacing w:line="276" w:lineRule="auto"/>
              <w:jc w:val="center"/>
              <w:rPr>
                <w:rFonts w:ascii="Garamond" w:hAnsi="Garamond"/>
                <w:iCs/>
                <w:sz w:val="16"/>
                <w:szCs w:val="16"/>
                <w:lang w:val="sq-AL"/>
              </w:rPr>
            </w:pPr>
            <w:r w:rsidRPr="00482BC2">
              <w:rPr>
                <w:rFonts w:ascii="Garamond" w:hAnsi="Garamond"/>
                <w:iCs/>
                <w:sz w:val="16"/>
                <w:szCs w:val="16"/>
                <w:lang w:val="sq-AL"/>
              </w:rPr>
              <w:t xml:space="preserve">Tiranë </w:t>
            </w:r>
          </w:p>
          <w:p w14:paraId="687CB01D" w14:textId="09AD5CFF" w:rsidR="00BE26B8" w:rsidRPr="00482BC2" w:rsidRDefault="00BE26B8" w:rsidP="00066884">
            <w:pPr>
              <w:pStyle w:val="ECHRDecisionBody"/>
              <w:spacing w:line="276" w:lineRule="auto"/>
              <w:jc w:val="center"/>
              <w:rPr>
                <w:rFonts w:ascii="Garamond" w:hAnsi="Garamond"/>
                <w:iCs/>
                <w:sz w:val="16"/>
                <w:szCs w:val="16"/>
                <w:lang w:val="sq-AL"/>
              </w:rPr>
            </w:pPr>
            <w:r w:rsidRPr="00482BC2">
              <w:rPr>
                <w:rFonts w:ascii="Garamond" w:hAnsi="Garamond"/>
                <w:iCs/>
                <w:sz w:val="16"/>
                <w:szCs w:val="16"/>
                <w:lang w:val="sq-AL"/>
              </w:rPr>
              <w:t xml:space="preserve">Shqiptar </w:t>
            </w:r>
          </w:p>
        </w:tc>
        <w:tc>
          <w:tcPr>
            <w:tcW w:w="661" w:type="pct"/>
          </w:tcPr>
          <w:p w14:paraId="48D3E30F" w14:textId="77777777" w:rsidR="00BE26B8" w:rsidRPr="00482BC2" w:rsidRDefault="00BE26B8" w:rsidP="00066884">
            <w:pPr>
              <w:pStyle w:val="ECHRDecisionBody"/>
              <w:spacing w:line="276" w:lineRule="auto"/>
              <w:jc w:val="center"/>
              <w:rPr>
                <w:rFonts w:ascii="Garamond" w:hAnsi="Garamond"/>
                <w:iCs/>
                <w:sz w:val="16"/>
                <w:szCs w:val="16"/>
                <w:lang w:val="sq-AL"/>
              </w:rPr>
            </w:pPr>
            <w:r w:rsidRPr="00482BC2">
              <w:rPr>
                <w:rFonts w:ascii="Garamond" w:hAnsi="Garamond"/>
                <w:iCs/>
                <w:sz w:val="16"/>
                <w:szCs w:val="16"/>
                <w:lang w:val="sq-AL"/>
              </w:rPr>
              <w:t xml:space="preserve">Kadri Skerja </w:t>
            </w:r>
          </w:p>
          <w:p w14:paraId="127D47C4" w14:textId="349B4C5E" w:rsidR="00BE26B8" w:rsidRPr="00482BC2" w:rsidRDefault="00BE26B8" w:rsidP="00066884">
            <w:pPr>
              <w:pStyle w:val="ECHRDecisionBody"/>
              <w:spacing w:line="276" w:lineRule="auto"/>
              <w:jc w:val="center"/>
              <w:rPr>
                <w:rFonts w:ascii="Garamond" w:hAnsi="Garamond"/>
                <w:iCs/>
                <w:sz w:val="16"/>
                <w:szCs w:val="16"/>
                <w:lang w:val="sq-AL"/>
              </w:rPr>
            </w:pPr>
            <w:r w:rsidRPr="00482BC2">
              <w:rPr>
                <w:rFonts w:ascii="Garamond" w:hAnsi="Garamond"/>
                <w:iCs/>
                <w:sz w:val="16"/>
                <w:szCs w:val="16"/>
                <w:lang w:val="sq-AL"/>
              </w:rPr>
              <w:t xml:space="preserve">Tiranë </w:t>
            </w:r>
          </w:p>
        </w:tc>
        <w:tc>
          <w:tcPr>
            <w:tcW w:w="623" w:type="pct"/>
          </w:tcPr>
          <w:p w14:paraId="03756259" w14:textId="77777777" w:rsidR="00BE26B8" w:rsidRPr="00482BC2" w:rsidRDefault="00BE26B8" w:rsidP="00066884">
            <w:pPr>
              <w:pStyle w:val="ECHRDecisionBody"/>
              <w:spacing w:line="276" w:lineRule="auto"/>
              <w:jc w:val="center"/>
              <w:rPr>
                <w:rFonts w:ascii="Garamond" w:hAnsi="Garamond"/>
                <w:iCs/>
                <w:sz w:val="16"/>
                <w:szCs w:val="16"/>
                <w:lang w:val="sq-AL"/>
              </w:rPr>
            </w:pPr>
            <w:r w:rsidRPr="00482BC2">
              <w:rPr>
                <w:rFonts w:ascii="Garamond" w:hAnsi="Garamond"/>
                <w:iCs/>
                <w:sz w:val="16"/>
                <w:szCs w:val="16"/>
                <w:lang w:val="sq-AL"/>
              </w:rPr>
              <w:t>29,957</w:t>
            </w:r>
          </w:p>
          <w:p w14:paraId="275F7E8A" w14:textId="77777777" w:rsidR="00BE26B8" w:rsidRPr="00482BC2" w:rsidRDefault="00BE26B8" w:rsidP="00066884">
            <w:pPr>
              <w:pStyle w:val="ECHRDecisionBody"/>
              <w:spacing w:line="276" w:lineRule="auto"/>
              <w:jc w:val="center"/>
              <w:rPr>
                <w:rFonts w:ascii="Garamond" w:hAnsi="Garamond"/>
                <w:iCs/>
                <w:sz w:val="16"/>
                <w:szCs w:val="16"/>
                <w:lang w:val="sq-AL"/>
              </w:rPr>
            </w:pPr>
          </w:p>
          <w:p w14:paraId="6B36EE03" w14:textId="69F243EB" w:rsidR="00BE26B8" w:rsidRPr="00482BC2" w:rsidRDefault="00BE26B8" w:rsidP="00066884">
            <w:pPr>
              <w:pStyle w:val="ECHRDecisionBody"/>
              <w:spacing w:line="276" w:lineRule="auto"/>
              <w:jc w:val="center"/>
              <w:rPr>
                <w:rFonts w:ascii="Garamond" w:hAnsi="Garamond"/>
                <w:iCs/>
                <w:sz w:val="16"/>
                <w:szCs w:val="16"/>
                <w:lang w:val="sq-AL"/>
              </w:rPr>
            </w:pPr>
            <w:r w:rsidRPr="00482BC2">
              <w:rPr>
                <w:rFonts w:ascii="Garamond" w:hAnsi="Garamond"/>
                <w:iCs/>
                <w:sz w:val="16"/>
                <w:szCs w:val="16"/>
                <w:lang w:val="sq-AL"/>
              </w:rPr>
              <w:t>13,470</w:t>
            </w:r>
          </w:p>
        </w:tc>
        <w:tc>
          <w:tcPr>
            <w:tcW w:w="579" w:type="pct"/>
          </w:tcPr>
          <w:p w14:paraId="3555D1B1" w14:textId="6B660138" w:rsidR="00BE26B8" w:rsidRPr="00482BC2" w:rsidRDefault="00BE26B8" w:rsidP="00066884">
            <w:pPr>
              <w:pStyle w:val="ECHRDecisionBody"/>
              <w:spacing w:line="276" w:lineRule="auto"/>
              <w:jc w:val="center"/>
              <w:rPr>
                <w:rFonts w:ascii="Garamond" w:hAnsi="Garamond"/>
                <w:iCs/>
                <w:sz w:val="16"/>
                <w:szCs w:val="16"/>
                <w:lang w:val="sq-AL"/>
              </w:rPr>
            </w:pPr>
            <w:r w:rsidRPr="00482BC2">
              <w:rPr>
                <w:rFonts w:ascii="Garamond" w:hAnsi="Garamond"/>
                <w:iCs/>
                <w:sz w:val="16"/>
                <w:szCs w:val="16"/>
                <w:lang w:val="sq-AL"/>
              </w:rPr>
              <w:t>2,736</w:t>
            </w:r>
          </w:p>
        </w:tc>
        <w:tc>
          <w:tcPr>
            <w:tcW w:w="620" w:type="pct"/>
          </w:tcPr>
          <w:p w14:paraId="385A3CA8" w14:textId="6168D4DD" w:rsidR="00BE26B8" w:rsidRPr="00482BC2" w:rsidRDefault="00BE26B8" w:rsidP="00066884">
            <w:pPr>
              <w:pStyle w:val="ECHRDecisionBody"/>
              <w:spacing w:line="276" w:lineRule="auto"/>
              <w:jc w:val="center"/>
              <w:rPr>
                <w:rFonts w:ascii="Garamond" w:hAnsi="Garamond"/>
                <w:iCs/>
                <w:sz w:val="16"/>
                <w:szCs w:val="16"/>
                <w:lang w:val="sq-AL"/>
              </w:rPr>
            </w:pPr>
            <w:r w:rsidRPr="00482BC2">
              <w:rPr>
                <w:rFonts w:ascii="Garamond" w:hAnsi="Garamond"/>
                <w:iCs/>
                <w:sz w:val="16"/>
                <w:szCs w:val="16"/>
                <w:lang w:val="sq-AL"/>
              </w:rPr>
              <w:t>1,800</w:t>
            </w:r>
          </w:p>
        </w:tc>
        <w:tc>
          <w:tcPr>
            <w:tcW w:w="897" w:type="pct"/>
          </w:tcPr>
          <w:p w14:paraId="78D5CC33" w14:textId="3C044103" w:rsidR="00BE26B8" w:rsidRPr="00482BC2" w:rsidRDefault="00BE26B8" w:rsidP="00066884">
            <w:pPr>
              <w:pStyle w:val="ECHRDecisionBody"/>
              <w:spacing w:line="276" w:lineRule="auto"/>
              <w:jc w:val="center"/>
              <w:rPr>
                <w:rFonts w:ascii="Garamond" w:hAnsi="Garamond"/>
                <w:iCs/>
                <w:sz w:val="16"/>
                <w:szCs w:val="16"/>
                <w:lang w:val="sq-AL"/>
              </w:rPr>
            </w:pPr>
            <w:r w:rsidRPr="00482BC2">
              <w:rPr>
                <w:rFonts w:ascii="Garamond" w:hAnsi="Garamond"/>
                <w:iCs/>
                <w:sz w:val="16"/>
                <w:szCs w:val="16"/>
                <w:lang w:val="sq-AL"/>
              </w:rPr>
              <w:t>2,000</w:t>
            </w:r>
          </w:p>
        </w:tc>
      </w:tr>
    </w:tbl>
    <w:p w14:paraId="36E9F491" w14:textId="77777777" w:rsidR="003161DB" w:rsidRPr="0069730D" w:rsidRDefault="003161DB" w:rsidP="003161DB">
      <w:pPr>
        <w:pStyle w:val="ECHRDecisionBody"/>
        <w:spacing w:line="276" w:lineRule="auto"/>
        <w:jc w:val="center"/>
        <w:rPr>
          <w:iCs/>
          <w:szCs w:val="24"/>
          <w:lang w:val="sq-AL"/>
        </w:rPr>
      </w:pPr>
    </w:p>
    <w:p w14:paraId="7D132E47" w14:textId="77777777" w:rsidR="003161DB" w:rsidRPr="00E84A55" w:rsidRDefault="003161DB" w:rsidP="00782762">
      <w:pPr>
        <w:pStyle w:val="ECHRDecisionBody"/>
        <w:spacing w:line="276" w:lineRule="auto"/>
        <w:rPr>
          <w:szCs w:val="24"/>
          <w:lang w:val="sq-AL"/>
        </w:rPr>
      </w:pPr>
    </w:p>
    <w:p w14:paraId="5AF06F0D" w14:textId="77777777" w:rsidR="00255497" w:rsidRPr="00E84A55" w:rsidRDefault="00255497" w:rsidP="00782762">
      <w:pPr>
        <w:pStyle w:val="ECHRDecisionBody"/>
        <w:spacing w:line="276" w:lineRule="auto"/>
        <w:rPr>
          <w:szCs w:val="24"/>
          <w:lang w:val="sq-AL"/>
        </w:rPr>
      </w:pPr>
    </w:p>
    <w:sectPr w:rsidR="00255497" w:rsidRPr="00E84A55" w:rsidSect="00856D4C">
      <w:headerReference w:type="default" r:id="rId13"/>
      <w:footerReference w:type="default" r:id="rId14"/>
      <w:pgSz w:w="11907" w:h="16840" w:code="9"/>
      <w:pgMar w:top="574"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40D963" w14:textId="77777777" w:rsidR="006F29A7" w:rsidRDefault="006F29A7">
      <w:pPr>
        <w:spacing w:after="0" w:line="240" w:lineRule="auto"/>
      </w:pPr>
      <w:r>
        <w:separator/>
      </w:r>
    </w:p>
  </w:endnote>
  <w:endnote w:type="continuationSeparator" w:id="0">
    <w:p w14:paraId="5FD83594" w14:textId="77777777" w:rsidR="006F29A7" w:rsidRDefault="006F29A7">
      <w:pPr>
        <w:spacing w:after="0" w:line="240" w:lineRule="auto"/>
      </w:pPr>
      <w:r>
        <w:continuationSeparator/>
      </w:r>
    </w:p>
  </w:endnote>
  <w:endnote w:type="continuationNotice" w:id="1">
    <w:p w14:paraId="15C168DC" w14:textId="77777777" w:rsidR="006F29A7" w:rsidRDefault="006F29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9C9323" w14:textId="77777777" w:rsidR="006F29A7" w:rsidRDefault="006F29A7" w:rsidP="00EA07AA">
    <w:pPr>
      <w:pStyle w:val="Footer"/>
    </w:pPr>
  </w:p>
  <w:p w14:paraId="3AC58A32" w14:textId="77777777" w:rsidR="006F29A7" w:rsidRPr="00CC26CB" w:rsidRDefault="006F29A7" w:rsidP="00EA07A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7BD11F" w14:textId="77777777" w:rsidR="006F29A7" w:rsidRDefault="006F29A7">
      <w:pPr>
        <w:spacing w:after="0" w:line="240" w:lineRule="auto"/>
      </w:pPr>
      <w:r>
        <w:separator/>
      </w:r>
    </w:p>
  </w:footnote>
  <w:footnote w:type="continuationSeparator" w:id="0">
    <w:p w14:paraId="10D21047" w14:textId="77777777" w:rsidR="006F29A7" w:rsidRDefault="006F29A7">
      <w:pPr>
        <w:spacing w:after="0" w:line="240" w:lineRule="auto"/>
      </w:pPr>
      <w:r>
        <w:continuationSeparator/>
      </w:r>
    </w:p>
  </w:footnote>
  <w:footnote w:type="continuationNotice" w:id="1">
    <w:p w14:paraId="2531889E" w14:textId="77777777" w:rsidR="006F29A7" w:rsidRDefault="006F29A7">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CB908D" w14:textId="77777777" w:rsidR="006F29A7" w:rsidRDefault="006F29A7">
    <w:pPr>
      <w:pStyle w:val="Header"/>
    </w:pPr>
  </w:p>
  <w:p w14:paraId="447541FF" w14:textId="77777777" w:rsidR="006F29A7" w:rsidRDefault="006F29A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641157"/>
    <w:multiLevelType w:val="multilevel"/>
    <w:tmpl w:val="9B34AC6C"/>
    <w:lvl w:ilvl="0">
      <w:start w:val="1"/>
      <w:numFmt w:val="decimal"/>
      <w:pStyle w:val="Heading1"/>
      <w:lvlText w:val="%1."/>
      <w:lvlJc w:val="left"/>
      <w:pPr>
        <w:tabs>
          <w:tab w:val="num" w:pos="964"/>
        </w:tabs>
        <w:ind w:left="964" w:hanging="397"/>
      </w:pPr>
      <w:rPr>
        <w:rFonts w:hint="default"/>
      </w:rPr>
    </w:lvl>
    <w:lvl w:ilvl="1">
      <w:start w:val="1"/>
      <w:numFmt w:val="lowerLetter"/>
      <w:pStyle w:val="Heading2"/>
      <w:lvlText w:val="%2."/>
      <w:lvlJc w:val="left"/>
      <w:pPr>
        <w:tabs>
          <w:tab w:val="num" w:pos="1361"/>
        </w:tabs>
        <w:ind w:left="1361" w:hanging="397"/>
      </w:pPr>
      <w:rPr>
        <w:rFonts w:hint="default"/>
      </w:rPr>
    </w:lvl>
    <w:lvl w:ilvl="2">
      <w:start w:val="1"/>
      <w:numFmt w:val="lowerRoman"/>
      <w:pStyle w:val="Heading3"/>
      <w:lvlText w:val="%3."/>
      <w:lvlJc w:val="left"/>
      <w:pPr>
        <w:tabs>
          <w:tab w:val="num" w:pos="1758"/>
        </w:tabs>
        <w:ind w:left="1758" w:hanging="397"/>
      </w:pPr>
      <w:rPr>
        <w:rFonts w:hint="default"/>
      </w:rPr>
    </w:lvl>
    <w:lvl w:ilvl="3">
      <w:start w:val="1"/>
      <w:numFmt w:val="decimal"/>
      <w:pStyle w:val="Heading4"/>
      <w:lvlText w:val="(%4)"/>
      <w:lvlJc w:val="left"/>
      <w:pPr>
        <w:tabs>
          <w:tab w:val="num" w:pos="1703"/>
        </w:tabs>
        <w:ind w:left="1703" w:hanging="284"/>
      </w:pPr>
      <w:rPr>
        <w:rFonts w:hint="default"/>
      </w:rPr>
    </w:lvl>
    <w:lvl w:ilvl="4">
      <w:start w:val="1"/>
      <w:numFmt w:val="lowerLetter"/>
      <w:pStyle w:val="Heading5"/>
      <w:lvlText w:val="(%5)"/>
      <w:lvlJc w:val="left"/>
      <w:pPr>
        <w:tabs>
          <w:tab w:val="num" w:pos="1987"/>
        </w:tabs>
        <w:ind w:left="1987" w:hanging="284"/>
      </w:pPr>
      <w:rPr>
        <w:rFonts w:hint="default"/>
      </w:rPr>
    </w:lvl>
    <w:lvl w:ilvl="5">
      <w:start w:val="1"/>
      <w:numFmt w:val="lowerRoman"/>
      <w:pStyle w:val="Heading6"/>
      <w:lvlText w:val="(%6)"/>
      <w:lvlJc w:val="left"/>
      <w:pPr>
        <w:tabs>
          <w:tab w:val="num" w:pos="2271"/>
        </w:tabs>
        <w:ind w:left="2271" w:hanging="284"/>
      </w:pPr>
      <w:rPr>
        <w:rFonts w:hint="default"/>
      </w:rPr>
    </w:lvl>
    <w:lvl w:ilvl="6">
      <w:start w:val="1"/>
      <w:numFmt w:val="decimal"/>
      <w:pStyle w:val="Heading7"/>
      <w:lvlText w:val="%7."/>
      <w:lvlJc w:val="left"/>
      <w:pPr>
        <w:tabs>
          <w:tab w:val="num" w:pos="2555"/>
        </w:tabs>
        <w:ind w:left="2555" w:hanging="284"/>
      </w:pPr>
      <w:rPr>
        <w:rFonts w:hint="default"/>
      </w:rPr>
    </w:lvl>
    <w:lvl w:ilvl="7">
      <w:start w:val="1"/>
      <w:numFmt w:val="lowerLetter"/>
      <w:pStyle w:val="Heading8"/>
      <w:lvlText w:val="%8."/>
      <w:lvlJc w:val="left"/>
      <w:pPr>
        <w:tabs>
          <w:tab w:val="num" w:pos="2839"/>
        </w:tabs>
        <w:ind w:left="2839" w:hanging="284"/>
      </w:pPr>
      <w:rPr>
        <w:rFonts w:hint="default"/>
      </w:rPr>
    </w:lvl>
    <w:lvl w:ilvl="8">
      <w:start w:val="1"/>
      <w:numFmt w:val="lowerRoman"/>
      <w:pStyle w:val="Heading9"/>
      <w:lvlText w:val="%9."/>
      <w:lvlJc w:val="left"/>
      <w:pPr>
        <w:tabs>
          <w:tab w:val="num" w:pos="3123"/>
        </w:tabs>
        <w:ind w:left="3123" w:hanging="284"/>
      </w:pPr>
      <w:rPr>
        <w:rFonts w:hint="default"/>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4"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3"/>
  </w:num>
  <w:num w:numId="4">
    <w:abstractNumId w:val="12"/>
  </w:num>
  <w:num w:numId="5">
    <w:abstractNumId w:val="11"/>
  </w:num>
  <w:num w:numId="6">
    <w:abstractNumId w:val="10"/>
  </w:num>
  <w:num w:numId="7">
    <w:abstractNumId w:val="7"/>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5F5"/>
    <w:rsid w:val="00002484"/>
    <w:rsid w:val="00005DA6"/>
    <w:rsid w:val="00007330"/>
    <w:rsid w:val="0000798F"/>
    <w:rsid w:val="000113DB"/>
    <w:rsid w:val="00011E62"/>
    <w:rsid w:val="000173A5"/>
    <w:rsid w:val="00017DEB"/>
    <w:rsid w:val="000240DA"/>
    <w:rsid w:val="000249C3"/>
    <w:rsid w:val="00040178"/>
    <w:rsid w:val="00044032"/>
    <w:rsid w:val="0004576D"/>
    <w:rsid w:val="00045AF7"/>
    <w:rsid w:val="000563BD"/>
    <w:rsid w:val="00062035"/>
    <w:rsid w:val="00062700"/>
    <w:rsid w:val="00066884"/>
    <w:rsid w:val="00070C72"/>
    <w:rsid w:val="000744D0"/>
    <w:rsid w:val="00076ED3"/>
    <w:rsid w:val="0008097C"/>
    <w:rsid w:val="00082F9E"/>
    <w:rsid w:val="00086752"/>
    <w:rsid w:val="00095CB6"/>
    <w:rsid w:val="000A126B"/>
    <w:rsid w:val="000A4986"/>
    <w:rsid w:val="000C3311"/>
    <w:rsid w:val="000C4D5E"/>
    <w:rsid w:val="000C50D4"/>
    <w:rsid w:val="000C6443"/>
    <w:rsid w:val="000D2FB5"/>
    <w:rsid w:val="000D5948"/>
    <w:rsid w:val="000F1B16"/>
    <w:rsid w:val="000F26BD"/>
    <w:rsid w:val="000F3AA0"/>
    <w:rsid w:val="001123B3"/>
    <w:rsid w:val="001215CC"/>
    <w:rsid w:val="00122EFD"/>
    <w:rsid w:val="00123350"/>
    <w:rsid w:val="001259EA"/>
    <w:rsid w:val="0012609A"/>
    <w:rsid w:val="00132565"/>
    <w:rsid w:val="00143852"/>
    <w:rsid w:val="0015115C"/>
    <w:rsid w:val="001607F0"/>
    <w:rsid w:val="00161C0C"/>
    <w:rsid w:val="001625BD"/>
    <w:rsid w:val="00162659"/>
    <w:rsid w:val="0016389C"/>
    <w:rsid w:val="00171F3B"/>
    <w:rsid w:val="00172D8C"/>
    <w:rsid w:val="001769EA"/>
    <w:rsid w:val="00177BEC"/>
    <w:rsid w:val="0018087B"/>
    <w:rsid w:val="00186D27"/>
    <w:rsid w:val="001871FE"/>
    <w:rsid w:val="001903D6"/>
    <w:rsid w:val="0019063C"/>
    <w:rsid w:val="00194243"/>
    <w:rsid w:val="001A1FDA"/>
    <w:rsid w:val="001A3553"/>
    <w:rsid w:val="001A5D7C"/>
    <w:rsid w:val="001A62A2"/>
    <w:rsid w:val="001B119B"/>
    <w:rsid w:val="001B251E"/>
    <w:rsid w:val="001B4694"/>
    <w:rsid w:val="001B53F8"/>
    <w:rsid w:val="001B5E73"/>
    <w:rsid w:val="001C01E3"/>
    <w:rsid w:val="001C5B3F"/>
    <w:rsid w:val="001C5EA7"/>
    <w:rsid w:val="001C6232"/>
    <w:rsid w:val="001C7C13"/>
    <w:rsid w:val="001D5612"/>
    <w:rsid w:val="001D6272"/>
    <w:rsid w:val="001E7135"/>
    <w:rsid w:val="001E7C78"/>
    <w:rsid w:val="001F01E4"/>
    <w:rsid w:val="001F14E5"/>
    <w:rsid w:val="001F4440"/>
    <w:rsid w:val="001F7272"/>
    <w:rsid w:val="001F7BFA"/>
    <w:rsid w:val="001F7F8A"/>
    <w:rsid w:val="00201550"/>
    <w:rsid w:val="00203791"/>
    <w:rsid w:val="00206315"/>
    <w:rsid w:val="0020724D"/>
    <w:rsid w:val="00212528"/>
    <w:rsid w:val="00212C59"/>
    <w:rsid w:val="002170D8"/>
    <w:rsid w:val="00217B11"/>
    <w:rsid w:val="002269DE"/>
    <w:rsid w:val="002278B9"/>
    <w:rsid w:val="00233D2F"/>
    <w:rsid w:val="002375AB"/>
    <w:rsid w:val="0023780F"/>
    <w:rsid w:val="00240C75"/>
    <w:rsid w:val="0024313F"/>
    <w:rsid w:val="002469A3"/>
    <w:rsid w:val="00255497"/>
    <w:rsid w:val="00256588"/>
    <w:rsid w:val="00261086"/>
    <w:rsid w:val="002614AB"/>
    <w:rsid w:val="00265B6D"/>
    <w:rsid w:val="002704D9"/>
    <w:rsid w:val="00272067"/>
    <w:rsid w:val="0027326B"/>
    <w:rsid w:val="00274EDE"/>
    <w:rsid w:val="002872CC"/>
    <w:rsid w:val="00290E95"/>
    <w:rsid w:val="00293B6B"/>
    <w:rsid w:val="00294DE8"/>
    <w:rsid w:val="002B21CD"/>
    <w:rsid w:val="002B7ACC"/>
    <w:rsid w:val="002C6D88"/>
    <w:rsid w:val="002D1DEF"/>
    <w:rsid w:val="002D2F7A"/>
    <w:rsid w:val="002E6B75"/>
    <w:rsid w:val="002E7CD0"/>
    <w:rsid w:val="002F152F"/>
    <w:rsid w:val="002F3386"/>
    <w:rsid w:val="002F77D9"/>
    <w:rsid w:val="00301408"/>
    <w:rsid w:val="003014EF"/>
    <w:rsid w:val="00301C87"/>
    <w:rsid w:val="00301E61"/>
    <w:rsid w:val="00303967"/>
    <w:rsid w:val="00305F0A"/>
    <w:rsid w:val="00307C79"/>
    <w:rsid w:val="00310B75"/>
    <w:rsid w:val="00311163"/>
    <w:rsid w:val="00311C86"/>
    <w:rsid w:val="003129C8"/>
    <w:rsid w:val="00312BD8"/>
    <w:rsid w:val="003161DB"/>
    <w:rsid w:val="0032100B"/>
    <w:rsid w:val="003214D3"/>
    <w:rsid w:val="00324E39"/>
    <w:rsid w:val="00325F1D"/>
    <w:rsid w:val="003277F2"/>
    <w:rsid w:val="00334E35"/>
    <w:rsid w:val="00335986"/>
    <w:rsid w:val="0033734D"/>
    <w:rsid w:val="003415BC"/>
    <w:rsid w:val="00345353"/>
    <w:rsid w:val="00345612"/>
    <w:rsid w:val="003519DA"/>
    <w:rsid w:val="003602C9"/>
    <w:rsid w:val="00360808"/>
    <w:rsid w:val="00365A07"/>
    <w:rsid w:val="00377AAC"/>
    <w:rsid w:val="003862B8"/>
    <w:rsid w:val="00391EA1"/>
    <w:rsid w:val="00394982"/>
    <w:rsid w:val="00394C30"/>
    <w:rsid w:val="00395600"/>
    <w:rsid w:val="00396020"/>
    <w:rsid w:val="003966F6"/>
    <w:rsid w:val="00397C1C"/>
    <w:rsid w:val="003A3E80"/>
    <w:rsid w:val="003A6510"/>
    <w:rsid w:val="003B0419"/>
    <w:rsid w:val="003B170A"/>
    <w:rsid w:val="003D5F64"/>
    <w:rsid w:val="003E1164"/>
    <w:rsid w:val="003E20A4"/>
    <w:rsid w:val="003E2A2A"/>
    <w:rsid w:val="003E5EE6"/>
    <w:rsid w:val="003E699F"/>
    <w:rsid w:val="003F010F"/>
    <w:rsid w:val="003F1261"/>
    <w:rsid w:val="003F45AB"/>
    <w:rsid w:val="003F4FD7"/>
    <w:rsid w:val="003F5E88"/>
    <w:rsid w:val="003F671B"/>
    <w:rsid w:val="00405510"/>
    <w:rsid w:val="0040652B"/>
    <w:rsid w:val="00413246"/>
    <w:rsid w:val="00416071"/>
    <w:rsid w:val="00417589"/>
    <w:rsid w:val="004213B7"/>
    <w:rsid w:val="00424F1F"/>
    <w:rsid w:val="00432486"/>
    <w:rsid w:val="00433C51"/>
    <w:rsid w:val="00433CA1"/>
    <w:rsid w:val="00435474"/>
    <w:rsid w:val="004456C8"/>
    <w:rsid w:val="00452D22"/>
    <w:rsid w:val="00454DB7"/>
    <w:rsid w:val="004554CC"/>
    <w:rsid w:val="00455B72"/>
    <w:rsid w:val="00457158"/>
    <w:rsid w:val="004608CF"/>
    <w:rsid w:val="004643B2"/>
    <w:rsid w:val="0047639A"/>
    <w:rsid w:val="004812D8"/>
    <w:rsid w:val="00482BC2"/>
    <w:rsid w:val="00483A5A"/>
    <w:rsid w:val="004855EC"/>
    <w:rsid w:val="00492CF1"/>
    <w:rsid w:val="00495B76"/>
    <w:rsid w:val="004A2518"/>
    <w:rsid w:val="004A25BD"/>
    <w:rsid w:val="004A466A"/>
    <w:rsid w:val="004A735A"/>
    <w:rsid w:val="004A738D"/>
    <w:rsid w:val="004B050F"/>
    <w:rsid w:val="004B4924"/>
    <w:rsid w:val="004B59D2"/>
    <w:rsid w:val="004B7BDF"/>
    <w:rsid w:val="004B7F87"/>
    <w:rsid w:val="004C10CD"/>
    <w:rsid w:val="004C5656"/>
    <w:rsid w:val="004C5A46"/>
    <w:rsid w:val="004C745F"/>
    <w:rsid w:val="004D2057"/>
    <w:rsid w:val="004D28E5"/>
    <w:rsid w:val="004D2DBC"/>
    <w:rsid w:val="004E1284"/>
    <w:rsid w:val="004E355F"/>
    <w:rsid w:val="004F08FA"/>
    <w:rsid w:val="004F1D73"/>
    <w:rsid w:val="004F2906"/>
    <w:rsid w:val="004F3266"/>
    <w:rsid w:val="004F3E93"/>
    <w:rsid w:val="004F64FF"/>
    <w:rsid w:val="00504EF2"/>
    <w:rsid w:val="005168B4"/>
    <w:rsid w:val="005213BF"/>
    <w:rsid w:val="005240CB"/>
    <w:rsid w:val="005331EE"/>
    <w:rsid w:val="00534777"/>
    <w:rsid w:val="00535912"/>
    <w:rsid w:val="0054164C"/>
    <w:rsid w:val="00550868"/>
    <w:rsid w:val="00551FDE"/>
    <w:rsid w:val="00556A14"/>
    <w:rsid w:val="00563423"/>
    <w:rsid w:val="005659DD"/>
    <w:rsid w:val="00565C9B"/>
    <w:rsid w:val="00567704"/>
    <w:rsid w:val="00576A36"/>
    <w:rsid w:val="0057733C"/>
    <w:rsid w:val="00581153"/>
    <w:rsid w:val="00583F1F"/>
    <w:rsid w:val="00590DA0"/>
    <w:rsid w:val="00592F00"/>
    <w:rsid w:val="005A72E1"/>
    <w:rsid w:val="005B3803"/>
    <w:rsid w:val="005B3AD7"/>
    <w:rsid w:val="005C18CF"/>
    <w:rsid w:val="005C4EDB"/>
    <w:rsid w:val="005D04C3"/>
    <w:rsid w:val="005D3E7D"/>
    <w:rsid w:val="005E4835"/>
    <w:rsid w:val="005E676A"/>
    <w:rsid w:val="005F1327"/>
    <w:rsid w:val="005F4040"/>
    <w:rsid w:val="005F43E1"/>
    <w:rsid w:val="006014FC"/>
    <w:rsid w:val="00605584"/>
    <w:rsid w:val="00607576"/>
    <w:rsid w:val="00610753"/>
    <w:rsid w:val="00611BDA"/>
    <w:rsid w:val="00621E0C"/>
    <w:rsid w:val="00624B71"/>
    <w:rsid w:val="0063554B"/>
    <w:rsid w:val="006418C1"/>
    <w:rsid w:val="00644AD9"/>
    <w:rsid w:val="00645FD3"/>
    <w:rsid w:val="0064665C"/>
    <w:rsid w:val="00657CD2"/>
    <w:rsid w:val="00661964"/>
    <w:rsid w:val="0066393B"/>
    <w:rsid w:val="0067006B"/>
    <w:rsid w:val="006772D7"/>
    <w:rsid w:val="00681C2B"/>
    <w:rsid w:val="00691950"/>
    <w:rsid w:val="00692DB3"/>
    <w:rsid w:val="0069419C"/>
    <w:rsid w:val="0069573E"/>
    <w:rsid w:val="0069730D"/>
    <w:rsid w:val="006B07A0"/>
    <w:rsid w:val="006B3DD1"/>
    <w:rsid w:val="006C2981"/>
    <w:rsid w:val="006C69DE"/>
    <w:rsid w:val="006D0F41"/>
    <w:rsid w:val="006D2517"/>
    <w:rsid w:val="006D3460"/>
    <w:rsid w:val="006D3FD9"/>
    <w:rsid w:val="006D747B"/>
    <w:rsid w:val="006E215F"/>
    <w:rsid w:val="006E24EF"/>
    <w:rsid w:val="006E49CE"/>
    <w:rsid w:val="006E75D0"/>
    <w:rsid w:val="006F1386"/>
    <w:rsid w:val="006F1C3B"/>
    <w:rsid w:val="006F26C3"/>
    <w:rsid w:val="006F27B5"/>
    <w:rsid w:val="006F29A7"/>
    <w:rsid w:val="006F3359"/>
    <w:rsid w:val="006F37D1"/>
    <w:rsid w:val="006F5837"/>
    <w:rsid w:val="006F657D"/>
    <w:rsid w:val="0070515F"/>
    <w:rsid w:val="007115B7"/>
    <w:rsid w:val="00713886"/>
    <w:rsid w:val="00715765"/>
    <w:rsid w:val="00716BFD"/>
    <w:rsid w:val="007223F2"/>
    <w:rsid w:val="00725B18"/>
    <w:rsid w:val="00726861"/>
    <w:rsid w:val="00726C99"/>
    <w:rsid w:val="007315F9"/>
    <w:rsid w:val="007339F5"/>
    <w:rsid w:val="00735DF1"/>
    <w:rsid w:val="0074025B"/>
    <w:rsid w:val="00740332"/>
    <w:rsid w:val="00742F6B"/>
    <w:rsid w:val="00744BC9"/>
    <w:rsid w:val="00745EDA"/>
    <w:rsid w:val="00753882"/>
    <w:rsid w:val="007553B5"/>
    <w:rsid w:val="00755978"/>
    <w:rsid w:val="0075710A"/>
    <w:rsid w:val="007613B2"/>
    <w:rsid w:val="00761718"/>
    <w:rsid w:val="007702E7"/>
    <w:rsid w:val="0077490A"/>
    <w:rsid w:val="00776F2C"/>
    <w:rsid w:val="00782762"/>
    <w:rsid w:val="00792245"/>
    <w:rsid w:val="00794506"/>
    <w:rsid w:val="00797966"/>
    <w:rsid w:val="007A0565"/>
    <w:rsid w:val="007A3CD8"/>
    <w:rsid w:val="007B3E4B"/>
    <w:rsid w:val="007C035E"/>
    <w:rsid w:val="007C1F70"/>
    <w:rsid w:val="007C3AA8"/>
    <w:rsid w:val="007C50BC"/>
    <w:rsid w:val="007C6B14"/>
    <w:rsid w:val="007C7F60"/>
    <w:rsid w:val="007D02F8"/>
    <w:rsid w:val="007D4B02"/>
    <w:rsid w:val="007E0DF9"/>
    <w:rsid w:val="007E34CF"/>
    <w:rsid w:val="007F2900"/>
    <w:rsid w:val="007F457E"/>
    <w:rsid w:val="007F46C7"/>
    <w:rsid w:val="007F6DF5"/>
    <w:rsid w:val="007F7FB5"/>
    <w:rsid w:val="00800F2B"/>
    <w:rsid w:val="0080146D"/>
    <w:rsid w:val="0080199E"/>
    <w:rsid w:val="00801DF6"/>
    <w:rsid w:val="00804B89"/>
    <w:rsid w:val="00811770"/>
    <w:rsid w:val="0081228B"/>
    <w:rsid w:val="00820930"/>
    <w:rsid w:val="008211BA"/>
    <w:rsid w:val="00824843"/>
    <w:rsid w:val="00825714"/>
    <w:rsid w:val="00825BCA"/>
    <w:rsid w:val="00826ECF"/>
    <w:rsid w:val="008321EE"/>
    <w:rsid w:val="00833C31"/>
    <w:rsid w:val="00834C51"/>
    <w:rsid w:val="00835BFE"/>
    <w:rsid w:val="008419ED"/>
    <w:rsid w:val="008428F1"/>
    <w:rsid w:val="00843819"/>
    <w:rsid w:val="00846FB3"/>
    <w:rsid w:val="008512B8"/>
    <w:rsid w:val="00856D4C"/>
    <w:rsid w:val="00862428"/>
    <w:rsid w:val="00862440"/>
    <w:rsid w:val="008670B1"/>
    <w:rsid w:val="00867E7E"/>
    <w:rsid w:val="00870582"/>
    <w:rsid w:val="00873B1E"/>
    <w:rsid w:val="00875047"/>
    <w:rsid w:val="008756F3"/>
    <w:rsid w:val="00877F32"/>
    <w:rsid w:val="0088044A"/>
    <w:rsid w:val="00881178"/>
    <w:rsid w:val="00882774"/>
    <w:rsid w:val="00885C76"/>
    <w:rsid w:val="008913E3"/>
    <w:rsid w:val="00891B06"/>
    <w:rsid w:val="008A17FF"/>
    <w:rsid w:val="008A2F1D"/>
    <w:rsid w:val="008A7A55"/>
    <w:rsid w:val="008B1963"/>
    <w:rsid w:val="008B3777"/>
    <w:rsid w:val="008C35E7"/>
    <w:rsid w:val="008C4779"/>
    <w:rsid w:val="008C6994"/>
    <w:rsid w:val="008D0084"/>
    <w:rsid w:val="008D2169"/>
    <w:rsid w:val="008E3CDE"/>
    <w:rsid w:val="008E491E"/>
    <w:rsid w:val="008E580A"/>
    <w:rsid w:val="008F1475"/>
    <w:rsid w:val="008F32B9"/>
    <w:rsid w:val="00901937"/>
    <w:rsid w:val="0090240D"/>
    <w:rsid w:val="00905245"/>
    <w:rsid w:val="00905F2E"/>
    <w:rsid w:val="009156CB"/>
    <w:rsid w:val="00915C77"/>
    <w:rsid w:val="009254EF"/>
    <w:rsid w:val="009266A7"/>
    <w:rsid w:val="00930B50"/>
    <w:rsid w:val="009364D2"/>
    <w:rsid w:val="00942ED8"/>
    <w:rsid w:val="00944CA1"/>
    <w:rsid w:val="009474D5"/>
    <w:rsid w:val="009508F2"/>
    <w:rsid w:val="00953D5F"/>
    <w:rsid w:val="009554F2"/>
    <w:rsid w:val="009555C4"/>
    <w:rsid w:val="00974F1B"/>
    <w:rsid w:val="00976AC2"/>
    <w:rsid w:val="009806BA"/>
    <w:rsid w:val="00997CF1"/>
    <w:rsid w:val="00997F8F"/>
    <w:rsid w:val="009A0299"/>
    <w:rsid w:val="009A2281"/>
    <w:rsid w:val="009A30FC"/>
    <w:rsid w:val="009A5193"/>
    <w:rsid w:val="009A5528"/>
    <w:rsid w:val="009A7A9D"/>
    <w:rsid w:val="009A7B3F"/>
    <w:rsid w:val="009A7B8F"/>
    <w:rsid w:val="009B49E5"/>
    <w:rsid w:val="009B4D50"/>
    <w:rsid w:val="009C67F8"/>
    <w:rsid w:val="009C6942"/>
    <w:rsid w:val="009D1657"/>
    <w:rsid w:val="009D599E"/>
    <w:rsid w:val="009E2E82"/>
    <w:rsid w:val="009E3036"/>
    <w:rsid w:val="009F1225"/>
    <w:rsid w:val="009F789F"/>
    <w:rsid w:val="00A16084"/>
    <w:rsid w:val="00A17F03"/>
    <w:rsid w:val="00A211BF"/>
    <w:rsid w:val="00A242EC"/>
    <w:rsid w:val="00A25509"/>
    <w:rsid w:val="00A3706C"/>
    <w:rsid w:val="00A42B0B"/>
    <w:rsid w:val="00A43400"/>
    <w:rsid w:val="00A45E0F"/>
    <w:rsid w:val="00A460C8"/>
    <w:rsid w:val="00A47622"/>
    <w:rsid w:val="00A55751"/>
    <w:rsid w:val="00A5591A"/>
    <w:rsid w:val="00A57F2F"/>
    <w:rsid w:val="00A64498"/>
    <w:rsid w:val="00A64BB6"/>
    <w:rsid w:val="00A66705"/>
    <w:rsid w:val="00A70FF2"/>
    <w:rsid w:val="00A72C62"/>
    <w:rsid w:val="00A73C34"/>
    <w:rsid w:val="00A74272"/>
    <w:rsid w:val="00A751FB"/>
    <w:rsid w:val="00A801CA"/>
    <w:rsid w:val="00A811CF"/>
    <w:rsid w:val="00A8297A"/>
    <w:rsid w:val="00A83B70"/>
    <w:rsid w:val="00AA4F01"/>
    <w:rsid w:val="00AB244D"/>
    <w:rsid w:val="00AB2811"/>
    <w:rsid w:val="00AB7CD5"/>
    <w:rsid w:val="00AC3180"/>
    <w:rsid w:val="00AC3C9E"/>
    <w:rsid w:val="00AD7C3E"/>
    <w:rsid w:val="00AF7F76"/>
    <w:rsid w:val="00B063A2"/>
    <w:rsid w:val="00B179E3"/>
    <w:rsid w:val="00B276CE"/>
    <w:rsid w:val="00B3223B"/>
    <w:rsid w:val="00B407B4"/>
    <w:rsid w:val="00B43920"/>
    <w:rsid w:val="00B44B9F"/>
    <w:rsid w:val="00B62CA3"/>
    <w:rsid w:val="00B66262"/>
    <w:rsid w:val="00B71F18"/>
    <w:rsid w:val="00B725DE"/>
    <w:rsid w:val="00B76522"/>
    <w:rsid w:val="00B8020A"/>
    <w:rsid w:val="00B9061D"/>
    <w:rsid w:val="00B91321"/>
    <w:rsid w:val="00B91911"/>
    <w:rsid w:val="00B92915"/>
    <w:rsid w:val="00B92E2E"/>
    <w:rsid w:val="00B9352B"/>
    <w:rsid w:val="00B93613"/>
    <w:rsid w:val="00B97069"/>
    <w:rsid w:val="00BA3EBA"/>
    <w:rsid w:val="00BA5A4E"/>
    <w:rsid w:val="00BA5E20"/>
    <w:rsid w:val="00BA7B82"/>
    <w:rsid w:val="00BB31D9"/>
    <w:rsid w:val="00BB5E49"/>
    <w:rsid w:val="00BC118F"/>
    <w:rsid w:val="00BC22A2"/>
    <w:rsid w:val="00BE26B8"/>
    <w:rsid w:val="00BE27D3"/>
    <w:rsid w:val="00BE3882"/>
    <w:rsid w:val="00BE7E89"/>
    <w:rsid w:val="00BE7F53"/>
    <w:rsid w:val="00BF02D7"/>
    <w:rsid w:val="00BF36A0"/>
    <w:rsid w:val="00BF492B"/>
    <w:rsid w:val="00C114FC"/>
    <w:rsid w:val="00C12A0F"/>
    <w:rsid w:val="00C24D6B"/>
    <w:rsid w:val="00C27567"/>
    <w:rsid w:val="00C30F78"/>
    <w:rsid w:val="00C321C1"/>
    <w:rsid w:val="00C3285F"/>
    <w:rsid w:val="00C32CCF"/>
    <w:rsid w:val="00C33F0A"/>
    <w:rsid w:val="00C3629F"/>
    <w:rsid w:val="00C47B96"/>
    <w:rsid w:val="00C5369E"/>
    <w:rsid w:val="00C5506D"/>
    <w:rsid w:val="00C55359"/>
    <w:rsid w:val="00C610A4"/>
    <w:rsid w:val="00C6300C"/>
    <w:rsid w:val="00C63413"/>
    <w:rsid w:val="00C65616"/>
    <w:rsid w:val="00C65AB4"/>
    <w:rsid w:val="00C70110"/>
    <w:rsid w:val="00C7090C"/>
    <w:rsid w:val="00C71CA4"/>
    <w:rsid w:val="00C84267"/>
    <w:rsid w:val="00C917E8"/>
    <w:rsid w:val="00C943A0"/>
    <w:rsid w:val="00C9443E"/>
    <w:rsid w:val="00CA282B"/>
    <w:rsid w:val="00CA5EBF"/>
    <w:rsid w:val="00CB0930"/>
    <w:rsid w:val="00CB0C70"/>
    <w:rsid w:val="00CB1365"/>
    <w:rsid w:val="00CC33C1"/>
    <w:rsid w:val="00CC5094"/>
    <w:rsid w:val="00CC600C"/>
    <w:rsid w:val="00CD2E0A"/>
    <w:rsid w:val="00CD6118"/>
    <w:rsid w:val="00CE286D"/>
    <w:rsid w:val="00CE748E"/>
    <w:rsid w:val="00CF0F1D"/>
    <w:rsid w:val="00CF4F4D"/>
    <w:rsid w:val="00D0152C"/>
    <w:rsid w:val="00D13578"/>
    <w:rsid w:val="00D13842"/>
    <w:rsid w:val="00D1745B"/>
    <w:rsid w:val="00D2142A"/>
    <w:rsid w:val="00D24372"/>
    <w:rsid w:val="00D26C8E"/>
    <w:rsid w:val="00D30982"/>
    <w:rsid w:val="00D34464"/>
    <w:rsid w:val="00D62C9E"/>
    <w:rsid w:val="00D77960"/>
    <w:rsid w:val="00D806F2"/>
    <w:rsid w:val="00D86635"/>
    <w:rsid w:val="00D86B80"/>
    <w:rsid w:val="00D96BEC"/>
    <w:rsid w:val="00DA062B"/>
    <w:rsid w:val="00DA3107"/>
    <w:rsid w:val="00DA57BC"/>
    <w:rsid w:val="00DA6F0B"/>
    <w:rsid w:val="00DA6FAC"/>
    <w:rsid w:val="00DB139D"/>
    <w:rsid w:val="00DB15BD"/>
    <w:rsid w:val="00DB27BB"/>
    <w:rsid w:val="00DD100D"/>
    <w:rsid w:val="00DD16FD"/>
    <w:rsid w:val="00DD25D1"/>
    <w:rsid w:val="00DD5598"/>
    <w:rsid w:val="00DD78C2"/>
    <w:rsid w:val="00DE2793"/>
    <w:rsid w:val="00DE315A"/>
    <w:rsid w:val="00DF0CDF"/>
    <w:rsid w:val="00DF445D"/>
    <w:rsid w:val="00DF5E98"/>
    <w:rsid w:val="00E02FB8"/>
    <w:rsid w:val="00E0645F"/>
    <w:rsid w:val="00E20704"/>
    <w:rsid w:val="00E30517"/>
    <w:rsid w:val="00E30530"/>
    <w:rsid w:val="00E33814"/>
    <w:rsid w:val="00E36DBA"/>
    <w:rsid w:val="00E42345"/>
    <w:rsid w:val="00E43671"/>
    <w:rsid w:val="00E454B7"/>
    <w:rsid w:val="00E46C98"/>
    <w:rsid w:val="00E50435"/>
    <w:rsid w:val="00E5429F"/>
    <w:rsid w:val="00E55FCB"/>
    <w:rsid w:val="00E6403D"/>
    <w:rsid w:val="00E65AAB"/>
    <w:rsid w:val="00E73208"/>
    <w:rsid w:val="00E75B50"/>
    <w:rsid w:val="00E84A55"/>
    <w:rsid w:val="00E86A99"/>
    <w:rsid w:val="00E87877"/>
    <w:rsid w:val="00E96322"/>
    <w:rsid w:val="00EA07AA"/>
    <w:rsid w:val="00EA3F24"/>
    <w:rsid w:val="00EA493D"/>
    <w:rsid w:val="00EA67DF"/>
    <w:rsid w:val="00EA6F4A"/>
    <w:rsid w:val="00EB06BF"/>
    <w:rsid w:val="00EB37E4"/>
    <w:rsid w:val="00EB5AB5"/>
    <w:rsid w:val="00EC371A"/>
    <w:rsid w:val="00EC4A9E"/>
    <w:rsid w:val="00ED0BA6"/>
    <w:rsid w:val="00ED4F7B"/>
    <w:rsid w:val="00EE4070"/>
    <w:rsid w:val="00EE4C29"/>
    <w:rsid w:val="00EF023D"/>
    <w:rsid w:val="00EF103B"/>
    <w:rsid w:val="00EF3D41"/>
    <w:rsid w:val="00EF79F3"/>
    <w:rsid w:val="00F01D9E"/>
    <w:rsid w:val="00F020D8"/>
    <w:rsid w:val="00F0717C"/>
    <w:rsid w:val="00F15ED2"/>
    <w:rsid w:val="00F16A6C"/>
    <w:rsid w:val="00F201B1"/>
    <w:rsid w:val="00F23843"/>
    <w:rsid w:val="00F27EB3"/>
    <w:rsid w:val="00F30450"/>
    <w:rsid w:val="00F344B4"/>
    <w:rsid w:val="00F360E0"/>
    <w:rsid w:val="00F40E04"/>
    <w:rsid w:val="00F42303"/>
    <w:rsid w:val="00F435F5"/>
    <w:rsid w:val="00F556C6"/>
    <w:rsid w:val="00F55DA8"/>
    <w:rsid w:val="00F57B7C"/>
    <w:rsid w:val="00F606DB"/>
    <w:rsid w:val="00F733C3"/>
    <w:rsid w:val="00F8529D"/>
    <w:rsid w:val="00F90304"/>
    <w:rsid w:val="00F92F46"/>
    <w:rsid w:val="00F96DD1"/>
    <w:rsid w:val="00F97A39"/>
    <w:rsid w:val="00FA63A8"/>
    <w:rsid w:val="00FB13F1"/>
    <w:rsid w:val="00FB669E"/>
    <w:rsid w:val="00FC20F3"/>
    <w:rsid w:val="00FE24F0"/>
    <w:rsid w:val="00FE4123"/>
    <w:rsid w:val="00FF0B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F2197"/>
  <w15:docId w15:val="{D712BCB8-E790-4A44-93F5-3E6139997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1EA1"/>
    <w:pPr>
      <w:spacing w:after="200" w:line="276" w:lineRule="auto"/>
    </w:pPr>
    <w:rPr>
      <w:rFonts w:ascii="Calibri" w:eastAsia="Times New Roman" w:hAnsi="Calibri" w:cs="Times New Roman"/>
      <w:kern w:val="0"/>
      <w14:ligatures w14:val="none"/>
    </w:rPr>
  </w:style>
  <w:style w:type="paragraph" w:styleId="Heading1">
    <w:name w:val="heading 1"/>
    <w:basedOn w:val="Normal"/>
    <w:next w:val="Normal"/>
    <w:link w:val="Heading1Char"/>
    <w:uiPriority w:val="9"/>
    <w:qFormat/>
    <w:rsid w:val="00391EA1"/>
    <w:pPr>
      <w:keepNext/>
      <w:numPr>
        <w:numId w:val="1"/>
      </w:numPr>
      <w:spacing w:before="240" w:after="60"/>
      <w:ind w:left="0" w:firstLine="0"/>
      <w:outlineLvl w:val="0"/>
    </w:pPr>
    <w:rPr>
      <w:rFonts w:ascii="Calibri Light" w:hAnsi="Calibri Light"/>
      <w:b/>
      <w:bCs/>
      <w:kern w:val="32"/>
      <w:sz w:val="32"/>
      <w:szCs w:val="32"/>
    </w:rPr>
  </w:style>
  <w:style w:type="paragraph" w:styleId="Heading2">
    <w:name w:val="heading 2"/>
    <w:basedOn w:val="Normal"/>
    <w:next w:val="Normal"/>
    <w:link w:val="Heading2Char"/>
    <w:uiPriority w:val="99"/>
    <w:semiHidden/>
    <w:rsid w:val="00391EA1"/>
    <w:pPr>
      <w:keepNext/>
      <w:numPr>
        <w:ilvl w:val="1"/>
        <w:numId w:val="1"/>
      </w:numPr>
      <w:spacing w:before="240" w:after="60"/>
      <w:ind w:left="0" w:firstLine="0"/>
      <w:outlineLvl w:val="1"/>
    </w:pPr>
    <w:rPr>
      <w:rFonts w:ascii="Calibri Light" w:hAnsi="Calibri Light"/>
      <w:b/>
      <w:bCs/>
      <w:i/>
      <w:iCs/>
      <w:sz w:val="28"/>
      <w:szCs w:val="28"/>
    </w:rPr>
  </w:style>
  <w:style w:type="paragraph" w:styleId="Heading3">
    <w:name w:val="heading 3"/>
    <w:basedOn w:val="Normal"/>
    <w:next w:val="Normal"/>
    <w:link w:val="Heading3Char"/>
    <w:uiPriority w:val="99"/>
    <w:semiHidden/>
    <w:rsid w:val="00391EA1"/>
    <w:pPr>
      <w:keepNext/>
      <w:numPr>
        <w:ilvl w:val="2"/>
        <w:numId w:val="1"/>
      </w:numPr>
      <w:spacing w:before="240" w:after="60"/>
      <w:ind w:left="720" w:hanging="432"/>
      <w:outlineLvl w:val="2"/>
    </w:pPr>
    <w:rPr>
      <w:rFonts w:ascii="Calibri Light" w:hAnsi="Calibri Light"/>
      <w:b/>
      <w:bCs/>
      <w:sz w:val="26"/>
      <w:szCs w:val="26"/>
    </w:rPr>
  </w:style>
  <w:style w:type="paragraph" w:styleId="Heading4">
    <w:name w:val="heading 4"/>
    <w:basedOn w:val="Normal"/>
    <w:next w:val="Normal"/>
    <w:link w:val="Heading4Char"/>
    <w:uiPriority w:val="99"/>
    <w:semiHidden/>
    <w:rsid w:val="00391EA1"/>
    <w:pPr>
      <w:keepNext/>
      <w:numPr>
        <w:ilvl w:val="3"/>
        <w:numId w:val="1"/>
      </w:numPr>
      <w:spacing w:before="240" w:after="60"/>
      <w:ind w:left="864" w:hanging="144"/>
      <w:outlineLvl w:val="3"/>
    </w:pPr>
    <w:rPr>
      <w:b/>
      <w:bCs/>
      <w:sz w:val="28"/>
      <w:szCs w:val="28"/>
    </w:rPr>
  </w:style>
  <w:style w:type="paragraph" w:styleId="Heading5">
    <w:name w:val="heading 5"/>
    <w:basedOn w:val="Normal"/>
    <w:next w:val="Normal"/>
    <w:link w:val="Heading5Char"/>
    <w:uiPriority w:val="99"/>
    <w:semiHidden/>
    <w:qFormat/>
    <w:rsid w:val="00391EA1"/>
    <w:pPr>
      <w:numPr>
        <w:ilvl w:val="4"/>
        <w:numId w:val="1"/>
      </w:numPr>
      <w:spacing w:before="240" w:after="60"/>
      <w:ind w:left="1008" w:hanging="432"/>
      <w:outlineLvl w:val="4"/>
    </w:pPr>
    <w:rPr>
      <w:b/>
      <w:bCs/>
      <w:i/>
      <w:iCs/>
      <w:sz w:val="26"/>
      <w:szCs w:val="26"/>
    </w:rPr>
  </w:style>
  <w:style w:type="paragraph" w:styleId="Heading6">
    <w:name w:val="heading 6"/>
    <w:basedOn w:val="Normal"/>
    <w:next w:val="Normal"/>
    <w:link w:val="Heading6Char"/>
    <w:uiPriority w:val="99"/>
    <w:semiHidden/>
    <w:rsid w:val="00391EA1"/>
    <w:pPr>
      <w:numPr>
        <w:ilvl w:val="5"/>
        <w:numId w:val="1"/>
      </w:numPr>
      <w:spacing w:before="240" w:after="60"/>
      <w:ind w:left="1152" w:hanging="432"/>
      <w:outlineLvl w:val="5"/>
    </w:pPr>
    <w:rPr>
      <w:b/>
      <w:bCs/>
    </w:rPr>
  </w:style>
  <w:style w:type="paragraph" w:styleId="Heading7">
    <w:name w:val="heading 7"/>
    <w:basedOn w:val="Normal"/>
    <w:next w:val="Normal"/>
    <w:link w:val="Heading7Char"/>
    <w:uiPriority w:val="99"/>
    <w:semiHidden/>
    <w:qFormat/>
    <w:rsid w:val="00391EA1"/>
    <w:pPr>
      <w:numPr>
        <w:ilvl w:val="6"/>
        <w:numId w:val="1"/>
      </w:numPr>
      <w:spacing w:before="240" w:after="60"/>
      <w:ind w:left="1296" w:hanging="288"/>
      <w:outlineLvl w:val="6"/>
    </w:pPr>
    <w:rPr>
      <w:sz w:val="24"/>
      <w:szCs w:val="24"/>
    </w:rPr>
  </w:style>
  <w:style w:type="paragraph" w:styleId="Heading8">
    <w:name w:val="heading 8"/>
    <w:basedOn w:val="Normal"/>
    <w:next w:val="Normal"/>
    <w:link w:val="Heading8Char"/>
    <w:uiPriority w:val="99"/>
    <w:semiHidden/>
    <w:qFormat/>
    <w:rsid w:val="00391EA1"/>
    <w:pPr>
      <w:numPr>
        <w:ilvl w:val="7"/>
        <w:numId w:val="1"/>
      </w:numPr>
      <w:spacing w:before="240" w:after="60"/>
      <w:ind w:left="1440" w:hanging="432"/>
      <w:outlineLvl w:val="7"/>
    </w:pPr>
    <w:rPr>
      <w:i/>
      <w:iCs/>
      <w:sz w:val="24"/>
      <w:szCs w:val="24"/>
    </w:rPr>
  </w:style>
  <w:style w:type="paragraph" w:styleId="Heading9">
    <w:name w:val="heading 9"/>
    <w:basedOn w:val="Normal"/>
    <w:next w:val="Normal"/>
    <w:link w:val="Heading9Char"/>
    <w:uiPriority w:val="99"/>
    <w:semiHidden/>
    <w:qFormat/>
    <w:rsid w:val="00391EA1"/>
    <w:pPr>
      <w:numPr>
        <w:ilvl w:val="8"/>
        <w:numId w:val="1"/>
      </w:numPr>
      <w:spacing w:before="240" w:after="60"/>
      <w:ind w:left="1584" w:hanging="144"/>
      <w:outlineLvl w:val="8"/>
    </w:pPr>
    <w:rPr>
      <w:rFonts w:ascii="Calibri Light"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EA1"/>
    <w:rPr>
      <w:rFonts w:ascii="Calibri Light" w:eastAsia="Times New Roman" w:hAnsi="Calibri Light" w:cs="Times New Roman"/>
      <w:b/>
      <w:bCs/>
      <w:kern w:val="32"/>
      <w:sz w:val="32"/>
      <w:szCs w:val="32"/>
      <w14:ligatures w14:val="none"/>
    </w:rPr>
  </w:style>
  <w:style w:type="character" w:customStyle="1" w:styleId="Heading2Char">
    <w:name w:val="Heading 2 Char"/>
    <w:basedOn w:val="DefaultParagraphFont"/>
    <w:link w:val="Heading2"/>
    <w:uiPriority w:val="99"/>
    <w:semiHidden/>
    <w:rsid w:val="00391EA1"/>
    <w:rPr>
      <w:rFonts w:ascii="Calibri Light" w:eastAsia="Times New Roman" w:hAnsi="Calibri Light" w:cs="Times New Roman"/>
      <w:b/>
      <w:bCs/>
      <w:i/>
      <w:iCs/>
      <w:kern w:val="0"/>
      <w:sz w:val="28"/>
      <w:szCs w:val="28"/>
      <w14:ligatures w14:val="none"/>
    </w:rPr>
  </w:style>
  <w:style w:type="character" w:customStyle="1" w:styleId="Heading3Char">
    <w:name w:val="Heading 3 Char"/>
    <w:basedOn w:val="DefaultParagraphFont"/>
    <w:link w:val="Heading3"/>
    <w:uiPriority w:val="99"/>
    <w:semiHidden/>
    <w:rsid w:val="00391EA1"/>
    <w:rPr>
      <w:rFonts w:ascii="Calibri Light" w:eastAsia="Times New Roman" w:hAnsi="Calibri Light" w:cs="Times New Roman"/>
      <w:b/>
      <w:bCs/>
      <w:kern w:val="0"/>
      <w:sz w:val="26"/>
      <w:szCs w:val="26"/>
      <w14:ligatures w14:val="none"/>
    </w:rPr>
  </w:style>
  <w:style w:type="character" w:customStyle="1" w:styleId="Heading4Char">
    <w:name w:val="Heading 4 Char"/>
    <w:basedOn w:val="DefaultParagraphFont"/>
    <w:link w:val="Heading4"/>
    <w:uiPriority w:val="99"/>
    <w:semiHidden/>
    <w:rsid w:val="00391EA1"/>
    <w:rPr>
      <w:rFonts w:ascii="Calibri" w:eastAsia="Times New Roman" w:hAnsi="Calibri" w:cs="Times New Roman"/>
      <w:b/>
      <w:bCs/>
      <w:kern w:val="0"/>
      <w:sz w:val="28"/>
      <w:szCs w:val="28"/>
      <w14:ligatures w14:val="none"/>
    </w:rPr>
  </w:style>
  <w:style w:type="character" w:customStyle="1" w:styleId="Heading5Char">
    <w:name w:val="Heading 5 Char"/>
    <w:basedOn w:val="DefaultParagraphFont"/>
    <w:link w:val="Heading5"/>
    <w:uiPriority w:val="99"/>
    <w:semiHidden/>
    <w:rsid w:val="00391EA1"/>
    <w:rPr>
      <w:rFonts w:ascii="Calibri" w:eastAsia="Times New Roman" w:hAnsi="Calibri" w:cs="Times New Roman"/>
      <w:b/>
      <w:bCs/>
      <w:i/>
      <w:iCs/>
      <w:kern w:val="0"/>
      <w:sz w:val="26"/>
      <w:szCs w:val="26"/>
      <w14:ligatures w14:val="none"/>
    </w:rPr>
  </w:style>
  <w:style w:type="character" w:customStyle="1" w:styleId="Heading6Char">
    <w:name w:val="Heading 6 Char"/>
    <w:basedOn w:val="DefaultParagraphFont"/>
    <w:link w:val="Heading6"/>
    <w:uiPriority w:val="99"/>
    <w:semiHidden/>
    <w:rsid w:val="00391EA1"/>
    <w:rPr>
      <w:rFonts w:ascii="Calibri" w:eastAsia="Times New Roman" w:hAnsi="Calibri" w:cs="Times New Roman"/>
      <w:b/>
      <w:bCs/>
      <w:kern w:val="0"/>
      <w14:ligatures w14:val="none"/>
    </w:rPr>
  </w:style>
  <w:style w:type="character" w:customStyle="1" w:styleId="Heading7Char">
    <w:name w:val="Heading 7 Char"/>
    <w:basedOn w:val="DefaultParagraphFont"/>
    <w:link w:val="Heading7"/>
    <w:uiPriority w:val="99"/>
    <w:semiHidden/>
    <w:rsid w:val="00391EA1"/>
    <w:rPr>
      <w:rFonts w:ascii="Calibri" w:eastAsia="Times New Roman" w:hAnsi="Calibri" w:cs="Times New Roman"/>
      <w:kern w:val="0"/>
      <w:sz w:val="24"/>
      <w:szCs w:val="24"/>
      <w14:ligatures w14:val="none"/>
    </w:rPr>
  </w:style>
  <w:style w:type="character" w:customStyle="1" w:styleId="Heading8Char">
    <w:name w:val="Heading 8 Char"/>
    <w:basedOn w:val="DefaultParagraphFont"/>
    <w:link w:val="Heading8"/>
    <w:uiPriority w:val="99"/>
    <w:semiHidden/>
    <w:rsid w:val="00391EA1"/>
    <w:rPr>
      <w:rFonts w:ascii="Calibri" w:eastAsia="Times New Roman" w:hAnsi="Calibri" w:cs="Times New Roman"/>
      <w:i/>
      <w:iCs/>
      <w:kern w:val="0"/>
      <w:sz w:val="24"/>
      <w:szCs w:val="24"/>
      <w14:ligatures w14:val="none"/>
    </w:rPr>
  </w:style>
  <w:style w:type="character" w:customStyle="1" w:styleId="Heading9Char">
    <w:name w:val="Heading 9 Char"/>
    <w:basedOn w:val="DefaultParagraphFont"/>
    <w:link w:val="Heading9"/>
    <w:uiPriority w:val="99"/>
    <w:semiHidden/>
    <w:rsid w:val="00391EA1"/>
    <w:rPr>
      <w:rFonts w:ascii="Calibri Light" w:eastAsia="Times New Roman" w:hAnsi="Calibri Light" w:cs="Times New Roman"/>
      <w:kern w:val="0"/>
      <w14:ligatures w14:val="none"/>
    </w:rPr>
  </w:style>
  <w:style w:type="paragraph" w:styleId="Header">
    <w:name w:val="header"/>
    <w:basedOn w:val="Normal"/>
    <w:link w:val="HeaderChar"/>
    <w:uiPriority w:val="57"/>
    <w:unhideWhenUsed/>
    <w:rsid w:val="00391EA1"/>
    <w:pPr>
      <w:tabs>
        <w:tab w:val="center" w:pos="4513"/>
        <w:tab w:val="right" w:pos="9026"/>
      </w:tabs>
      <w:spacing w:after="0" w:line="240" w:lineRule="auto"/>
    </w:pPr>
    <w:rPr>
      <w:sz w:val="20"/>
      <w:szCs w:val="20"/>
      <w:lang w:val="en-GB" w:eastAsia="en-GB"/>
    </w:rPr>
  </w:style>
  <w:style w:type="character" w:customStyle="1" w:styleId="HeaderChar">
    <w:name w:val="Header Char"/>
    <w:basedOn w:val="DefaultParagraphFont"/>
    <w:link w:val="Header"/>
    <w:uiPriority w:val="57"/>
    <w:rsid w:val="00391EA1"/>
    <w:rPr>
      <w:rFonts w:ascii="Calibri" w:eastAsia="Times New Roman" w:hAnsi="Calibri" w:cs="Times New Roman"/>
      <w:kern w:val="0"/>
      <w:sz w:val="20"/>
      <w:szCs w:val="20"/>
      <w:lang w:val="en-GB" w:eastAsia="en-GB"/>
      <w14:ligatures w14:val="none"/>
    </w:rPr>
  </w:style>
  <w:style w:type="paragraph" w:styleId="Footer">
    <w:name w:val="footer"/>
    <w:basedOn w:val="Normal"/>
    <w:link w:val="FooterChar"/>
    <w:uiPriority w:val="57"/>
    <w:unhideWhenUsed/>
    <w:rsid w:val="00391EA1"/>
    <w:pPr>
      <w:tabs>
        <w:tab w:val="center" w:pos="4513"/>
        <w:tab w:val="right" w:pos="9026"/>
      </w:tabs>
      <w:spacing w:after="0" w:line="240" w:lineRule="auto"/>
    </w:pPr>
    <w:rPr>
      <w:sz w:val="20"/>
      <w:szCs w:val="20"/>
      <w:lang w:val="en-GB" w:eastAsia="en-GB"/>
    </w:rPr>
  </w:style>
  <w:style w:type="character" w:customStyle="1" w:styleId="FooterChar">
    <w:name w:val="Footer Char"/>
    <w:basedOn w:val="DefaultParagraphFont"/>
    <w:link w:val="Footer"/>
    <w:uiPriority w:val="57"/>
    <w:rsid w:val="00391EA1"/>
    <w:rPr>
      <w:rFonts w:ascii="Calibri" w:eastAsia="Times New Roman" w:hAnsi="Calibri" w:cs="Times New Roman"/>
      <w:kern w:val="0"/>
      <w:sz w:val="20"/>
      <w:szCs w:val="20"/>
      <w:lang w:val="en-GB" w:eastAsia="en-GB"/>
      <w14:ligatures w14:val="none"/>
    </w:rPr>
  </w:style>
  <w:style w:type="character" w:styleId="Hyperlink">
    <w:name w:val="Hyperlink"/>
    <w:uiPriority w:val="99"/>
    <w:unhideWhenUsed/>
    <w:rsid w:val="00391EA1"/>
    <w:rPr>
      <w:color w:val="0000FF"/>
      <w:u w:val="single"/>
    </w:rPr>
  </w:style>
  <w:style w:type="paragraph" w:styleId="ListParagraph">
    <w:name w:val="List Paragraph"/>
    <w:basedOn w:val="Normal"/>
    <w:uiPriority w:val="99"/>
    <w:qFormat/>
    <w:rsid w:val="00391EA1"/>
    <w:pPr>
      <w:ind w:left="720"/>
      <w:contextualSpacing/>
    </w:pPr>
  </w:style>
  <w:style w:type="paragraph" w:styleId="BalloonText">
    <w:name w:val="Balloon Text"/>
    <w:basedOn w:val="Normal"/>
    <w:link w:val="BalloonTextChar"/>
    <w:uiPriority w:val="99"/>
    <w:semiHidden/>
    <w:unhideWhenUsed/>
    <w:rsid w:val="00391EA1"/>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391EA1"/>
    <w:rPr>
      <w:rFonts w:ascii="Tahoma" w:eastAsia="Times New Roman" w:hAnsi="Tahoma" w:cs="Times New Roman"/>
      <w:kern w:val="0"/>
      <w:sz w:val="16"/>
      <w:szCs w:val="16"/>
      <w:lang w:val="x-none" w:eastAsia="x-none"/>
      <w14:ligatures w14:val="none"/>
    </w:rPr>
  </w:style>
  <w:style w:type="paragraph" w:styleId="NoSpacing">
    <w:name w:val="No Spacing"/>
    <w:link w:val="NoSpacingChar"/>
    <w:uiPriority w:val="99"/>
    <w:qFormat/>
    <w:rsid w:val="00391EA1"/>
    <w:pPr>
      <w:spacing w:after="0" w:line="240" w:lineRule="auto"/>
    </w:pPr>
    <w:rPr>
      <w:rFonts w:ascii="Calibri" w:eastAsia="Times New Roman" w:hAnsi="Calibri" w:cs="Times New Roman"/>
      <w:kern w:val="0"/>
      <w14:ligatures w14:val="none"/>
    </w:rPr>
  </w:style>
  <w:style w:type="paragraph" w:customStyle="1" w:styleId="Default">
    <w:name w:val="Default"/>
    <w:rsid w:val="00391EA1"/>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styleId="FootnoteText">
    <w:name w:val="footnote text"/>
    <w:basedOn w:val="Normal"/>
    <w:link w:val="FootnoteTextChar"/>
    <w:uiPriority w:val="99"/>
    <w:semiHidden/>
    <w:unhideWhenUsed/>
    <w:rsid w:val="00391EA1"/>
    <w:rPr>
      <w:sz w:val="20"/>
      <w:szCs w:val="20"/>
    </w:rPr>
  </w:style>
  <w:style w:type="character" w:customStyle="1" w:styleId="FootnoteTextChar">
    <w:name w:val="Footnote Text Char"/>
    <w:basedOn w:val="DefaultParagraphFont"/>
    <w:link w:val="FootnoteText"/>
    <w:uiPriority w:val="99"/>
    <w:semiHidden/>
    <w:rsid w:val="00391EA1"/>
    <w:rPr>
      <w:rFonts w:ascii="Calibri" w:eastAsia="Times New Roman" w:hAnsi="Calibri" w:cs="Times New Roman"/>
      <w:kern w:val="0"/>
      <w:sz w:val="20"/>
      <w:szCs w:val="20"/>
      <w14:ligatures w14:val="none"/>
    </w:rPr>
  </w:style>
  <w:style w:type="character" w:styleId="FootnoteReference">
    <w:name w:val="footnote reference"/>
    <w:uiPriority w:val="99"/>
    <w:semiHidden/>
    <w:unhideWhenUsed/>
    <w:rsid w:val="00391EA1"/>
    <w:rPr>
      <w:vertAlign w:val="superscript"/>
    </w:rPr>
  </w:style>
  <w:style w:type="table" w:styleId="TableGrid">
    <w:name w:val="Table Grid"/>
    <w:basedOn w:val="TableNormal"/>
    <w:uiPriority w:val="59"/>
    <w:rsid w:val="00391EA1"/>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BookTitle">
    <w:name w:val="Book Title"/>
    <w:uiPriority w:val="99"/>
    <w:qFormat/>
    <w:rsid w:val="00391EA1"/>
    <w:rPr>
      <w:i/>
      <w:iCs/>
      <w:smallCaps/>
      <w:spacing w:val="5"/>
    </w:rPr>
  </w:style>
  <w:style w:type="paragraph" w:customStyle="1" w:styleId="ECHRHeader">
    <w:name w:val="ECHR_Header"/>
    <w:aliases w:val="Ju_Header"/>
    <w:basedOn w:val="Header"/>
    <w:uiPriority w:val="4"/>
    <w:qFormat/>
    <w:rsid w:val="00391EA1"/>
    <w:pPr>
      <w:tabs>
        <w:tab w:val="clear" w:pos="4513"/>
        <w:tab w:val="clear" w:pos="9026"/>
        <w:tab w:val="center" w:pos="3686"/>
        <w:tab w:val="right" w:pos="7371"/>
      </w:tabs>
    </w:pPr>
    <w:rPr>
      <w:rFonts w:ascii="Times New Roman" w:hAnsi="Times New Roman"/>
      <w:sz w:val="18"/>
      <w:lang w:eastAsia="x-none"/>
    </w:rPr>
  </w:style>
  <w:style w:type="paragraph" w:customStyle="1" w:styleId="DecHTitle">
    <w:name w:val="Dec_H_Title"/>
    <w:basedOn w:val="ECHRTitleCentre1"/>
    <w:uiPriority w:val="7"/>
    <w:semiHidden/>
    <w:qFormat/>
    <w:rsid w:val="00391EA1"/>
  </w:style>
  <w:style w:type="character" w:styleId="Strong">
    <w:name w:val="Strong"/>
    <w:uiPriority w:val="99"/>
    <w:qFormat/>
    <w:rsid w:val="00391EA1"/>
    <w:rPr>
      <w:b/>
      <w:bCs/>
    </w:rPr>
  </w:style>
  <w:style w:type="character" w:customStyle="1" w:styleId="NoSpacingChar">
    <w:name w:val="No Spacing Char"/>
    <w:link w:val="NoSpacing"/>
    <w:uiPriority w:val="1"/>
    <w:rsid w:val="00391EA1"/>
    <w:rPr>
      <w:rFonts w:ascii="Calibri" w:eastAsia="Times New Roman" w:hAnsi="Calibri" w:cs="Times New Roman"/>
      <w:kern w:val="0"/>
      <w14:ligatures w14:val="none"/>
    </w:rPr>
  </w:style>
  <w:style w:type="paragraph" w:customStyle="1" w:styleId="ECHRParaQuote">
    <w:name w:val="ECHR_Para_Quote"/>
    <w:aliases w:val="Ju_Quot"/>
    <w:basedOn w:val="Normal"/>
    <w:uiPriority w:val="14"/>
    <w:qFormat/>
    <w:rsid w:val="00391EA1"/>
    <w:pPr>
      <w:spacing w:before="120" w:after="120" w:line="240" w:lineRule="auto"/>
      <w:ind w:left="425" w:firstLine="142"/>
      <w:jc w:val="both"/>
    </w:pPr>
    <w:rPr>
      <w:rFonts w:ascii="Times New Roman" w:eastAsia="MS Mincho" w:hAnsi="Times New Roman"/>
      <w:sz w:val="20"/>
      <w:lang w:val="en-GB"/>
    </w:rPr>
  </w:style>
  <w:style w:type="paragraph" w:customStyle="1" w:styleId="DecList">
    <w:name w:val="Dec_List"/>
    <w:basedOn w:val="Normal"/>
    <w:uiPriority w:val="9"/>
    <w:semiHidden/>
    <w:qFormat/>
    <w:rsid w:val="00391EA1"/>
    <w:pPr>
      <w:spacing w:before="240" w:after="0" w:line="240" w:lineRule="auto"/>
      <w:ind w:left="284"/>
      <w:jc w:val="both"/>
    </w:pPr>
    <w:rPr>
      <w:rFonts w:ascii="Times New Roman" w:eastAsia="MS Mincho" w:hAnsi="Times New Roman"/>
      <w:sz w:val="24"/>
      <w:lang w:val="en-GB"/>
    </w:rPr>
  </w:style>
  <w:style w:type="paragraph" w:customStyle="1" w:styleId="DummyStyle">
    <w:name w:val="Dummy_Style"/>
    <w:basedOn w:val="Normal"/>
    <w:semiHidden/>
    <w:qFormat/>
    <w:rsid w:val="00391EA1"/>
    <w:pPr>
      <w:spacing w:after="0" w:line="240" w:lineRule="auto"/>
      <w:jc w:val="both"/>
    </w:pPr>
    <w:rPr>
      <w:rFonts w:ascii="Times New Roman" w:eastAsia="MS Mincho" w:hAnsi="Times New Roman"/>
      <w:color w:val="00B050"/>
      <w:sz w:val="24"/>
      <w:lang w:val="en-GB"/>
    </w:rPr>
  </w:style>
  <w:style w:type="paragraph" w:customStyle="1" w:styleId="JuAppQuestion">
    <w:name w:val="Ju_App_Question"/>
    <w:basedOn w:val="Normal"/>
    <w:uiPriority w:val="5"/>
    <w:semiHidden/>
    <w:qFormat/>
    <w:rsid w:val="00391EA1"/>
    <w:pPr>
      <w:numPr>
        <w:numId w:val="15"/>
      </w:numPr>
      <w:spacing w:after="0" w:line="240" w:lineRule="auto"/>
    </w:pPr>
    <w:rPr>
      <w:rFonts w:ascii="Times New Roman" w:eastAsia="MS Mincho" w:hAnsi="Times New Roman"/>
      <w:b/>
      <w:sz w:val="24"/>
      <w:lang w:val="en-GB"/>
    </w:rPr>
  </w:style>
  <w:style w:type="paragraph" w:customStyle="1" w:styleId="JuCourt">
    <w:name w:val="Ju_Court"/>
    <w:basedOn w:val="Normal"/>
    <w:next w:val="Normal"/>
    <w:uiPriority w:val="16"/>
    <w:qFormat/>
    <w:rsid w:val="00391EA1"/>
    <w:pPr>
      <w:tabs>
        <w:tab w:val="left" w:pos="907"/>
        <w:tab w:val="left" w:pos="1701"/>
        <w:tab w:val="right" w:pos="7371"/>
      </w:tabs>
      <w:spacing w:before="240" w:after="0" w:line="240" w:lineRule="auto"/>
      <w:ind w:left="397" w:hanging="397"/>
    </w:pPr>
    <w:rPr>
      <w:rFonts w:ascii="Times New Roman" w:eastAsia="MS Mincho" w:hAnsi="Times New Roman"/>
      <w:sz w:val="24"/>
      <w:lang w:val="en-GB" w:bidi="en-US"/>
    </w:rPr>
  </w:style>
  <w:style w:type="paragraph" w:customStyle="1" w:styleId="ECHRTitleCentre3">
    <w:name w:val="ECHR_Title_Centre_3"/>
    <w:aliases w:val="Ju_H_Article"/>
    <w:basedOn w:val="Normal"/>
    <w:next w:val="ECHRParaQuote"/>
    <w:uiPriority w:val="27"/>
    <w:qFormat/>
    <w:rsid w:val="00391EA1"/>
    <w:pPr>
      <w:keepNext/>
      <w:keepLines/>
      <w:spacing w:before="240" w:after="120" w:line="240" w:lineRule="auto"/>
      <w:jc w:val="center"/>
      <w:outlineLvl w:val="3"/>
    </w:pPr>
    <w:rPr>
      <w:rFonts w:ascii="Times New Roman" w:eastAsia="MS Mincho" w:hAnsi="Times New Roman"/>
      <w:b/>
      <w:sz w:val="20"/>
      <w:lang w:val="en-GB" w:bidi="en-US"/>
    </w:rPr>
  </w:style>
  <w:style w:type="paragraph" w:customStyle="1" w:styleId="ECHRTitleCentre1">
    <w:name w:val="ECHR_Title_Centre_1"/>
    <w:aliases w:val="Opi_H_Head"/>
    <w:basedOn w:val="Normal"/>
    <w:next w:val="OpiPara"/>
    <w:uiPriority w:val="39"/>
    <w:qFormat/>
    <w:rsid w:val="00391EA1"/>
    <w:pPr>
      <w:keepNext/>
      <w:keepLines/>
      <w:spacing w:after="240" w:line="240" w:lineRule="auto"/>
      <w:jc w:val="center"/>
      <w:outlineLvl w:val="0"/>
    </w:pPr>
    <w:rPr>
      <w:rFonts w:ascii="Times New Roman" w:eastAsia="MS Mincho" w:hAnsi="Times New Roman"/>
      <w:sz w:val="28"/>
      <w:lang w:val="en-GB"/>
    </w:rPr>
  </w:style>
  <w:style w:type="paragraph" w:customStyle="1" w:styleId="JuHeaderLandscape">
    <w:name w:val="Ju_Header_Landscape"/>
    <w:basedOn w:val="ECHRHeader"/>
    <w:uiPriority w:val="4"/>
    <w:qFormat/>
    <w:rsid w:val="00391EA1"/>
    <w:pPr>
      <w:tabs>
        <w:tab w:val="clear" w:pos="3686"/>
        <w:tab w:val="clear" w:pos="7371"/>
        <w:tab w:val="center" w:pos="6146"/>
        <w:tab w:val="right" w:pos="12293"/>
      </w:tabs>
    </w:pPr>
  </w:style>
  <w:style w:type="paragraph" w:customStyle="1" w:styleId="ECHRTitle1">
    <w:name w:val="ECHR_Title_1"/>
    <w:aliases w:val="Ju_H_Head"/>
    <w:basedOn w:val="Normal"/>
    <w:next w:val="ECHRPara"/>
    <w:uiPriority w:val="18"/>
    <w:qFormat/>
    <w:rsid w:val="00391EA1"/>
    <w:pPr>
      <w:keepNext/>
      <w:keepLines/>
      <w:spacing w:before="720" w:after="240" w:line="240" w:lineRule="auto"/>
      <w:jc w:val="both"/>
      <w:outlineLvl w:val="0"/>
    </w:pPr>
    <w:rPr>
      <w:rFonts w:ascii="Times New Roman" w:eastAsia="MS Mincho" w:hAnsi="Times New Roman"/>
      <w:sz w:val="28"/>
      <w:lang w:val="en-GB"/>
    </w:rPr>
  </w:style>
  <w:style w:type="paragraph" w:customStyle="1" w:styleId="JuInitialled">
    <w:name w:val="Ju_Initialled"/>
    <w:basedOn w:val="Normal"/>
    <w:uiPriority w:val="31"/>
    <w:qFormat/>
    <w:rsid w:val="00391EA1"/>
    <w:pPr>
      <w:tabs>
        <w:tab w:val="center" w:pos="6407"/>
      </w:tabs>
      <w:spacing w:before="720" w:after="0" w:line="240" w:lineRule="auto"/>
      <w:jc w:val="right"/>
    </w:pPr>
    <w:rPr>
      <w:rFonts w:ascii="Times New Roman" w:eastAsia="MS Mincho" w:hAnsi="Times New Roman"/>
      <w:sz w:val="24"/>
      <w:lang w:val="en-GB"/>
    </w:rPr>
  </w:style>
  <w:style w:type="paragraph" w:customStyle="1" w:styleId="JuSigned">
    <w:name w:val="Ju_Signed"/>
    <w:basedOn w:val="Normal"/>
    <w:next w:val="JuParaLast"/>
    <w:uiPriority w:val="32"/>
    <w:qFormat/>
    <w:rsid w:val="00391EA1"/>
    <w:pPr>
      <w:tabs>
        <w:tab w:val="center" w:pos="851"/>
        <w:tab w:val="center" w:pos="6407"/>
      </w:tabs>
      <w:spacing w:before="720" w:after="0" w:line="240" w:lineRule="auto"/>
    </w:pPr>
    <w:rPr>
      <w:rFonts w:ascii="Times New Roman" w:eastAsia="MS Mincho" w:hAnsi="Times New Roman"/>
      <w:sz w:val="24"/>
      <w:lang w:val="en-GB"/>
    </w:rPr>
  </w:style>
  <w:style w:type="paragraph" w:styleId="Title">
    <w:name w:val="Title"/>
    <w:basedOn w:val="Normal"/>
    <w:next w:val="Normal"/>
    <w:link w:val="TitleChar"/>
    <w:uiPriority w:val="99"/>
    <w:qFormat/>
    <w:rsid w:val="00391EA1"/>
    <w:pPr>
      <w:pBdr>
        <w:bottom w:val="single" w:sz="4" w:space="1" w:color="auto"/>
      </w:pBdr>
      <w:spacing w:after="0" w:line="240" w:lineRule="auto"/>
      <w:contextualSpacing/>
      <w:jc w:val="both"/>
    </w:pPr>
    <w:rPr>
      <w:rFonts w:ascii="Times New Roman" w:eastAsia="MS Gothic" w:hAnsi="Times New Roman"/>
      <w:spacing w:val="5"/>
      <w:sz w:val="52"/>
      <w:szCs w:val="52"/>
      <w:lang w:val="x-none" w:eastAsia="x-none" w:bidi="en-US"/>
    </w:rPr>
  </w:style>
  <w:style w:type="character" w:customStyle="1" w:styleId="TitleChar">
    <w:name w:val="Title Char"/>
    <w:basedOn w:val="DefaultParagraphFont"/>
    <w:link w:val="Title"/>
    <w:uiPriority w:val="99"/>
    <w:rsid w:val="00391EA1"/>
    <w:rPr>
      <w:rFonts w:ascii="Times New Roman" w:eastAsia="MS Gothic" w:hAnsi="Times New Roman" w:cs="Times New Roman"/>
      <w:spacing w:val="5"/>
      <w:kern w:val="0"/>
      <w:sz w:val="52"/>
      <w:szCs w:val="52"/>
      <w:lang w:val="x-none" w:eastAsia="x-none" w:bidi="en-US"/>
      <w14:ligatures w14:val="none"/>
    </w:rPr>
  </w:style>
  <w:style w:type="character" w:customStyle="1" w:styleId="JuITMark">
    <w:name w:val="Ju_ITMark"/>
    <w:uiPriority w:val="38"/>
    <w:qFormat/>
    <w:rsid w:val="00391EA1"/>
    <w:rPr>
      <w:vanish w:val="0"/>
      <w:color w:val="auto"/>
      <w:sz w:val="14"/>
      <w:bdr w:val="none" w:sz="0" w:space="0" w:color="auto"/>
      <w:shd w:val="clear" w:color="auto" w:fill="BEE5FF"/>
    </w:rPr>
  </w:style>
  <w:style w:type="paragraph" w:customStyle="1" w:styleId="JuLista">
    <w:name w:val="Ju_List_a"/>
    <w:basedOn w:val="JuList"/>
    <w:uiPriority w:val="28"/>
    <w:qFormat/>
    <w:rsid w:val="00391EA1"/>
    <w:pPr>
      <w:ind w:left="346" w:firstLine="0"/>
    </w:pPr>
  </w:style>
  <w:style w:type="paragraph" w:customStyle="1" w:styleId="JuListi">
    <w:name w:val="Ju_List_i"/>
    <w:basedOn w:val="Normal"/>
    <w:next w:val="JuLista"/>
    <w:uiPriority w:val="28"/>
    <w:qFormat/>
    <w:rsid w:val="00391EA1"/>
    <w:pPr>
      <w:spacing w:after="0" w:line="240" w:lineRule="auto"/>
      <w:ind w:left="794"/>
      <w:jc w:val="both"/>
    </w:pPr>
    <w:rPr>
      <w:rFonts w:ascii="Times New Roman" w:eastAsia="MS Mincho" w:hAnsi="Times New Roman"/>
      <w:sz w:val="24"/>
      <w:lang w:val="en-GB"/>
    </w:rPr>
  </w:style>
  <w:style w:type="character" w:customStyle="1" w:styleId="JUNAMES">
    <w:name w:val="JU_NAMES"/>
    <w:uiPriority w:val="17"/>
    <w:qFormat/>
    <w:rsid w:val="00391EA1"/>
    <w:rPr>
      <w:caps w:val="0"/>
      <w:smallCaps/>
    </w:rPr>
  </w:style>
  <w:style w:type="paragraph" w:customStyle="1" w:styleId="JuParaSub">
    <w:name w:val="Ju_Para_Sub"/>
    <w:basedOn w:val="ECHRPara"/>
    <w:uiPriority w:val="13"/>
    <w:qFormat/>
    <w:rsid w:val="00391EA1"/>
    <w:pPr>
      <w:ind w:left="284"/>
    </w:pPr>
  </w:style>
  <w:style w:type="paragraph" w:customStyle="1" w:styleId="ECHRHeading1">
    <w:name w:val="ECHR_Heading_1"/>
    <w:aliases w:val="Ju_H_I_Roman"/>
    <w:basedOn w:val="Heading1"/>
    <w:next w:val="ECHRPara"/>
    <w:uiPriority w:val="19"/>
    <w:qFormat/>
    <w:rsid w:val="00391EA1"/>
  </w:style>
  <w:style w:type="paragraph" w:customStyle="1" w:styleId="ECHRHeading2">
    <w:name w:val="ECHR_Heading_2"/>
    <w:aliases w:val="Ju_H_A"/>
    <w:basedOn w:val="Heading2"/>
    <w:next w:val="ECHRPara"/>
    <w:uiPriority w:val="20"/>
    <w:qFormat/>
    <w:rsid w:val="00391EA1"/>
  </w:style>
  <w:style w:type="paragraph" w:customStyle="1" w:styleId="ECHRHeading3">
    <w:name w:val="ECHR_Heading_3"/>
    <w:aliases w:val="Ju_H_1."/>
    <w:basedOn w:val="Heading3"/>
    <w:next w:val="ECHRPara"/>
    <w:uiPriority w:val="21"/>
    <w:qFormat/>
    <w:rsid w:val="00391EA1"/>
  </w:style>
  <w:style w:type="paragraph" w:customStyle="1" w:styleId="ECHRHeading4">
    <w:name w:val="ECHR_Heading_4"/>
    <w:aliases w:val="Ju_H_a"/>
    <w:basedOn w:val="Heading4"/>
    <w:next w:val="ECHRPara"/>
    <w:uiPriority w:val="22"/>
    <w:qFormat/>
    <w:rsid w:val="00391EA1"/>
  </w:style>
  <w:style w:type="paragraph" w:customStyle="1" w:styleId="ECHRHeading5">
    <w:name w:val="ECHR_Heading_5"/>
    <w:aliases w:val="Ju_H_i"/>
    <w:basedOn w:val="Heading5"/>
    <w:next w:val="ECHRPara"/>
    <w:uiPriority w:val="23"/>
    <w:qFormat/>
    <w:rsid w:val="00391EA1"/>
  </w:style>
  <w:style w:type="paragraph" w:customStyle="1" w:styleId="ECHRHeading6">
    <w:name w:val="ECHR_Heading_6"/>
    <w:aliases w:val="Ju_H_alpha"/>
    <w:basedOn w:val="Heading6"/>
    <w:next w:val="ECHRPara"/>
    <w:uiPriority w:val="24"/>
    <w:qFormat/>
    <w:rsid w:val="00391EA1"/>
  </w:style>
  <w:style w:type="paragraph" w:customStyle="1" w:styleId="ECHRHeading7">
    <w:name w:val="ECHR_Heading_7"/>
    <w:aliases w:val="Ju_H_–"/>
    <w:basedOn w:val="Heading7"/>
    <w:next w:val="ECHRPara"/>
    <w:uiPriority w:val="25"/>
    <w:qFormat/>
    <w:rsid w:val="00391EA1"/>
  </w:style>
  <w:style w:type="paragraph" w:customStyle="1" w:styleId="JuParaLast">
    <w:name w:val="Ju_Para_Last"/>
    <w:basedOn w:val="Normal"/>
    <w:next w:val="ECHRPara"/>
    <w:uiPriority w:val="30"/>
    <w:qFormat/>
    <w:rsid w:val="00391EA1"/>
    <w:pPr>
      <w:keepNext/>
      <w:keepLines/>
      <w:spacing w:before="240" w:after="0" w:line="240" w:lineRule="auto"/>
      <w:ind w:firstLine="284"/>
      <w:jc w:val="both"/>
    </w:pPr>
    <w:rPr>
      <w:rFonts w:ascii="Times New Roman" w:eastAsia="MS Mincho" w:hAnsi="Times New Roman"/>
      <w:sz w:val="24"/>
      <w:lang w:val="en-GB"/>
    </w:rPr>
  </w:style>
  <w:style w:type="paragraph" w:customStyle="1" w:styleId="ECHRDecisionBody">
    <w:name w:val="ECHR_Decision_Body"/>
    <w:aliases w:val="Ju_Judges"/>
    <w:basedOn w:val="Normal"/>
    <w:qFormat/>
    <w:rsid w:val="00391EA1"/>
    <w:pPr>
      <w:tabs>
        <w:tab w:val="left" w:pos="567"/>
        <w:tab w:val="left" w:pos="1134"/>
      </w:tabs>
      <w:spacing w:after="0" w:line="240" w:lineRule="auto"/>
    </w:pPr>
    <w:rPr>
      <w:rFonts w:ascii="Times New Roman" w:eastAsia="MS Mincho" w:hAnsi="Times New Roman"/>
      <w:sz w:val="24"/>
      <w:lang w:val="en-GB"/>
    </w:rPr>
  </w:style>
  <w:style w:type="paragraph" w:customStyle="1" w:styleId="JuList">
    <w:name w:val="Ju_List"/>
    <w:basedOn w:val="Normal"/>
    <w:uiPriority w:val="28"/>
    <w:qFormat/>
    <w:rsid w:val="00391EA1"/>
    <w:pPr>
      <w:spacing w:after="0" w:line="240" w:lineRule="auto"/>
      <w:ind w:left="340" w:hanging="340"/>
      <w:jc w:val="both"/>
    </w:pPr>
    <w:rPr>
      <w:rFonts w:ascii="Times New Roman" w:eastAsia="MS Mincho" w:hAnsi="Times New Roman"/>
      <w:sz w:val="24"/>
      <w:lang w:val="en-GB"/>
    </w:rPr>
  </w:style>
  <w:style w:type="paragraph" w:customStyle="1" w:styleId="JuQuotSub">
    <w:name w:val="Ju_Quot_Sub"/>
    <w:basedOn w:val="ECHRParaQuote"/>
    <w:uiPriority w:val="15"/>
    <w:qFormat/>
    <w:rsid w:val="00391EA1"/>
    <w:pPr>
      <w:ind w:left="567"/>
    </w:pPr>
  </w:style>
  <w:style w:type="paragraph" w:customStyle="1" w:styleId="JuTitle">
    <w:name w:val="Ju_Title"/>
    <w:basedOn w:val="Normal"/>
    <w:next w:val="ECHRPara"/>
    <w:uiPriority w:val="3"/>
    <w:semiHidden/>
    <w:qFormat/>
    <w:rsid w:val="00391EA1"/>
    <w:pPr>
      <w:spacing w:before="720" w:after="240" w:line="240" w:lineRule="auto"/>
      <w:jc w:val="center"/>
      <w:outlineLvl w:val="0"/>
    </w:pPr>
    <w:rPr>
      <w:rFonts w:ascii="Times New Roman" w:eastAsia="MS Mincho" w:hAnsi="Times New Roman"/>
      <w:b/>
      <w:caps/>
      <w:sz w:val="24"/>
      <w:lang w:val="en-GB"/>
    </w:rPr>
  </w:style>
  <w:style w:type="character" w:styleId="SubtleEmphasis">
    <w:name w:val="Subtle Emphasis"/>
    <w:uiPriority w:val="99"/>
    <w:qFormat/>
    <w:rsid w:val="00391EA1"/>
    <w:rPr>
      <w:i/>
      <w:iCs/>
    </w:rPr>
  </w:style>
  <w:style w:type="paragraph" w:customStyle="1" w:styleId="OpiH1">
    <w:name w:val="Opi_H_1"/>
    <w:basedOn w:val="ECHRHeading2"/>
    <w:uiPriority w:val="42"/>
    <w:qFormat/>
    <w:rsid w:val="00391EA1"/>
    <w:pPr>
      <w:keepLines/>
      <w:numPr>
        <w:ilvl w:val="0"/>
        <w:numId w:val="0"/>
      </w:numPr>
      <w:tabs>
        <w:tab w:val="left" w:pos="584"/>
      </w:tabs>
      <w:spacing w:before="360" w:after="240" w:line="240" w:lineRule="auto"/>
      <w:ind w:left="635" w:hanging="357"/>
      <w:jc w:val="both"/>
      <w:outlineLvl w:val="2"/>
    </w:pPr>
    <w:rPr>
      <w:rFonts w:ascii="Times New Roman" w:eastAsia="MS Gothic" w:hAnsi="Times New Roman"/>
      <w:i w:val="0"/>
      <w:iCs w:val="0"/>
      <w:sz w:val="24"/>
      <w:szCs w:val="26"/>
      <w:lang w:val="en-GB" w:eastAsia="x-none"/>
    </w:rPr>
  </w:style>
  <w:style w:type="table" w:customStyle="1" w:styleId="ECHRTable">
    <w:name w:val="ECHR_Table"/>
    <w:basedOn w:val="TableNormal"/>
    <w:rsid w:val="00391EA1"/>
    <w:pPr>
      <w:spacing w:after="0" w:line="240" w:lineRule="auto"/>
    </w:pPr>
    <w:rPr>
      <w:rFonts w:ascii="Times New Roman" w:eastAsia="Times New Roman" w:hAnsi="Times New Roman" w:cs="Times New Roman"/>
      <w:kern w:val="0"/>
      <w:sz w:val="20"/>
      <w:szCs w:val="20"/>
      <w:lang w:val="en-GB"/>
      <w14:ligatures w14:val="none"/>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
    <w:name w:val="ECHR_Table_Box_Header"/>
    <w:basedOn w:val="TableNormal"/>
    <w:rsid w:val="00391EA1"/>
    <w:pPr>
      <w:spacing w:after="0" w:line="240" w:lineRule="auto"/>
    </w:pPr>
    <w:rPr>
      <w:rFonts w:ascii="Verdana" w:eastAsia="Times New Roman" w:hAnsi="Verdana" w:cs="Times New Roman"/>
      <w:kern w:val="0"/>
      <w:sz w:val="20"/>
      <w:szCs w:val="20"/>
      <w:lang w:val="en-GB"/>
      <w14:ligatures w14:val="none"/>
    </w:rPr>
    <w:tblPr>
      <w:tblCellMar>
        <w:top w:w="57" w:type="dxa"/>
        <w:left w:w="57" w:type="dxa"/>
        <w:bottom w:w="57" w:type="dxa"/>
        <w:right w:w="57" w:type="dxa"/>
      </w:tblCellMar>
    </w:tblPr>
    <w:tcPr>
      <w:shd w:val="clear" w:color="auto" w:fill="F8F8F8"/>
    </w:tcPr>
    <w:tblStylePr w:type="firstCol">
      <w:rPr>
        <w:b/>
        <w:color w:val="5F5F5F"/>
      </w:rPr>
    </w:tblStylePr>
  </w:style>
  <w:style w:type="paragraph" w:customStyle="1" w:styleId="OpiHa">
    <w:name w:val="Opi_H_a"/>
    <w:basedOn w:val="ECHRHeading3"/>
    <w:uiPriority w:val="43"/>
    <w:qFormat/>
    <w:rsid w:val="00391EA1"/>
    <w:pPr>
      <w:keepLines/>
      <w:numPr>
        <w:ilvl w:val="0"/>
        <w:numId w:val="0"/>
      </w:numPr>
      <w:tabs>
        <w:tab w:val="left" w:pos="731"/>
      </w:tabs>
      <w:spacing w:after="120" w:line="240" w:lineRule="auto"/>
      <w:ind w:left="833" w:hanging="357"/>
      <w:jc w:val="both"/>
      <w:outlineLvl w:val="3"/>
    </w:pPr>
    <w:rPr>
      <w:rFonts w:ascii="Times New Roman" w:eastAsia="MS Gothic" w:hAnsi="Times New Roman"/>
      <w:sz w:val="20"/>
      <w:szCs w:val="20"/>
      <w:lang w:val="en-GB" w:eastAsia="x-none"/>
    </w:rPr>
  </w:style>
  <w:style w:type="paragraph" w:customStyle="1" w:styleId="OpiHA0">
    <w:name w:val="Opi_H_A"/>
    <w:basedOn w:val="ECHRHeading1"/>
    <w:next w:val="OpiPara"/>
    <w:uiPriority w:val="41"/>
    <w:qFormat/>
    <w:rsid w:val="00391EA1"/>
    <w:pPr>
      <w:keepLines/>
      <w:numPr>
        <w:numId w:val="0"/>
      </w:numPr>
      <w:spacing w:before="360" w:after="240" w:line="240" w:lineRule="auto"/>
      <w:ind w:left="357" w:hanging="357"/>
      <w:jc w:val="both"/>
      <w:outlineLvl w:val="1"/>
    </w:pPr>
    <w:rPr>
      <w:rFonts w:ascii="Times New Roman" w:eastAsia="MS Gothic" w:hAnsi="Times New Roman"/>
      <w:kern w:val="0"/>
      <w:sz w:val="24"/>
      <w:szCs w:val="28"/>
      <w:lang w:val="en-GB" w:eastAsia="x-none"/>
    </w:rPr>
  </w:style>
  <w:style w:type="paragraph" w:customStyle="1" w:styleId="OpiHi">
    <w:name w:val="Opi_H_i"/>
    <w:basedOn w:val="ECHRHeading4"/>
    <w:uiPriority w:val="44"/>
    <w:qFormat/>
    <w:rsid w:val="00391EA1"/>
    <w:pPr>
      <w:keepLines/>
      <w:numPr>
        <w:ilvl w:val="0"/>
        <w:numId w:val="0"/>
      </w:numPr>
      <w:tabs>
        <w:tab w:val="left" w:pos="975"/>
      </w:tabs>
      <w:spacing w:after="120" w:line="240" w:lineRule="auto"/>
      <w:ind w:left="1037" w:hanging="357"/>
      <w:jc w:val="both"/>
      <w:outlineLvl w:val="4"/>
    </w:pPr>
    <w:rPr>
      <w:rFonts w:ascii="Times New Roman" w:eastAsia="MS Gothic" w:hAnsi="Times New Roman"/>
      <w:b w:val="0"/>
      <w:i/>
      <w:iCs/>
      <w:sz w:val="20"/>
      <w:szCs w:val="20"/>
      <w:lang w:val="en-GB" w:eastAsia="x-none"/>
    </w:rPr>
  </w:style>
  <w:style w:type="character" w:styleId="Emphasis">
    <w:name w:val="Emphasis"/>
    <w:uiPriority w:val="99"/>
    <w:qFormat/>
    <w:rsid w:val="00391EA1"/>
    <w:rPr>
      <w:b/>
      <w:bCs/>
      <w:i/>
      <w:iCs/>
      <w:spacing w:val="10"/>
      <w:bdr w:val="none" w:sz="0" w:space="0" w:color="auto"/>
      <w:shd w:val="clear" w:color="auto" w:fill="auto"/>
    </w:rPr>
  </w:style>
  <w:style w:type="character" w:styleId="IntenseEmphasis">
    <w:name w:val="Intense Emphasis"/>
    <w:uiPriority w:val="99"/>
    <w:qFormat/>
    <w:rsid w:val="00391EA1"/>
    <w:rPr>
      <w:b/>
      <w:bCs/>
    </w:rPr>
  </w:style>
  <w:style w:type="paragraph" w:styleId="IntenseQuote">
    <w:name w:val="Intense Quote"/>
    <w:basedOn w:val="Normal"/>
    <w:next w:val="Normal"/>
    <w:link w:val="IntenseQuoteChar"/>
    <w:uiPriority w:val="99"/>
    <w:qFormat/>
    <w:rsid w:val="00391EA1"/>
    <w:pPr>
      <w:pBdr>
        <w:bottom w:val="single" w:sz="4" w:space="1" w:color="auto"/>
      </w:pBdr>
      <w:spacing w:before="200" w:after="280" w:line="240" w:lineRule="auto"/>
      <w:ind w:left="1008" w:right="1152"/>
      <w:jc w:val="both"/>
    </w:pPr>
    <w:rPr>
      <w:rFonts w:ascii="Times New Roman" w:eastAsia="MS Mincho" w:hAnsi="Times New Roman"/>
      <w:b/>
      <w:bCs/>
      <w:i/>
      <w:iCs/>
      <w:sz w:val="20"/>
      <w:szCs w:val="20"/>
      <w:lang w:val="x-none" w:eastAsia="x-none" w:bidi="en-US"/>
    </w:rPr>
  </w:style>
  <w:style w:type="character" w:customStyle="1" w:styleId="IntenseQuoteChar">
    <w:name w:val="Intense Quote Char"/>
    <w:basedOn w:val="DefaultParagraphFont"/>
    <w:link w:val="IntenseQuote"/>
    <w:uiPriority w:val="99"/>
    <w:rsid w:val="00391EA1"/>
    <w:rPr>
      <w:rFonts w:ascii="Times New Roman" w:eastAsia="MS Mincho" w:hAnsi="Times New Roman" w:cs="Times New Roman"/>
      <w:b/>
      <w:bCs/>
      <w:i/>
      <w:iCs/>
      <w:kern w:val="0"/>
      <w:sz w:val="20"/>
      <w:szCs w:val="20"/>
      <w:lang w:val="x-none" w:eastAsia="x-none" w:bidi="en-US"/>
      <w14:ligatures w14:val="none"/>
    </w:rPr>
  </w:style>
  <w:style w:type="character" w:styleId="IntenseReference">
    <w:name w:val="Intense Reference"/>
    <w:uiPriority w:val="99"/>
    <w:qFormat/>
    <w:rsid w:val="00391EA1"/>
    <w:rPr>
      <w:smallCaps/>
      <w:spacing w:val="5"/>
      <w:u w:val="single"/>
    </w:rPr>
  </w:style>
  <w:style w:type="table" w:customStyle="1" w:styleId="LtrTableAddress">
    <w:name w:val="Ltr_Table_Address"/>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Ind w:w="5103" w:type="dxa"/>
    </w:tblPr>
  </w:style>
  <w:style w:type="paragraph" w:styleId="Quote">
    <w:name w:val="Quote"/>
    <w:basedOn w:val="Normal"/>
    <w:next w:val="Normal"/>
    <w:link w:val="QuoteChar"/>
    <w:uiPriority w:val="99"/>
    <w:qFormat/>
    <w:rsid w:val="00391EA1"/>
    <w:pPr>
      <w:spacing w:before="200" w:after="0" w:line="240" w:lineRule="auto"/>
      <w:ind w:left="360" w:right="360"/>
      <w:jc w:val="both"/>
    </w:pPr>
    <w:rPr>
      <w:rFonts w:ascii="Times New Roman" w:eastAsia="MS Mincho" w:hAnsi="Times New Roman"/>
      <w:i/>
      <w:iCs/>
      <w:sz w:val="20"/>
      <w:szCs w:val="20"/>
      <w:lang w:val="x-none" w:eastAsia="x-none" w:bidi="en-US"/>
    </w:rPr>
  </w:style>
  <w:style w:type="character" w:customStyle="1" w:styleId="QuoteChar">
    <w:name w:val="Quote Char"/>
    <w:basedOn w:val="DefaultParagraphFont"/>
    <w:link w:val="Quote"/>
    <w:uiPriority w:val="99"/>
    <w:rsid w:val="00391EA1"/>
    <w:rPr>
      <w:rFonts w:ascii="Times New Roman" w:eastAsia="MS Mincho" w:hAnsi="Times New Roman" w:cs="Times New Roman"/>
      <w:i/>
      <w:iCs/>
      <w:kern w:val="0"/>
      <w:sz w:val="20"/>
      <w:szCs w:val="20"/>
      <w:lang w:val="x-none" w:eastAsia="x-none" w:bidi="en-US"/>
      <w14:ligatures w14:val="none"/>
    </w:rPr>
  </w:style>
  <w:style w:type="character" w:styleId="SubtleReference">
    <w:name w:val="Subtle Reference"/>
    <w:uiPriority w:val="99"/>
    <w:qFormat/>
    <w:rsid w:val="00391EA1"/>
    <w:rPr>
      <w:smallCaps/>
    </w:rPr>
  </w:style>
  <w:style w:type="paragraph" w:styleId="TOC1">
    <w:name w:val="toc 1"/>
    <w:basedOn w:val="Normal"/>
    <w:next w:val="Normal"/>
    <w:autoRedefine/>
    <w:uiPriority w:val="99"/>
    <w:semiHidden/>
    <w:rsid w:val="00391EA1"/>
    <w:pPr>
      <w:keepNext/>
      <w:tabs>
        <w:tab w:val="right" w:leader="dot" w:pos="7371"/>
      </w:tabs>
      <w:spacing w:before="160" w:after="60" w:line="240" w:lineRule="exact"/>
      <w:ind w:left="340" w:right="567" w:hanging="340"/>
      <w:jc w:val="both"/>
    </w:pPr>
    <w:rPr>
      <w:rFonts w:ascii="Times New Roman" w:eastAsia="MS Mincho" w:hAnsi="Times New Roman"/>
      <w:b/>
      <w:lang w:val="en-GB"/>
    </w:rPr>
  </w:style>
  <w:style w:type="paragraph" w:styleId="TOC2">
    <w:name w:val="toc 2"/>
    <w:basedOn w:val="Normal"/>
    <w:next w:val="Normal"/>
    <w:autoRedefine/>
    <w:uiPriority w:val="99"/>
    <w:semiHidden/>
    <w:rsid w:val="00391EA1"/>
    <w:pPr>
      <w:keepNext/>
      <w:tabs>
        <w:tab w:val="right" w:leader="dot" w:pos="7371"/>
      </w:tabs>
      <w:spacing w:after="60" w:line="240" w:lineRule="exact"/>
      <w:ind w:left="680" w:right="567" w:hanging="340"/>
      <w:jc w:val="both"/>
    </w:pPr>
    <w:rPr>
      <w:rFonts w:ascii="Times New Roman" w:eastAsia="MS Mincho" w:hAnsi="Times New Roman"/>
      <w:lang w:val="en-GB"/>
    </w:rPr>
  </w:style>
  <w:style w:type="paragraph" w:styleId="TOC3">
    <w:name w:val="toc 3"/>
    <w:basedOn w:val="Normal"/>
    <w:next w:val="Normal"/>
    <w:autoRedefine/>
    <w:uiPriority w:val="99"/>
    <w:semiHidden/>
    <w:rsid w:val="00391EA1"/>
    <w:pPr>
      <w:keepNext/>
      <w:tabs>
        <w:tab w:val="right" w:leader="dot" w:pos="7371"/>
      </w:tabs>
      <w:spacing w:after="60" w:line="240" w:lineRule="exact"/>
      <w:ind w:left="1020" w:right="567" w:hanging="340"/>
      <w:jc w:val="both"/>
    </w:pPr>
    <w:rPr>
      <w:rFonts w:ascii="Times New Roman" w:eastAsia="MS Mincho" w:hAnsi="Times New Roman"/>
      <w:sz w:val="20"/>
      <w:lang w:val="en-GB"/>
    </w:rPr>
  </w:style>
  <w:style w:type="paragraph" w:styleId="TOC4">
    <w:name w:val="toc 4"/>
    <w:basedOn w:val="Normal"/>
    <w:next w:val="Normal"/>
    <w:autoRedefine/>
    <w:uiPriority w:val="99"/>
    <w:semiHidden/>
    <w:rsid w:val="00391EA1"/>
    <w:pPr>
      <w:tabs>
        <w:tab w:val="right" w:leader="dot" w:pos="7371"/>
      </w:tabs>
      <w:spacing w:after="60" w:line="240" w:lineRule="exact"/>
      <w:ind w:left="1361" w:right="567" w:hanging="340"/>
      <w:jc w:val="both"/>
    </w:pPr>
    <w:rPr>
      <w:rFonts w:ascii="Times New Roman" w:eastAsia="MS Mincho" w:hAnsi="Times New Roman"/>
      <w:sz w:val="20"/>
      <w:lang w:val="en-GB"/>
    </w:rPr>
  </w:style>
  <w:style w:type="paragraph" w:styleId="TOC5">
    <w:name w:val="toc 5"/>
    <w:basedOn w:val="Normal"/>
    <w:next w:val="Normal"/>
    <w:autoRedefine/>
    <w:uiPriority w:val="99"/>
    <w:semiHidden/>
    <w:rsid w:val="00391EA1"/>
    <w:pPr>
      <w:tabs>
        <w:tab w:val="right" w:leader="dot" w:pos="7371"/>
      </w:tabs>
      <w:spacing w:after="60" w:line="240" w:lineRule="exact"/>
      <w:ind w:left="1701" w:right="567" w:hanging="340"/>
      <w:jc w:val="both"/>
    </w:pPr>
    <w:rPr>
      <w:rFonts w:ascii="Times New Roman" w:eastAsia="MS Mincho" w:hAnsi="Times New Roman"/>
      <w:sz w:val="20"/>
      <w:lang w:val="en-GB"/>
    </w:rPr>
  </w:style>
  <w:style w:type="paragraph" w:styleId="TOCHeading">
    <w:name w:val="TOC Heading"/>
    <w:basedOn w:val="Normal"/>
    <w:next w:val="Normal"/>
    <w:uiPriority w:val="99"/>
    <w:semiHidden/>
    <w:qFormat/>
    <w:rsid w:val="00391EA1"/>
    <w:pPr>
      <w:keepNext/>
      <w:spacing w:before="240" w:after="60"/>
    </w:pPr>
    <w:rPr>
      <w:rFonts w:ascii="Calibri Light" w:hAnsi="Calibri Light"/>
      <w:kern w:val="32"/>
      <w:sz w:val="32"/>
      <w:szCs w:val="32"/>
    </w:rPr>
  </w:style>
  <w:style w:type="table" w:customStyle="1" w:styleId="UGTable">
    <w:name w:val="UG_Table"/>
    <w:basedOn w:val="TableNormal"/>
    <w:uiPriority w:val="99"/>
    <w:rsid w:val="00391EA1"/>
    <w:pPr>
      <w:spacing w:after="0" w:line="240" w:lineRule="auto"/>
    </w:pPr>
    <w:rPr>
      <w:rFonts w:ascii="Times New Roman" w:eastAsia="MS Mincho" w:hAnsi="Times New Roman" w:cs="Times New Roman"/>
      <w:kern w:val="0"/>
      <w:sz w:val="20"/>
      <w:szCs w:val="20"/>
      <w:lang w:val="en-GB" w:eastAsia="en-GB"/>
      <w14:ligatures w14:val="none"/>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91EA1"/>
    <w:pPr>
      <w:spacing w:after="0" w:line="240" w:lineRule="auto"/>
    </w:pPr>
    <w:rPr>
      <w:rFonts w:ascii="Times New Roman" w:eastAsia="MS Mincho" w:hAnsi="Times New Roman" w:cs="Times New Roman"/>
      <w:kern w:val="0"/>
      <w:sz w:val="20"/>
      <w:szCs w:val="20"/>
      <w:lang w:val="en-GB" w:eastAsia="en-GB"/>
      <w14:ligatures w14:val="none"/>
    </w:rPr>
    <w:tblPr>
      <w:tblInd w:w="113"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391EA1"/>
    <w:pPr>
      <w:spacing w:after="0" w:line="240" w:lineRule="auto"/>
    </w:pPr>
    <w:rPr>
      <w:rFonts w:ascii="Times New Roman" w:eastAsia="Times New Roman" w:hAnsi="Times New Roman" w:cs="Times New Roman"/>
      <w:color w:val="000000"/>
      <w:kern w:val="0"/>
      <w:sz w:val="18"/>
      <w:szCs w:val="20"/>
      <w14:ligatures w14:val="none"/>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EA1"/>
    <w:pPr>
      <w:spacing w:after="0" w:line="240" w:lineRule="auto"/>
    </w:pPr>
    <w:rPr>
      <w:rFonts w:ascii="Times New Roman" w:eastAsia="Times New Roman" w:hAnsi="Times New Roman" w:cs="Times New Roman"/>
      <w:color w:val="000000"/>
      <w:kern w:val="0"/>
      <w:sz w:val="20"/>
      <w:szCs w:val="20"/>
      <w14:ligatures w14:val="none"/>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Memo">
    <w:name w:val="ECHR_Table_Memo"/>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
    <w:name w:val="ECHR_DN_Table"/>
    <w:aliases w:val="DN_Table"/>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paragraph" w:styleId="TOAHeading">
    <w:name w:val="toa heading"/>
    <w:basedOn w:val="Normal"/>
    <w:next w:val="Normal"/>
    <w:uiPriority w:val="99"/>
    <w:semiHidden/>
    <w:rsid w:val="00391EA1"/>
    <w:pPr>
      <w:keepNext/>
      <w:keepLines/>
      <w:spacing w:before="240" w:after="0" w:line="240" w:lineRule="auto"/>
      <w:contextualSpacing/>
      <w:jc w:val="center"/>
    </w:pPr>
    <w:rPr>
      <w:rFonts w:ascii="Times New Roman" w:eastAsia="MS Gothic" w:hAnsi="Times New Roman"/>
      <w:b/>
      <w:bCs/>
      <w:color w:val="474747"/>
      <w:sz w:val="28"/>
      <w:szCs w:val="24"/>
      <w:lang w:val="en-GB"/>
    </w:rPr>
  </w:style>
  <w:style w:type="paragraph" w:styleId="Subtitle">
    <w:name w:val="Subtitle"/>
    <w:basedOn w:val="Normal"/>
    <w:next w:val="Normal"/>
    <w:link w:val="SubtitleChar"/>
    <w:uiPriority w:val="99"/>
    <w:qFormat/>
    <w:rsid w:val="00391EA1"/>
    <w:pPr>
      <w:spacing w:after="600" w:line="240" w:lineRule="auto"/>
      <w:jc w:val="both"/>
    </w:pPr>
    <w:rPr>
      <w:rFonts w:ascii="Times New Roman" w:eastAsia="MS Gothic" w:hAnsi="Times New Roman"/>
      <w:i/>
      <w:iCs/>
      <w:spacing w:val="13"/>
      <w:sz w:val="24"/>
      <w:szCs w:val="24"/>
      <w:lang w:val="x-none" w:eastAsia="x-none" w:bidi="en-US"/>
    </w:rPr>
  </w:style>
  <w:style w:type="character" w:customStyle="1" w:styleId="SubtitleChar">
    <w:name w:val="Subtitle Char"/>
    <w:basedOn w:val="DefaultParagraphFont"/>
    <w:link w:val="Subtitle"/>
    <w:uiPriority w:val="99"/>
    <w:rsid w:val="00391EA1"/>
    <w:rPr>
      <w:rFonts w:ascii="Times New Roman" w:eastAsia="MS Gothic" w:hAnsi="Times New Roman" w:cs="Times New Roman"/>
      <w:i/>
      <w:iCs/>
      <w:spacing w:val="13"/>
      <w:kern w:val="0"/>
      <w:sz w:val="24"/>
      <w:szCs w:val="24"/>
      <w:lang w:val="x-none" w:eastAsia="x-none" w:bidi="en-US"/>
      <w14:ligatures w14:val="none"/>
    </w:rPr>
  </w:style>
  <w:style w:type="numbering" w:styleId="111111">
    <w:name w:val="Outline List 2"/>
    <w:basedOn w:val="NoList"/>
    <w:uiPriority w:val="99"/>
    <w:semiHidden/>
    <w:unhideWhenUsed/>
    <w:rsid w:val="00391EA1"/>
    <w:pPr>
      <w:numPr>
        <w:numId w:val="4"/>
      </w:numPr>
    </w:pPr>
  </w:style>
  <w:style w:type="paragraph" w:customStyle="1" w:styleId="ECHRPara">
    <w:name w:val="ECHR_Para"/>
    <w:aliases w:val="Ju_Para"/>
    <w:basedOn w:val="Normal"/>
    <w:link w:val="ECHRParaChar"/>
    <w:uiPriority w:val="99"/>
    <w:qFormat/>
    <w:rsid w:val="00391EA1"/>
    <w:pPr>
      <w:spacing w:after="0" w:line="240" w:lineRule="auto"/>
      <w:ind w:firstLine="284"/>
      <w:jc w:val="both"/>
    </w:pPr>
    <w:rPr>
      <w:rFonts w:ascii="Times New Roman" w:eastAsia="MS Mincho" w:hAnsi="Times New Roman"/>
      <w:sz w:val="24"/>
      <w:szCs w:val="20"/>
      <w:lang w:val="en-GB" w:eastAsia="x-none"/>
    </w:rPr>
  </w:style>
  <w:style w:type="numbering" w:styleId="1ai">
    <w:name w:val="Outline List 1"/>
    <w:basedOn w:val="NoList"/>
    <w:uiPriority w:val="99"/>
    <w:semiHidden/>
    <w:unhideWhenUsed/>
    <w:rsid w:val="00391EA1"/>
    <w:pPr>
      <w:numPr>
        <w:numId w:val="5"/>
      </w:numPr>
    </w:pPr>
  </w:style>
  <w:style w:type="table" w:customStyle="1" w:styleId="ECHRTableSimpleBox">
    <w:name w:val="ECHR_Table_Simple_Box"/>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TableNoLines">
    <w:name w:val="ECHR_Table_No_Lines"/>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numbering" w:styleId="ArticleSection">
    <w:name w:val="Outline List 3"/>
    <w:basedOn w:val="NoList"/>
    <w:uiPriority w:val="99"/>
    <w:semiHidden/>
    <w:unhideWhenUsed/>
    <w:rsid w:val="00391EA1"/>
    <w:pPr>
      <w:numPr>
        <w:numId w:val="6"/>
      </w:numPr>
    </w:pPr>
  </w:style>
  <w:style w:type="table" w:customStyle="1" w:styleId="ECHRTableForInternalUse">
    <w:name w:val="ECHR_Table_For_Internal_Use"/>
    <w:basedOn w:val="TableNormal"/>
    <w:uiPriority w:val="99"/>
    <w:rsid w:val="00391EA1"/>
    <w:pPr>
      <w:spacing w:after="0" w:line="240" w:lineRule="auto"/>
    </w:pPr>
    <w:rPr>
      <w:rFonts w:ascii="Times New Roman" w:eastAsia="Times New Roman" w:hAnsi="Times New Roman" w:cs="Times New Roman"/>
      <w:color w:val="636363"/>
      <w:kern w:val="0"/>
      <w:sz w:val="18"/>
      <w:szCs w:val="20"/>
      <w14:ligatures w14:val="none"/>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
    <w:name w:val="ECHR_List_Table"/>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paragraph" w:styleId="Bibliography">
    <w:name w:val="Bibliography"/>
    <w:basedOn w:val="Normal"/>
    <w:next w:val="Normal"/>
    <w:uiPriority w:val="99"/>
    <w:semiHidden/>
    <w:rsid w:val="00391EA1"/>
    <w:pPr>
      <w:spacing w:after="0" w:line="240" w:lineRule="auto"/>
      <w:jc w:val="both"/>
    </w:pPr>
    <w:rPr>
      <w:rFonts w:ascii="Times New Roman" w:eastAsia="MS Mincho" w:hAnsi="Times New Roman"/>
      <w:sz w:val="24"/>
      <w:lang w:val="en-GB"/>
    </w:rPr>
  </w:style>
  <w:style w:type="paragraph" w:styleId="BlockText">
    <w:name w:val="Block Text"/>
    <w:basedOn w:val="Normal"/>
    <w:uiPriority w:val="99"/>
    <w:semiHidden/>
    <w:rsid w:val="00391EA1"/>
    <w:pPr>
      <w:pBdr>
        <w:top w:val="single" w:sz="2" w:space="10" w:color="0072BC" w:shadow="1" w:frame="1"/>
        <w:left w:val="single" w:sz="2" w:space="10" w:color="0072BC" w:shadow="1" w:frame="1"/>
        <w:bottom w:val="single" w:sz="2" w:space="10" w:color="0072BC" w:shadow="1" w:frame="1"/>
        <w:right w:val="single" w:sz="2" w:space="10" w:color="0072BC" w:shadow="1" w:frame="1"/>
      </w:pBdr>
      <w:spacing w:after="0" w:line="240" w:lineRule="auto"/>
      <w:ind w:left="1152" w:right="1152"/>
      <w:jc w:val="both"/>
    </w:pPr>
    <w:rPr>
      <w:rFonts w:ascii="Times New Roman" w:eastAsia="MS Mincho" w:hAnsi="Times New Roman"/>
      <w:i/>
      <w:iCs/>
      <w:color w:val="0072BC"/>
      <w:sz w:val="24"/>
      <w:lang w:val="en-GB"/>
    </w:rPr>
  </w:style>
  <w:style w:type="table" w:customStyle="1" w:styleId="ECHRHeaderTable">
    <w:name w:val="ECHR_Header_Table"/>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Ind w:w="-680" w:type="dxa"/>
      <w:tblBorders>
        <w:bottom w:val="single" w:sz="6" w:space="0" w:color="949494"/>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391EA1"/>
    <w:pPr>
      <w:spacing w:after="120" w:line="240" w:lineRule="auto"/>
      <w:jc w:val="both"/>
    </w:pPr>
    <w:rPr>
      <w:rFonts w:ascii="Times New Roman" w:eastAsia="MS Mincho" w:hAnsi="Times New Roman"/>
      <w:sz w:val="24"/>
      <w:szCs w:val="20"/>
      <w:lang w:val="x-none" w:eastAsia="x-none"/>
    </w:rPr>
  </w:style>
  <w:style w:type="character" w:customStyle="1" w:styleId="BodyTextChar">
    <w:name w:val="Body Text Char"/>
    <w:basedOn w:val="DefaultParagraphFont"/>
    <w:link w:val="BodyText"/>
    <w:uiPriority w:val="99"/>
    <w:semiHidden/>
    <w:rsid w:val="00391EA1"/>
    <w:rPr>
      <w:rFonts w:ascii="Times New Roman" w:eastAsia="MS Mincho" w:hAnsi="Times New Roman" w:cs="Times New Roman"/>
      <w:kern w:val="0"/>
      <w:sz w:val="24"/>
      <w:szCs w:val="20"/>
      <w:lang w:val="x-none" w:eastAsia="x-none"/>
      <w14:ligatures w14:val="none"/>
    </w:rPr>
  </w:style>
  <w:style w:type="table" w:customStyle="1" w:styleId="ECHRTableOddBanded">
    <w:name w:val="ECHR_Table_Odd_Banded"/>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paragraph" w:styleId="BodyText2">
    <w:name w:val="Body Text 2"/>
    <w:basedOn w:val="Normal"/>
    <w:link w:val="BodyText2Char"/>
    <w:uiPriority w:val="99"/>
    <w:semiHidden/>
    <w:rsid w:val="00391EA1"/>
    <w:pPr>
      <w:spacing w:after="120" w:line="480" w:lineRule="auto"/>
      <w:jc w:val="both"/>
    </w:pPr>
    <w:rPr>
      <w:rFonts w:ascii="Times New Roman" w:eastAsia="MS Mincho" w:hAnsi="Times New Roman"/>
      <w:sz w:val="24"/>
      <w:szCs w:val="20"/>
      <w:lang w:val="x-none" w:eastAsia="x-none"/>
    </w:rPr>
  </w:style>
  <w:style w:type="character" w:customStyle="1" w:styleId="BodyText2Char">
    <w:name w:val="Body Text 2 Char"/>
    <w:basedOn w:val="DefaultParagraphFont"/>
    <w:link w:val="BodyText2"/>
    <w:uiPriority w:val="99"/>
    <w:semiHidden/>
    <w:rsid w:val="00391EA1"/>
    <w:rPr>
      <w:rFonts w:ascii="Times New Roman" w:eastAsia="MS Mincho" w:hAnsi="Times New Roman" w:cs="Times New Roman"/>
      <w:kern w:val="0"/>
      <w:sz w:val="24"/>
      <w:szCs w:val="20"/>
      <w:lang w:val="x-none" w:eastAsia="x-none"/>
      <w14:ligatures w14:val="none"/>
    </w:rPr>
  </w:style>
  <w:style w:type="table" w:customStyle="1" w:styleId="ECHRHeaderTableReduced">
    <w:name w:val="ECHR_Header_Table_Reduced"/>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Ind w:w="-680" w:type="dxa"/>
      <w:tblCellMar>
        <w:left w:w="0" w:type="dxa"/>
        <w:right w:w="0" w:type="dxa"/>
      </w:tblCellMar>
    </w:tblPr>
    <w:tcPr>
      <w:vAlign w:val="bottom"/>
    </w:tcPr>
    <w:tblStylePr w:type="firstRow">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391EA1"/>
    <w:pPr>
      <w:spacing w:after="0" w:line="240" w:lineRule="auto"/>
      <w:ind w:firstLine="284"/>
      <w:jc w:val="both"/>
    </w:pPr>
    <w:rPr>
      <w:rFonts w:ascii="Times New Roman" w:eastAsia="MS Mincho" w:hAnsi="Times New Roman"/>
      <w:b/>
      <w:sz w:val="24"/>
      <w:lang w:val="en-GB"/>
    </w:rPr>
  </w:style>
  <w:style w:type="character" w:styleId="PageNumber">
    <w:name w:val="page number"/>
    <w:uiPriority w:val="99"/>
    <w:semiHidden/>
    <w:rsid w:val="00391EA1"/>
    <w:rPr>
      <w:sz w:val="18"/>
    </w:rPr>
  </w:style>
  <w:style w:type="paragraph" w:styleId="ListBullet">
    <w:name w:val="List Bullet"/>
    <w:basedOn w:val="Normal"/>
    <w:uiPriority w:val="99"/>
    <w:semiHidden/>
    <w:rsid w:val="00391EA1"/>
    <w:pPr>
      <w:numPr>
        <w:numId w:val="3"/>
      </w:numPr>
      <w:spacing w:after="0" w:line="240" w:lineRule="auto"/>
      <w:jc w:val="both"/>
    </w:pPr>
    <w:rPr>
      <w:rFonts w:ascii="Times New Roman" w:eastAsia="MS Mincho" w:hAnsi="Times New Roman"/>
      <w:sz w:val="24"/>
      <w:lang w:val="en-GB"/>
    </w:rPr>
  </w:style>
  <w:style w:type="paragraph" w:styleId="ListBullet3">
    <w:name w:val="List Bullet 3"/>
    <w:basedOn w:val="Normal"/>
    <w:uiPriority w:val="99"/>
    <w:semiHidden/>
    <w:rsid w:val="00391EA1"/>
    <w:pPr>
      <w:numPr>
        <w:numId w:val="2"/>
      </w:numPr>
      <w:spacing w:after="0" w:line="240" w:lineRule="auto"/>
      <w:contextualSpacing/>
      <w:jc w:val="both"/>
    </w:pPr>
    <w:rPr>
      <w:rFonts w:ascii="Times New Roman" w:eastAsia="MS Mincho" w:hAnsi="Times New Roman"/>
      <w:sz w:val="24"/>
      <w:lang w:val="en-GB"/>
    </w:rPr>
  </w:style>
  <w:style w:type="paragraph" w:styleId="BodyText3">
    <w:name w:val="Body Text 3"/>
    <w:basedOn w:val="Normal"/>
    <w:link w:val="BodyText3Char"/>
    <w:uiPriority w:val="99"/>
    <w:semiHidden/>
    <w:rsid w:val="00391EA1"/>
    <w:pPr>
      <w:spacing w:after="120" w:line="240" w:lineRule="auto"/>
      <w:jc w:val="both"/>
    </w:pPr>
    <w:rPr>
      <w:rFonts w:ascii="Times New Roman" w:eastAsia="MS Mincho" w:hAnsi="Times New Roman"/>
      <w:sz w:val="16"/>
      <w:szCs w:val="16"/>
      <w:lang w:val="x-none" w:eastAsia="x-none"/>
    </w:rPr>
  </w:style>
  <w:style w:type="character" w:customStyle="1" w:styleId="BodyText3Char">
    <w:name w:val="Body Text 3 Char"/>
    <w:basedOn w:val="DefaultParagraphFont"/>
    <w:link w:val="BodyText3"/>
    <w:uiPriority w:val="99"/>
    <w:semiHidden/>
    <w:rsid w:val="00391EA1"/>
    <w:rPr>
      <w:rFonts w:ascii="Times New Roman" w:eastAsia="MS Mincho" w:hAnsi="Times New Roman" w:cs="Times New Roman"/>
      <w:kern w:val="0"/>
      <w:sz w:val="16"/>
      <w:szCs w:val="16"/>
      <w:lang w:val="x-none" w:eastAsia="x-none"/>
      <w14:ligatures w14:val="none"/>
    </w:rPr>
  </w:style>
  <w:style w:type="paragraph" w:styleId="BodyTextFirstIndent">
    <w:name w:val="Body Text First Indent"/>
    <w:basedOn w:val="BodyText"/>
    <w:link w:val="BodyTextFirstIndentChar"/>
    <w:uiPriority w:val="99"/>
    <w:semiHidden/>
    <w:rsid w:val="00391EA1"/>
    <w:pPr>
      <w:spacing w:after="0"/>
      <w:ind w:firstLine="360"/>
    </w:pPr>
  </w:style>
  <w:style w:type="character" w:customStyle="1" w:styleId="BodyTextFirstIndentChar">
    <w:name w:val="Body Text First Indent Char"/>
    <w:basedOn w:val="BodyTextChar"/>
    <w:link w:val="BodyTextFirstIndent"/>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Indent">
    <w:name w:val="Body Text Indent"/>
    <w:basedOn w:val="Normal"/>
    <w:link w:val="BodyTextIndentChar"/>
    <w:uiPriority w:val="99"/>
    <w:semiHidden/>
    <w:rsid w:val="00391EA1"/>
    <w:pPr>
      <w:spacing w:after="120" w:line="240" w:lineRule="auto"/>
      <w:ind w:left="283"/>
      <w:jc w:val="both"/>
    </w:pPr>
    <w:rPr>
      <w:rFonts w:ascii="Times New Roman" w:eastAsia="MS Mincho" w:hAnsi="Times New Roman"/>
      <w:sz w:val="24"/>
      <w:szCs w:val="20"/>
      <w:lang w:val="x-none" w:eastAsia="x-none"/>
    </w:rPr>
  </w:style>
  <w:style w:type="character" w:customStyle="1" w:styleId="BodyTextIndentChar">
    <w:name w:val="Body Text Indent Char"/>
    <w:basedOn w:val="DefaultParagraphFont"/>
    <w:link w:val="BodyTextIndent"/>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FirstIndent2">
    <w:name w:val="Body Text First Indent 2"/>
    <w:basedOn w:val="BodyTextIndent"/>
    <w:link w:val="BodyTextFirstIndent2Char"/>
    <w:uiPriority w:val="99"/>
    <w:semiHidden/>
    <w:rsid w:val="00391EA1"/>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Indent2">
    <w:name w:val="Body Text Indent 2"/>
    <w:basedOn w:val="Normal"/>
    <w:link w:val="BodyTextIndent2Char"/>
    <w:uiPriority w:val="99"/>
    <w:semiHidden/>
    <w:rsid w:val="00391EA1"/>
    <w:pPr>
      <w:spacing w:after="120" w:line="480" w:lineRule="auto"/>
      <w:ind w:left="283"/>
      <w:jc w:val="both"/>
    </w:pPr>
    <w:rPr>
      <w:rFonts w:ascii="Times New Roman" w:eastAsia="MS Mincho" w:hAnsi="Times New Roman"/>
      <w:sz w:val="24"/>
      <w:szCs w:val="20"/>
      <w:lang w:val="x-none" w:eastAsia="x-none"/>
    </w:rPr>
  </w:style>
  <w:style w:type="character" w:customStyle="1" w:styleId="BodyTextIndent2Char">
    <w:name w:val="Body Text Indent 2 Char"/>
    <w:basedOn w:val="DefaultParagraphFont"/>
    <w:link w:val="BodyTextIndent2"/>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Indent3">
    <w:name w:val="Body Text Indent 3"/>
    <w:basedOn w:val="Normal"/>
    <w:link w:val="BodyTextIndent3Char"/>
    <w:uiPriority w:val="99"/>
    <w:semiHidden/>
    <w:rsid w:val="00391EA1"/>
    <w:pPr>
      <w:spacing w:after="120" w:line="240" w:lineRule="auto"/>
      <w:ind w:left="283"/>
      <w:jc w:val="both"/>
    </w:pPr>
    <w:rPr>
      <w:rFonts w:ascii="Times New Roman" w:eastAsia="MS Mincho" w:hAnsi="Times New Roman"/>
      <w:sz w:val="16"/>
      <w:szCs w:val="16"/>
      <w:lang w:val="x-none" w:eastAsia="x-none"/>
    </w:rPr>
  </w:style>
  <w:style w:type="character" w:customStyle="1" w:styleId="BodyTextIndent3Char">
    <w:name w:val="Body Text Indent 3 Char"/>
    <w:basedOn w:val="DefaultParagraphFont"/>
    <w:link w:val="BodyTextIndent3"/>
    <w:uiPriority w:val="99"/>
    <w:semiHidden/>
    <w:rsid w:val="00391EA1"/>
    <w:rPr>
      <w:rFonts w:ascii="Times New Roman" w:eastAsia="MS Mincho" w:hAnsi="Times New Roman" w:cs="Times New Roman"/>
      <w:kern w:val="0"/>
      <w:sz w:val="16"/>
      <w:szCs w:val="16"/>
      <w:lang w:val="x-none" w:eastAsia="x-none"/>
      <w14:ligatures w14:val="none"/>
    </w:rPr>
  </w:style>
  <w:style w:type="paragraph" w:styleId="Caption">
    <w:name w:val="caption"/>
    <w:basedOn w:val="Normal"/>
    <w:next w:val="Normal"/>
    <w:uiPriority w:val="99"/>
    <w:semiHidden/>
    <w:qFormat/>
    <w:rsid w:val="00391EA1"/>
    <w:pPr>
      <w:spacing w:line="240" w:lineRule="auto"/>
      <w:jc w:val="both"/>
    </w:pPr>
    <w:rPr>
      <w:rFonts w:ascii="Times New Roman" w:eastAsia="MS Mincho" w:hAnsi="Times New Roman"/>
      <w:b/>
      <w:bCs/>
      <w:color w:val="0072BC"/>
      <w:sz w:val="18"/>
      <w:szCs w:val="18"/>
      <w:lang w:val="en-GB"/>
    </w:rPr>
  </w:style>
  <w:style w:type="paragraph" w:styleId="Closing">
    <w:name w:val="Closing"/>
    <w:basedOn w:val="Normal"/>
    <w:link w:val="ClosingChar"/>
    <w:uiPriority w:val="99"/>
    <w:semiHidden/>
    <w:rsid w:val="00391EA1"/>
    <w:pPr>
      <w:spacing w:after="0" w:line="240" w:lineRule="auto"/>
      <w:ind w:left="4252"/>
      <w:jc w:val="both"/>
    </w:pPr>
    <w:rPr>
      <w:rFonts w:ascii="Times New Roman" w:eastAsia="MS Mincho" w:hAnsi="Times New Roman"/>
      <w:sz w:val="24"/>
      <w:szCs w:val="20"/>
      <w:lang w:val="x-none" w:eastAsia="x-none"/>
    </w:rPr>
  </w:style>
  <w:style w:type="character" w:customStyle="1" w:styleId="ClosingChar">
    <w:name w:val="Closing Char"/>
    <w:basedOn w:val="DefaultParagraphFont"/>
    <w:link w:val="Closing"/>
    <w:uiPriority w:val="99"/>
    <w:semiHidden/>
    <w:rsid w:val="00391EA1"/>
    <w:rPr>
      <w:rFonts w:ascii="Times New Roman" w:eastAsia="MS Mincho" w:hAnsi="Times New Roman" w:cs="Times New Roman"/>
      <w:kern w:val="0"/>
      <w:sz w:val="24"/>
      <w:szCs w:val="20"/>
      <w:lang w:val="x-none" w:eastAsia="x-none"/>
      <w14:ligatures w14:val="none"/>
    </w:rPr>
  </w:style>
  <w:style w:type="table" w:styleId="ColorfulGrid">
    <w:name w:val="Colorful Grid"/>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styleId="ColorfulGrid-Accent2">
    <w:name w:val="Colorful Grid Accent 2"/>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styleId="ColorfulGrid-Accent3">
    <w:name w:val="Colorful Grid Accent 3"/>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4">
    <w:name w:val="Colorful Grid Accent 4"/>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styleId="ColorfulGrid-Accent5">
    <w:name w:val="Colorful Grid Accent 5"/>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6">
    <w:name w:val="Colorful Grid Accent 6"/>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styleId="ColorfulList">
    <w:name w:val="Colorful List"/>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styleId="ColorfulList-Accent2">
    <w:name w:val="Colorful List Accent 2"/>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styleId="ColorfulList-Accent3">
    <w:name w:val="Colorful List Accent 3"/>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4">
    <w:name w:val="Colorful List Accent 4"/>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styleId="ColorfulList-Accent5">
    <w:name w:val="Colorful List Accent 5"/>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6">
    <w:name w:val="Colorful List Accent 6"/>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styleId="ColorfulShading">
    <w:name w:val="Colorful Shading"/>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styleId="ColorfulShading-Accent4">
    <w:name w:val="Colorful Shading Accent 4"/>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character" w:styleId="CommentReference">
    <w:name w:val="annotation reference"/>
    <w:uiPriority w:val="99"/>
    <w:semiHidden/>
    <w:rsid w:val="00391EA1"/>
    <w:rPr>
      <w:sz w:val="16"/>
      <w:szCs w:val="16"/>
    </w:rPr>
  </w:style>
  <w:style w:type="paragraph" w:styleId="CommentText">
    <w:name w:val="annotation text"/>
    <w:basedOn w:val="Normal"/>
    <w:link w:val="CommentTextChar"/>
    <w:uiPriority w:val="99"/>
    <w:semiHidden/>
    <w:rsid w:val="00391EA1"/>
    <w:pPr>
      <w:spacing w:after="0" w:line="240" w:lineRule="auto"/>
      <w:jc w:val="both"/>
    </w:pPr>
    <w:rPr>
      <w:rFonts w:ascii="Times New Roman" w:eastAsia="MS Mincho" w:hAnsi="Times New Roman"/>
      <w:sz w:val="20"/>
      <w:szCs w:val="20"/>
      <w:lang w:val="x-none" w:eastAsia="x-none"/>
    </w:rPr>
  </w:style>
  <w:style w:type="character" w:customStyle="1" w:styleId="CommentTextChar">
    <w:name w:val="Comment Text Char"/>
    <w:basedOn w:val="DefaultParagraphFont"/>
    <w:link w:val="CommentText"/>
    <w:uiPriority w:val="99"/>
    <w:semiHidden/>
    <w:rsid w:val="00391EA1"/>
    <w:rPr>
      <w:rFonts w:ascii="Times New Roman" w:eastAsia="MS Mincho" w:hAnsi="Times New Roman" w:cs="Times New Roman"/>
      <w:kern w:val="0"/>
      <w:sz w:val="20"/>
      <w:szCs w:val="20"/>
      <w:lang w:val="x-none" w:eastAsia="x-none"/>
      <w14:ligatures w14:val="none"/>
    </w:rPr>
  </w:style>
  <w:style w:type="paragraph" w:styleId="CommentSubject">
    <w:name w:val="annotation subject"/>
    <w:basedOn w:val="CommentText"/>
    <w:next w:val="CommentText"/>
    <w:link w:val="CommentSubjectChar"/>
    <w:uiPriority w:val="99"/>
    <w:semiHidden/>
    <w:rsid w:val="00391EA1"/>
    <w:rPr>
      <w:b/>
      <w:bCs/>
    </w:rPr>
  </w:style>
  <w:style w:type="character" w:customStyle="1" w:styleId="CommentSubjectChar">
    <w:name w:val="Comment Subject Char"/>
    <w:basedOn w:val="CommentTextChar"/>
    <w:link w:val="CommentSubject"/>
    <w:uiPriority w:val="99"/>
    <w:semiHidden/>
    <w:rsid w:val="00391EA1"/>
    <w:rPr>
      <w:rFonts w:ascii="Times New Roman" w:eastAsia="MS Mincho" w:hAnsi="Times New Roman" w:cs="Times New Roman"/>
      <w:b/>
      <w:bCs/>
      <w:kern w:val="0"/>
      <w:sz w:val="20"/>
      <w:szCs w:val="20"/>
      <w:lang w:val="x-none" w:eastAsia="x-none"/>
      <w14:ligatures w14:val="none"/>
    </w:rPr>
  </w:style>
  <w:style w:type="table" w:styleId="DarkList">
    <w:name w:val="Dark List"/>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styleId="DarkList-Accent2">
    <w:name w:val="Dark List Accent 2"/>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styleId="DarkList-Accent3">
    <w:name w:val="Dark List Accent 3"/>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4">
    <w:name w:val="Dark List Accent 4"/>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styleId="DarkList-Accent5">
    <w:name w:val="Dark List Accent 5"/>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6">
    <w:name w:val="Dark List Accent 6"/>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paragraph" w:styleId="Date">
    <w:name w:val="Date"/>
    <w:basedOn w:val="Normal"/>
    <w:next w:val="Normal"/>
    <w:link w:val="Date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DateChar">
    <w:name w:val="Date Char"/>
    <w:basedOn w:val="DefaultParagraphFont"/>
    <w:link w:val="Date"/>
    <w:uiPriority w:val="99"/>
    <w:semiHidden/>
    <w:rsid w:val="00391EA1"/>
    <w:rPr>
      <w:rFonts w:ascii="Times New Roman" w:eastAsia="MS Mincho" w:hAnsi="Times New Roman" w:cs="Times New Roman"/>
      <w:kern w:val="0"/>
      <w:sz w:val="24"/>
      <w:szCs w:val="20"/>
      <w:lang w:val="x-none" w:eastAsia="x-none"/>
      <w14:ligatures w14:val="none"/>
    </w:rPr>
  </w:style>
  <w:style w:type="paragraph" w:styleId="DocumentMap">
    <w:name w:val="Document Map"/>
    <w:basedOn w:val="Normal"/>
    <w:link w:val="DocumentMapChar"/>
    <w:uiPriority w:val="99"/>
    <w:semiHidden/>
    <w:rsid w:val="00391EA1"/>
    <w:pPr>
      <w:spacing w:after="0" w:line="240" w:lineRule="auto"/>
      <w:jc w:val="both"/>
    </w:pPr>
    <w:rPr>
      <w:rFonts w:ascii="Tahoma" w:eastAsia="MS Mincho" w:hAnsi="Tahoma"/>
      <w:sz w:val="16"/>
      <w:szCs w:val="16"/>
      <w:lang w:val="x-none" w:eastAsia="x-none"/>
    </w:rPr>
  </w:style>
  <w:style w:type="character" w:customStyle="1" w:styleId="DocumentMapChar">
    <w:name w:val="Document Map Char"/>
    <w:basedOn w:val="DefaultParagraphFont"/>
    <w:link w:val="DocumentMap"/>
    <w:uiPriority w:val="99"/>
    <w:semiHidden/>
    <w:rsid w:val="00391EA1"/>
    <w:rPr>
      <w:rFonts w:ascii="Tahoma" w:eastAsia="MS Mincho" w:hAnsi="Tahoma" w:cs="Times New Roman"/>
      <w:kern w:val="0"/>
      <w:sz w:val="16"/>
      <w:szCs w:val="16"/>
      <w:lang w:val="x-none" w:eastAsia="x-none"/>
      <w14:ligatures w14:val="none"/>
    </w:rPr>
  </w:style>
  <w:style w:type="paragraph" w:styleId="E-mailSignature">
    <w:name w:val="E-mail Signature"/>
    <w:basedOn w:val="Normal"/>
    <w:link w:val="E-mailSignature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E-mailSignatureChar">
    <w:name w:val="E-mail Signature Char"/>
    <w:basedOn w:val="DefaultParagraphFont"/>
    <w:link w:val="E-mailSignature"/>
    <w:uiPriority w:val="99"/>
    <w:semiHidden/>
    <w:rsid w:val="00391EA1"/>
    <w:rPr>
      <w:rFonts w:ascii="Times New Roman" w:eastAsia="MS Mincho" w:hAnsi="Times New Roman" w:cs="Times New Roman"/>
      <w:kern w:val="0"/>
      <w:sz w:val="24"/>
      <w:szCs w:val="20"/>
      <w:lang w:val="x-none" w:eastAsia="x-none"/>
      <w14:ligatures w14:val="none"/>
    </w:rPr>
  </w:style>
  <w:style w:type="character" w:styleId="EndnoteReference">
    <w:name w:val="endnote reference"/>
    <w:uiPriority w:val="99"/>
    <w:semiHidden/>
    <w:rsid w:val="00391EA1"/>
    <w:rPr>
      <w:vertAlign w:val="superscript"/>
    </w:rPr>
  </w:style>
  <w:style w:type="paragraph" w:styleId="EndnoteText">
    <w:name w:val="endnote text"/>
    <w:basedOn w:val="Normal"/>
    <w:link w:val="EndnoteTextChar"/>
    <w:uiPriority w:val="99"/>
    <w:semiHidden/>
    <w:rsid w:val="00391EA1"/>
    <w:pPr>
      <w:spacing w:after="0" w:line="240" w:lineRule="auto"/>
      <w:jc w:val="both"/>
    </w:pPr>
    <w:rPr>
      <w:rFonts w:ascii="Times New Roman" w:eastAsia="MS Mincho" w:hAnsi="Times New Roman"/>
      <w:sz w:val="20"/>
      <w:szCs w:val="20"/>
      <w:lang w:val="en-GB" w:eastAsia="x-none"/>
    </w:rPr>
  </w:style>
  <w:style w:type="character" w:customStyle="1" w:styleId="EndnoteTextChar">
    <w:name w:val="Endnote Text Char"/>
    <w:basedOn w:val="DefaultParagraphFont"/>
    <w:link w:val="EndnoteText"/>
    <w:uiPriority w:val="99"/>
    <w:semiHidden/>
    <w:rsid w:val="00391EA1"/>
    <w:rPr>
      <w:rFonts w:ascii="Times New Roman" w:eastAsia="MS Mincho" w:hAnsi="Times New Roman" w:cs="Times New Roman"/>
      <w:kern w:val="0"/>
      <w:sz w:val="20"/>
      <w:szCs w:val="20"/>
      <w:lang w:val="en-GB" w:eastAsia="x-none"/>
      <w14:ligatures w14:val="none"/>
    </w:rPr>
  </w:style>
  <w:style w:type="paragraph" w:styleId="EnvelopeAddress">
    <w:name w:val="envelope address"/>
    <w:basedOn w:val="Normal"/>
    <w:uiPriority w:val="99"/>
    <w:semiHidden/>
    <w:rsid w:val="00391EA1"/>
    <w:pPr>
      <w:framePr w:w="7938" w:h="1985" w:hRule="exact" w:hSpace="141" w:wrap="auto" w:hAnchor="page" w:xAlign="center" w:yAlign="bottom"/>
      <w:spacing w:after="0" w:line="240" w:lineRule="auto"/>
      <w:ind w:left="2835"/>
      <w:jc w:val="both"/>
    </w:pPr>
    <w:rPr>
      <w:rFonts w:ascii="Times New Roman" w:eastAsia="MS Gothic" w:hAnsi="Times New Roman"/>
      <w:sz w:val="24"/>
      <w:szCs w:val="24"/>
      <w:lang w:val="en-GB"/>
    </w:rPr>
  </w:style>
  <w:style w:type="paragraph" w:styleId="EnvelopeReturn">
    <w:name w:val="envelope return"/>
    <w:basedOn w:val="Normal"/>
    <w:uiPriority w:val="99"/>
    <w:semiHidden/>
    <w:rsid w:val="00391EA1"/>
    <w:pPr>
      <w:spacing w:after="0" w:line="240" w:lineRule="auto"/>
      <w:jc w:val="both"/>
    </w:pPr>
    <w:rPr>
      <w:rFonts w:ascii="Times New Roman" w:eastAsia="MS Gothic" w:hAnsi="Times New Roman"/>
      <w:sz w:val="20"/>
      <w:szCs w:val="20"/>
      <w:lang w:val="en-GB"/>
    </w:rPr>
  </w:style>
  <w:style w:type="character" w:styleId="FollowedHyperlink">
    <w:name w:val="FollowedHyperlink"/>
    <w:uiPriority w:val="99"/>
    <w:semiHidden/>
    <w:rsid w:val="00391EA1"/>
    <w:rPr>
      <w:color w:val="7030A0"/>
      <w:u w:val="single"/>
    </w:rPr>
  </w:style>
  <w:style w:type="character" w:styleId="HTMLAcronym">
    <w:name w:val="HTML Acronym"/>
    <w:basedOn w:val="DefaultParagraphFont"/>
    <w:uiPriority w:val="99"/>
    <w:semiHidden/>
    <w:rsid w:val="00391EA1"/>
  </w:style>
  <w:style w:type="paragraph" w:styleId="HTMLAddress">
    <w:name w:val="HTML Address"/>
    <w:basedOn w:val="Normal"/>
    <w:link w:val="HTMLAddressChar"/>
    <w:uiPriority w:val="99"/>
    <w:semiHidden/>
    <w:rsid w:val="00391EA1"/>
    <w:pPr>
      <w:spacing w:after="0" w:line="240" w:lineRule="auto"/>
      <w:jc w:val="both"/>
    </w:pPr>
    <w:rPr>
      <w:rFonts w:ascii="Times New Roman" w:eastAsia="MS Mincho" w:hAnsi="Times New Roman"/>
      <w:i/>
      <w:iCs/>
      <w:sz w:val="24"/>
      <w:szCs w:val="20"/>
      <w:lang w:val="x-none" w:eastAsia="x-none"/>
    </w:rPr>
  </w:style>
  <w:style w:type="character" w:customStyle="1" w:styleId="HTMLAddressChar">
    <w:name w:val="HTML Address Char"/>
    <w:basedOn w:val="DefaultParagraphFont"/>
    <w:link w:val="HTMLAddress"/>
    <w:uiPriority w:val="99"/>
    <w:semiHidden/>
    <w:rsid w:val="00391EA1"/>
    <w:rPr>
      <w:rFonts w:ascii="Times New Roman" w:eastAsia="MS Mincho" w:hAnsi="Times New Roman" w:cs="Times New Roman"/>
      <w:i/>
      <w:iCs/>
      <w:kern w:val="0"/>
      <w:sz w:val="24"/>
      <w:szCs w:val="20"/>
      <w:lang w:val="x-none" w:eastAsia="x-none"/>
      <w14:ligatures w14:val="none"/>
    </w:rPr>
  </w:style>
  <w:style w:type="character" w:styleId="HTMLCite">
    <w:name w:val="HTML Cite"/>
    <w:uiPriority w:val="99"/>
    <w:semiHidden/>
    <w:rsid w:val="00391EA1"/>
    <w:rPr>
      <w:i/>
      <w:iCs/>
    </w:rPr>
  </w:style>
  <w:style w:type="character" w:styleId="HTMLCode">
    <w:name w:val="HTML Code"/>
    <w:uiPriority w:val="99"/>
    <w:semiHidden/>
    <w:rsid w:val="00391EA1"/>
    <w:rPr>
      <w:rFonts w:ascii="Consolas" w:hAnsi="Consolas" w:cs="Consolas"/>
      <w:sz w:val="20"/>
      <w:szCs w:val="20"/>
    </w:rPr>
  </w:style>
  <w:style w:type="character" w:styleId="HTMLDefinition">
    <w:name w:val="HTML Definition"/>
    <w:uiPriority w:val="99"/>
    <w:semiHidden/>
    <w:rsid w:val="00391EA1"/>
    <w:rPr>
      <w:i/>
      <w:iCs/>
    </w:rPr>
  </w:style>
  <w:style w:type="character" w:styleId="HTMLKeyboard">
    <w:name w:val="HTML Keyboard"/>
    <w:uiPriority w:val="99"/>
    <w:semiHidden/>
    <w:rsid w:val="00391EA1"/>
    <w:rPr>
      <w:rFonts w:ascii="Consolas" w:hAnsi="Consolas" w:cs="Consolas"/>
      <w:sz w:val="20"/>
      <w:szCs w:val="20"/>
    </w:rPr>
  </w:style>
  <w:style w:type="paragraph" w:styleId="HTMLPreformatted">
    <w:name w:val="HTML Preformatted"/>
    <w:basedOn w:val="Normal"/>
    <w:link w:val="HTMLPreformattedChar"/>
    <w:uiPriority w:val="99"/>
    <w:semiHidden/>
    <w:rsid w:val="00391EA1"/>
    <w:pPr>
      <w:spacing w:after="0" w:line="240" w:lineRule="auto"/>
      <w:jc w:val="both"/>
    </w:pPr>
    <w:rPr>
      <w:rFonts w:ascii="Consolas" w:eastAsia="MS Mincho" w:hAnsi="Consolas"/>
      <w:sz w:val="20"/>
      <w:szCs w:val="20"/>
      <w:lang w:val="x-none" w:eastAsia="x-none"/>
    </w:rPr>
  </w:style>
  <w:style w:type="character" w:customStyle="1" w:styleId="HTMLPreformattedChar">
    <w:name w:val="HTML Preformatted Char"/>
    <w:basedOn w:val="DefaultParagraphFont"/>
    <w:link w:val="HTMLPreformatted"/>
    <w:uiPriority w:val="99"/>
    <w:semiHidden/>
    <w:rsid w:val="00391EA1"/>
    <w:rPr>
      <w:rFonts w:ascii="Consolas" w:eastAsia="MS Mincho" w:hAnsi="Consolas" w:cs="Times New Roman"/>
      <w:kern w:val="0"/>
      <w:sz w:val="20"/>
      <w:szCs w:val="20"/>
      <w:lang w:val="x-none" w:eastAsia="x-none"/>
      <w14:ligatures w14:val="none"/>
    </w:rPr>
  </w:style>
  <w:style w:type="character" w:styleId="HTMLSample">
    <w:name w:val="HTML Sample"/>
    <w:uiPriority w:val="99"/>
    <w:semiHidden/>
    <w:rsid w:val="00391EA1"/>
    <w:rPr>
      <w:rFonts w:ascii="Consolas" w:hAnsi="Consolas" w:cs="Consolas"/>
      <w:sz w:val="24"/>
      <w:szCs w:val="24"/>
    </w:rPr>
  </w:style>
  <w:style w:type="character" w:styleId="HTMLTypewriter">
    <w:name w:val="HTML Typewriter"/>
    <w:uiPriority w:val="99"/>
    <w:semiHidden/>
    <w:rsid w:val="00391EA1"/>
    <w:rPr>
      <w:rFonts w:ascii="Consolas" w:hAnsi="Consolas" w:cs="Consolas"/>
      <w:sz w:val="20"/>
      <w:szCs w:val="20"/>
    </w:rPr>
  </w:style>
  <w:style w:type="character" w:styleId="HTMLVariable">
    <w:name w:val="HTML Variable"/>
    <w:uiPriority w:val="99"/>
    <w:semiHidden/>
    <w:rsid w:val="00391EA1"/>
    <w:rPr>
      <w:i/>
      <w:iCs/>
    </w:rPr>
  </w:style>
  <w:style w:type="paragraph" w:styleId="Index1">
    <w:name w:val="index 1"/>
    <w:basedOn w:val="Normal"/>
    <w:next w:val="Normal"/>
    <w:autoRedefine/>
    <w:uiPriority w:val="99"/>
    <w:semiHidden/>
    <w:rsid w:val="00391EA1"/>
    <w:pPr>
      <w:spacing w:after="0" w:line="240" w:lineRule="auto"/>
      <w:ind w:left="240" w:hanging="240"/>
      <w:jc w:val="both"/>
    </w:pPr>
    <w:rPr>
      <w:rFonts w:ascii="Times New Roman" w:eastAsia="MS Mincho" w:hAnsi="Times New Roman"/>
      <w:sz w:val="24"/>
      <w:lang w:val="en-GB"/>
    </w:rPr>
  </w:style>
  <w:style w:type="paragraph" w:styleId="Index2">
    <w:name w:val="index 2"/>
    <w:basedOn w:val="Normal"/>
    <w:next w:val="Normal"/>
    <w:autoRedefine/>
    <w:uiPriority w:val="99"/>
    <w:semiHidden/>
    <w:rsid w:val="00391EA1"/>
    <w:pPr>
      <w:spacing w:after="0" w:line="240" w:lineRule="auto"/>
      <w:ind w:left="480" w:hanging="240"/>
      <w:jc w:val="both"/>
    </w:pPr>
    <w:rPr>
      <w:rFonts w:ascii="Times New Roman" w:eastAsia="MS Mincho" w:hAnsi="Times New Roman"/>
      <w:sz w:val="24"/>
      <w:lang w:val="en-GB"/>
    </w:rPr>
  </w:style>
  <w:style w:type="paragraph" w:styleId="Index3">
    <w:name w:val="index 3"/>
    <w:basedOn w:val="Normal"/>
    <w:next w:val="Normal"/>
    <w:autoRedefine/>
    <w:uiPriority w:val="99"/>
    <w:semiHidden/>
    <w:rsid w:val="00391EA1"/>
    <w:pPr>
      <w:spacing w:after="0" w:line="240" w:lineRule="auto"/>
      <w:ind w:left="720" w:hanging="240"/>
      <w:jc w:val="both"/>
    </w:pPr>
    <w:rPr>
      <w:rFonts w:ascii="Times New Roman" w:eastAsia="MS Mincho" w:hAnsi="Times New Roman"/>
      <w:sz w:val="24"/>
      <w:lang w:val="en-GB"/>
    </w:rPr>
  </w:style>
  <w:style w:type="paragraph" w:styleId="Index4">
    <w:name w:val="index 4"/>
    <w:basedOn w:val="Normal"/>
    <w:next w:val="Normal"/>
    <w:autoRedefine/>
    <w:uiPriority w:val="99"/>
    <w:semiHidden/>
    <w:rsid w:val="00391EA1"/>
    <w:pPr>
      <w:spacing w:after="0" w:line="240" w:lineRule="auto"/>
      <w:ind w:left="960" w:hanging="240"/>
      <w:jc w:val="both"/>
    </w:pPr>
    <w:rPr>
      <w:rFonts w:ascii="Times New Roman" w:eastAsia="MS Mincho" w:hAnsi="Times New Roman"/>
      <w:sz w:val="24"/>
      <w:lang w:val="en-GB"/>
    </w:rPr>
  </w:style>
  <w:style w:type="paragraph" w:styleId="Index5">
    <w:name w:val="index 5"/>
    <w:basedOn w:val="Normal"/>
    <w:next w:val="Normal"/>
    <w:autoRedefine/>
    <w:uiPriority w:val="99"/>
    <w:semiHidden/>
    <w:rsid w:val="00391EA1"/>
    <w:pPr>
      <w:spacing w:after="0" w:line="240" w:lineRule="auto"/>
      <w:ind w:left="1200" w:hanging="240"/>
      <w:jc w:val="both"/>
    </w:pPr>
    <w:rPr>
      <w:rFonts w:ascii="Times New Roman" w:eastAsia="MS Mincho" w:hAnsi="Times New Roman"/>
      <w:sz w:val="24"/>
      <w:lang w:val="en-GB"/>
    </w:rPr>
  </w:style>
  <w:style w:type="paragraph" w:styleId="Index6">
    <w:name w:val="index 6"/>
    <w:basedOn w:val="Normal"/>
    <w:next w:val="Normal"/>
    <w:autoRedefine/>
    <w:uiPriority w:val="99"/>
    <w:semiHidden/>
    <w:rsid w:val="00391EA1"/>
    <w:pPr>
      <w:spacing w:after="0" w:line="240" w:lineRule="auto"/>
      <w:ind w:left="1440" w:hanging="240"/>
      <w:jc w:val="both"/>
    </w:pPr>
    <w:rPr>
      <w:rFonts w:ascii="Times New Roman" w:eastAsia="MS Mincho" w:hAnsi="Times New Roman"/>
      <w:sz w:val="24"/>
      <w:lang w:val="en-GB"/>
    </w:rPr>
  </w:style>
  <w:style w:type="paragraph" w:styleId="Index7">
    <w:name w:val="index 7"/>
    <w:basedOn w:val="Normal"/>
    <w:next w:val="Normal"/>
    <w:autoRedefine/>
    <w:uiPriority w:val="99"/>
    <w:semiHidden/>
    <w:rsid w:val="00391EA1"/>
    <w:pPr>
      <w:spacing w:after="0" w:line="240" w:lineRule="auto"/>
      <w:ind w:left="1680" w:hanging="240"/>
      <w:jc w:val="both"/>
    </w:pPr>
    <w:rPr>
      <w:rFonts w:ascii="Times New Roman" w:eastAsia="MS Mincho" w:hAnsi="Times New Roman"/>
      <w:sz w:val="24"/>
      <w:lang w:val="en-GB"/>
    </w:rPr>
  </w:style>
  <w:style w:type="paragraph" w:styleId="Index8">
    <w:name w:val="index 8"/>
    <w:basedOn w:val="Normal"/>
    <w:next w:val="Normal"/>
    <w:autoRedefine/>
    <w:uiPriority w:val="99"/>
    <w:semiHidden/>
    <w:rsid w:val="00391EA1"/>
    <w:pPr>
      <w:spacing w:after="0" w:line="240" w:lineRule="auto"/>
      <w:ind w:left="1920" w:hanging="240"/>
      <w:jc w:val="both"/>
    </w:pPr>
    <w:rPr>
      <w:rFonts w:ascii="Times New Roman" w:eastAsia="MS Mincho" w:hAnsi="Times New Roman"/>
      <w:sz w:val="24"/>
      <w:lang w:val="en-GB"/>
    </w:rPr>
  </w:style>
  <w:style w:type="paragraph" w:styleId="Index9">
    <w:name w:val="index 9"/>
    <w:basedOn w:val="Normal"/>
    <w:next w:val="Normal"/>
    <w:autoRedefine/>
    <w:uiPriority w:val="99"/>
    <w:semiHidden/>
    <w:rsid w:val="00391EA1"/>
    <w:pPr>
      <w:spacing w:after="0" w:line="240" w:lineRule="auto"/>
      <w:ind w:left="2160" w:hanging="240"/>
      <w:jc w:val="both"/>
    </w:pPr>
    <w:rPr>
      <w:rFonts w:ascii="Times New Roman" w:eastAsia="MS Mincho" w:hAnsi="Times New Roman"/>
      <w:sz w:val="24"/>
      <w:lang w:val="en-GB"/>
    </w:rPr>
  </w:style>
  <w:style w:type="paragraph" w:styleId="IndexHeading">
    <w:name w:val="index heading"/>
    <w:basedOn w:val="Normal"/>
    <w:next w:val="Index1"/>
    <w:uiPriority w:val="99"/>
    <w:semiHidden/>
    <w:rsid w:val="00391EA1"/>
    <w:pPr>
      <w:spacing w:after="0" w:line="240" w:lineRule="auto"/>
      <w:jc w:val="both"/>
    </w:pPr>
    <w:rPr>
      <w:rFonts w:ascii="Times New Roman" w:eastAsia="MS Gothic" w:hAnsi="Times New Roman"/>
      <w:b/>
      <w:bCs/>
      <w:sz w:val="24"/>
      <w:lang w:val="en-GB"/>
    </w:rPr>
  </w:style>
  <w:style w:type="table" w:styleId="LightGrid">
    <w:name w:val="Light Grid"/>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MS Gothic"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blStylePr w:type="firstRow">
      <w:pPr>
        <w:spacing w:before="0" w:after="0" w:line="240" w:lineRule="auto"/>
      </w:pPr>
      <w:rPr>
        <w:rFonts w:ascii="Times New Roman" w:eastAsia="MS Gothic"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styleId="LightGrid-Accent2">
    <w:name w:val="Light Grid Accent 2"/>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blStylePr w:type="firstRow">
      <w:pPr>
        <w:spacing w:before="0" w:after="0" w:line="240" w:lineRule="auto"/>
      </w:pPr>
      <w:rPr>
        <w:rFonts w:ascii="Times New Roman" w:eastAsia="MS Gothic"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styleId="LightGrid-Accent3">
    <w:name w:val="Light Grid Accent 3"/>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4">
    <w:name w:val="Light Grid Accent 4"/>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line="240" w:lineRule="auto"/>
      </w:pPr>
      <w:rPr>
        <w:rFonts w:ascii="Times New Roman" w:eastAsia="MS Gothic"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styleId="LightGrid-Accent5">
    <w:name w:val="Light Grid Accent 5"/>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6">
    <w:name w:val="Light Grid Accent 6"/>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line="240" w:lineRule="auto"/>
      </w:pPr>
      <w:rPr>
        <w:rFonts w:ascii="Times New Roman" w:eastAsia="MS Gothic"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styleId="LightList">
    <w:name w:val="Light List"/>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styleId="LightList-Accent2">
    <w:name w:val="Light List Accent 2"/>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styleId="LightList-Accent3">
    <w:name w:val="Light List Accent 3"/>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4">
    <w:name w:val="Light List Accent 4"/>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styleId="LightList-Accent5">
    <w:name w:val="Light List Accent 5"/>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6">
    <w:name w:val="Light List Accent 6"/>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styleId="LightShading">
    <w:name w:val="Light Shading"/>
    <w:basedOn w:val="TableNormal"/>
    <w:uiPriority w:val="60"/>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91EA1"/>
    <w:pPr>
      <w:spacing w:after="0" w:line="240" w:lineRule="auto"/>
    </w:pPr>
    <w:rPr>
      <w:rFonts w:ascii="Times New Roman" w:eastAsia="Times New Roman" w:hAnsi="Times New Roman" w:cs="Times New Roman"/>
      <w:color w:val="00548C"/>
      <w:kern w:val="0"/>
      <w:sz w:val="20"/>
      <w:szCs w:val="20"/>
      <w14:ligatures w14:val="none"/>
    </w:rPr>
    <w:tblPr>
      <w:tblStyleRowBandSize w:val="1"/>
      <w:tblStyleColBandSize w:val="1"/>
      <w:tblBorders>
        <w:top w:val="single" w:sz="8" w:space="0" w:color="0072BC"/>
        <w:bottom w:val="single" w:sz="8" w:space="0" w:color="0072BC"/>
      </w:tblBorders>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styleId="LightShading-Accent2">
    <w:name w:val="Light Shading Accent 2"/>
    <w:basedOn w:val="TableNormal"/>
    <w:uiPriority w:val="60"/>
    <w:rsid w:val="00391EA1"/>
    <w:pPr>
      <w:spacing w:after="0" w:line="240" w:lineRule="auto"/>
    </w:pPr>
    <w:rPr>
      <w:rFonts w:ascii="Times New Roman" w:eastAsia="Times New Roman" w:hAnsi="Times New Roman" w:cs="Times New Roman"/>
      <w:color w:val="8F0000"/>
      <w:kern w:val="0"/>
      <w:sz w:val="20"/>
      <w:szCs w:val="20"/>
      <w14:ligatures w14:val="none"/>
    </w:rPr>
    <w:tblPr>
      <w:tblStyleRowBandSize w:val="1"/>
      <w:tblStyleColBandSize w:val="1"/>
      <w:tblBorders>
        <w:top w:val="single" w:sz="8" w:space="0" w:color="C00000"/>
        <w:bottom w:val="single" w:sz="8" w:space="0" w:color="C00000"/>
      </w:tblBorders>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styleId="LightShading-Accent3">
    <w:name w:val="Light Shading Accent 3"/>
    <w:basedOn w:val="TableNormal"/>
    <w:uiPriority w:val="60"/>
    <w:rsid w:val="00391EA1"/>
    <w:pPr>
      <w:spacing w:after="0" w:line="240" w:lineRule="auto"/>
    </w:pPr>
    <w:rPr>
      <w:rFonts w:ascii="Times New Roman" w:eastAsia="Times New Roman" w:hAnsi="Times New Roman" w:cs="Times New Roman"/>
      <w:color w:val="474747"/>
      <w:kern w:val="0"/>
      <w:sz w:val="20"/>
      <w:szCs w:val="20"/>
      <w14:ligatures w14:val="none"/>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4">
    <w:name w:val="Light Shading Accent 4"/>
    <w:basedOn w:val="TableNormal"/>
    <w:uiPriority w:val="60"/>
    <w:rsid w:val="00391EA1"/>
    <w:pPr>
      <w:spacing w:after="0" w:line="240" w:lineRule="auto"/>
    </w:pPr>
    <w:rPr>
      <w:rFonts w:ascii="Times New Roman" w:eastAsia="Times New Roman" w:hAnsi="Times New Roman" w:cs="Times New Roman"/>
      <w:color w:val="707070"/>
      <w:kern w:val="0"/>
      <w:sz w:val="20"/>
      <w:szCs w:val="20"/>
      <w14:ligatures w14:val="none"/>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styleId="LightShading-Accent5">
    <w:name w:val="Light Shading Accent 5"/>
    <w:basedOn w:val="TableNormal"/>
    <w:uiPriority w:val="60"/>
    <w:rsid w:val="00391EA1"/>
    <w:pPr>
      <w:spacing w:after="0" w:line="240" w:lineRule="auto"/>
    </w:pPr>
    <w:rPr>
      <w:rFonts w:ascii="Times New Roman" w:eastAsia="Times New Roman" w:hAnsi="Times New Roman" w:cs="Times New Roman"/>
      <w:color w:val="474747"/>
      <w:kern w:val="0"/>
      <w:sz w:val="20"/>
      <w:szCs w:val="20"/>
      <w14:ligatures w14:val="none"/>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6">
    <w:name w:val="Light Shading Accent 6"/>
    <w:basedOn w:val="TableNormal"/>
    <w:uiPriority w:val="60"/>
    <w:rsid w:val="00391EA1"/>
    <w:pPr>
      <w:spacing w:after="0" w:line="240" w:lineRule="auto"/>
    </w:pPr>
    <w:rPr>
      <w:rFonts w:ascii="Times New Roman" w:eastAsia="Times New Roman" w:hAnsi="Times New Roman" w:cs="Times New Roman"/>
      <w:color w:val="393939"/>
      <w:kern w:val="0"/>
      <w:sz w:val="20"/>
      <w:szCs w:val="20"/>
      <w14:ligatures w14:val="none"/>
    </w:rPr>
    <w:tblPr>
      <w:tblStyleRowBandSize w:val="1"/>
      <w:tblStyleColBandSize w:val="1"/>
      <w:tblBorders>
        <w:top w:val="single" w:sz="8" w:space="0" w:color="4D4D4D"/>
        <w:bottom w:val="single" w:sz="8" w:space="0" w:color="4D4D4D"/>
      </w:tblBorders>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character" w:styleId="LineNumber">
    <w:name w:val="line number"/>
    <w:basedOn w:val="DefaultParagraphFont"/>
    <w:uiPriority w:val="99"/>
    <w:semiHidden/>
    <w:rsid w:val="00391EA1"/>
  </w:style>
  <w:style w:type="paragraph" w:styleId="List">
    <w:name w:val="List"/>
    <w:basedOn w:val="Normal"/>
    <w:uiPriority w:val="99"/>
    <w:semiHidden/>
    <w:rsid w:val="00391EA1"/>
    <w:pPr>
      <w:spacing w:after="0" w:line="240" w:lineRule="auto"/>
      <w:ind w:left="283" w:hanging="283"/>
      <w:contextualSpacing/>
      <w:jc w:val="both"/>
    </w:pPr>
    <w:rPr>
      <w:rFonts w:ascii="Times New Roman" w:eastAsia="MS Mincho" w:hAnsi="Times New Roman"/>
      <w:sz w:val="24"/>
      <w:lang w:val="en-GB"/>
    </w:rPr>
  </w:style>
  <w:style w:type="paragraph" w:styleId="List2">
    <w:name w:val="List 2"/>
    <w:basedOn w:val="Normal"/>
    <w:uiPriority w:val="99"/>
    <w:semiHidden/>
    <w:rsid w:val="00391EA1"/>
    <w:pPr>
      <w:spacing w:after="0" w:line="240" w:lineRule="auto"/>
      <w:ind w:left="566" w:hanging="283"/>
      <w:contextualSpacing/>
      <w:jc w:val="both"/>
    </w:pPr>
    <w:rPr>
      <w:rFonts w:ascii="Times New Roman" w:eastAsia="MS Mincho" w:hAnsi="Times New Roman"/>
      <w:sz w:val="24"/>
      <w:lang w:val="en-GB"/>
    </w:rPr>
  </w:style>
  <w:style w:type="paragraph" w:styleId="List3">
    <w:name w:val="List 3"/>
    <w:basedOn w:val="Normal"/>
    <w:uiPriority w:val="99"/>
    <w:semiHidden/>
    <w:rsid w:val="00391EA1"/>
    <w:pPr>
      <w:spacing w:after="0" w:line="240" w:lineRule="auto"/>
      <w:ind w:left="849" w:hanging="283"/>
      <w:contextualSpacing/>
      <w:jc w:val="both"/>
    </w:pPr>
    <w:rPr>
      <w:rFonts w:ascii="Times New Roman" w:eastAsia="MS Mincho" w:hAnsi="Times New Roman"/>
      <w:sz w:val="24"/>
      <w:lang w:val="en-GB"/>
    </w:rPr>
  </w:style>
  <w:style w:type="paragraph" w:styleId="List4">
    <w:name w:val="List 4"/>
    <w:basedOn w:val="Normal"/>
    <w:uiPriority w:val="99"/>
    <w:semiHidden/>
    <w:rsid w:val="00391EA1"/>
    <w:pPr>
      <w:spacing w:after="0" w:line="240" w:lineRule="auto"/>
      <w:ind w:left="1132" w:hanging="283"/>
      <w:contextualSpacing/>
      <w:jc w:val="both"/>
    </w:pPr>
    <w:rPr>
      <w:rFonts w:ascii="Times New Roman" w:eastAsia="MS Mincho" w:hAnsi="Times New Roman"/>
      <w:sz w:val="24"/>
      <w:lang w:val="en-GB"/>
    </w:rPr>
  </w:style>
  <w:style w:type="paragraph" w:styleId="List5">
    <w:name w:val="List 5"/>
    <w:basedOn w:val="Normal"/>
    <w:uiPriority w:val="99"/>
    <w:semiHidden/>
    <w:rsid w:val="00391EA1"/>
    <w:pPr>
      <w:spacing w:after="0" w:line="240" w:lineRule="auto"/>
      <w:ind w:left="1415" w:hanging="283"/>
      <w:contextualSpacing/>
      <w:jc w:val="both"/>
    </w:pPr>
    <w:rPr>
      <w:rFonts w:ascii="Times New Roman" w:eastAsia="MS Mincho" w:hAnsi="Times New Roman"/>
      <w:sz w:val="24"/>
      <w:lang w:val="en-GB"/>
    </w:rPr>
  </w:style>
  <w:style w:type="paragraph" w:styleId="ListBullet2">
    <w:name w:val="List Bullet 2"/>
    <w:basedOn w:val="Normal"/>
    <w:uiPriority w:val="99"/>
    <w:semiHidden/>
    <w:rsid w:val="00391EA1"/>
    <w:pPr>
      <w:numPr>
        <w:numId w:val="7"/>
      </w:numPr>
      <w:spacing w:after="0" w:line="240" w:lineRule="auto"/>
      <w:contextualSpacing/>
      <w:jc w:val="both"/>
    </w:pPr>
    <w:rPr>
      <w:rFonts w:ascii="Times New Roman" w:eastAsia="MS Mincho" w:hAnsi="Times New Roman"/>
      <w:sz w:val="24"/>
      <w:lang w:val="en-GB"/>
    </w:rPr>
  </w:style>
  <w:style w:type="paragraph" w:styleId="ListBullet4">
    <w:name w:val="List Bullet 4"/>
    <w:basedOn w:val="Normal"/>
    <w:uiPriority w:val="99"/>
    <w:semiHidden/>
    <w:rsid w:val="00391EA1"/>
    <w:pPr>
      <w:numPr>
        <w:numId w:val="8"/>
      </w:numPr>
      <w:spacing w:after="0" w:line="240" w:lineRule="auto"/>
      <w:contextualSpacing/>
      <w:jc w:val="both"/>
    </w:pPr>
    <w:rPr>
      <w:rFonts w:ascii="Times New Roman" w:eastAsia="MS Mincho" w:hAnsi="Times New Roman"/>
      <w:sz w:val="24"/>
      <w:lang w:val="en-GB"/>
    </w:rPr>
  </w:style>
  <w:style w:type="paragraph" w:styleId="ListBullet5">
    <w:name w:val="List Bullet 5"/>
    <w:basedOn w:val="Normal"/>
    <w:uiPriority w:val="99"/>
    <w:semiHidden/>
    <w:rsid w:val="00391EA1"/>
    <w:pPr>
      <w:numPr>
        <w:numId w:val="9"/>
      </w:numPr>
      <w:spacing w:after="0" w:line="240" w:lineRule="auto"/>
      <w:contextualSpacing/>
      <w:jc w:val="both"/>
    </w:pPr>
    <w:rPr>
      <w:rFonts w:ascii="Times New Roman" w:eastAsia="MS Mincho" w:hAnsi="Times New Roman"/>
      <w:sz w:val="24"/>
      <w:lang w:val="en-GB"/>
    </w:rPr>
  </w:style>
  <w:style w:type="paragraph" w:styleId="ListContinue">
    <w:name w:val="List Continue"/>
    <w:basedOn w:val="Normal"/>
    <w:uiPriority w:val="99"/>
    <w:semiHidden/>
    <w:rsid w:val="00391EA1"/>
    <w:pPr>
      <w:spacing w:after="120" w:line="240" w:lineRule="auto"/>
      <w:ind w:left="283"/>
      <w:contextualSpacing/>
      <w:jc w:val="both"/>
    </w:pPr>
    <w:rPr>
      <w:rFonts w:ascii="Times New Roman" w:eastAsia="MS Mincho" w:hAnsi="Times New Roman"/>
      <w:sz w:val="24"/>
      <w:lang w:val="en-GB"/>
    </w:rPr>
  </w:style>
  <w:style w:type="paragraph" w:styleId="ListContinue2">
    <w:name w:val="List Continue 2"/>
    <w:basedOn w:val="Normal"/>
    <w:uiPriority w:val="99"/>
    <w:semiHidden/>
    <w:rsid w:val="00391EA1"/>
    <w:pPr>
      <w:spacing w:after="120" w:line="240" w:lineRule="auto"/>
      <w:ind w:left="566"/>
      <w:contextualSpacing/>
      <w:jc w:val="both"/>
    </w:pPr>
    <w:rPr>
      <w:rFonts w:ascii="Times New Roman" w:eastAsia="MS Mincho" w:hAnsi="Times New Roman"/>
      <w:sz w:val="24"/>
      <w:lang w:val="en-GB"/>
    </w:rPr>
  </w:style>
  <w:style w:type="paragraph" w:styleId="ListContinue3">
    <w:name w:val="List Continue 3"/>
    <w:basedOn w:val="Normal"/>
    <w:uiPriority w:val="99"/>
    <w:semiHidden/>
    <w:rsid w:val="00391EA1"/>
    <w:pPr>
      <w:spacing w:after="120" w:line="240" w:lineRule="auto"/>
      <w:ind w:left="849"/>
      <w:contextualSpacing/>
      <w:jc w:val="both"/>
    </w:pPr>
    <w:rPr>
      <w:rFonts w:ascii="Times New Roman" w:eastAsia="MS Mincho" w:hAnsi="Times New Roman"/>
      <w:sz w:val="24"/>
      <w:lang w:val="en-GB"/>
    </w:rPr>
  </w:style>
  <w:style w:type="paragraph" w:styleId="ListContinue4">
    <w:name w:val="List Continue 4"/>
    <w:basedOn w:val="Normal"/>
    <w:uiPriority w:val="99"/>
    <w:semiHidden/>
    <w:rsid w:val="00391EA1"/>
    <w:pPr>
      <w:spacing w:after="120" w:line="240" w:lineRule="auto"/>
      <w:ind w:left="1132"/>
      <w:contextualSpacing/>
      <w:jc w:val="both"/>
    </w:pPr>
    <w:rPr>
      <w:rFonts w:ascii="Times New Roman" w:eastAsia="MS Mincho" w:hAnsi="Times New Roman"/>
      <w:sz w:val="24"/>
      <w:lang w:val="en-GB"/>
    </w:rPr>
  </w:style>
  <w:style w:type="paragraph" w:styleId="ListContinue5">
    <w:name w:val="List Continue 5"/>
    <w:basedOn w:val="Normal"/>
    <w:uiPriority w:val="99"/>
    <w:semiHidden/>
    <w:rsid w:val="00391EA1"/>
    <w:pPr>
      <w:spacing w:after="120" w:line="240" w:lineRule="auto"/>
      <w:ind w:left="1415"/>
      <w:contextualSpacing/>
      <w:jc w:val="both"/>
    </w:pPr>
    <w:rPr>
      <w:rFonts w:ascii="Times New Roman" w:eastAsia="MS Mincho" w:hAnsi="Times New Roman"/>
      <w:sz w:val="24"/>
      <w:lang w:val="en-GB"/>
    </w:rPr>
  </w:style>
  <w:style w:type="paragraph" w:styleId="ListNumber">
    <w:name w:val="List Number"/>
    <w:basedOn w:val="Normal"/>
    <w:uiPriority w:val="99"/>
    <w:semiHidden/>
    <w:rsid w:val="00391EA1"/>
    <w:pPr>
      <w:numPr>
        <w:numId w:val="10"/>
      </w:numPr>
      <w:spacing w:after="0" w:line="240" w:lineRule="auto"/>
      <w:contextualSpacing/>
      <w:jc w:val="both"/>
    </w:pPr>
    <w:rPr>
      <w:rFonts w:ascii="Times New Roman" w:eastAsia="MS Mincho" w:hAnsi="Times New Roman"/>
      <w:sz w:val="24"/>
      <w:lang w:val="en-GB"/>
    </w:rPr>
  </w:style>
  <w:style w:type="paragraph" w:styleId="ListNumber2">
    <w:name w:val="List Number 2"/>
    <w:basedOn w:val="Normal"/>
    <w:uiPriority w:val="99"/>
    <w:semiHidden/>
    <w:rsid w:val="00391EA1"/>
    <w:pPr>
      <w:numPr>
        <w:numId w:val="11"/>
      </w:numPr>
      <w:spacing w:after="0" w:line="240" w:lineRule="auto"/>
      <w:contextualSpacing/>
      <w:jc w:val="both"/>
    </w:pPr>
    <w:rPr>
      <w:rFonts w:ascii="Times New Roman" w:eastAsia="MS Mincho" w:hAnsi="Times New Roman"/>
      <w:sz w:val="24"/>
      <w:lang w:val="en-GB"/>
    </w:rPr>
  </w:style>
  <w:style w:type="paragraph" w:styleId="ListNumber3">
    <w:name w:val="List Number 3"/>
    <w:basedOn w:val="Normal"/>
    <w:uiPriority w:val="99"/>
    <w:semiHidden/>
    <w:rsid w:val="00391EA1"/>
    <w:pPr>
      <w:numPr>
        <w:numId w:val="12"/>
      </w:numPr>
      <w:spacing w:after="0" w:line="240" w:lineRule="auto"/>
      <w:contextualSpacing/>
      <w:jc w:val="both"/>
    </w:pPr>
    <w:rPr>
      <w:rFonts w:ascii="Times New Roman" w:eastAsia="MS Mincho" w:hAnsi="Times New Roman"/>
      <w:sz w:val="24"/>
      <w:lang w:val="en-GB"/>
    </w:rPr>
  </w:style>
  <w:style w:type="paragraph" w:styleId="ListNumber4">
    <w:name w:val="List Number 4"/>
    <w:basedOn w:val="Normal"/>
    <w:uiPriority w:val="99"/>
    <w:semiHidden/>
    <w:rsid w:val="00391EA1"/>
    <w:pPr>
      <w:numPr>
        <w:numId w:val="13"/>
      </w:numPr>
      <w:spacing w:after="0" w:line="240" w:lineRule="auto"/>
      <w:contextualSpacing/>
      <w:jc w:val="both"/>
    </w:pPr>
    <w:rPr>
      <w:rFonts w:ascii="Times New Roman" w:eastAsia="MS Mincho" w:hAnsi="Times New Roman"/>
      <w:sz w:val="24"/>
      <w:lang w:val="en-GB"/>
    </w:rPr>
  </w:style>
  <w:style w:type="paragraph" w:styleId="ListNumber5">
    <w:name w:val="List Number 5"/>
    <w:basedOn w:val="Normal"/>
    <w:uiPriority w:val="99"/>
    <w:semiHidden/>
    <w:rsid w:val="00391EA1"/>
    <w:pPr>
      <w:numPr>
        <w:numId w:val="14"/>
      </w:numPr>
      <w:spacing w:after="0" w:line="240" w:lineRule="auto"/>
      <w:contextualSpacing/>
      <w:jc w:val="both"/>
    </w:pPr>
    <w:rPr>
      <w:rFonts w:ascii="Times New Roman" w:eastAsia="MS Mincho" w:hAnsi="Times New Roman"/>
      <w:sz w:val="24"/>
      <w:lang w:val="en-GB"/>
    </w:rPr>
  </w:style>
  <w:style w:type="paragraph" w:styleId="MacroText">
    <w:name w:val="macro"/>
    <w:link w:val="MacroTextChar"/>
    <w:uiPriority w:val="99"/>
    <w:semiHidden/>
    <w:rsid w:val="00391EA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MS Mincho" w:hAnsi="Consolas" w:cs="Consolas"/>
      <w:kern w:val="0"/>
      <w:sz w:val="20"/>
      <w:szCs w:val="20"/>
      <w14:ligatures w14:val="none"/>
    </w:rPr>
  </w:style>
  <w:style w:type="character" w:customStyle="1" w:styleId="MacroTextChar">
    <w:name w:val="Macro Text Char"/>
    <w:basedOn w:val="DefaultParagraphFont"/>
    <w:link w:val="MacroText"/>
    <w:uiPriority w:val="99"/>
    <w:semiHidden/>
    <w:rsid w:val="00391EA1"/>
    <w:rPr>
      <w:rFonts w:ascii="Consolas" w:eastAsia="MS Mincho" w:hAnsi="Consolas" w:cs="Consolas"/>
      <w:kern w:val="0"/>
      <w:sz w:val="20"/>
      <w:szCs w:val="20"/>
      <w14:ligatures w14:val="none"/>
    </w:rPr>
  </w:style>
  <w:style w:type="table" w:styleId="MediumGrid1">
    <w:name w:val="Medium Grid 1"/>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styleId="MediumGrid1-Accent2">
    <w:name w:val="Medium Grid 1 Accent 2"/>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styleId="MediumGrid1-Accent3">
    <w:name w:val="Medium Grid 1 Accent 3"/>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4">
    <w:name w:val="Medium Grid 1 Accent 4"/>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styleId="MediumGrid1-Accent5">
    <w:name w:val="Medium Grid 1 Accent 5"/>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6">
    <w:name w:val="Medium Grid 1 Accent 6"/>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styleId="MediumGrid2">
    <w:name w:val="Medium Grid 2"/>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styleId="MediumGrid2-Accent1">
    <w:name w:val="Medium Grid 2 Accent 1"/>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styleId="MediumGrid2-Accent2">
    <w:name w:val="Medium Grid 2 Accent 2"/>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styleId="MediumGrid2-Accent3">
    <w:name w:val="Medium Grid 2 Accent 3"/>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4">
    <w:name w:val="Medium Grid 2 Accent 4"/>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styleId="MediumGrid2-Accent5">
    <w:name w:val="Medium Grid 2 Accent 5"/>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6">
    <w:name w:val="Medium Grid 2 Accent 6"/>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styleId="MediumGrid3">
    <w:name w:val="Medium Grid 3"/>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styleId="MediumGrid3-Accent1">
    <w:name w:val="Medium Grid 3 Accent 1"/>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styleId="MediumGrid3-Accent2">
    <w:name w:val="Medium Grid 3 Accent 2"/>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styleId="MediumGrid3-Accent3">
    <w:name w:val="Medium Grid 3 Accent 3"/>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4">
    <w:name w:val="Medium Grid 3 Accent 4"/>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styleId="MediumGrid3-Accent5">
    <w:name w:val="Medium Grid 3 Accent 5"/>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6">
    <w:name w:val="Medium Grid 3 Accent 6"/>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styleId="MediumList1">
    <w:name w:val="Medium List 1"/>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Times New Roman" w:eastAsia="MS Gothic"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72BC"/>
        <w:bottom w:val="single" w:sz="8" w:space="0" w:color="0072BC"/>
      </w:tblBorders>
    </w:tblPr>
    <w:tblStylePr w:type="firstRow">
      <w:rPr>
        <w:rFonts w:ascii="Times New Roman" w:eastAsia="MS Gothic"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styleId="MediumList1-Accent2">
    <w:name w:val="Medium List 1 Accent 2"/>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C00000"/>
        <w:bottom w:val="single" w:sz="8" w:space="0" w:color="C00000"/>
      </w:tblBorders>
    </w:tblPr>
    <w:tblStylePr w:type="firstRow">
      <w:rPr>
        <w:rFonts w:ascii="Times New Roman" w:eastAsia="MS Gothic"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styleId="MediumList1-Accent3">
    <w:name w:val="Medium List 1 Accent 3"/>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4">
    <w:name w:val="Medium List 1 Accent 4"/>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969696"/>
        <w:bottom w:val="single" w:sz="8" w:space="0" w:color="969696"/>
      </w:tblBorders>
    </w:tblPr>
    <w:tblStylePr w:type="firstRow">
      <w:rPr>
        <w:rFonts w:ascii="Times New Roman" w:eastAsia="MS Gothic"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styleId="MediumList1-Accent5">
    <w:name w:val="Medium List 1 Accent 5"/>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6">
    <w:name w:val="Medium List 1 Accent 6"/>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4D4D4D"/>
        <w:bottom w:val="single" w:sz="8" w:space="0" w:color="4D4D4D"/>
      </w:tblBorders>
    </w:tblPr>
    <w:tblStylePr w:type="firstRow">
      <w:rPr>
        <w:rFonts w:ascii="Times New Roman" w:eastAsia="MS Gothic"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styleId="MediumList2">
    <w:name w:val="Medium List 2"/>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styleId="MediumList2-Accent1">
    <w:name w:val="Medium List 2 Accent 1"/>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styleId="MediumList2-Accent2">
    <w:name w:val="Medium List 2 Accent 2"/>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styleId="MediumList2-Accent3">
    <w:name w:val="Medium List 2 Accent 3"/>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4">
    <w:name w:val="Medium List 2 Accent 4"/>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styleId="MediumList2-Accent5">
    <w:name w:val="Medium List 2 Accent 5"/>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6">
    <w:name w:val="Medium List 2 Accent 6"/>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styleId="MediumShading1">
    <w:name w:val="Medium Shading 1"/>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tblBorders>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tblBorders>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styleId="MediumShading2">
    <w:name w:val="Medium Shading 2"/>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EA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jc w:val="both"/>
    </w:pPr>
    <w:rPr>
      <w:rFonts w:ascii="Times New Roman" w:eastAsia="MS Gothic" w:hAnsi="Times New Roman"/>
      <w:sz w:val="24"/>
      <w:szCs w:val="24"/>
      <w:lang w:val="x-none" w:eastAsia="x-none"/>
    </w:rPr>
  </w:style>
  <w:style w:type="character" w:customStyle="1" w:styleId="MessageHeaderChar">
    <w:name w:val="Message Header Char"/>
    <w:basedOn w:val="DefaultParagraphFont"/>
    <w:link w:val="MessageHeader"/>
    <w:uiPriority w:val="99"/>
    <w:semiHidden/>
    <w:rsid w:val="00391EA1"/>
    <w:rPr>
      <w:rFonts w:ascii="Times New Roman" w:eastAsia="MS Gothic" w:hAnsi="Times New Roman" w:cs="Times New Roman"/>
      <w:kern w:val="0"/>
      <w:sz w:val="24"/>
      <w:szCs w:val="24"/>
      <w:shd w:val="pct20" w:color="auto" w:fill="auto"/>
      <w:lang w:val="x-none" w:eastAsia="x-none"/>
      <w14:ligatures w14:val="none"/>
    </w:rPr>
  </w:style>
  <w:style w:type="paragraph" w:styleId="NormalWeb">
    <w:name w:val="Normal (Web)"/>
    <w:basedOn w:val="Normal"/>
    <w:uiPriority w:val="99"/>
    <w:semiHidden/>
    <w:rsid w:val="00391EA1"/>
    <w:pPr>
      <w:spacing w:after="0" w:line="240" w:lineRule="auto"/>
      <w:jc w:val="both"/>
    </w:pPr>
    <w:rPr>
      <w:rFonts w:ascii="Times New Roman" w:eastAsia="MS Mincho" w:hAnsi="Times New Roman"/>
      <w:sz w:val="24"/>
      <w:szCs w:val="24"/>
      <w:lang w:val="en-GB"/>
    </w:rPr>
  </w:style>
  <w:style w:type="paragraph" w:styleId="NormalIndent">
    <w:name w:val="Normal Indent"/>
    <w:basedOn w:val="Normal"/>
    <w:uiPriority w:val="99"/>
    <w:semiHidden/>
    <w:rsid w:val="00391EA1"/>
    <w:pPr>
      <w:spacing w:after="0" w:line="240" w:lineRule="auto"/>
      <w:ind w:left="720"/>
      <w:jc w:val="both"/>
    </w:pPr>
    <w:rPr>
      <w:rFonts w:ascii="Times New Roman" w:eastAsia="MS Mincho" w:hAnsi="Times New Roman"/>
      <w:sz w:val="24"/>
      <w:lang w:val="en-GB"/>
    </w:rPr>
  </w:style>
  <w:style w:type="paragraph" w:styleId="NoteHeading">
    <w:name w:val="Note Heading"/>
    <w:basedOn w:val="Normal"/>
    <w:next w:val="Normal"/>
    <w:link w:val="NoteHeading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NoteHeadingChar">
    <w:name w:val="Note Heading Char"/>
    <w:basedOn w:val="DefaultParagraphFont"/>
    <w:link w:val="NoteHeading"/>
    <w:uiPriority w:val="99"/>
    <w:semiHidden/>
    <w:rsid w:val="00391EA1"/>
    <w:rPr>
      <w:rFonts w:ascii="Times New Roman" w:eastAsia="MS Mincho" w:hAnsi="Times New Roman" w:cs="Times New Roman"/>
      <w:kern w:val="0"/>
      <w:sz w:val="24"/>
      <w:szCs w:val="20"/>
      <w:lang w:val="x-none" w:eastAsia="x-none"/>
      <w14:ligatures w14:val="none"/>
    </w:rPr>
  </w:style>
  <w:style w:type="character" w:styleId="PlaceholderText">
    <w:name w:val="Placeholder Text"/>
    <w:uiPriority w:val="99"/>
    <w:semiHidden/>
    <w:rsid w:val="00391EA1"/>
    <w:rPr>
      <w:color w:val="auto"/>
      <w:bdr w:val="none" w:sz="0" w:space="0" w:color="auto"/>
      <w:shd w:val="clear" w:color="auto" w:fill="DFDFDF"/>
    </w:rPr>
  </w:style>
  <w:style w:type="paragraph" w:styleId="PlainText">
    <w:name w:val="Plain Text"/>
    <w:basedOn w:val="Normal"/>
    <w:link w:val="PlainTextChar"/>
    <w:uiPriority w:val="99"/>
    <w:semiHidden/>
    <w:rsid w:val="00391EA1"/>
    <w:pPr>
      <w:spacing w:after="0" w:line="240" w:lineRule="auto"/>
      <w:jc w:val="both"/>
    </w:pPr>
    <w:rPr>
      <w:rFonts w:ascii="Consolas" w:eastAsia="MS Mincho" w:hAnsi="Consolas"/>
      <w:sz w:val="21"/>
      <w:szCs w:val="21"/>
      <w:lang w:val="x-none" w:eastAsia="x-none"/>
    </w:rPr>
  </w:style>
  <w:style w:type="character" w:customStyle="1" w:styleId="PlainTextChar">
    <w:name w:val="Plain Text Char"/>
    <w:basedOn w:val="DefaultParagraphFont"/>
    <w:link w:val="PlainText"/>
    <w:uiPriority w:val="99"/>
    <w:semiHidden/>
    <w:rsid w:val="00391EA1"/>
    <w:rPr>
      <w:rFonts w:ascii="Consolas" w:eastAsia="MS Mincho" w:hAnsi="Consolas" w:cs="Times New Roman"/>
      <w:kern w:val="0"/>
      <w:sz w:val="21"/>
      <w:szCs w:val="21"/>
      <w:lang w:val="x-none" w:eastAsia="x-none"/>
      <w14:ligatures w14:val="none"/>
    </w:rPr>
  </w:style>
  <w:style w:type="paragraph" w:styleId="Salutation">
    <w:name w:val="Salutation"/>
    <w:basedOn w:val="Normal"/>
    <w:next w:val="Normal"/>
    <w:link w:val="Salutation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SalutationChar">
    <w:name w:val="Salutation Char"/>
    <w:basedOn w:val="DefaultParagraphFont"/>
    <w:link w:val="Salutation"/>
    <w:uiPriority w:val="99"/>
    <w:semiHidden/>
    <w:rsid w:val="00391EA1"/>
    <w:rPr>
      <w:rFonts w:ascii="Times New Roman" w:eastAsia="MS Mincho" w:hAnsi="Times New Roman" w:cs="Times New Roman"/>
      <w:kern w:val="0"/>
      <w:sz w:val="24"/>
      <w:szCs w:val="20"/>
      <w:lang w:val="x-none" w:eastAsia="x-none"/>
      <w14:ligatures w14:val="none"/>
    </w:rPr>
  </w:style>
  <w:style w:type="paragraph" w:styleId="Signature">
    <w:name w:val="Signature"/>
    <w:basedOn w:val="Normal"/>
    <w:link w:val="SignatureChar"/>
    <w:uiPriority w:val="99"/>
    <w:semiHidden/>
    <w:rsid w:val="00391EA1"/>
    <w:pPr>
      <w:spacing w:after="0" w:line="240" w:lineRule="auto"/>
      <w:ind w:left="4252"/>
      <w:jc w:val="both"/>
    </w:pPr>
    <w:rPr>
      <w:rFonts w:ascii="Times New Roman" w:eastAsia="MS Mincho" w:hAnsi="Times New Roman"/>
      <w:sz w:val="24"/>
      <w:szCs w:val="20"/>
      <w:lang w:val="x-none" w:eastAsia="x-none"/>
    </w:rPr>
  </w:style>
  <w:style w:type="character" w:customStyle="1" w:styleId="SignatureChar">
    <w:name w:val="Signature Char"/>
    <w:basedOn w:val="DefaultParagraphFont"/>
    <w:link w:val="Signature"/>
    <w:uiPriority w:val="99"/>
    <w:semiHidden/>
    <w:rsid w:val="00391EA1"/>
    <w:rPr>
      <w:rFonts w:ascii="Times New Roman" w:eastAsia="MS Mincho" w:hAnsi="Times New Roman" w:cs="Times New Roman"/>
      <w:kern w:val="0"/>
      <w:sz w:val="24"/>
      <w:szCs w:val="20"/>
      <w:lang w:val="x-none" w:eastAsia="x-none"/>
      <w14:ligatures w14:val="none"/>
    </w:rPr>
  </w:style>
  <w:style w:type="table" w:styleId="Table3Deffects1">
    <w:name w:val="Table 3D effects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EA1"/>
    <w:pPr>
      <w:spacing w:after="0" w:line="240" w:lineRule="auto"/>
      <w:jc w:val="both"/>
    </w:pPr>
    <w:rPr>
      <w:rFonts w:ascii="Times New Roman" w:eastAsia="Times New Roman" w:hAnsi="Times New Roman" w:cs="Times New Roman"/>
      <w:color w:val="000080"/>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EA1"/>
    <w:pPr>
      <w:spacing w:after="0" w:line="240" w:lineRule="auto"/>
      <w:jc w:val="both"/>
    </w:pPr>
    <w:rPr>
      <w:rFonts w:ascii="Times New Roman" w:eastAsia="Times New Roman" w:hAnsi="Times New Roman" w:cs="Times New Roman"/>
      <w:color w:val="FFFFFF"/>
      <w:kern w:val="0"/>
      <w:sz w:val="20"/>
      <w:szCs w:val="20"/>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EA1"/>
    <w:pPr>
      <w:spacing w:after="0" w:line="240" w:lineRule="auto"/>
      <w:ind w:left="240" w:hanging="240"/>
      <w:jc w:val="both"/>
    </w:pPr>
    <w:rPr>
      <w:rFonts w:ascii="Times New Roman" w:eastAsia="MS Mincho" w:hAnsi="Times New Roman"/>
      <w:sz w:val="24"/>
      <w:lang w:val="en-GB"/>
    </w:rPr>
  </w:style>
  <w:style w:type="paragraph" w:styleId="TableofFigures">
    <w:name w:val="table of figures"/>
    <w:basedOn w:val="Normal"/>
    <w:next w:val="Normal"/>
    <w:uiPriority w:val="99"/>
    <w:semiHidden/>
    <w:rsid w:val="00391EA1"/>
    <w:pPr>
      <w:spacing w:after="0" w:line="240" w:lineRule="auto"/>
      <w:jc w:val="both"/>
    </w:pPr>
    <w:rPr>
      <w:rFonts w:ascii="Times New Roman" w:eastAsia="MS Mincho" w:hAnsi="Times New Roman"/>
      <w:sz w:val="24"/>
      <w:lang w:val="en-GB"/>
    </w:rPr>
  </w:style>
  <w:style w:type="table" w:styleId="TableProfessional">
    <w:name w:val="Table Professional"/>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EA1"/>
    <w:pPr>
      <w:tabs>
        <w:tab w:val="right" w:leader="dot" w:pos="7371"/>
      </w:tabs>
      <w:spacing w:after="60" w:line="240" w:lineRule="exact"/>
      <w:ind w:left="2041" w:right="567" w:hanging="340"/>
      <w:jc w:val="both"/>
    </w:pPr>
    <w:rPr>
      <w:rFonts w:ascii="Times New Roman" w:eastAsia="MS Mincho" w:hAnsi="Times New Roman"/>
      <w:sz w:val="20"/>
      <w:lang w:val="en-GB"/>
    </w:rPr>
  </w:style>
  <w:style w:type="paragraph" w:styleId="TOC7">
    <w:name w:val="toc 7"/>
    <w:basedOn w:val="Normal"/>
    <w:next w:val="Normal"/>
    <w:autoRedefine/>
    <w:uiPriority w:val="99"/>
    <w:semiHidden/>
    <w:rsid w:val="00391EA1"/>
    <w:pPr>
      <w:tabs>
        <w:tab w:val="right" w:leader="dot" w:pos="7371"/>
      </w:tabs>
      <w:spacing w:after="60" w:line="240" w:lineRule="exact"/>
      <w:ind w:left="2381" w:right="567" w:hanging="340"/>
      <w:jc w:val="both"/>
    </w:pPr>
    <w:rPr>
      <w:rFonts w:ascii="Times New Roman" w:eastAsia="MS Mincho" w:hAnsi="Times New Roman"/>
      <w:sz w:val="20"/>
      <w:lang w:val="en-GB"/>
    </w:rPr>
  </w:style>
  <w:style w:type="paragraph" w:styleId="TOC8">
    <w:name w:val="toc 8"/>
    <w:basedOn w:val="Normal"/>
    <w:next w:val="Normal"/>
    <w:autoRedefine/>
    <w:uiPriority w:val="99"/>
    <w:semiHidden/>
    <w:rsid w:val="00391EA1"/>
    <w:pPr>
      <w:spacing w:after="100" w:line="240" w:lineRule="auto"/>
      <w:ind w:left="1680"/>
      <w:jc w:val="both"/>
    </w:pPr>
    <w:rPr>
      <w:rFonts w:ascii="Times New Roman" w:eastAsia="MS Mincho" w:hAnsi="Times New Roman"/>
      <w:sz w:val="24"/>
      <w:lang w:val="en-GB"/>
    </w:rPr>
  </w:style>
  <w:style w:type="paragraph" w:styleId="TOC9">
    <w:name w:val="toc 9"/>
    <w:basedOn w:val="Normal"/>
    <w:next w:val="Normal"/>
    <w:autoRedefine/>
    <w:uiPriority w:val="99"/>
    <w:semiHidden/>
    <w:rsid w:val="00391EA1"/>
    <w:pPr>
      <w:spacing w:after="100" w:line="240" w:lineRule="auto"/>
      <w:ind w:left="1920"/>
      <w:jc w:val="both"/>
    </w:pPr>
    <w:rPr>
      <w:rFonts w:ascii="Times New Roman" w:eastAsia="MS Mincho" w:hAnsi="Times New Roman"/>
      <w:sz w:val="24"/>
      <w:lang w:val="en-GB"/>
    </w:rPr>
  </w:style>
  <w:style w:type="paragraph" w:customStyle="1" w:styleId="OpiPara">
    <w:name w:val="Opi_Para"/>
    <w:basedOn w:val="ECHRPara"/>
    <w:uiPriority w:val="46"/>
    <w:qFormat/>
    <w:rsid w:val="00391EA1"/>
  </w:style>
  <w:style w:type="paragraph" w:customStyle="1" w:styleId="OpiParaSub">
    <w:name w:val="Opi_Para_Sub"/>
    <w:basedOn w:val="JuParaSub"/>
    <w:uiPriority w:val="47"/>
    <w:qFormat/>
    <w:rsid w:val="00391EA1"/>
  </w:style>
  <w:style w:type="paragraph" w:customStyle="1" w:styleId="ECHRFooter">
    <w:name w:val="ECHR_Footer"/>
    <w:aliases w:val="Footer_ECHR"/>
    <w:basedOn w:val="Footer"/>
    <w:uiPriority w:val="57"/>
    <w:semiHidden/>
    <w:rsid w:val="00391EA1"/>
    <w:pPr>
      <w:tabs>
        <w:tab w:val="clear" w:pos="4513"/>
        <w:tab w:val="clear" w:pos="9026"/>
        <w:tab w:val="center" w:pos="4536"/>
        <w:tab w:val="right" w:pos="9696"/>
      </w:tabs>
      <w:ind w:left="-680" w:right="-680"/>
    </w:pPr>
    <w:rPr>
      <w:rFonts w:ascii="Times New Roman" w:hAnsi="Times New Roman"/>
      <w:sz w:val="8"/>
      <w:lang w:eastAsia="x-none"/>
    </w:rPr>
  </w:style>
  <w:style w:type="paragraph" w:customStyle="1" w:styleId="ECHRFooterLine">
    <w:name w:val="ECHR_Footer_Line"/>
    <w:aliases w:val="Footer_Line"/>
    <w:basedOn w:val="Normal"/>
    <w:next w:val="ECHRFooter"/>
    <w:uiPriority w:val="57"/>
    <w:semiHidden/>
    <w:rsid w:val="00391EA1"/>
    <w:pPr>
      <w:pBdr>
        <w:top w:val="single" w:sz="6" w:space="1" w:color="5F5F5F"/>
      </w:pBdr>
      <w:tabs>
        <w:tab w:val="center" w:pos="4536"/>
        <w:tab w:val="right" w:pos="9696"/>
      </w:tabs>
      <w:spacing w:after="0" w:line="240" w:lineRule="auto"/>
      <w:ind w:left="-680" w:right="-680"/>
    </w:pPr>
    <w:rPr>
      <w:rFonts w:ascii="Times New Roman" w:eastAsia="MS Mincho" w:hAnsi="Times New Roman"/>
      <w:color w:val="5F5F5F"/>
      <w:sz w:val="24"/>
      <w:lang w:val="en-GB"/>
    </w:rPr>
  </w:style>
  <w:style w:type="paragraph" w:customStyle="1" w:styleId="ECHRTitleCentre2">
    <w:name w:val="ECHR_Title_Centre_2"/>
    <w:aliases w:val="Dec_H_Case"/>
    <w:basedOn w:val="Normal"/>
    <w:next w:val="ECHRPara"/>
    <w:uiPriority w:val="8"/>
    <w:semiHidden/>
    <w:qFormat/>
    <w:rsid w:val="00391EA1"/>
    <w:pPr>
      <w:spacing w:after="240" w:line="240" w:lineRule="auto"/>
      <w:jc w:val="center"/>
      <w:outlineLvl w:val="0"/>
    </w:pPr>
    <w:rPr>
      <w:rFonts w:ascii="Times New Roman" w:eastAsia="MS Mincho" w:hAnsi="Times New Roman"/>
      <w:sz w:val="24"/>
      <w:lang w:val="en-GB"/>
    </w:rPr>
  </w:style>
  <w:style w:type="paragraph" w:customStyle="1" w:styleId="OpiQuot">
    <w:name w:val="Opi_Quot"/>
    <w:basedOn w:val="ECHRParaQuote"/>
    <w:uiPriority w:val="48"/>
    <w:qFormat/>
    <w:rsid w:val="00391EA1"/>
  </w:style>
  <w:style w:type="paragraph" w:customStyle="1" w:styleId="OpiQuotSub">
    <w:name w:val="Opi_Quot_Sub"/>
    <w:basedOn w:val="JuQuotSub"/>
    <w:uiPriority w:val="49"/>
    <w:qFormat/>
    <w:rsid w:val="00391EA1"/>
  </w:style>
  <w:style w:type="paragraph" w:customStyle="1" w:styleId="OpiTranslation">
    <w:name w:val="Opi_Translation"/>
    <w:basedOn w:val="Normal"/>
    <w:next w:val="OpiPara"/>
    <w:uiPriority w:val="40"/>
    <w:qFormat/>
    <w:rsid w:val="00391EA1"/>
    <w:pPr>
      <w:spacing w:after="0" w:line="240" w:lineRule="auto"/>
      <w:jc w:val="center"/>
      <w:outlineLvl w:val="0"/>
    </w:pPr>
    <w:rPr>
      <w:rFonts w:ascii="Times New Roman" w:eastAsia="MS Mincho" w:hAnsi="Times New Roman"/>
      <w:i/>
      <w:sz w:val="24"/>
      <w:lang w:val="en-GB"/>
    </w:rPr>
  </w:style>
  <w:style w:type="character" w:customStyle="1" w:styleId="ECHRParaChar">
    <w:name w:val="ECHR_Para Char"/>
    <w:aliases w:val="Ju_Para Char"/>
    <w:link w:val="ECHRPara"/>
    <w:uiPriority w:val="12"/>
    <w:rsid w:val="00391EA1"/>
    <w:rPr>
      <w:rFonts w:ascii="Times New Roman" w:eastAsia="MS Mincho" w:hAnsi="Times New Roman" w:cs="Times New Roman"/>
      <w:kern w:val="0"/>
      <w:sz w:val="24"/>
      <w:szCs w:val="20"/>
      <w:lang w:val="en-GB" w:eastAsia="x-none"/>
      <w14:ligatures w14:val="none"/>
    </w:rPr>
  </w:style>
  <w:style w:type="paragraph" w:customStyle="1" w:styleId="jupara">
    <w:name w:val="jupara"/>
    <w:basedOn w:val="Normal"/>
    <w:rsid w:val="00391EA1"/>
    <w:pPr>
      <w:spacing w:after="0" w:line="240" w:lineRule="auto"/>
      <w:ind w:firstLine="284"/>
      <w:jc w:val="both"/>
    </w:pPr>
    <w:rPr>
      <w:rFonts w:ascii="Times New Roman" w:hAnsi="Times New Roman"/>
      <w:sz w:val="24"/>
      <w:szCs w:val="24"/>
      <w:lang w:val="en-GB" w:eastAsia="en-GB"/>
    </w:rPr>
  </w:style>
  <w:style w:type="paragraph" w:customStyle="1" w:styleId="jucase0">
    <w:name w:val="jucase"/>
    <w:basedOn w:val="Normal"/>
    <w:rsid w:val="00391EA1"/>
    <w:pPr>
      <w:spacing w:after="0" w:line="240" w:lineRule="auto"/>
      <w:ind w:firstLine="284"/>
      <w:jc w:val="both"/>
    </w:pPr>
    <w:rPr>
      <w:rFonts w:ascii="Times New Roman" w:hAnsi="Times New Roman"/>
      <w:b/>
      <w:bCs/>
      <w:sz w:val="24"/>
      <w:szCs w:val="24"/>
      <w:lang w:val="en-GB" w:eastAsia="en-GB"/>
    </w:rPr>
  </w:style>
  <w:style w:type="paragraph" w:customStyle="1" w:styleId="xp1">
    <w:name w:val="x_p1"/>
    <w:basedOn w:val="Normal"/>
    <w:rsid w:val="00391EA1"/>
    <w:pPr>
      <w:spacing w:before="100" w:beforeAutospacing="1" w:after="100" w:afterAutospacing="1" w:line="240" w:lineRule="auto"/>
    </w:pPr>
    <w:rPr>
      <w:rFonts w:ascii="Times New Roman" w:hAnsi="Times New Roman"/>
      <w:sz w:val="24"/>
      <w:szCs w:val="24"/>
    </w:rPr>
  </w:style>
  <w:style w:type="character" w:customStyle="1" w:styleId="xs1">
    <w:name w:val="x_s1"/>
    <w:rsid w:val="00391EA1"/>
  </w:style>
  <w:style w:type="paragraph" w:customStyle="1" w:styleId="xp2">
    <w:name w:val="x_p2"/>
    <w:basedOn w:val="Normal"/>
    <w:rsid w:val="00391EA1"/>
    <w:pPr>
      <w:spacing w:before="100" w:beforeAutospacing="1" w:after="100" w:afterAutospacing="1" w:line="240" w:lineRule="auto"/>
    </w:pPr>
    <w:rPr>
      <w:rFonts w:ascii="Times New Roman" w:hAnsi="Times New Roman"/>
      <w:sz w:val="24"/>
      <w:szCs w:val="24"/>
    </w:rPr>
  </w:style>
  <w:style w:type="character" w:customStyle="1" w:styleId="xs2">
    <w:name w:val="x_s2"/>
    <w:rsid w:val="00391E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672075">
      <w:bodyDiv w:val="1"/>
      <w:marLeft w:val="0"/>
      <w:marRight w:val="0"/>
      <w:marTop w:val="0"/>
      <w:marBottom w:val="0"/>
      <w:divBdr>
        <w:top w:val="none" w:sz="0" w:space="0" w:color="auto"/>
        <w:left w:val="none" w:sz="0" w:space="0" w:color="auto"/>
        <w:bottom w:val="none" w:sz="0" w:space="0" w:color="auto"/>
        <w:right w:val="none" w:sz="0" w:space="0" w:color="auto"/>
      </w:divBdr>
      <w:divsChild>
        <w:div w:id="876544189">
          <w:marLeft w:val="0"/>
          <w:marRight w:val="0"/>
          <w:marTop w:val="0"/>
          <w:marBottom w:val="0"/>
          <w:divBdr>
            <w:top w:val="none" w:sz="0" w:space="0" w:color="auto"/>
            <w:left w:val="none" w:sz="0" w:space="0" w:color="auto"/>
            <w:bottom w:val="none" w:sz="0" w:space="0" w:color="auto"/>
            <w:right w:val="none" w:sz="0" w:space="0" w:color="auto"/>
          </w:divBdr>
        </w:div>
        <w:div w:id="1338653899">
          <w:marLeft w:val="0"/>
          <w:marRight w:val="0"/>
          <w:marTop w:val="0"/>
          <w:marBottom w:val="0"/>
          <w:divBdr>
            <w:top w:val="none" w:sz="0" w:space="0" w:color="auto"/>
            <w:left w:val="none" w:sz="0" w:space="0" w:color="auto"/>
            <w:bottom w:val="none" w:sz="0" w:space="0" w:color="auto"/>
            <w:right w:val="none" w:sz="0" w:space="0" w:color="auto"/>
          </w:divBdr>
        </w:div>
        <w:div w:id="1148549056">
          <w:marLeft w:val="0"/>
          <w:marRight w:val="0"/>
          <w:marTop w:val="0"/>
          <w:marBottom w:val="0"/>
          <w:divBdr>
            <w:top w:val="none" w:sz="0" w:space="0" w:color="auto"/>
            <w:left w:val="none" w:sz="0" w:space="0" w:color="auto"/>
            <w:bottom w:val="none" w:sz="0" w:space="0" w:color="auto"/>
            <w:right w:val="none" w:sz="0" w:space="0" w:color="auto"/>
          </w:divBdr>
        </w:div>
        <w:div w:id="896361412">
          <w:marLeft w:val="0"/>
          <w:marRight w:val="0"/>
          <w:marTop w:val="0"/>
          <w:marBottom w:val="0"/>
          <w:divBdr>
            <w:top w:val="none" w:sz="0" w:space="0" w:color="auto"/>
            <w:left w:val="none" w:sz="0" w:space="0" w:color="auto"/>
            <w:bottom w:val="none" w:sz="0" w:space="0" w:color="auto"/>
            <w:right w:val="none" w:sz="0" w:space="0" w:color="auto"/>
          </w:divBdr>
        </w:div>
        <w:div w:id="1870678400">
          <w:marLeft w:val="0"/>
          <w:marRight w:val="0"/>
          <w:marTop w:val="0"/>
          <w:marBottom w:val="0"/>
          <w:divBdr>
            <w:top w:val="none" w:sz="0" w:space="0" w:color="auto"/>
            <w:left w:val="none" w:sz="0" w:space="0" w:color="auto"/>
            <w:bottom w:val="none" w:sz="0" w:space="0" w:color="auto"/>
            <w:right w:val="none" w:sz="0" w:space="0" w:color="auto"/>
          </w:divBdr>
        </w:div>
        <w:div w:id="1438479748">
          <w:marLeft w:val="0"/>
          <w:marRight w:val="0"/>
          <w:marTop w:val="0"/>
          <w:marBottom w:val="0"/>
          <w:divBdr>
            <w:top w:val="none" w:sz="0" w:space="0" w:color="auto"/>
            <w:left w:val="none" w:sz="0" w:space="0" w:color="auto"/>
            <w:bottom w:val="none" w:sz="0" w:space="0" w:color="auto"/>
            <w:right w:val="none" w:sz="0" w:space="0" w:color="auto"/>
          </w:divBdr>
        </w:div>
        <w:div w:id="1861577929">
          <w:marLeft w:val="0"/>
          <w:marRight w:val="0"/>
          <w:marTop w:val="0"/>
          <w:marBottom w:val="0"/>
          <w:divBdr>
            <w:top w:val="none" w:sz="0" w:space="0" w:color="auto"/>
            <w:left w:val="none" w:sz="0" w:space="0" w:color="auto"/>
            <w:bottom w:val="none" w:sz="0" w:space="0" w:color="auto"/>
            <w:right w:val="none" w:sz="0" w:space="0" w:color="auto"/>
          </w:divBdr>
        </w:div>
        <w:div w:id="7022664">
          <w:marLeft w:val="0"/>
          <w:marRight w:val="0"/>
          <w:marTop w:val="0"/>
          <w:marBottom w:val="0"/>
          <w:divBdr>
            <w:top w:val="none" w:sz="0" w:space="0" w:color="auto"/>
            <w:left w:val="none" w:sz="0" w:space="0" w:color="auto"/>
            <w:bottom w:val="none" w:sz="0" w:space="0" w:color="auto"/>
            <w:right w:val="none" w:sz="0" w:space="0" w:color="auto"/>
          </w:divBdr>
        </w:div>
        <w:div w:id="1996492317">
          <w:marLeft w:val="0"/>
          <w:marRight w:val="0"/>
          <w:marTop w:val="0"/>
          <w:marBottom w:val="0"/>
          <w:divBdr>
            <w:top w:val="none" w:sz="0" w:space="0" w:color="auto"/>
            <w:left w:val="none" w:sz="0" w:space="0" w:color="auto"/>
            <w:bottom w:val="none" w:sz="0" w:space="0" w:color="auto"/>
            <w:right w:val="none" w:sz="0" w:space="0" w:color="auto"/>
          </w:divBdr>
        </w:div>
        <w:div w:id="1787190140">
          <w:marLeft w:val="0"/>
          <w:marRight w:val="0"/>
          <w:marTop w:val="0"/>
          <w:marBottom w:val="0"/>
          <w:divBdr>
            <w:top w:val="none" w:sz="0" w:space="0" w:color="auto"/>
            <w:left w:val="none" w:sz="0" w:space="0" w:color="auto"/>
            <w:bottom w:val="none" w:sz="0" w:space="0" w:color="auto"/>
            <w:right w:val="none" w:sz="0" w:space="0" w:color="auto"/>
          </w:divBdr>
        </w:div>
        <w:div w:id="1122308729">
          <w:marLeft w:val="0"/>
          <w:marRight w:val="0"/>
          <w:marTop w:val="0"/>
          <w:marBottom w:val="0"/>
          <w:divBdr>
            <w:top w:val="none" w:sz="0" w:space="0" w:color="auto"/>
            <w:left w:val="none" w:sz="0" w:space="0" w:color="auto"/>
            <w:bottom w:val="none" w:sz="0" w:space="0" w:color="auto"/>
            <w:right w:val="none" w:sz="0" w:space="0" w:color="auto"/>
          </w:divBdr>
        </w:div>
        <w:div w:id="1162621191">
          <w:marLeft w:val="0"/>
          <w:marRight w:val="0"/>
          <w:marTop w:val="0"/>
          <w:marBottom w:val="0"/>
          <w:divBdr>
            <w:top w:val="none" w:sz="0" w:space="0" w:color="auto"/>
            <w:left w:val="none" w:sz="0" w:space="0" w:color="auto"/>
            <w:bottom w:val="none" w:sz="0" w:space="0" w:color="auto"/>
            <w:right w:val="none" w:sz="0" w:space="0" w:color="auto"/>
          </w:divBdr>
        </w:div>
        <w:div w:id="1857965845">
          <w:marLeft w:val="0"/>
          <w:marRight w:val="0"/>
          <w:marTop w:val="0"/>
          <w:marBottom w:val="0"/>
          <w:divBdr>
            <w:top w:val="none" w:sz="0" w:space="0" w:color="auto"/>
            <w:left w:val="none" w:sz="0" w:space="0" w:color="auto"/>
            <w:bottom w:val="none" w:sz="0" w:space="0" w:color="auto"/>
            <w:right w:val="none" w:sz="0" w:space="0" w:color="auto"/>
          </w:divBdr>
        </w:div>
      </w:divsChild>
    </w:div>
    <w:div w:id="483159465">
      <w:bodyDiv w:val="1"/>
      <w:marLeft w:val="0"/>
      <w:marRight w:val="0"/>
      <w:marTop w:val="0"/>
      <w:marBottom w:val="0"/>
      <w:divBdr>
        <w:top w:val="none" w:sz="0" w:space="0" w:color="auto"/>
        <w:left w:val="none" w:sz="0" w:space="0" w:color="auto"/>
        <w:bottom w:val="none" w:sz="0" w:space="0" w:color="auto"/>
        <w:right w:val="none" w:sz="0" w:space="0" w:color="auto"/>
      </w:divBdr>
      <w:divsChild>
        <w:div w:id="579952050">
          <w:marLeft w:val="0"/>
          <w:marRight w:val="0"/>
          <w:marTop w:val="0"/>
          <w:marBottom w:val="0"/>
          <w:divBdr>
            <w:top w:val="none" w:sz="0" w:space="0" w:color="auto"/>
            <w:left w:val="none" w:sz="0" w:space="0" w:color="auto"/>
            <w:bottom w:val="none" w:sz="0" w:space="0" w:color="auto"/>
            <w:right w:val="none" w:sz="0" w:space="0" w:color="auto"/>
          </w:divBdr>
        </w:div>
        <w:div w:id="133639766">
          <w:marLeft w:val="0"/>
          <w:marRight w:val="0"/>
          <w:marTop w:val="0"/>
          <w:marBottom w:val="0"/>
          <w:divBdr>
            <w:top w:val="none" w:sz="0" w:space="0" w:color="auto"/>
            <w:left w:val="none" w:sz="0" w:space="0" w:color="auto"/>
            <w:bottom w:val="none" w:sz="0" w:space="0" w:color="auto"/>
            <w:right w:val="none" w:sz="0" w:space="0" w:color="auto"/>
          </w:divBdr>
        </w:div>
      </w:divsChild>
    </w:div>
    <w:div w:id="642587713">
      <w:bodyDiv w:val="1"/>
      <w:marLeft w:val="0"/>
      <w:marRight w:val="0"/>
      <w:marTop w:val="0"/>
      <w:marBottom w:val="0"/>
      <w:divBdr>
        <w:top w:val="none" w:sz="0" w:space="0" w:color="auto"/>
        <w:left w:val="none" w:sz="0" w:space="0" w:color="auto"/>
        <w:bottom w:val="none" w:sz="0" w:space="0" w:color="auto"/>
        <w:right w:val="none" w:sz="0" w:space="0" w:color="auto"/>
      </w:divBdr>
      <w:divsChild>
        <w:div w:id="1190341516">
          <w:marLeft w:val="0"/>
          <w:marRight w:val="0"/>
          <w:marTop w:val="0"/>
          <w:marBottom w:val="0"/>
          <w:divBdr>
            <w:top w:val="none" w:sz="0" w:space="0" w:color="auto"/>
            <w:left w:val="none" w:sz="0" w:space="0" w:color="auto"/>
            <w:bottom w:val="none" w:sz="0" w:space="0" w:color="auto"/>
            <w:right w:val="none" w:sz="0" w:space="0" w:color="auto"/>
          </w:divBdr>
        </w:div>
        <w:div w:id="739866396">
          <w:marLeft w:val="0"/>
          <w:marRight w:val="0"/>
          <w:marTop w:val="0"/>
          <w:marBottom w:val="0"/>
          <w:divBdr>
            <w:top w:val="none" w:sz="0" w:space="0" w:color="auto"/>
            <w:left w:val="none" w:sz="0" w:space="0" w:color="auto"/>
            <w:bottom w:val="none" w:sz="0" w:space="0" w:color="auto"/>
            <w:right w:val="none" w:sz="0" w:space="0" w:color="auto"/>
          </w:divBdr>
        </w:div>
        <w:div w:id="443353998">
          <w:marLeft w:val="0"/>
          <w:marRight w:val="0"/>
          <w:marTop w:val="0"/>
          <w:marBottom w:val="0"/>
          <w:divBdr>
            <w:top w:val="none" w:sz="0" w:space="0" w:color="auto"/>
            <w:left w:val="none" w:sz="0" w:space="0" w:color="auto"/>
            <w:bottom w:val="none" w:sz="0" w:space="0" w:color="auto"/>
            <w:right w:val="none" w:sz="0" w:space="0" w:color="auto"/>
          </w:divBdr>
        </w:div>
        <w:div w:id="1563785556">
          <w:marLeft w:val="0"/>
          <w:marRight w:val="0"/>
          <w:marTop w:val="0"/>
          <w:marBottom w:val="0"/>
          <w:divBdr>
            <w:top w:val="none" w:sz="0" w:space="0" w:color="auto"/>
            <w:left w:val="none" w:sz="0" w:space="0" w:color="auto"/>
            <w:bottom w:val="none" w:sz="0" w:space="0" w:color="auto"/>
            <w:right w:val="none" w:sz="0" w:space="0" w:color="auto"/>
          </w:divBdr>
        </w:div>
        <w:div w:id="1062601383">
          <w:marLeft w:val="0"/>
          <w:marRight w:val="0"/>
          <w:marTop w:val="0"/>
          <w:marBottom w:val="0"/>
          <w:divBdr>
            <w:top w:val="none" w:sz="0" w:space="0" w:color="auto"/>
            <w:left w:val="none" w:sz="0" w:space="0" w:color="auto"/>
            <w:bottom w:val="none" w:sz="0" w:space="0" w:color="auto"/>
            <w:right w:val="none" w:sz="0" w:space="0" w:color="auto"/>
          </w:divBdr>
        </w:div>
        <w:div w:id="1346517584">
          <w:marLeft w:val="0"/>
          <w:marRight w:val="0"/>
          <w:marTop w:val="0"/>
          <w:marBottom w:val="0"/>
          <w:divBdr>
            <w:top w:val="none" w:sz="0" w:space="0" w:color="auto"/>
            <w:left w:val="none" w:sz="0" w:space="0" w:color="auto"/>
            <w:bottom w:val="none" w:sz="0" w:space="0" w:color="auto"/>
            <w:right w:val="none" w:sz="0" w:space="0" w:color="auto"/>
          </w:divBdr>
        </w:div>
        <w:div w:id="938607424">
          <w:marLeft w:val="0"/>
          <w:marRight w:val="0"/>
          <w:marTop w:val="0"/>
          <w:marBottom w:val="0"/>
          <w:divBdr>
            <w:top w:val="none" w:sz="0" w:space="0" w:color="auto"/>
            <w:left w:val="none" w:sz="0" w:space="0" w:color="auto"/>
            <w:bottom w:val="none" w:sz="0" w:space="0" w:color="auto"/>
            <w:right w:val="none" w:sz="0" w:space="0" w:color="auto"/>
          </w:divBdr>
        </w:div>
        <w:div w:id="1233586299">
          <w:marLeft w:val="0"/>
          <w:marRight w:val="0"/>
          <w:marTop w:val="0"/>
          <w:marBottom w:val="0"/>
          <w:divBdr>
            <w:top w:val="none" w:sz="0" w:space="0" w:color="auto"/>
            <w:left w:val="none" w:sz="0" w:space="0" w:color="auto"/>
            <w:bottom w:val="none" w:sz="0" w:space="0" w:color="auto"/>
            <w:right w:val="none" w:sz="0" w:space="0" w:color="auto"/>
          </w:divBdr>
        </w:div>
        <w:div w:id="1401752914">
          <w:marLeft w:val="0"/>
          <w:marRight w:val="0"/>
          <w:marTop w:val="0"/>
          <w:marBottom w:val="0"/>
          <w:divBdr>
            <w:top w:val="none" w:sz="0" w:space="0" w:color="auto"/>
            <w:left w:val="none" w:sz="0" w:space="0" w:color="auto"/>
            <w:bottom w:val="none" w:sz="0" w:space="0" w:color="auto"/>
            <w:right w:val="none" w:sz="0" w:space="0" w:color="auto"/>
          </w:divBdr>
        </w:div>
        <w:div w:id="250897649">
          <w:marLeft w:val="0"/>
          <w:marRight w:val="0"/>
          <w:marTop w:val="0"/>
          <w:marBottom w:val="0"/>
          <w:divBdr>
            <w:top w:val="none" w:sz="0" w:space="0" w:color="auto"/>
            <w:left w:val="none" w:sz="0" w:space="0" w:color="auto"/>
            <w:bottom w:val="none" w:sz="0" w:space="0" w:color="auto"/>
            <w:right w:val="none" w:sz="0" w:space="0" w:color="auto"/>
          </w:divBdr>
        </w:div>
      </w:divsChild>
    </w:div>
    <w:div w:id="945693811">
      <w:bodyDiv w:val="1"/>
      <w:marLeft w:val="0"/>
      <w:marRight w:val="0"/>
      <w:marTop w:val="0"/>
      <w:marBottom w:val="0"/>
      <w:divBdr>
        <w:top w:val="none" w:sz="0" w:space="0" w:color="auto"/>
        <w:left w:val="none" w:sz="0" w:space="0" w:color="auto"/>
        <w:bottom w:val="none" w:sz="0" w:space="0" w:color="auto"/>
        <w:right w:val="none" w:sz="0" w:space="0" w:color="auto"/>
      </w:divBdr>
      <w:divsChild>
        <w:div w:id="452754428">
          <w:marLeft w:val="0"/>
          <w:marRight w:val="0"/>
          <w:marTop w:val="0"/>
          <w:marBottom w:val="0"/>
          <w:divBdr>
            <w:top w:val="none" w:sz="0" w:space="0" w:color="auto"/>
            <w:left w:val="none" w:sz="0" w:space="0" w:color="auto"/>
            <w:bottom w:val="none" w:sz="0" w:space="0" w:color="auto"/>
            <w:right w:val="none" w:sz="0" w:space="0" w:color="auto"/>
          </w:divBdr>
        </w:div>
        <w:div w:id="428821115">
          <w:marLeft w:val="0"/>
          <w:marRight w:val="0"/>
          <w:marTop w:val="0"/>
          <w:marBottom w:val="0"/>
          <w:divBdr>
            <w:top w:val="none" w:sz="0" w:space="0" w:color="auto"/>
            <w:left w:val="none" w:sz="0" w:space="0" w:color="auto"/>
            <w:bottom w:val="none" w:sz="0" w:space="0" w:color="auto"/>
            <w:right w:val="none" w:sz="0" w:space="0" w:color="auto"/>
          </w:divBdr>
        </w:div>
        <w:div w:id="1800372140">
          <w:marLeft w:val="0"/>
          <w:marRight w:val="0"/>
          <w:marTop w:val="0"/>
          <w:marBottom w:val="0"/>
          <w:divBdr>
            <w:top w:val="none" w:sz="0" w:space="0" w:color="auto"/>
            <w:left w:val="none" w:sz="0" w:space="0" w:color="auto"/>
            <w:bottom w:val="none" w:sz="0" w:space="0" w:color="auto"/>
            <w:right w:val="none" w:sz="0" w:space="0" w:color="auto"/>
          </w:divBdr>
        </w:div>
        <w:div w:id="565339920">
          <w:marLeft w:val="0"/>
          <w:marRight w:val="0"/>
          <w:marTop w:val="0"/>
          <w:marBottom w:val="0"/>
          <w:divBdr>
            <w:top w:val="none" w:sz="0" w:space="0" w:color="auto"/>
            <w:left w:val="none" w:sz="0" w:space="0" w:color="auto"/>
            <w:bottom w:val="none" w:sz="0" w:space="0" w:color="auto"/>
            <w:right w:val="none" w:sz="0" w:space="0" w:color="auto"/>
          </w:divBdr>
        </w:div>
        <w:div w:id="1978684852">
          <w:marLeft w:val="0"/>
          <w:marRight w:val="0"/>
          <w:marTop w:val="0"/>
          <w:marBottom w:val="0"/>
          <w:divBdr>
            <w:top w:val="none" w:sz="0" w:space="0" w:color="auto"/>
            <w:left w:val="none" w:sz="0" w:space="0" w:color="auto"/>
            <w:bottom w:val="none" w:sz="0" w:space="0" w:color="auto"/>
            <w:right w:val="none" w:sz="0" w:space="0" w:color="auto"/>
          </w:divBdr>
        </w:div>
        <w:div w:id="2070420145">
          <w:marLeft w:val="0"/>
          <w:marRight w:val="0"/>
          <w:marTop w:val="0"/>
          <w:marBottom w:val="0"/>
          <w:divBdr>
            <w:top w:val="none" w:sz="0" w:space="0" w:color="auto"/>
            <w:left w:val="none" w:sz="0" w:space="0" w:color="auto"/>
            <w:bottom w:val="none" w:sz="0" w:space="0" w:color="auto"/>
            <w:right w:val="none" w:sz="0" w:space="0" w:color="auto"/>
          </w:divBdr>
        </w:div>
        <w:div w:id="240915458">
          <w:marLeft w:val="0"/>
          <w:marRight w:val="0"/>
          <w:marTop w:val="0"/>
          <w:marBottom w:val="0"/>
          <w:divBdr>
            <w:top w:val="none" w:sz="0" w:space="0" w:color="auto"/>
            <w:left w:val="none" w:sz="0" w:space="0" w:color="auto"/>
            <w:bottom w:val="none" w:sz="0" w:space="0" w:color="auto"/>
            <w:right w:val="none" w:sz="0" w:space="0" w:color="auto"/>
          </w:divBdr>
        </w:div>
        <w:div w:id="275021792">
          <w:marLeft w:val="0"/>
          <w:marRight w:val="0"/>
          <w:marTop w:val="0"/>
          <w:marBottom w:val="0"/>
          <w:divBdr>
            <w:top w:val="none" w:sz="0" w:space="0" w:color="auto"/>
            <w:left w:val="none" w:sz="0" w:space="0" w:color="auto"/>
            <w:bottom w:val="none" w:sz="0" w:space="0" w:color="auto"/>
            <w:right w:val="none" w:sz="0" w:space="0" w:color="auto"/>
          </w:divBdr>
        </w:div>
        <w:div w:id="1470200101">
          <w:marLeft w:val="0"/>
          <w:marRight w:val="0"/>
          <w:marTop w:val="0"/>
          <w:marBottom w:val="0"/>
          <w:divBdr>
            <w:top w:val="none" w:sz="0" w:space="0" w:color="auto"/>
            <w:left w:val="none" w:sz="0" w:space="0" w:color="auto"/>
            <w:bottom w:val="none" w:sz="0" w:space="0" w:color="auto"/>
            <w:right w:val="none" w:sz="0" w:space="0" w:color="auto"/>
          </w:divBdr>
        </w:div>
        <w:div w:id="439379937">
          <w:marLeft w:val="0"/>
          <w:marRight w:val="0"/>
          <w:marTop w:val="0"/>
          <w:marBottom w:val="0"/>
          <w:divBdr>
            <w:top w:val="none" w:sz="0" w:space="0" w:color="auto"/>
            <w:left w:val="none" w:sz="0" w:space="0" w:color="auto"/>
            <w:bottom w:val="none" w:sz="0" w:space="0" w:color="auto"/>
            <w:right w:val="none" w:sz="0" w:space="0" w:color="auto"/>
          </w:divBdr>
        </w:div>
      </w:divsChild>
    </w:div>
    <w:div w:id="1089085103">
      <w:bodyDiv w:val="1"/>
      <w:marLeft w:val="0"/>
      <w:marRight w:val="0"/>
      <w:marTop w:val="0"/>
      <w:marBottom w:val="0"/>
      <w:divBdr>
        <w:top w:val="none" w:sz="0" w:space="0" w:color="auto"/>
        <w:left w:val="none" w:sz="0" w:space="0" w:color="auto"/>
        <w:bottom w:val="none" w:sz="0" w:space="0" w:color="auto"/>
        <w:right w:val="none" w:sz="0" w:space="0" w:color="auto"/>
      </w:divBdr>
      <w:divsChild>
        <w:div w:id="470757000">
          <w:marLeft w:val="0"/>
          <w:marRight w:val="0"/>
          <w:marTop w:val="0"/>
          <w:marBottom w:val="0"/>
          <w:divBdr>
            <w:top w:val="none" w:sz="0" w:space="0" w:color="auto"/>
            <w:left w:val="none" w:sz="0" w:space="0" w:color="auto"/>
            <w:bottom w:val="none" w:sz="0" w:space="0" w:color="auto"/>
            <w:right w:val="none" w:sz="0" w:space="0" w:color="auto"/>
          </w:divBdr>
        </w:div>
        <w:div w:id="842748199">
          <w:marLeft w:val="0"/>
          <w:marRight w:val="0"/>
          <w:marTop w:val="0"/>
          <w:marBottom w:val="0"/>
          <w:divBdr>
            <w:top w:val="none" w:sz="0" w:space="0" w:color="auto"/>
            <w:left w:val="none" w:sz="0" w:space="0" w:color="auto"/>
            <w:bottom w:val="none" w:sz="0" w:space="0" w:color="auto"/>
            <w:right w:val="none" w:sz="0" w:space="0" w:color="auto"/>
          </w:divBdr>
        </w:div>
        <w:div w:id="1437942225">
          <w:marLeft w:val="0"/>
          <w:marRight w:val="0"/>
          <w:marTop w:val="0"/>
          <w:marBottom w:val="0"/>
          <w:divBdr>
            <w:top w:val="none" w:sz="0" w:space="0" w:color="auto"/>
            <w:left w:val="none" w:sz="0" w:space="0" w:color="auto"/>
            <w:bottom w:val="none" w:sz="0" w:space="0" w:color="auto"/>
            <w:right w:val="none" w:sz="0" w:space="0" w:color="auto"/>
          </w:divBdr>
        </w:div>
        <w:div w:id="2109544948">
          <w:marLeft w:val="0"/>
          <w:marRight w:val="0"/>
          <w:marTop w:val="0"/>
          <w:marBottom w:val="0"/>
          <w:divBdr>
            <w:top w:val="none" w:sz="0" w:space="0" w:color="auto"/>
            <w:left w:val="none" w:sz="0" w:space="0" w:color="auto"/>
            <w:bottom w:val="none" w:sz="0" w:space="0" w:color="auto"/>
            <w:right w:val="none" w:sz="0" w:space="0" w:color="auto"/>
          </w:divBdr>
        </w:div>
      </w:divsChild>
    </w:div>
    <w:div w:id="1108699558">
      <w:bodyDiv w:val="1"/>
      <w:marLeft w:val="0"/>
      <w:marRight w:val="0"/>
      <w:marTop w:val="0"/>
      <w:marBottom w:val="0"/>
      <w:divBdr>
        <w:top w:val="none" w:sz="0" w:space="0" w:color="auto"/>
        <w:left w:val="none" w:sz="0" w:space="0" w:color="auto"/>
        <w:bottom w:val="none" w:sz="0" w:space="0" w:color="auto"/>
        <w:right w:val="none" w:sz="0" w:space="0" w:color="auto"/>
      </w:divBdr>
      <w:divsChild>
        <w:div w:id="698972044">
          <w:marLeft w:val="0"/>
          <w:marRight w:val="0"/>
          <w:marTop w:val="0"/>
          <w:marBottom w:val="0"/>
          <w:divBdr>
            <w:top w:val="none" w:sz="0" w:space="0" w:color="auto"/>
            <w:left w:val="none" w:sz="0" w:space="0" w:color="auto"/>
            <w:bottom w:val="none" w:sz="0" w:space="0" w:color="auto"/>
            <w:right w:val="none" w:sz="0" w:space="0" w:color="auto"/>
          </w:divBdr>
        </w:div>
        <w:div w:id="1855880417">
          <w:marLeft w:val="0"/>
          <w:marRight w:val="0"/>
          <w:marTop w:val="0"/>
          <w:marBottom w:val="0"/>
          <w:divBdr>
            <w:top w:val="none" w:sz="0" w:space="0" w:color="auto"/>
            <w:left w:val="none" w:sz="0" w:space="0" w:color="auto"/>
            <w:bottom w:val="none" w:sz="0" w:space="0" w:color="auto"/>
            <w:right w:val="none" w:sz="0" w:space="0" w:color="auto"/>
          </w:divBdr>
        </w:div>
        <w:div w:id="1741705784">
          <w:marLeft w:val="0"/>
          <w:marRight w:val="0"/>
          <w:marTop w:val="0"/>
          <w:marBottom w:val="0"/>
          <w:divBdr>
            <w:top w:val="none" w:sz="0" w:space="0" w:color="auto"/>
            <w:left w:val="none" w:sz="0" w:space="0" w:color="auto"/>
            <w:bottom w:val="none" w:sz="0" w:space="0" w:color="auto"/>
            <w:right w:val="none" w:sz="0" w:space="0" w:color="auto"/>
          </w:divBdr>
        </w:div>
        <w:div w:id="1293751641">
          <w:marLeft w:val="0"/>
          <w:marRight w:val="0"/>
          <w:marTop w:val="0"/>
          <w:marBottom w:val="0"/>
          <w:divBdr>
            <w:top w:val="none" w:sz="0" w:space="0" w:color="auto"/>
            <w:left w:val="none" w:sz="0" w:space="0" w:color="auto"/>
            <w:bottom w:val="none" w:sz="0" w:space="0" w:color="auto"/>
            <w:right w:val="none" w:sz="0" w:space="0" w:color="auto"/>
          </w:divBdr>
        </w:div>
        <w:div w:id="151679926">
          <w:marLeft w:val="0"/>
          <w:marRight w:val="0"/>
          <w:marTop w:val="0"/>
          <w:marBottom w:val="0"/>
          <w:divBdr>
            <w:top w:val="none" w:sz="0" w:space="0" w:color="auto"/>
            <w:left w:val="none" w:sz="0" w:space="0" w:color="auto"/>
            <w:bottom w:val="none" w:sz="0" w:space="0" w:color="auto"/>
            <w:right w:val="none" w:sz="0" w:space="0" w:color="auto"/>
          </w:divBdr>
        </w:div>
        <w:div w:id="781730872">
          <w:marLeft w:val="0"/>
          <w:marRight w:val="0"/>
          <w:marTop w:val="0"/>
          <w:marBottom w:val="0"/>
          <w:divBdr>
            <w:top w:val="none" w:sz="0" w:space="0" w:color="auto"/>
            <w:left w:val="none" w:sz="0" w:space="0" w:color="auto"/>
            <w:bottom w:val="none" w:sz="0" w:space="0" w:color="auto"/>
            <w:right w:val="none" w:sz="0" w:space="0" w:color="auto"/>
          </w:divBdr>
        </w:div>
        <w:div w:id="861478017">
          <w:marLeft w:val="0"/>
          <w:marRight w:val="0"/>
          <w:marTop w:val="0"/>
          <w:marBottom w:val="0"/>
          <w:divBdr>
            <w:top w:val="none" w:sz="0" w:space="0" w:color="auto"/>
            <w:left w:val="none" w:sz="0" w:space="0" w:color="auto"/>
            <w:bottom w:val="none" w:sz="0" w:space="0" w:color="auto"/>
            <w:right w:val="none" w:sz="0" w:space="0" w:color="auto"/>
          </w:divBdr>
        </w:div>
        <w:div w:id="355471234">
          <w:marLeft w:val="0"/>
          <w:marRight w:val="0"/>
          <w:marTop w:val="0"/>
          <w:marBottom w:val="0"/>
          <w:divBdr>
            <w:top w:val="none" w:sz="0" w:space="0" w:color="auto"/>
            <w:left w:val="none" w:sz="0" w:space="0" w:color="auto"/>
            <w:bottom w:val="none" w:sz="0" w:space="0" w:color="auto"/>
            <w:right w:val="none" w:sz="0" w:space="0" w:color="auto"/>
          </w:divBdr>
        </w:div>
        <w:div w:id="1737586642">
          <w:marLeft w:val="0"/>
          <w:marRight w:val="0"/>
          <w:marTop w:val="0"/>
          <w:marBottom w:val="0"/>
          <w:divBdr>
            <w:top w:val="none" w:sz="0" w:space="0" w:color="auto"/>
            <w:left w:val="none" w:sz="0" w:space="0" w:color="auto"/>
            <w:bottom w:val="none" w:sz="0" w:space="0" w:color="auto"/>
            <w:right w:val="none" w:sz="0" w:space="0" w:color="auto"/>
          </w:divBdr>
        </w:div>
        <w:div w:id="1377848735">
          <w:marLeft w:val="0"/>
          <w:marRight w:val="0"/>
          <w:marTop w:val="0"/>
          <w:marBottom w:val="0"/>
          <w:divBdr>
            <w:top w:val="none" w:sz="0" w:space="0" w:color="auto"/>
            <w:left w:val="none" w:sz="0" w:space="0" w:color="auto"/>
            <w:bottom w:val="none" w:sz="0" w:space="0" w:color="auto"/>
            <w:right w:val="none" w:sz="0" w:space="0" w:color="auto"/>
          </w:divBdr>
        </w:div>
        <w:div w:id="1867863811">
          <w:marLeft w:val="0"/>
          <w:marRight w:val="0"/>
          <w:marTop w:val="0"/>
          <w:marBottom w:val="0"/>
          <w:divBdr>
            <w:top w:val="none" w:sz="0" w:space="0" w:color="auto"/>
            <w:left w:val="none" w:sz="0" w:space="0" w:color="auto"/>
            <w:bottom w:val="none" w:sz="0" w:space="0" w:color="auto"/>
            <w:right w:val="none" w:sz="0" w:space="0" w:color="auto"/>
          </w:divBdr>
        </w:div>
        <w:div w:id="827669858">
          <w:marLeft w:val="0"/>
          <w:marRight w:val="0"/>
          <w:marTop w:val="0"/>
          <w:marBottom w:val="0"/>
          <w:divBdr>
            <w:top w:val="none" w:sz="0" w:space="0" w:color="auto"/>
            <w:left w:val="none" w:sz="0" w:space="0" w:color="auto"/>
            <w:bottom w:val="none" w:sz="0" w:space="0" w:color="auto"/>
            <w:right w:val="none" w:sz="0" w:space="0" w:color="auto"/>
          </w:divBdr>
        </w:div>
        <w:div w:id="1844084526">
          <w:marLeft w:val="0"/>
          <w:marRight w:val="0"/>
          <w:marTop w:val="0"/>
          <w:marBottom w:val="0"/>
          <w:divBdr>
            <w:top w:val="none" w:sz="0" w:space="0" w:color="auto"/>
            <w:left w:val="none" w:sz="0" w:space="0" w:color="auto"/>
            <w:bottom w:val="none" w:sz="0" w:space="0" w:color="auto"/>
            <w:right w:val="none" w:sz="0" w:space="0" w:color="auto"/>
          </w:divBdr>
        </w:div>
        <w:div w:id="1217084455">
          <w:marLeft w:val="0"/>
          <w:marRight w:val="0"/>
          <w:marTop w:val="0"/>
          <w:marBottom w:val="0"/>
          <w:divBdr>
            <w:top w:val="none" w:sz="0" w:space="0" w:color="auto"/>
            <w:left w:val="none" w:sz="0" w:space="0" w:color="auto"/>
            <w:bottom w:val="none" w:sz="0" w:space="0" w:color="auto"/>
            <w:right w:val="none" w:sz="0" w:space="0" w:color="auto"/>
          </w:divBdr>
        </w:div>
        <w:div w:id="1150436852">
          <w:marLeft w:val="0"/>
          <w:marRight w:val="0"/>
          <w:marTop w:val="0"/>
          <w:marBottom w:val="0"/>
          <w:divBdr>
            <w:top w:val="none" w:sz="0" w:space="0" w:color="auto"/>
            <w:left w:val="none" w:sz="0" w:space="0" w:color="auto"/>
            <w:bottom w:val="none" w:sz="0" w:space="0" w:color="auto"/>
            <w:right w:val="none" w:sz="0" w:space="0" w:color="auto"/>
          </w:divBdr>
        </w:div>
      </w:divsChild>
    </w:div>
    <w:div w:id="1123697878">
      <w:bodyDiv w:val="1"/>
      <w:marLeft w:val="0"/>
      <w:marRight w:val="0"/>
      <w:marTop w:val="0"/>
      <w:marBottom w:val="0"/>
      <w:divBdr>
        <w:top w:val="none" w:sz="0" w:space="0" w:color="auto"/>
        <w:left w:val="none" w:sz="0" w:space="0" w:color="auto"/>
        <w:bottom w:val="none" w:sz="0" w:space="0" w:color="auto"/>
        <w:right w:val="none" w:sz="0" w:space="0" w:color="auto"/>
      </w:divBdr>
      <w:divsChild>
        <w:div w:id="896741030">
          <w:marLeft w:val="0"/>
          <w:marRight w:val="0"/>
          <w:marTop w:val="0"/>
          <w:marBottom w:val="0"/>
          <w:divBdr>
            <w:top w:val="none" w:sz="0" w:space="0" w:color="auto"/>
            <w:left w:val="none" w:sz="0" w:space="0" w:color="auto"/>
            <w:bottom w:val="none" w:sz="0" w:space="0" w:color="auto"/>
            <w:right w:val="none" w:sz="0" w:space="0" w:color="auto"/>
          </w:divBdr>
        </w:div>
        <w:div w:id="457182835">
          <w:marLeft w:val="0"/>
          <w:marRight w:val="0"/>
          <w:marTop w:val="0"/>
          <w:marBottom w:val="0"/>
          <w:divBdr>
            <w:top w:val="none" w:sz="0" w:space="0" w:color="auto"/>
            <w:left w:val="none" w:sz="0" w:space="0" w:color="auto"/>
            <w:bottom w:val="none" w:sz="0" w:space="0" w:color="auto"/>
            <w:right w:val="none" w:sz="0" w:space="0" w:color="auto"/>
          </w:divBdr>
        </w:div>
        <w:div w:id="1860391357">
          <w:marLeft w:val="0"/>
          <w:marRight w:val="0"/>
          <w:marTop w:val="0"/>
          <w:marBottom w:val="0"/>
          <w:divBdr>
            <w:top w:val="none" w:sz="0" w:space="0" w:color="auto"/>
            <w:left w:val="none" w:sz="0" w:space="0" w:color="auto"/>
            <w:bottom w:val="none" w:sz="0" w:space="0" w:color="auto"/>
            <w:right w:val="none" w:sz="0" w:space="0" w:color="auto"/>
          </w:divBdr>
        </w:div>
        <w:div w:id="1315181478">
          <w:marLeft w:val="0"/>
          <w:marRight w:val="0"/>
          <w:marTop w:val="0"/>
          <w:marBottom w:val="0"/>
          <w:divBdr>
            <w:top w:val="none" w:sz="0" w:space="0" w:color="auto"/>
            <w:left w:val="none" w:sz="0" w:space="0" w:color="auto"/>
            <w:bottom w:val="none" w:sz="0" w:space="0" w:color="auto"/>
            <w:right w:val="none" w:sz="0" w:space="0" w:color="auto"/>
          </w:divBdr>
        </w:div>
        <w:div w:id="1444379124">
          <w:marLeft w:val="0"/>
          <w:marRight w:val="0"/>
          <w:marTop w:val="0"/>
          <w:marBottom w:val="0"/>
          <w:divBdr>
            <w:top w:val="none" w:sz="0" w:space="0" w:color="auto"/>
            <w:left w:val="none" w:sz="0" w:space="0" w:color="auto"/>
            <w:bottom w:val="none" w:sz="0" w:space="0" w:color="auto"/>
            <w:right w:val="none" w:sz="0" w:space="0" w:color="auto"/>
          </w:divBdr>
        </w:div>
      </w:divsChild>
    </w:div>
    <w:div w:id="1451246919">
      <w:bodyDiv w:val="1"/>
      <w:marLeft w:val="0"/>
      <w:marRight w:val="0"/>
      <w:marTop w:val="0"/>
      <w:marBottom w:val="0"/>
      <w:divBdr>
        <w:top w:val="none" w:sz="0" w:space="0" w:color="auto"/>
        <w:left w:val="none" w:sz="0" w:space="0" w:color="auto"/>
        <w:bottom w:val="none" w:sz="0" w:space="0" w:color="auto"/>
        <w:right w:val="none" w:sz="0" w:space="0" w:color="auto"/>
      </w:divBdr>
      <w:divsChild>
        <w:div w:id="1196117071">
          <w:marLeft w:val="0"/>
          <w:marRight w:val="0"/>
          <w:marTop w:val="0"/>
          <w:marBottom w:val="0"/>
          <w:divBdr>
            <w:top w:val="none" w:sz="0" w:space="0" w:color="auto"/>
            <w:left w:val="none" w:sz="0" w:space="0" w:color="auto"/>
            <w:bottom w:val="none" w:sz="0" w:space="0" w:color="auto"/>
            <w:right w:val="none" w:sz="0" w:space="0" w:color="auto"/>
          </w:divBdr>
        </w:div>
        <w:div w:id="105122808">
          <w:marLeft w:val="0"/>
          <w:marRight w:val="0"/>
          <w:marTop w:val="0"/>
          <w:marBottom w:val="0"/>
          <w:divBdr>
            <w:top w:val="none" w:sz="0" w:space="0" w:color="auto"/>
            <w:left w:val="none" w:sz="0" w:space="0" w:color="auto"/>
            <w:bottom w:val="none" w:sz="0" w:space="0" w:color="auto"/>
            <w:right w:val="none" w:sz="0" w:space="0" w:color="auto"/>
          </w:divBdr>
        </w:div>
        <w:div w:id="612597614">
          <w:marLeft w:val="0"/>
          <w:marRight w:val="0"/>
          <w:marTop w:val="0"/>
          <w:marBottom w:val="0"/>
          <w:divBdr>
            <w:top w:val="none" w:sz="0" w:space="0" w:color="auto"/>
            <w:left w:val="none" w:sz="0" w:space="0" w:color="auto"/>
            <w:bottom w:val="none" w:sz="0" w:space="0" w:color="auto"/>
            <w:right w:val="none" w:sz="0" w:space="0" w:color="auto"/>
          </w:divBdr>
        </w:div>
      </w:divsChild>
    </w:div>
    <w:div w:id="1491750348">
      <w:bodyDiv w:val="1"/>
      <w:marLeft w:val="0"/>
      <w:marRight w:val="0"/>
      <w:marTop w:val="0"/>
      <w:marBottom w:val="0"/>
      <w:divBdr>
        <w:top w:val="none" w:sz="0" w:space="0" w:color="auto"/>
        <w:left w:val="none" w:sz="0" w:space="0" w:color="auto"/>
        <w:bottom w:val="none" w:sz="0" w:space="0" w:color="auto"/>
        <w:right w:val="none" w:sz="0" w:space="0" w:color="auto"/>
      </w:divBdr>
      <w:divsChild>
        <w:div w:id="239491141">
          <w:marLeft w:val="0"/>
          <w:marRight w:val="0"/>
          <w:marTop w:val="0"/>
          <w:marBottom w:val="0"/>
          <w:divBdr>
            <w:top w:val="none" w:sz="0" w:space="0" w:color="auto"/>
            <w:left w:val="none" w:sz="0" w:space="0" w:color="auto"/>
            <w:bottom w:val="none" w:sz="0" w:space="0" w:color="auto"/>
            <w:right w:val="none" w:sz="0" w:space="0" w:color="auto"/>
          </w:divBdr>
        </w:div>
        <w:div w:id="1947611165">
          <w:marLeft w:val="0"/>
          <w:marRight w:val="0"/>
          <w:marTop w:val="0"/>
          <w:marBottom w:val="0"/>
          <w:divBdr>
            <w:top w:val="none" w:sz="0" w:space="0" w:color="auto"/>
            <w:left w:val="none" w:sz="0" w:space="0" w:color="auto"/>
            <w:bottom w:val="none" w:sz="0" w:space="0" w:color="auto"/>
            <w:right w:val="none" w:sz="0" w:space="0" w:color="auto"/>
          </w:divBdr>
        </w:div>
        <w:div w:id="1883057285">
          <w:marLeft w:val="0"/>
          <w:marRight w:val="0"/>
          <w:marTop w:val="0"/>
          <w:marBottom w:val="0"/>
          <w:divBdr>
            <w:top w:val="none" w:sz="0" w:space="0" w:color="auto"/>
            <w:left w:val="none" w:sz="0" w:space="0" w:color="auto"/>
            <w:bottom w:val="none" w:sz="0" w:space="0" w:color="auto"/>
            <w:right w:val="none" w:sz="0" w:space="0" w:color="auto"/>
          </w:divBdr>
        </w:div>
        <w:div w:id="158079779">
          <w:marLeft w:val="0"/>
          <w:marRight w:val="0"/>
          <w:marTop w:val="0"/>
          <w:marBottom w:val="0"/>
          <w:divBdr>
            <w:top w:val="none" w:sz="0" w:space="0" w:color="auto"/>
            <w:left w:val="none" w:sz="0" w:space="0" w:color="auto"/>
            <w:bottom w:val="none" w:sz="0" w:space="0" w:color="auto"/>
            <w:right w:val="none" w:sz="0" w:space="0" w:color="auto"/>
          </w:divBdr>
        </w:div>
        <w:div w:id="681667774">
          <w:marLeft w:val="0"/>
          <w:marRight w:val="0"/>
          <w:marTop w:val="0"/>
          <w:marBottom w:val="0"/>
          <w:divBdr>
            <w:top w:val="none" w:sz="0" w:space="0" w:color="auto"/>
            <w:left w:val="none" w:sz="0" w:space="0" w:color="auto"/>
            <w:bottom w:val="none" w:sz="0" w:space="0" w:color="auto"/>
            <w:right w:val="none" w:sz="0" w:space="0" w:color="auto"/>
          </w:divBdr>
        </w:div>
        <w:div w:id="1612973363">
          <w:marLeft w:val="0"/>
          <w:marRight w:val="0"/>
          <w:marTop w:val="0"/>
          <w:marBottom w:val="0"/>
          <w:divBdr>
            <w:top w:val="none" w:sz="0" w:space="0" w:color="auto"/>
            <w:left w:val="none" w:sz="0" w:space="0" w:color="auto"/>
            <w:bottom w:val="none" w:sz="0" w:space="0" w:color="auto"/>
            <w:right w:val="none" w:sz="0" w:space="0" w:color="auto"/>
          </w:divBdr>
        </w:div>
        <w:div w:id="230891970">
          <w:marLeft w:val="0"/>
          <w:marRight w:val="0"/>
          <w:marTop w:val="0"/>
          <w:marBottom w:val="0"/>
          <w:divBdr>
            <w:top w:val="none" w:sz="0" w:space="0" w:color="auto"/>
            <w:left w:val="none" w:sz="0" w:space="0" w:color="auto"/>
            <w:bottom w:val="none" w:sz="0" w:space="0" w:color="auto"/>
            <w:right w:val="none" w:sz="0" w:space="0" w:color="auto"/>
          </w:divBdr>
        </w:div>
        <w:div w:id="868956933">
          <w:marLeft w:val="0"/>
          <w:marRight w:val="0"/>
          <w:marTop w:val="0"/>
          <w:marBottom w:val="0"/>
          <w:divBdr>
            <w:top w:val="none" w:sz="0" w:space="0" w:color="auto"/>
            <w:left w:val="none" w:sz="0" w:space="0" w:color="auto"/>
            <w:bottom w:val="none" w:sz="0" w:space="0" w:color="auto"/>
            <w:right w:val="none" w:sz="0" w:space="0" w:color="auto"/>
          </w:divBdr>
        </w:div>
      </w:divsChild>
    </w:div>
    <w:div w:id="1491752467">
      <w:bodyDiv w:val="1"/>
      <w:marLeft w:val="0"/>
      <w:marRight w:val="0"/>
      <w:marTop w:val="0"/>
      <w:marBottom w:val="0"/>
      <w:divBdr>
        <w:top w:val="none" w:sz="0" w:space="0" w:color="auto"/>
        <w:left w:val="none" w:sz="0" w:space="0" w:color="auto"/>
        <w:bottom w:val="none" w:sz="0" w:space="0" w:color="auto"/>
        <w:right w:val="none" w:sz="0" w:space="0" w:color="auto"/>
      </w:divBdr>
      <w:divsChild>
        <w:div w:id="897324149">
          <w:marLeft w:val="0"/>
          <w:marRight w:val="0"/>
          <w:marTop w:val="0"/>
          <w:marBottom w:val="0"/>
          <w:divBdr>
            <w:top w:val="none" w:sz="0" w:space="0" w:color="auto"/>
            <w:left w:val="none" w:sz="0" w:space="0" w:color="auto"/>
            <w:bottom w:val="none" w:sz="0" w:space="0" w:color="auto"/>
            <w:right w:val="none" w:sz="0" w:space="0" w:color="auto"/>
          </w:divBdr>
        </w:div>
        <w:div w:id="1371690088">
          <w:marLeft w:val="0"/>
          <w:marRight w:val="0"/>
          <w:marTop w:val="0"/>
          <w:marBottom w:val="0"/>
          <w:divBdr>
            <w:top w:val="none" w:sz="0" w:space="0" w:color="auto"/>
            <w:left w:val="none" w:sz="0" w:space="0" w:color="auto"/>
            <w:bottom w:val="none" w:sz="0" w:space="0" w:color="auto"/>
            <w:right w:val="none" w:sz="0" w:space="0" w:color="auto"/>
          </w:divBdr>
        </w:div>
        <w:div w:id="765812097">
          <w:marLeft w:val="0"/>
          <w:marRight w:val="0"/>
          <w:marTop w:val="0"/>
          <w:marBottom w:val="0"/>
          <w:divBdr>
            <w:top w:val="none" w:sz="0" w:space="0" w:color="auto"/>
            <w:left w:val="none" w:sz="0" w:space="0" w:color="auto"/>
            <w:bottom w:val="none" w:sz="0" w:space="0" w:color="auto"/>
            <w:right w:val="none" w:sz="0" w:space="0" w:color="auto"/>
          </w:divBdr>
        </w:div>
        <w:div w:id="830410372">
          <w:marLeft w:val="0"/>
          <w:marRight w:val="0"/>
          <w:marTop w:val="0"/>
          <w:marBottom w:val="0"/>
          <w:divBdr>
            <w:top w:val="none" w:sz="0" w:space="0" w:color="auto"/>
            <w:left w:val="none" w:sz="0" w:space="0" w:color="auto"/>
            <w:bottom w:val="none" w:sz="0" w:space="0" w:color="auto"/>
            <w:right w:val="none" w:sz="0" w:space="0" w:color="auto"/>
          </w:divBdr>
        </w:div>
      </w:divsChild>
    </w:div>
    <w:div w:id="1628463093">
      <w:bodyDiv w:val="1"/>
      <w:marLeft w:val="0"/>
      <w:marRight w:val="0"/>
      <w:marTop w:val="0"/>
      <w:marBottom w:val="0"/>
      <w:divBdr>
        <w:top w:val="none" w:sz="0" w:space="0" w:color="auto"/>
        <w:left w:val="none" w:sz="0" w:space="0" w:color="auto"/>
        <w:bottom w:val="none" w:sz="0" w:space="0" w:color="auto"/>
        <w:right w:val="none" w:sz="0" w:space="0" w:color="auto"/>
      </w:divBdr>
      <w:divsChild>
        <w:div w:id="618337597">
          <w:marLeft w:val="0"/>
          <w:marRight w:val="0"/>
          <w:marTop w:val="0"/>
          <w:marBottom w:val="0"/>
          <w:divBdr>
            <w:top w:val="none" w:sz="0" w:space="0" w:color="auto"/>
            <w:left w:val="none" w:sz="0" w:space="0" w:color="auto"/>
            <w:bottom w:val="none" w:sz="0" w:space="0" w:color="auto"/>
            <w:right w:val="none" w:sz="0" w:space="0" w:color="auto"/>
          </w:divBdr>
        </w:div>
        <w:div w:id="1579317762">
          <w:marLeft w:val="0"/>
          <w:marRight w:val="0"/>
          <w:marTop w:val="0"/>
          <w:marBottom w:val="0"/>
          <w:divBdr>
            <w:top w:val="none" w:sz="0" w:space="0" w:color="auto"/>
            <w:left w:val="none" w:sz="0" w:space="0" w:color="auto"/>
            <w:bottom w:val="none" w:sz="0" w:space="0" w:color="auto"/>
            <w:right w:val="none" w:sz="0" w:space="0" w:color="auto"/>
          </w:divBdr>
        </w:div>
        <w:div w:id="1371765611">
          <w:marLeft w:val="0"/>
          <w:marRight w:val="0"/>
          <w:marTop w:val="0"/>
          <w:marBottom w:val="0"/>
          <w:divBdr>
            <w:top w:val="none" w:sz="0" w:space="0" w:color="auto"/>
            <w:left w:val="none" w:sz="0" w:space="0" w:color="auto"/>
            <w:bottom w:val="none" w:sz="0" w:space="0" w:color="auto"/>
            <w:right w:val="none" w:sz="0" w:space="0" w:color="auto"/>
          </w:divBdr>
        </w:div>
      </w:divsChild>
    </w:div>
    <w:div w:id="1706982812">
      <w:bodyDiv w:val="1"/>
      <w:marLeft w:val="0"/>
      <w:marRight w:val="0"/>
      <w:marTop w:val="0"/>
      <w:marBottom w:val="0"/>
      <w:divBdr>
        <w:top w:val="none" w:sz="0" w:space="0" w:color="auto"/>
        <w:left w:val="none" w:sz="0" w:space="0" w:color="auto"/>
        <w:bottom w:val="none" w:sz="0" w:space="0" w:color="auto"/>
        <w:right w:val="none" w:sz="0" w:space="0" w:color="auto"/>
      </w:divBdr>
      <w:divsChild>
        <w:div w:id="673805081">
          <w:marLeft w:val="0"/>
          <w:marRight w:val="0"/>
          <w:marTop w:val="0"/>
          <w:marBottom w:val="0"/>
          <w:divBdr>
            <w:top w:val="none" w:sz="0" w:space="0" w:color="auto"/>
            <w:left w:val="none" w:sz="0" w:space="0" w:color="auto"/>
            <w:bottom w:val="none" w:sz="0" w:space="0" w:color="auto"/>
            <w:right w:val="none" w:sz="0" w:space="0" w:color="auto"/>
          </w:divBdr>
        </w:div>
        <w:div w:id="905606057">
          <w:marLeft w:val="0"/>
          <w:marRight w:val="0"/>
          <w:marTop w:val="0"/>
          <w:marBottom w:val="0"/>
          <w:divBdr>
            <w:top w:val="none" w:sz="0" w:space="0" w:color="auto"/>
            <w:left w:val="none" w:sz="0" w:space="0" w:color="auto"/>
            <w:bottom w:val="none" w:sz="0" w:space="0" w:color="auto"/>
            <w:right w:val="none" w:sz="0" w:space="0" w:color="auto"/>
          </w:divBdr>
        </w:div>
        <w:div w:id="962007199">
          <w:marLeft w:val="0"/>
          <w:marRight w:val="0"/>
          <w:marTop w:val="0"/>
          <w:marBottom w:val="0"/>
          <w:divBdr>
            <w:top w:val="none" w:sz="0" w:space="0" w:color="auto"/>
            <w:left w:val="none" w:sz="0" w:space="0" w:color="auto"/>
            <w:bottom w:val="none" w:sz="0" w:space="0" w:color="auto"/>
            <w:right w:val="none" w:sz="0" w:space="0" w:color="auto"/>
          </w:divBdr>
        </w:div>
        <w:div w:id="1020469608">
          <w:marLeft w:val="0"/>
          <w:marRight w:val="0"/>
          <w:marTop w:val="0"/>
          <w:marBottom w:val="0"/>
          <w:divBdr>
            <w:top w:val="none" w:sz="0" w:space="0" w:color="auto"/>
            <w:left w:val="none" w:sz="0" w:space="0" w:color="auto"/>
            <w:bottom w:val="none" w:sz="0" w:space="0" w:color="auto"/>
            <w:right w:val="none" w:sz="0" w:space="0" w:color="auto"/>
          </w:divBdr>
        </w:div>
        <w:div w:id="783771227">
          <w:marLeft w:val="0"/>
          <w:marRight w:val="0"/>
          <w:marTop w:val="0"/>
          <w:marBottom w:val="0"/>
          <w:divBdr>
            <w:top w:val="none" w:sz="0" w:space="0" w:color="auto"/>
            <w:left w:val="none" w:sz="0" w:space="0" w:color="auto"/>
            <w:bottom w:val="none" w:sz="0" w:space="0" w:color="auto"/>
            <w:right w:val="none" w:sz="0" w:space="0" w:color="auto"/>
          </w:divBdr>
        </w:div>
        <w:div w:id="1647662574">
          <w:marLeft w:val="0"/>
          <w:marRight w:val="0"/>
          <w:marTop w:val="0"/>
          <w:marBottom w:val="0"/>
          <w:divBdr>
            <w:top w:val="none" w:sz="0" w:space="0" w:color="auto"/>
            <w:left w:val="none" w:sz="0" w:space="0" w:color="auto"/>
            <w:bottom w:val="none" w:sz="0" w:space="0" w:color="auto"/>
            <w:right w:val="none" w:sz="0" w:space="0" w:color="auto"/>
          </w:divBdr>
        </w:div>
        <w:div w:id="735976676">
          <w:marLeft w:val="0"/>
          <w:marRight w:val="0"/>
          <w:marTop w:val="0"/>
          <w:marBottom w:val="0"/>
          <w:divBdr>
            <w:top w:val="none" w:sz="0" w:space="0" w:color="auto"/>
            <w:left w:val="none" w:sz="0" w:space="0" w:color="auto"/>
            <w:bottom w:val="none" w:sz="0" w:space="0" w:color="auto"/>
            <w:right w:val="none" w:sz="0" w:space="0" w:color="auto"/>
          </w:divBdr>
        </w:div>
        <w:div w:id="1453594524">
          <w:marLeft w:val="0"/>
          <w:marRight w:val="0"/>
          <w:marTop w:val="0"/>
          <w:marBottom w:val="0"/>
          <w:divBdr>
            <w:top w:val="none" w:sz="0" w:space="0" w:color="auto"/>
            <w:left w:val="none" w:sz="0" w:space="0" w:color="auto"/>
            <w:bottom w:val="none" w:sz="0" w:space="0" w:color="auto"/>
            <w:right w:val="none" w:sz="0" w:space="0" w:color="auto"/>
          </w:divBdr>
        </w:div>
        <w:div w:id="1563983817">
          <w:marLeft w:val="0"/>
          <w:marRight w:val="0"/>
          <w:marTop w:val="0"/>
          <w:marBottom w:val="0"/>
          <w:divBdr>
            <w:top w:val="none" w:sz="0" w:space="0" w:color="auto"/>
            <w:left w:val="none" w:sz="0" w:space="0" w:color="auto"/>
            <w:bottom w:val="none" w:sz="0" w:space="0" w:color="auto"/>
            <w:right w:val="none" w:sz="0" w:space="0" w:color="auto"/>
          </w:divBdr>
        </w:div>
        <w:div w:id="1989674821">
          <w:marLeft w:val="0"/>
          <w:marRight w:val="0"/>
          <w:marTop w:val="0"/>
          <w:marBottom w:val="0"/>
          <w:divBdr>
            <w:top w:val="none" w:sz="0" w:space="0" w:color="auto"/>
            <w:left w:val="none" w:sz="0" w:space="0" w:color="auto"/>
            <w:bottom w:val="none" w:sz="0" w:space="0" w:color="auto"/>
            <w:right w:val="none" w:sz="0" w:space="0" w:color="auto"/>
          </w:divBdr>
        </w:div>
      </w:divsChild>
    </w:div>
    <w:div w:id="2071030467">
      <w:bodyDiv w:val="1"/>
      <w:marLeft w:val="0"/>
      <w:marRight w:val="0"/>
      <w:marTop w:val="0"/>
      <w:marBottom w:val="0"/>
      <w:divBdr>
        <w:top w:val="none" w:sz="0" w:space="0" w:color="auto"/>
        <w:left w:val="none" w:sz="0" w:space="0" w:color="auto"/>
        <w:bottom w:val="none" w:sz="0" w:space="0" w:color="auto"/>
        <w:right w:val="none" w:sz="0" w:space="0" w:color="auto"/>
      </w:divBdr>
      <w:divsChild>
        <w:div w:id="416248217">
          <w:marLeft w:val="0"/>
          <w:marRight w:val="0"/>
          <w:marTop w:val="0"/>
          <w:marBottom w:val="0"/>
          <w:divBdr>
            <w:top w:val="none" w:sz="0" w:space="0" w:color="auto"/>
            <w:left w:val="none" w:sz="0" w:space="0" w:color="auto"/>
            <w:bottom w:val="none" w:sz="0" w:space="0" w:color="auto"/>
            <w:right w:val="none" w:sz="0" w:space="0" w:color="auto"/>
          </w:divBdr>
        </w:div>
        <w:div w:id="679550831">
          <w:marLeft w:val="0"/>
          <w:marRight w:val="0"/>
          <w:marTop w:val="0"/>
          <w:marBottom w:val="0"/>
          <w:divBdr>
            <w:top w:val="none" w:sz="0" w:space="0" w:color="auto"/>
            <w:left w:val="none" w:sz="0" w:space="0" w:color="auto"/>
            <w:bottom w:val="none" w:sz="0" w:space="0" w:color="auto"/>
            <w:right w:val="none" w:sz="0" w:space="0" w:color="auto"/>
          </w:divBdr>
        </w:div>
        <w:div w:id="1784617750">
          <w:marLeft w:val="0"/>
          <w:marRight w:val="0"/>
          <w:marTop w:val="0"/>
          <w:marBottom w:val="0"/>
          <w:divBdr>
            <w:top w:val="none" w:sz="0" w:space="0" w:color="auto"/>
            <w:left w:val="none" w:sz="0" w:space="0" w:color="auto"/>
            <w:bottom w:val="none" w:sz="0" w:space="0" w:color="auto"/>
            <w:right w:val="none" w:sz="0" w:space="0" w:color="auto"/>
          </w:divBdr>
        </w:div>
        <w:div w:id="791825377">
          <w:marLeft w:val="0"/>
          <w:marRight w:val="0"/>
          <w:marTop w:val="0"/>
          <w:marBottom w:val="0"/>
          <w:divBdr>
            <w:top w:val="none" w:sz="0" w:space="0" w:color="auto"/>
            <w:left w:val="none" w:sz="0" w:space="0" w:color="auto"/>
            <w:bottom w:val="none" w:sz="0" w:space="0" w:color="auto"/>
            <w:right w:val="none" w:sz="0" w:space="0" w:color="auto"/>
          </w:divBdr>
        </w:div>
        <w:div w:id="448400136">
          <w:marLeft w:val="0"/>
          <w:marRight w:val="0"/>
          <w:marTop w:val="0"/>
          <w:marBottom w:val="0"/>
          <w:divBdr>
            <w:top w:val="none" w:sz="0" w:space="0" w:color="auto"/>
            <w:left w:val="none" w:sz="0" w:space="0" w:color="auto"/>
            <w:bottom w:val="none" w:sz="0" w:space="0" w:color="auto"/>
            <w:right w:val="none" w:sz="0" w:space="0" w:color="auto"/>
          </w:divBdr>
        </w:div>
        <w:div w:id="835731980">
          <w:marLeft w:val="0"/>
          <w:marRight w:val="0"/>
          <w:marTop w:val="0"/>
          <w:marBottom w:val="0"/>
          <w:divBdr>
            <w:top w:val="none" w:sz="0" w:space="0" w:color="auto"/>
            <w:left w:val="none" w:sz="0" w:space="0" w:color="auto"/>
            <w:bottom w:val="none" w:sz="0" w:space="0" w:color="auto"/>
            <w:right w:val="none" w:sz="0" w:space="0" w:color="auto"/>
          </w:divBdr>
        </w:div>
        <w:div w:id="1853179007">
          <w:marLeft w:val="0"/>
          <w:marRight w:val="0"/>
          <w:marTop w:val="0"/>
          <w:marBottom w:val="0"/>
          <w:divBdr>
            <w:top w:val="none" w:sz="0" w:space="0" w:color="auto"/>
            <w:left w:val="none" w:sz="0" w:space="0" w:color="auto"/>
            <w:bottom w:val="none" w:sz="0" w:space="0" w:color="auto"/>
            <w:right w:val="none" w:sz="0" w:space="0" w:color="auto"/>
          </w:divBdr>
        </w:div>
        <w:div w:id="1772553887">
          <w:marLeft w:val="0"/>
          <w:marRight w:val="0"/>
          <w:marTop w:val="0"/>
          <w:marBottom w:val="0"/>
          <w:divBdr>
            <w:top w:val="none" w:sz="0" w:space="0" w:color="auto"/>
            <w:left w:val="none" w:sz="0" w:space="0" w:color="auto"/>
            <w:bottom w:val="none" w:sz="0" w:space="0" w:color="auto"/>
            <w:right w:val="none" w:sz="0" w:space="0" w:color="auto"/>
          </w:divBdr>
        </w:div>
        <w:div w:id="2121141960">
          <w:marLeft w:val="0"/>
          <w:marRight w:val="0"/>
          <w:marTop w:val="0"/>
          <w:marBottom w:val="0"/>
          <w:divBdr>
            <w:top w:val="none" w:sz="0" w:space="0" w:color="auto"/>
            <w:left w:val="none" w:sz="0" w:space="0" w:color="auto"/>
            <w:bottom w:val="none" w:sz="0" w:space="0" w:color="auto"/>
            <w:right w:val="none" w:sz="0" w:space="0" w:color="auto"/>
          </w:divBdr>
        </w:div>
        <w:div w:id="162553249">
          <w:marLeft w:val="0"/>
          <w:marRight w:val="0"/>
          <w:marTop w:val="0"/>
          <w:marBottom w:val="0"/>
          <w:divBdr>
            <w:top w:val="none" w:sz="0" w:space="0" w:color="auto"/>
            <w:left w:val="none" w:sz="0" w:space="0" w:color="auto"/>
            <w:bottom w:val="none" w:sz="0" w:space="0" w:color="auto"/>
            <w:right w:val="none" w:sz="0" w:space="0" w:color="auto"/>
          </w:divBdr>
        </w:div>
      </w:divsChild>
    </w:div>
    <w:div w:id="2077624622">
      <w:bodyDiv w:val="1"/>
      <w:marLeft w:val="0"/>
      <w:marRight w:val="0"/>
      <w:marTop w:val="0"/>
      <w:marBottom w:val="0"/>
      <w:divBdr>
        <w:top w:val="none" w:sz="0" w:space="0" w:color="auto"/>
        <w:left w:val="none" w:sz="0" w:space="0" w:color="auto"/>
        <w:bottom w:val="none" w:sz="0" w:space="0" w:color="auto"/>
        <w:right w:val="none" w:sz="0" w:space="0" w:color="auto"/>
      </w:divBdr>
      <w:divsChild>
        <w:div w:id="182402107">
          <w:marLeft w:val="0"/>
          <w:marRight w:val="0"/>
          <w:marTop w:val="0"/>
          <w:marBottom w:val="0"/>
          <w:divBdr>
            <w:top w:val="none" w:sz="0" w:space="0" w:color="auto"/>
            <w:left w:val="none" w:sz="0" w:space="0" w:color="auto"/>
            <w:bottom w:val="none" w:sz="0" w:space="0" w:color="auto"/>
            <w:right w:val="none" w:sz="0" w:space="0" w:color="auto"/>
          </w:divBdr>
        </w:div>
        <w:div w:id="802428885">
          <w:marLeft w:val="0"/>
          <w:marRight w:val="0"/>
          <w:marTop w:val="0"/>
          <w:marBottom w:val="0"/>
          <w:divBdr>
            <w:top w:val="none" w:sz="0" w:space="0" w:color="auto"/>
            <w:left w:val="none" w:sz="0" w:space="0" w:color="auto"/>
            <w:bottom w:val="none" w:sz="0" w:space="0" w:color="auto"/>
            <w:right w:val="none" w:sz="0" w:space="0" w:color="auto"/>
          </w:divBdr>
        </w:div>
        <w:div w:id="1324507181">
          <w:marLeft w:val="0"/>
          <w:marRight w:val="0"/>
          <w:marTop w:val="0"/>
          <w:marBottom w:val="0"/>
          <w:divBdr>
            <w:top w:val="none" w:sz="0" w:space="0" w:color="auto"/>
            <w:left w:val="none" w:sz="0" w:space="0" w:color="auto"/>
            <w:bottom w:val="none" w:sz="0" w:space="0" w:color="auto"/>
            <w:right w:val="none" w:sz="0" w:space="0" w:color="auto"/>
          </w:divBdr>
        </w:div>
        <w:div w:id="1254825306">
          <w:marLeft w:val="0"/>
          <w:marRight w:val="0"/>
          <w:marTop w:val="0"/>
          <w:marBottom w:val="0"/>
          <w:divBdr>
            <w:top w:val="none" w:sz="0" w:space="0" w:color="auto"/>
            <w:left w:val="none" w:sz="0" w:space="0" w:color="auto"/>
            <w:bottom w:val="none" w:sz="0" w:space="0" w:color="auto"/>
            <w:right w:val="none" w:sz="0" w:space="0" w:color="auto"/>
          </w:divBdr>
        </w:div>
        <w:div w:id="238096093">
          <w:marLeft w:val="0"/>
          <w:marRight w:val="0"/>
          <w:marTop w:val="0"/>
          <w:marBottom w:val="0"/>
          <w:divBdr>
            <w:top w:val="none" w:sz="0" w:space="0" w:color="auto"/>
            <w:left w:val="none" w:sz="0" w:space="0" w:color="auto"/>
            <w:bottom w:val="none" w:sz="0" w:space="0" w:color="auto"/>
            <w:right w:val="none" w:sz="0" w:space="0" w:color="auto"/>
          </w:divBdr>
        </w:div>
        <w:div w:id="1134830990">
          <w:marLeft w:val="0"/>
          <w:marRight w:val="0"/>
          <w:marTop w:val="0"/>
          <w:marBottom w:val="0"/>
          <w:divBdr>
            <w:top w:val="none" w:sz="0" w:space="0" w:color="auto"/>
            <w:left w:val="none" w:sz="0" w:space="0" w:color="auto"/>
            <w:bottom w:val="none" w:sz="0" w:space="0" w:color="auto"/>
            <w:right w:val="none" w:sz="0" w:space="0" w:color="auto"/>
          </w:divBdr>
        </w:div>
        <w:div w:id="1037313831">
          <w:marLeft w:val="0"/>
          <w:marRight w:val="0"/>
          <w:marTop w:val="0"/>
          <w:marBottom w:val="0"/>
          <w:divBdr>
            <w:top w:val="none" w:sz="0" w:space="0" w:color="auto"/>
            <w:left w:val="none" w:sz="0" w:space="0" w:color="auto"/>
            <w:bottom w:val="none" w:sz="0" w:space="0" w:color="auto"/>
            <w:right w:val="none" w:sz="0" w:space="0" w:color="auto"/>
          </w:divBdr>
        </w:div>
        <w:div w:id="420835739">
          <w:marLeft w:val="0"/>
          <w:marRight w:val="0"/>
          <w:marTop w:val="0"/>
          <w:marBottom w:val="0"/>
          <w:divBdr>
            <w:top w:val="none" w:sz="0" w:space="0" w:color="auto"/>
            <w:left w:val="none" w:sz="0" w:space="0" w:color="auto"/>
            <w:bottom w:val="none" w:sz="0" w:space="0" w:color="auto"/>
            <w:right w:val="none" w:sz="0" w:space="0" w:color="auto"/>
          </w:divBdr>
        </w:div>
        <w:div w:id="1756514008">
          <w:marLeft w:val="0"/>
          <w:marRight w:val="0"/>
          <w:marTop w:val="0"/>
          <w:marBottom w:val="0"/>
          <w:divBdr>
            <w:top w:val="none" w:sz="0" w:space="0" w:color="auto"/>
            <w:left w:val="none" w:sz="0" w:space="0" w:color="auto"/>
            <w:bottom w:val="none" w:sz="0" w:space="0" w:color="auto"/>
            <w:right w:val="none" w:sz="0" w:space="0" w:color="auto"/>
          </w:divBdr>
        </w:div>
        <w:div w:id="2021858462">
          <w:marLeft w:val="0"/>
          <w:marRight w:val="0"/>
          <w:marTop w:val="0"/>
          <w:marBottom w:val="0"/>
          <w:divBdr>
            <w:top w:val="none" w:sz="0" w:space="0" w:color="auto"/>
            <w:left w:val="none" w:sz="0" w:space="0" w:color="auto"/>
            <w:bottom w:val="none" w:sz="0" w:space="0" w:color="auto"/>
            <w:right w:val="none" w:sz="0" w:space="0" w:color="auto"/>
          </w:divBdr>
        </w:div>
        <w:div w:id="1902132542">
          <w:marLeft w:val="0"/>
          <w:marRight w:val="0"/>
          <w:marTop w:val="0"/>
          <w:marBottom w:val="0"/>
          <w:divBdr>
            <w:top w:val="none" w:sz="0" w:space="0" w:color="auto"/>
            <w:left w:val="none" w:sz="0" w:space="0" w:color="auto"/>
            <w:bottom w:val="none" w:sz="0" w:space="0" w:color="auto"/>
            <w:right w:val="none" w:sz="0" w:space="0" w:color="auto"/>
          </w:divBdr>
        </w:div>
        <w:div w:id="217060660">
          <w:marLeft w:val="0"/>
          <w:marRight w:val="0"/>
          <w:marTop w:val="0"/>
          <w:marBottom w:val="0"/>
          <w:divBdr>
            <w:top w:val="none" w:sz="0" w:space="0" w:color="auto"/>
            <w:left w:val="none" w:sz="0" w:space="0" w:color="auto"/>
            <w:bottom w:val="none" w:sz="0" w:space="0" w:color="auto"/>
            <w:right w:val="none" w:sz="0" w:space="0" w:color="auto"/>
          </w:divBdr>
        </w:div>
        <w:div w:id="149830336">
          <w:marLeft w:val="0"/>
          <w:marRight w:val="0"/>
          <w:marTop w:val="0"/>
          <w:marBottom w:val="0"/>
          <w:divBdr>
            <w:top w:val="none" w:sz="0" w:space="0" w:color="auto"/>
            <w:left w:val="none" w:sz="0" w:space="0" w:color="auto"/>
            <w:bottom w:val="none" w:sz="0" w:space="0" w:color="auto"/>
            <w:right w:val="none" w:sz="0" w:space="0" w:color="auto"/>
          </w:divBdr>
        </w:div>
      </w:divsChild>
    </w:div>
    <w:div w:id="2092237122">
      <w:bodyDiv w:val="1"/>
      <w:marLeft w:val="0"/>
      <w:marRight w:val="0"/>
      <w:marTop w:val="0"/>
      <w:marBottom w:val="0"/>
      <w:divBdr>
        <w:top w:val="none" w:sz="0" w:space="0" w:color="auto"/>
        <w:left w:val="none" w:sz="0" w:space="0" w:color="auto"/>
        <w:bottom w:val="none" w:sz="0" w:space="0" w:color="auto"/>
        <w:right w:val="none" w:sz="0" w:space="0" w:color="auto"/>
      </w:divBdr>
      <w:divsChild>
        <w:div w:id="2127192058">
          <w:marLeft w:val="0"/>
          <w:marRight w:val="0"/>
          <w:marTop w:val="0"/>
          <w:marBottom w:val="0"/>
          <w:divBdr>
            <w:top w:val="none" w:sz="0" w:space="0" w:color="auto"/>
            <w:left w:val="none" w:sz="0" w:space="0" w:color="auto"/>
            <w:bottom w:val="none" w:sz="0" w:space="0" w:color="auto"/>
            <w:right w:val="none" w:sz="0" w:space="0" w:color="auto"/>
          </w:divBdr>
        </w:div>
        <w:div w:id="789785175">
          <w:marLeft w:val="0"/>
          <w:marRight w:val="0"/>
          <w:marTop w:val="0"/>
          <w:marBottom w:val="0"/>
          <w:divBdr>
            <w:top w:val="none" w:sz="0" w:space="0" w:color="auto"/>
            <w:left w:val="none" w:sz="0" w:space="0" w:color="auto"/>
            <w:bottom w:val="none" w:sz="0" w:space="0" w:color="auto"/>
            <w:right w:val="none" w:sz="0" w:space="0" w:color="auto"/>
          </w:divBdr>
        </w:div>
        <w:div w:id="1750691312">
          <w:marLeft w:val="0"/>
          <w:marRight w:val="0"/>
          <w:marTop w:val="0"/>
          <w:marBottom w:val="0"/>
          <w:divBdr>
            <w:top w:val="none" w:sz="0" w:space="0" w:color="auto"/>
            <w:left w:val="none" w:sz="0" w:space="0" w:color="auto"/>
            <w:bottom w:val="none" w:sz="0" w:space="0" w:color="auto"/>
            <w:right w:val="none" w:sz="0" w:space="0" w:color="auto"/>
          </w:divBdr>
        </w:div>
        <w:div w:id="1138767556">
          <w:marLeft w:val="0"/>
          <w:marRight w:val="0"/>
          <w:marTop w:val="0"/>
          <w:marBottom w:val="0"/>
          <w:divBdr>
            <w:top w:val="none" w:sz="0" w:space="0" w:color="auto"/>
            <w:left w:val="none" w:sz="0" w:space="0" w:color="auto"/>
            <w:bottom w:val="none" w:sz="0" w:space="0" w:color="auto"/>
            <w:right w:val="none" w:sz="0" w:space="0" w:color="auto"/>
          </w:divBdr>
        </w:div>
        <w:div w:id="37528046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E9ADB6C0ADE142F597CB6DB727EFD09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39860-19</Nr_x002e__x0020_akti>
    <Data_x0020_e_x0020_Krijimit xmlns="0e656187-b300-4fb0-8bf4-3a50f872073c">2025-09-11T14:45:50Z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2025-09-11T00:00:00Z</Date_x0020_protokolli>
    <Titulli xmlns="0e656187-b300-4fb0-8bf4-3a50f872073c">Çështja ARB shpk dhe të tjerë kundër Shqipërisë</Titulli>
    <Modifikuesi xmlns="0e656187-b300-4fb0-8bf4-3a50f872073c">jorina.kryeziu</Modifikuesi>
    <Nr_x002e__x0020_prot_x0020_QBZ xmlns="0e656187-b300-4fb0-8bf4-3a50f872073c">1466/1</Nr_x002e__x0020_prot_x0020_QBZ>
    <Data_x0020_e_x0020_Modifikimit xmlns="0e656187-b300-4fb0-8bf4-3a50f872073c">2025-09-15T11:39:40Z</Data_x0020_e_x0020_Modifikimit>
    <Dekretuar xmlns="0e656187-b300-4fb0-8bf4-3a50f872073c">false</Dekretuar>
    <Data xmlns="0e656187-b300-4fb0-8bf4-3a50f872073c">2025-05-27T00:00:00Z</Data>
    <Nr_x002e__x0020_protokolli_x0020_i_x0020_aktit xmlns="0e656187-b300-4fb0-8bf4-3a50f872073c">4282/1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9ADB6C0ADE142F597CB6DB727EFD09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D6A095-DCB7-4088-9BD4-CF046C695D7C}">
  <ds:schemaRefs>
    <ds:schemaRef ds:uri="http://schemas.microsoft.com/sharepoint/v3/contenttype/forms"/>
  </ds:schemaRefs>
</ds:datastoreItem>
</file>

<file path=customXml/itemProps2.xml><?xml version="1.0" encoding="utf-8"?>
<ds:datastoreItem xmlns:ds="http://schemas.openxmlformats.org/officeDocument/2006/customXml" ds:itemID="{CCFBB80B-809A-47DC-8BDF-03EACE0FFB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CA72FBE-BBC5-4DFB-885F-CCA9AE7F43AE}">
  <ds:schemaRefs>
    <ds:schemaRef ds:uri="http://purl.org/dc/terms/"/>
    <ds:schemaRef ds:uri="http://purl.org/dc/dcmitype/"/>
    <ds:schemaRef ds:uri="http://purl.org/dc/elements/1.1/"/>
    <ds:schemaRef ds:uri="http://schemas.microsoft.com/office/2006/documentManagement/types"/>
    <ds:schemaRef ds:uri="http://www.w3.org/XML/1998/namespace"/>
    <ds:schemaRef ds:uri="0e656187-b300-4fb0-8bf4-3a50f872073c"/>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09280B7F-ED9E-4C82-9869-7DACC590BDB6}">
  <ds:schemaRefs>
    <ds:schemaRef ds:uri="http://schemas.microsoft.com/sharepoint/v3/contenttype/forms"/>
  </ds:schemaRefs>
</ds:datastoreItem>
</file>

<file path=customXml/itemProps5.xml><?xml version="1.0" encoding="utf-8"?>
<ds:datastoreItem xmlns:ds="http://schemas.openxmlformats.org/officeDocument/2006/customXml" ds:itemID="{E760A835-793C-4B3D-BD72-BD8403121D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5C29372-5032-45E9-AD6D-50A12E285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21</Pages>
  <Words>12637</Words>
  <Characters>72033</Characters>
  <Application>Microsoft Office Word</Application>
  <DocSecurity>0</DocSecurity>
  <Lines>600</Lines>
  <Paragraphs>169</Paragraphs>
  <ScaleCrop>false</ScaleCrop>
  <HeadingPairs>
    <vt:vector size="2" baseType="variant">
      <vt:variant>
        <vt:lpstr>Title</vt:lpstr>
      </vt:variant>
      <vt:variant>
        <vt:i4>1</vt:i4>
      </vt:variant>
    </vt:vector>
  </HeadingPairs>
  <TitlesOfParts>
    <vt:vector size="1" baseType="lpstr">
      <vt:lpstr>Çështja ARB shpk dhe të tjerë kundër Shqipërisë</vt:lpstr>
    </vt:vector>
  </TitlesOfParts>
  <Company/>
  <LinksUpToDate>false</LinksUpToDate>
  <CharactersWithSpaces>84501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ARB shpk dhe të tjerë kundër Shqipërisë</dc:title>
  <dc:creator>Mirela Prifti</dc:creator>
  <cp:lastModifiedBy>Entela Suli</cp:lastModifiedBy>
  <cp:revision>106</cp:revision>
  <dcterms:created xsi:type="dcterms:W3CDTF">2025-09-12T08:28:00Z</dcterms:created>
  <dcterms:modified xsi:type="dcterms:W3CDTF">2025-09-15T12:09:00Z</dcterms:modified>
</cp:coreProperties>
</file>